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charts/chart33.xml" ContentType="application/vnd.openxmlformats-officedocument.drawingml.chart+xml"/>
  <Override PartName="/word/theme/themeOverride33.xml" ContentType="application/vnd.openxmlformats-officedocument.themeOverride+xml"/>
  <Override PartName="/word/charts/chart34.xml" ContentType="application/vnd.openxmlformats-officedocument.drawingml.chart+xml"/>
  <Override PartName="/word/theme/themeOverride34.xml" ContentType="application/vnd.openxmlformats-officedocument.themeOverride+xml"/>
  <Override PartName="/word/charts/chart35.xml" ContentType="application/vnd.openxmlformats-officedocument.drawingml.chart+xml"/>
  <Override PartName="/word/theme/themeOverride35.xml" ContentType="application/vnd.openxmlformats-officedocument.themeOverride+xml"/>
  <Override PartName="/word/charts/chart36.xml" ContentType="application/vnd.openxmlformats-officedocument.drawingml.chart+xml"/>
  <Override PartName="/word/theme/themeOverride36.xml" ContentType="application/vnd.openxmlformats-officedocument.themeOverride+xml"/>
  <Override PartName="/word/charts/chart37.xml" ContentType="application/vnd.openxmlformats-officedocument.drawingml.chart+xml"/>
  <Override PartName="/word/theme/themeOverride37.xml" ContentType="application/vnd.openxmlformats-officedocument.themeOverride+xml"/>
  <Override PartName="/word/charts/chart38.xml" ContentType="application/vnd.openxmlformats-officedocument.drawingml.chart+xml"/>
  <Override PartName="/word/theme/themeOverride38.xml" ContentType="application/vnd.openxmlformats-officedocument.themeOverride+xml"/>
  <Override PartName="/word/charts/chart39.xml" ContentType="application/vnd.openxmlformats-officedocument.drawingml.chart+xml"/>
  <Override PartName="/word/theme/themeOverride39.xml" ContentType="application/vnd.openxmlformats-officedocument.themeOverrid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40.xml" ContentType="application/vnd.openxmlformats-officedocument.drawingml.chart+xml"/>
  <Override PartName="/word/theme/themeOverride40.xml" ContentType="application/vnd.openxmlformats-officedocument.themeOverride+xml"/>
  <Override PartName="/word/charts/chart41.xml" ContentType="application/vnd.openxmlformats-officedocument.drawingml.chart+xml"/>
  <Override PartName="/word/theme/themeOverride41.xml" ContentType="application/vnd.openxmlformats-officedocument.themeOverride+xml"/>
  <Override PartName="/word/charts/chart42.xml" ContentType="application/vnd.openxmlformats-officedocument.drawingml.chart+xml"/>
  <Override PartName="/word/theme/themeOverride42.xml" ContentType="application/vnd.openxmlformats-officedocument.themeOverride+xml"/>
  <Override PartName="/word/charts/chart43.xml" ContentType="application/vnd.openxmlformats-officedocument.drawingml.chart+xml"/>
  <Override PartName="/word/theme/themeOverride43.xml" ContentType="application/vnd.openxmlformats-officedocument.themeOverride+xml"/>
  <Override PartName="/word/charts/chart44.xml" ContentType="application/vnd.openxmlformats-officedocument.drawingml.chart+xml"/>
  <Override PartName="/word/theme/themeOverride44.xml" ContentType="application/vnd.openxmlformats-officedocument.themeOverride+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45.xml" ContentType="application/vnd.openxmlformats-officedocument.drawingml.chart+xml"/>
  <Override PartName="/word/theme/themeOverride45.xml" ContentType="application/vnd.openxmlformats-officedocument.themeOverride+xml"/>
  <Override PartName="/word/charts/chart46.xml" ContentType="application/vnd.openxmlformats-officedocument.drawingml.chart+xml"/>
  <Override PartName="/word/theme/themeOverride46.xml" ContentType="application/vnd.openxmlformats-officedocument.themeOverride+xml"/>
  <Override PartName="/word/charts/chart47.xml" ContentType="application/vnd.openxmlformats-officedocument.drawingml.chart+xml"/>
  <Override PartName="/word/theme/themeOverride47.xml" ContentType="application/vnd.openxmlformats-officedocument.themeOverride+xml"/>
  <Override PartName="/word/charts/chart48.xml" ContentType="application/vnd.openxmlformats-officedocument.drawingml.chart+xml"/>
  <Override PartName="/word/theme/themeOverride48.xml" ContentType="application/vnd.openxmlformats-officedocument.themeOverride+xml"/>
  <Override PartName="/word/charts/chart49.xml" ContentType="application/vnd.openxmlformats-officedocument.drawingml.chart+xml"/>
  <Override PartName="/word/theme/themeOverride49.xml" ContentType="application/vnd.openxmlformats-officedocument.themeOverride+xml"/>
  <Override PartName="/word/charts/chart50.xml" ContentType="application/vnd.openxmlformats-officedocument.drawingml.chart+xml"/>
  <Override PartName="/word/theme/themeOverride50.xml" ContentType="application/vnd.openxmlformats-officedocument.themeOverride+xml"/>
  <Override PartName="/word/charts/chart51.xml" ContentType="application/vnd.openxmlformats-officedocument.drawingml.chart+xml"/>
  <Override PartName="/word/theme/themeOverride51.xml" ContentType="application/vnd.openxmlformats-officedocument.themeOverride+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52.xml" ContentType="application/vnd.openxmlformats-officedocument.drawingml.chart+xml"/>
  <Override PartName="/word/theme/themeOverride52.xml" ContentType="application/vnd.openxmlformats-officedocument.themeOverride+xml"/>
  <Override PartName="/word/charts/chart53.xml" ContentType="application/vnd.openxmlformats-officedocument.drawingml.chart+xml"/>
  <Override PartName="/word/theme/themeOverride53.xml" ContentType="application/vnd.openxmlformats-officedocument.themeOverride+xml"/>
  <Override PartName="/word/charts/chart54.xml" ContentType="application/vnd.openxmlformats-officedocument.drawingml.chart+xml"/>
  <Override PartName="/word/theme/themeOverride54.xml" ContentType="application/vnd.openxmlformats-officedocument.themeOverride+xml"/>
  <Override PartName="/word/charts/chart55.xml" ContentType="application/vnd.openxmlformats-officedocument.drawingml.chart+xml"/>
  <Override PartName="/word/theme/themeOverride55.xml" ContentType="application/vnd.openxmlformats-officedocument.themeOverride+xml"/>
  <Override PartName="/word/charts/chart56.xml" ContentType="application/vnd.openxmlformats-officedocument.drawingml.chart+xml"/>
  <Override PartName="/word/theme/themeOverride56.xml" ContentType="application/vnd.openxmlformats-officedocument.themeOverride+xml"/>
  <Override PartName="/word/charts/chart57.xml" ContentType="application/vnd.openxmlformats-officedocument.drawingml.chart+xml"/>
  <Override PartName="/word/theme/themeOverride5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D08" w:rsidRPr="00AF3299" w:rsidRDefault="00B55D08" w:rsidP="00AF3299">
      <w:pPr>
        <w:pStyle w:val="Default"/>
        <w:spacing w:line="276" w:lineRule="auto"/>
        <w:jc w:val="center"/>
        <w:rPr>
          <w:b/>
          <w:bCs/>
          <w:iCs/>
          <w:sz w:val="48"/>
          <w:szCs w:val="48"/>
        </w:rPr>
      </w:pPr>
    </w:p>
    <w:p w:rsidR="00B55D08" w:rsidRPr="00AF3299" w:rsidRDefault="00B55D08" w:rsidP="00AF3299">
      <w:pPr>
        <w:pStyle w:val="Default"/>
        <w:spacing w:line="276" w:lineRule="auto"/>
        <w:jc w:val="center"/>
        <w:rPr>
          <w:b/>
          <w:bCs/>
          <w:iCs/>
          <w:sz w:val="48"/>
          <w:szCs w:val="48"/>
        </w:rPr>
      </w:pPr>
    </w:p>
    <w:p w:rsidR="005B1241" w:rsidRPr="00AF3299" w:rsidRDefault="005B1241" w:rsidP="00AF3299">
      <w:pPr>
        <w:pStyle w:val="Default"/>
        <w:spacing w:line="276" w:lineRule="auto"/>
        <w:jc w:val="center"/>
        <w:rPr>
          <w:b/>
          <w:bCs/>
          <w:iCs/>
          <w:sz w:val="48"/>
          <w:szCs w:val="48"/>
        </w:rPr>
      </w:pPr>
      <w:r w:rsidRPr="00AF3299">
        <w:rPr>
          <w:b/>
          <w:bCs/>
          <w:iCs/>
          <w:sz w:val="48"/>
          <w:szCs w:val="48"/>
        </w:rPr>
        <w:t>Internship Report</w:t>
      </w:r>
    </w:p>
    <w:p w:rsidR="005B1241" w:rsidRPr="00AF3299" w:rsidRDefault="005B1241" w:rsidP="00AF3299">
      <w:pPr>
        <w:pStyle w:val="Default"/>
        <w:spacing w:line="276" w:lineRule="auto"/>
        <w:jc w:val="center"/>
        <w:rPr>
          <w:b/>
          <w:bCs/>
          <w:iCs/>
          <w:sz w:val="48"/>
          <w:szCs w:val="48"/>
        </w:rPr>
      </w:pPr>
      <w:r w:rsidRPr="00AF3299">
        <w:rPr>
          <w:b/>
          <w:bCs/>
          <w:iCs/>
          <w:sz w:val="48"/>
          <w:szCs w:val="48"/>
        </w:rPr>
        <w:t>On</w:t>
      </w:r>
    </w:p>
    <w:p w:rsidR="00B55D08" w:rsidRPr="00AF3299" w:rsidRDefault="00B55D08" w:rsidP="00AF3299">
      <w:pPr>
        <w:pStyle w:val="Default"/>
        <w:spacing w:line="276" w:lineRule="auto"/>
        <w:jc w:val="center"/>
        <w:rPr>
          <w:b/>
          <w:bCs/>
          <w:iCs/>
          <w:sz w:val="48"/>
          <w:szCs w:val="48"/>
        </w:rPr>
      </w:pPr>
    </w:p>
    <w:p w:rsidR="00FE63FA" w:rsidRPr="00AF3299" w:rsidRDefault="006E4E08" w:rsidP="00AF3299">
      <w:pPr>
        <w:jc w:val="both"/>
        <w:rPr>
          <w:rFonts w:ascii="Times New Roman" w:hAnsi="Times New Roman"/>
          <w:b/>
          <w:bCs/>
          <w:iCs/>
          <w:sz w:val="40"/>
          <w:szCs w:val="36"/>
        </w:rPr>
      </w:pPr>
      <w:r>
        <w:rPr>
          <w:rFonts w:ascii="Times New Roman" w:hAnsi="Times New Roman"/>
          <w:b/>
          <w:bCs/>
          <w:iCs/>
          <w:sz w:val="40"/>
          <w:szCs w:val="36"/>
        </w:rPr>
        <w:t>Analysis of</w:t>
      </w:r>
      <w:r w:rsidR="005B1241" w:rsidRPr="00AF3299">
        <w:rPr>
          <w:rFonts w:ascii="Times New Roman" w:hAnsi="Times New Roman"/>
          <w:b/>
          <w:bCs/>
          <w:iCs/>
          <w:sz w:val="40"/>
          <w:szCs w:val="36"/>
        </w:rPr>
        <w:t xml:space="preserve"> Investment in Financial Assets: A Case </w:t>
      </w:r>
      <w:r w:rsidR="00DD68D8">
        <w:rPr>
          <w:rFonts w:ascii="Times New Roman" w:hAnsi="Times New Roman"/>
          <w:b/>
          <w:bCs/>
          <w:iCs/>
          <w:sz w:val="40"/>
          <w:szCs w:val="36"/>
        </w:rPr>
        <w:t xml:space="preserve">Study </w:t>
      </w:r>
      <w:r w:rsidR="005B1241" w:rsidRPr="00AF3299">
        <w:rPr>
          <w:rFonts w:ascii="Times New Roman" w:hAnsi="Times New Roman"/>
          <w:b/>
          <w:bCs/>
          <w:iCs/>
          <w:sz w:val="40"/>
          <w:szCs w:val="36"/>
        </w:rPr>
        <w:t>of the</w:t>
      </w:r>
      <w:r w:rsidR="00B55D08" w:rsidRPr="00AF3299">
        <w:rPr>
          <w:rFonts w:ascii="Times New Roman" w:hAnsi="Times New Roman"/>
          <w:b/>
          <w:bCs/>
          <w:iCs/>
          <w:sz w:val="40"/>
          <w:szCs w:val="36"/>
        </w:rPr>
        <w:t xml:space="preserve"> </w:t>
      </w:r>
      <w:r w:rsidR="005B1241" w:rsidRPr="00AF3299">
        <w:rPr>
          <w:rFonts w:ascii="Times New Roman" w:hAnsi="Times New Roman"/>
          <w:b/>
          <w:bCs/>
          <w:iCs/>
          <w:sz w:val="40"/>
          <w:szCs w:val="36"/>
        </w:rPr>
        <w:t>BRAC Bank Limited</w:t>
      </w:r>
      <w:r w:rsidR="005B1241" w:rsidRPr="00AF3299">
        <w:rPr>
          <w:rFonts w:ascii="Times New Roman" w:hAnsi="Times New Roman"/>
          <w:b/>
          <w:bCs/>
          <w:i/>
          <w:iCs/>
          <w:sz w:val="40"/>
          <w:szCs w:val="36"/>
        </w:rPr>
        <w:t xml:space="preserve">                </w:t>
      </w:r>
      <w:r w:rsidR="005B1241" w:rsidRPr="00AF3299">
        <w:rPr>
          <w:rFonts w:ascii="Times New Roman" w:hAnsi="Times New Roman"/>
          <w:b/>
          <w:bCs/>
          <w:iCs/>
          <w:sz w:val="40"/>
          <w:szCs w:val="36"/>
        </w:rPr>
        <w:t xml:space="preserve">  </w:t>
      </w:r>
      <w:r w:rsidR="005B1241" w:rsidRPr="00AF3299">
        <w:rPr>
          <w:rFonts w:ascii="Times New Roman" w:hAnsi="Times New Roman"/>
          <w:bCs/>
          <w:iCs/>
          <w:sz w:val="40"/>
          <w:szCs w:val="36"/>
        </w:rPr>
        <w:t xml:space="preserve">     </w:t>
      </w:r>
    </w:p>
    <w:p w:rsidR="00FE63FA" w:rsidRPr="00AF3299" w:rsidRDefault="00B55D08" w:rsidP="00AF3299">
      <w:pPr>
        <w:rPr>
          <w:rFonts w:ascii="Times New Roman" w:hAnsi="Times New Roman"/>
        </w:rPr>
      </w:pPr>
      <w:r w:rsidRPr="00AF3299">
        <w:rPr>
          <w:rFonts w:ascii="Times New Roman" w:hAnsi="Times New Roman"/>
          <w:b/>
          <w:noProof/>
          <w:sz w:val="24"/>
        </w:rPr>
        <w:drawing>
          <wp:anchor distT="0" distB="0" distL="114300" distR="114300" simplePos="0" relativeHeight="251728896" behindDoc="0" locked="0" layoutInCell="1" allowOverlap="1">
            <wp:simplePos x="0" y="0"/>
            <wp:positionH relativeFrom="margin">
              <wp:align>center</wp:align>
            </wp:positionH>
            <wp:positionV relativeFrom="paragraph">
              <wp:posOffset>231775</wp:posOffset>
            </wp:positionV>
            <wp:extent cx="1914525" cy="1824355"/>
            <wp:effectExtent l="0" t="0" r="9525" b="4445"/>
            <wp:wrapTopAndBottom/>
            <wp:docPr id="3" name="Picture 3" descr="Description: C:\Users\User\Desktop\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Desktop\4175_Institute_lar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1824355"/>
                    </a:xfrm>
                    <a:prstGeom prst="rect">
                      <a:avLst/>
                    </a:prstGeom>
                    <a:noFill/>
                    <a:ln>
                      <a:noFill/>
                    </a:ln>
                  </pic:spPr>
                </pic:pic>
              </a:graphicData>
            </a:graphic>
          </wp:anchor>
        </w:drawing>
      </w:r>
      <w:r w:rsidR="005B1241" w:rsidRPr="00AF3299">
        <w:rPr>
          <w:rFonts w:ascii="Times New Roman" w:hAnsi="Times New Roman"/>
        </w:rPr>
        <w:t xml:space="preserve">                                                         </w:t>
      </w:r>
    </w:p>
    <w:p w:rsidR="00FE63FA" w:rsidRPr="00AF3299" w:rsidRDefault="005B1241" w:rsidP="00AF3299">
      <w:pPr>
        <w:rPr>
          <w:rFonts w:ascii="Times New Roman" w:hAnsi="Times New Roman"/>
        </w:rPr>
      </w:pPr>
      <w:r w:rsidRPr="00AF3299">
        <w:rPr>
          <w:rFonts w:ascii="Times New Roman" w:hAnsi="Times New Roman"/>
        </w:rPr>
        <w:t xml:space="preserve">                                                             </w:t>
      </w:r>
    </w:p>
    <w:p w:rsidR="00A62C81" w:rsidRPr="00AF3299" w:rsidRDefault="00A62C81" w:rsidP="00AF3299">
      <w:pPr>
        <w:pStyle w:val="Default"/>
        <w:spacing w:line="276" w:lineRule="auto"/>
        <w:jc w:val="center"/>
        <w:rPr>
          <w:sz w:val="32"/>
          <w:szCs w:val="32"/>
        </w:rPr>
      </w:pPr>
      <w:r w:rsidRPr="00AF3299">
        <w:rPr>
          <w:b/>
          <w:bCs/>
          <w:i/>
          <w:iCs/>
          <w:sz w:val="32"/>
          <w:szCs w:val="32"/>
        </w:rPr>
        <w:t>Prepared For</w:t>
      </w:r>
    </w:p>
    <w:p w:rsidR="00A62C81" w:rsidRPr="00AF3299" w:rsidRDefault="00A62C81" w:rsidP="00AF3299">
      <w:pPr>
        <w:autoSpaceDE w:val="0"/>
        <w:autoSpaceDN w:val="0"/>
        <w:adjustRightInd w:val="0"/>
        <w:spacing w:after="0"/>
        <w:jc w:val="center"/>
        <w:rPr>
          <w:rFonts w:ascii="Times New Roman" w:hAnsi="Times New Roman"/>
          <w:color w:val="000000"/>
          <w:sz w:val="23"/>
          <w:szCs w:val="23"/>
        </w:rPr>
      </w:pPr>
      <w:r w:rsidRPr="00AF3299">
        <w:rPr>
          <w:rFonts w:ascii="Times New Roman" w:hAnsi="Times New Roman"/>
          <w:bCs/>
          <w:iCs/>
          <w:color w:val="000000"/>
          <w:sz w:val="23"/>
          <w:szCs w:val="23"/>
        </w:rPr>
        <w:t>Muhammad Enamul Haque</w:t>
      </w:r>
    </w:p>
    <w:p w:rsidR="00A62C81" w:rsidRPr="00AF3299" w:rsidRDefault="00A62C81" w:rsidP="00AF3299">
      <w:pPr>
        <w:autoSpaceDE w:val="0"/>
        <w:autoSpaceDN w:val="0"/>
        <w:adjustRightInd w:val="0"/>
        <w:spacing w:after="0"/>
        <w:jc w:val="center"/>
        <w:rPr>
          <w:rFonts w:ascii="Times New Roman" w:hAnsi="Times New Roman"/>
          <w:color w:val="000000"/>
          <w:sz w:val="23"/>
          <w:szCs w:val="23"/>
        </w:rPr>
      </w:pPr>
      <w:r w:rsidRPr="00AF3299">
        <w:rPr>
          <w:rFonts w:ascii="Times New Roman" w:hAnsi="Times New Roman"/>
          <w:bCs/>
          <w:iCs/>
          <w:color w:val="000000"/>
          <w:sz w:val="23"/>
          <w:szCs w:val="23"/>
        </w:rPr>
        <w:t>Assistant Professor, Finance</w:t>
      </w:r>
    </w:p>
    <w:p w:rsidR="00A62C81" w:rsidRPr="00AF3299" w:rsidRDefault="00A62C81" w:rsidP="00AF3299">
      <w:pPr>
        <w:autoSpaceDE w:val="0"/>
        <w:autoSpaceDN w:val="0"/>
        <w:adjustRightInd w:val="0"/>
        <w:spacing w:after="0"/>
        <w:jc w:val="center"/>
        <w:rPr>
          <w:rFonts w:ascii="Times New Roman" w:hAnsi="Times New Roman"/>
          <w:color w:val="000000"/>
          <w:sz w:val="23"/>
          <w:szCs w:val="23"/>
        </w:rPr>
      </w:pPr>
      <w:r w:rsidRPr="00AF3299">
        <w:rPr>
          <w:rFonts w:ascii="Times New Roman" w:hAnsi="Times New Roman"/>
          <w:bCs/>
          <w:iCs/>
          <w:color w:val="000000"/>
          <w:sz w:val="23"/>
          <w:szCs w:val="23"/>
        </w:rPr>
        <w:t>School of Business &amp; Economics</w:t>
      </w:r>
    </w:p>
    <w:p w:rsidR="00A62C81" w:rsidRPr="00AF3299" w:rsidRDefault="00A62C81" w:rsidP="00AF3299">
      <w:pPr>
        <w:jc w:val="center"/>
        <w:rPr>
          <w:rFonts w:ascii="Times New Roman" w:hAnsi="Times New Roman"/>
          <w:bCs/>
          <w:iCs/>
          <w:color w:val="000000"/>
          <w:sz w:val="23"/>
          <w:szCs w:val="23"/>
        </w:rPr>
      </w:pPr>
      <w:r w:rsidRPr="00AF3299">
        <w:rPr>
          <w:rFonts w:ascii="Times New Roman" w:hAnsi="Times New Roman"/>
          <w:bCs/>
          <w:iCs/>
          <w:color w:val="000000"/>
          <w:sz w:val="23"/>
          <w:szCs w:val="23"/>
        </w:rPr>
        <w:t>United International University</w:t>
      </w:r>
    </w:p>
    <w:p w:rsidR="00A62C81" w:rsidRPr="00AF3299" w:rsidRDefault="00A62C81" w:rsidP="00AF3299">
      <w:pPr>
        <w:jc w:val="center"/>
        <w:rPr>
          <w:rFonts w:ascii="Times New Roman" w:hAnsi="Times New Roman"/>
          <w:bCs/>
          <w:iCs/>
          <w:color w:val="000000"/>
          <w:sz w:val="23"/>
          <w:szCs w:val="23"/>
        </w:rPr>
      </w:pPr>
    </w:p>
    <w:p w:rsidR="00A62C81" w:rsidRPr="00AF3299" w:rsidRDefault="00A62C81" w:rsidP="00AF3299">
      <w:pPr>
        <w:autoSpaceDE w:val="0"/>
        <w:autoSpaceDN w:val="0"/>
        <w:adjustRightInd w:val="0"/>
        <w:spacing w:after="0"/>
        <w:jc w:val="center"/>
        <w:rPr>
          <w:rFonts w:ascii="Times New Roman" w:hAnsi="Times New Roman"/>
          <w:color w:val="000000"/>
          <w:sz w:val="32"/>
          <w:szCs w:val="32"/>
        </w:rPr>
      </w:pPr>
      <w:r w:rsidRPr="00AF3299">
        <w:rPr>
          <w:rFonts w:ascii="Times New Roman" w:hAnsi="Times New Roman"/>
          <w:b/>
          <w:bCs/>
          <w:i/>
          <w:iCs/>
          <w:color w:val="000000"/>
          <w:sz w:val="32"/>
          <w:szCs w:val="32"/>
        </w:rPr>
        <w:t>Prepared By</w:t>
      </w:r>
    </w:p>
    <w:p w:rsidR="00A62C81" w:rsidRPr="00AF3299" w:rsidRDefault="00A62C81" w:rsidP="00AF3299">
      <w:pPr>
        <w:pStyle w:val="Default"/>
        <w:spacing w:line="276" w:lineRule="auto"/>
        <w:jc w:val="center"/>
        <w:rPr>
          <w:sz w:val="23"/>
          <w:szCs w:val="23"/>
        </w:rPr>
      </w:pPr>
      <w:r w:rsidRPr="00AF3299">
        <w:rPr>
          <w:bCs/>
          <w:iCs/>
          <w:sz w:val="23"/>
          <w:szCs w:val="23"/>
        </w:rPr>
        <w:t>Tanzila Tasnim</w:t>
      </w:r>
    </w:p>
    <w:p w:rsidR="00A62C81" w:rsidRPr="00AF3299" w:rsidRDefault="00A62C81" w:rsidP="00AF3299">
      <w:pPr>
        <w:autoSpaceDE w:val="0"/>
        <w:autoSpaceDN w:val="0"/>
        <w:adjustRightInd w:val="0"/>
        <w:spacing w:after="0"/>
        <w:jc w:val="center"/>
        <w:rPr>
          <w:rFonts w:ascii="Times New Roman" w:hAnsi="Times New Roman"/>
          <w:color w:val="000000"/>
          <w:sz w:val="23"/>
          <w:szCs w:val="23"/>
        </w:rPr>
      </w:pPr>
      <w:r w:rsidRPr="00AF3299">
        <w:rPr>
          <w:rFonts w:ascii="Times New Roman" w:hAnsi="Times New Roman"/>
          <w:bCs/>
          <w:iCs/>
          <w:color w:val="000000"/>
          <w:sz w:val="23"/>
          <w:szCs w:val="23"/>
        </w:rPr>
        <w:t>ID: 111</w:t>
      </w:r>
      <w:r w:rsidR="001B3EB1" w:rsidRPr="00AF3299">
        <w:rPr>
          <w:rFonts w:ascii="Times New Roman" w:hAnsi="Times New Roman"/>
          <w:bCs/>
          <w:iCs/>
          <w:color w:val="000000"/>
          <w:sz w:val="23"/>
          <w:szCs w:val="23"/>
        </w:rPr>
        <w:t xml:space="preserve"> 141 2</w:t>
      </w:r>
      <w:r w:rsidRPr="00AF3299">
        <w:rPr>
          <w:rFonts w:ascii="Times New Roman" w:hAnsi="Times New Roman"/>
          <w:bCs/>
          <w:iCs/>
          <w:color w:val="000000"/>
          <w:sz w:val="23"/>
          <w:szCs w:val="23"/>
        </w:rPr>
        <w:t>84</w:t>
      </w:r>
    </w:p>
    <w:p w:rsidR="00A62C81" w:rsidRPr="00AF3299" w:rsidRDefault="00A62C81" w:rsidP="00AF3299">
      <w:pPr>
        <w:autoSpaceDE w:val="0"/>
        <w:autoSpaceDN w:val="0"/>
        <w:adjustRightInd w:val="0"/>
        <w:spacing w:after="0"/>
        <w:jc w:val="center"/>
        <w:rPr>
          <w:rFonts w:ascii="Times New Roman" w:hAnsi="Times New Roman"/>
          <w:color w:val="000000"/>
          <w:sz w:val="23"/>
          <w:szCs w:val="23"/>
        </w:rPr>
      </w:pPr>
      <w:r w:rsidRPr="00AF3299">
        <w:rPr>
          <w:rFonts w:ascii="Times New Roman" w:hAnsi="Times New Roman"/>
          <w:bCs/>
          <w:iCs/>
          <w:color w:val="000000"/>
          <w:sz w:val="23"/>
          <w:szCs w:val="23"/>
        </w:rPr>
        <w:t>BBA Program</w:t>
      </w:r>
    </w:p>
    <w:p w:rsidR="00A62C81" w:rsidRPr="00AF3299" w:rsidRDefault="00A62C81" w:rsidP="00AF3299">
      <w:pPr>
        <w:jc w:val="center"/>
        <w:rPr>
          <w:rFonts w:ascii="Times New Roman" w:hAnsi="Times New Roman"/>
          <w:color w:val="000000"/>
          <w:sz w:val="23"/>
          <w:szCs w:val="23"/>
        </w:rPr>
      </w:pPr>
      <w:r w:rsidRPr="00AF3299">
        <w:rPr>
          <w:rFonts w:ascii="Times New Roman" w:hAnsi="Times New Roman"/>
          <w:color w:val="000000"/>
          <w:sz w:val="23"/>
          <w:szCs w:val="23"/>
        </w:rPr>
        <w:t>Major: Finance</w:t>
      </w:r>
    </w:p>
    <w:p w:rsidR="00B55D08" w:rsidRPr="00AF3299" w:rsidRDefault="00B55D08" w:rsidP="00AF3299">
      <w:pPr>
        <w:jc w:val="center"/>
        <w:rPr>
          <w:rFonts w:ascii="Times New Roman" w:hAnsi="Times New Roman"/>
          <w:color w:val="000000"/>
          <w:sz w:val="23"/>
          <w:szCs w:val="23"/>
        </w:rPr>
      </w:pPr>
    </w:p>
    <w:p w:rsidR="00685350" w:rsidRPr="00AF3299" w:rsidRDefault="00685350" w:rsidP="00AF3299">
      <w:pPr>
        <w:jc w:val="center"/>
        <w:rPr>
          <w:rFonts w:ascii="Times New Roman" w:hAnsi="Times New Roman"/>
        </w:rPr>
      </w:pPr>
      <w:r w:rsidRPr="00AF3299">
        <w:rPr>
          <w:rFonts w:ascii="Times New Roman" w:hAnsi="Times New Roman"/>
          <w:b/>
          <w:bCs/>
          <w:i/>
          <w:iCs/>
          <w:sz w:val="36"/>
          <w:szCs w:val="36"/>
        </w:rPr>
        <w:t xml:space="preserve">Date of Submission: </w:t>
      </w:r>
      <w:r w:rsidR="001B3EB1" w:rsidRPr="00AF3299">
        <w:rPr>
          <w:rFonts w:ascii="Times New Roman" w:hAnsi="Times New Roman"/>
          <w:b/>
          <w:bCs/>
          <w:i/>
          <w:iCs/>
          <w:sz w:val="36"/>
          <w:szCs w:val="36"/>
        </w:rPr>
        <w:t>2</w:t>
      </w:r>
      <w:r w:rsidR="001B3EB1" w:rsidRPr="00AF3299">
        <w:rPr>
          <w:rFonts w:ascii="Times New Roman" w:hAnsi="Times New Roman"/>
          <w:b/>
          <w:bCs/>
          <w:i/>
          <w:iCs/>
          <w:sz w:val="36"/>
          <w:szCs w:val="36"/>
          <w:vertAlign w:val="superscript"/>
        </w:rPr>
        <w:t>nd</w:t>
      </w:r>
      <w:r w:rsidR="001B3EB1" w:rsidRPr="00AF3299">
        <w:rPr>
          <w:rFonts w:ascii="Times New Roman" w:hAnsi="Times New Roman"/>
          <w:b/>
          <w:bCs/>
          <w:i/>
          <w:iCs/>
          <w:sz w:val="36"/>
          <w:szCs w:val="36"/>
        </w:rPr>
        <w:t xml:space="preserve"> </w:t>
      </w:r>
      <w:r w:rsidR="00E61EFB">
        <w:rPr>
          <w:rFonts w:ascii="Times New Roman" w:hAnsi="Times New Roman"/>
          <w:b/>
          <w:bCs/>
          <w:i/>
          <w:iCs/>
          <w:sz w:val="36"/>
          <w:szCs w:val="36"/>
        </w:rPr>
        <w:t>October</w:t>
      </w:r>
      <w:bookmarkStart w:id="0" w:name="_GoBack"/>
      <w:bookmarkEnd w:id="0"/>
      <w:r w:rsidR="00446754" w:rsidRPr="00AF3299">
        <w:rPr>
          <w:rFonts w:ascii="Times New Roman" w:hAnsi="Times New Roman"/>
          <w:b/>
          <w:bCs/>
          <w:i/>
          <w:iCs/>
          <w:sz w:val="36"/>
          <w:szCs w:val="36"/>
        </w:rPr>
        <w:t xml:space="preserve">, </w:t>
      </w:r>
      <w:r w:rsidRPr="00AF3299">
        <w:rPr>
          <w:rFonts w:ascii="Times New Roman" w:hAnsi="Times New Roman"/>
          <w:b/>
          <w:bCs/>
          <w:i/>
          <w:iCs/>
          <w:sz w:val="36"/>
          <w:szCs w:val="36"/>
        </w:rPr>
        <w:t>2018</w:t>
      </w:r>
    </w:p>
    <w:p w:rsidR="00A121CD" w:rsidRPr="00AF3299" w:rsidRDefault="00DB48A7" w:rsidP="00AF3299">
      <w:pPr>
        <w:autoSpaceDE w:val="0"/>
        <w:autoSpaceDN w:val="0"/>
        <w:adjustRightInd w:val="0"/>
        <w:spacing w:after="0"/>
        <w:rPr>
          <w:rFonts w:ascii="Times New Roman" w:hAnsi="Times New Roman"/>
          <w:b/>
          <w:bCs/>
          <w:i/>
          <w:iCs/>
          <w:sz w:val="36"/>
          <w:szCs w:val="36"/>
        </w:rPr>
      </w:pPr>
      <w:r w:rsidRPr="00AF3299">
        <w:rPr>
          <w:rFonts w:ascii="Times New Roman" w:hAnsi="Times New Roman"/>
          <w:b/>
          <w:bCs/>
          <w:i/>
          <w:iCs/>
          <w:sz w:val="36"/>
          <w:szCs w:val="36"/>
        </w:rPr>
        <w:t xml:space="preserve">                              </w:t>
      </w: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A121CD" w:rsidRPr="00AF3299" w:rsidRDefault="00A121CD" w:rsidP="00AF3299">
      <w:pPr>
        <w:autoSpaceDE w:val="0"/>
        <w:autoSpaceDN w:val="0"/>
        <w:adjustRightInd w:val="0"/>
        <w:spacing w:after="0"/>
        <w:rPr>
          <w:rFonts w:ascii="Times New Roman" w:hAnsi="Times New Roman"/>
          <w:b/>
          <w:bCs/>
          <w:i/>
          <w:iCs/>
          <w:sz w:val="36"/>
          <w:szCs w:val="36"/>
        </w:rPr>
      </w:pPr>
    </w:p>
    <w:p w:rsidR="001B3EB1" w:rsidRPr="00AF3299" w:rsidRDefault="001B3EB1" w:rsidP="00AF3299">
      <w:pPr>
        <w:autoSpaceDE w:val="0"/>
        <w:autoSpaceDN w:val="0"/>
        <w:adjustRightInd w:val="0"/>
        <w:spacing w:after="0"/>
        <w:rPr>
          <w:rFonts w:ascii="Times New Roman" w:hAnsi="Times New Roman"/>
          <w:b/>
          <w:bCs/>
          <w:i/>
          <w:iCs/>
          <w:sz w:val="36"/>
          <w:szCs w:val="36"/>
        </w:rPr>
      </w:pPr>
    </w:p>
    <w:p w:rsidR="00DB48A7" w:rsidRPr="00AF3299" w:rsidRDefault="00DB48A7" w:rsidP="00AF3299">
      <w:pPr>
        <w:autoSpaceDE w:val="0"/>
        <w:autoSpaceDN w:val="0"/>
        <w:adjustRightInd w:val="0"/>
        <w:spacing w:after="0"/>
        <w:rPr>
          <w:rFonts w:ascii="Times New Roman" w:hAnsi="Times New Roman"/>
          <w:b/>
          <w:bCs/>
          <w:iCs/>
          <w:sz w:val="40"/>
          <w:szCs w:val="36"/>
        </w:rPr>
      </w:pPr>
      <w:r w:rsidRPr="00AF3299">
        <w:rPr>
          <w:rFonts w:ascii="Times New Roman" w:hAnsi="Times New Roman"/>
          <w:b/>
          <w:bCs/>
          <w:i/>
          <w:iCs/>
          <w:sz w:val="36"/>
          <w:szCs w:val="36"/>
        </w:rPr>
        <w:t xml:space="preserve"> </w:t>
      </w:r>
      <w:r w:rsidRPr="00AF3299">
        <w:rPr>
          <w:rFonts w:ascii="Times New Roman" w:hAnsi="Times New Roman"/>
          <w:b/>
          <w:bCs/>
          <w:iCs/>
          <w:sz w:val="40"/>
          <w:szCs w:val="36"/>
        </w:rPr>
        <w:t xml:space="preserve">Letter Of Endorsement </w:t>
      </w:r>
    </w:p>
    <w:p w:rsidR="00DB48A7" w:rsidRPr="00AF3299" w:rsidRDefault="00DB48A7" w:rsidP="00AF3299">
      <w:pPr>
        <w:autoSpaceDE w:val="0"/>
        <w:autoSpaceDN w:val="0"/>
        <w:adjustRightInd w:val="0"/>
        <w:spacing w:after="0"/>
        <w:rPr>
          <w:rFonts w:ascii="Times New Roman" w:hAnsi="Times New Roman"/>
          <w:b/>
          <w:bCs/>
          <w:iCs/>
          <w:sz w:val="40"/>
          <w:szCs w:val="36"/>
        </w:rPr>
      </w:pPr>
    </w:p>
    <w:p w:rsidR="00DB48A7" w:rsidRPr="00AF3299" w:rsidRDefault="00DB48A7" w:rsidP="00AF3299">
      <w:pPr>
        <w:autoSpaceDE w:val="0"/>
        <w:autoSpaceDN w:val="0"/>
        <w:adjustRightInd w:val="0"/>
        <w:spacing w:after="0"/>
        <w:rPr>
          <w:rFonts w:ascii="Times New Roman" w:hAnsi="Times New Roman"/>
          <w:sz w:val="36"/>
          <w:szCs w:val="36"/>
        </w:rPr>
      </w:pPr>
    </w:p>
    <w:p w:rsidR="00DB48A7" w:rsidRPr="00AF3299" w:rsidRDefault="00DB48A7" w:rsidP="00AF3299">
      <w:pPr>
        <w:autoSpaceDE w:val="0"/>
        <w:autoSpaceDN w:val="0"/>
        <w:adjustRightInd w:val="0"/>
        <w:spacing w:after="0"/>
        <w:jc w:val="both"/>
        <w:rPr>
          <w:rFonts w:ascii="Times New Roman" w:hAnsi="Times New Roman"/>
          <w:sz w:val="24"/>
          <w:szCs w:val="28"/>
        </w:rPr>
      </w:pPr>
      <w:r w:rsidRPr="00AF3299">
        <w:rPr>
          <w:rFonts w:ascii="Times New Roman" w:hAnsi="Times New Roman"/>
          <w:sz w:val="24"/>
          <w:szCs w:val="28"/>
        </w:rPr>
        <w:t xml:space="preserve">This is to certify that the Internship Report on </w:t>
      </w:r>
      <w:r w:rsidRPr="00AF3299">
        <w:rPr>
          <w:rFonts w:ascii="Times New Roman" w:hAnsi="Times New Roman"/>
          <w:b/>
          <w:bCs/>
          <w:sz w:val="24"/>
          <w:szCs w:val="28"/>
        </w:rPr>
        <w:t>“</w:t>
      </w:r>
      <w:r w:rsidR="006E4E08">
        <w:rPr>
          <w:rFonts w:ascii="Times New Roman" w:hAnsi="Times New Roman"/>
          <w:b/>
          <w:bCs/>
          <w:i/>
          <w:iCs/>
          <w:sz w:val="24"/>
          <w:szCs w:val="28"/>
        </w:rPr>
        <w:t xml:space="preserve">Analysis </w:t>
      </w:r>
      <w:r w:rsidRPr="00AF3299">
        <w:rPr>
          <w:rFonts w:ascii="Times New Roman" w:hAnsi="Times New Roman"/>
          <w:b/>
          <w:bCs/>
          <w:i/>
          <w:iCs/>
          <w:sz w:val="24"/>
          <w:szCs w:val="28"/>
        </w:rPr>
        <w:t>of Investment in Fin</w:t>
      </w:r>
      <w:r w:rsidR="006E4E08">
        <w:rPr>
          <w:rFonts w:ascii="Times New Roman" w:hAnsi="Times New Roman"/>
          <w:b/>
          <w:bCs/>
          <w:i/>
          <w:iCs/>
          <w:sz w:val="24"/>
          <w:szCs w:val="28"/>
        </w:rPr>
        <w:t>ancial Assets: A Case Study of t</w:t>
      </w:r>
      <w:r w:rsidRPr="00AF3299">
        <w:rPr>
          <w:rFonts w:ascii="Times New Roman" w:hAnsi="Times New Roman"/>
          <w:b/>
          <w:bCs/>
          <w:i/>
          <w:iCs/>
          <w:sz w:val="24"/>
          <w:szCs w:val="28"/>
        </w:rPr>
        <w:t xml:space="preserve">he BRAC Bank Limited” </w:t>
      </w:r>
      <w:r w:rsidRPr="00AF3299">
        <w:rPr>
          <w:rFonts w:ascii="Times New Roman" w:hAnsi="Times New Roman"/>
          <w:sz w:val="24"/>
          <w:szCs w:val="28"/>
        </w:rPr>
        <w:t>in the bona fide record at the report is done by Tanzila Tasnim</w:t>
      </w:r>
      <w:r w:rsidR="001B3EB1" w:rsidRPr="00AF3299">
        <w:rPr>
          <w:rFonts w:ascii="Times New Roman" w:hAnsi="Times New Roman"/>
          <w:sz w:val="24"/>
          <w:szCs w:val="28"/>
        </w:rPr>
        <w:t>,</w:t>
      </w:r>
      <w:r w:rsidRPr="00AF3299">
        <w:rPr>
          <w:rFonts w:ascii="Times New Roman" w:hAnsi="Times New Roman"/>
          <w:sz w:val="24"/>
          <w:szCs w:val="28"/>
        </w:rPr>
        <w:t xml:space="preserve"> ID #111141284 as a partial fulfillment of the requirement for the degree of Bachelor of Business Administration (BBA), Major in Finance on </w:t>
      </w:r>
      <w:r w:rsidR="001B3EB1" w:rsidRPr="00AF3299">
        <w:rPr>
          <w:rFonts w:ascii="Times New Roman" w:hAnsi="Times New Roman"/>
          <w:sz w:val="24"/>
          <w:szCs w:val="28"/>
        </w:rPr>
        <w:t>September 2</w:t>
      </w:r>
      <w:r w:rsidRPr="00AF3299">
        <w:rPr>
          <w:rFonts w:ascii="Times New Roman" w:hAnsi="Times New Roman"/>
          <w:sz w:val="24"/>
          <w:szCs w:val="28"/>
        </w:rPr>
        <w:t xml:space="preserve">, 2018 from the United International University (School of Business &amp; Economics). </w:t>
      </w:r>
    </w:p>
    <w:p w:rsidR="00DB48A7" w:rsidRPr="00AF3299" w:rsidRDefault="00DB48A7" w:rsidP="00AF3299">
      <w:pPr>
        <w:autoSpaceDE w:val="0"/>
        <w:autoSpaceDN w:val="0"/>
        <w:adjustRightInd w:val="0"/>
        <w:spacing w:after="0"/>
        <w:jc w:val="both"/>
        <w:rPr>
          <w:rFonts w:ascii="Times New Roman" w:hAnsi="Times New Roman"/>
          <w:sz w:val="24"/>
          <w:szCs w:val="28"/>
        </w:rPr>
      </w:pPr>
    </w:p>
    <w:p w:rsidR="00DB48A7" w:rsidRPr="00AF3299" w:rsidRDefault="00DB48A7" w:rsidP="00AF3299">
      <w:pPr>
        <w:autoSpaceDE w:val="0"/>
        <w:autoSpaceDN w:val="0"/>
        <w:adjustRightInd w:val="0"/>
        <w:spacing w:after="0"/>
        <w:jc w:val="both"/>
        <w:rPr>
          <w:rFonts w:ascii="Times New Roman" w:hAnsi="Times New Roman"/>
          <w:sz w:val="24"/>
          <w:szCs w:val="28"/>
        </w:rPr>
      </w:pPr>
      <w:r w:rsidRPr="00AF3299">
        <w:rPr>
          <w:rFonts w:ascii="Times New Roman" w:hAnsi="Times New Roman"/>
          <w:sz w:val="24"/>
          <w:szCs w:val="28"/>
        </w:rPr>
        <w:t xml:space="preserve">The Report has been prepared under my guidance and is a record of the bona fide work carried out successfully. </w:t>
      </w:r>
    </w:p>
    <w:p w:rsidR="00DB48A7" w:rsidRPr="00AF3299" w:rsidRDefault="00DB48A7" w:rsidP="00AF3299">
      <w:pPr>
        <w:autoSpaceDE w:val="0"/>
        <w:autoSpaceDN w:val="0"/>
        <w:adjustRightInd w:val="0"/>
        <w:spacing w:after="0"/>
        <w:rPr>
          <w:rFonts w:ascii="Times New Roman" w:hAnsi="Times New Roman"/>
          <w:sz w:val="28"/>
          <w:szCs w:val="28"/>
        </w:rPr>
      </w:pPr>
    </w:p>
    <w:p w:rsidR="00DB48A7" w:rsidRPr="00AF3299" w:rsidRDefault="00DB48A7" w:rsidP="00AF3299">
      <w:pPr>
        <w:autoSpaceDE w:val="0"/>
        <w:autoSpaceDN w:val="0"/>
        <w:adjustRightInd w:val="0"/>
        <w:spacing w:after="0"/>
        <w:rPr>
          <w:rFonts w:ascii="Times New Roman" w:hAnsi="Times New Roman"/>
          <w:sz w:val="28"/>
          <w:szCs w:val="28"/>
        </w:rPr>
      </w:pPr>
    </w:p>
    <w:p w:rsidR="00DB48A7" w:rsidRPr="00AF3299" w:rsidRDefault="00DB48A7" w:rsidP="00AF3299">
      <w:pPr>
        <w:autoSpaceDE w:val="0"/>
        <w:autoSpaceDN w:val="0"/>
        <w:adjustRightInd w:val="0"/>
        <w:spacing w:after="0"/>
        <w:rPr>
          <w:rFonts w:ascii="Times New Roman" w:hAnsi="Times New Roman"/>
          <w:sz w:val="28"/>
          <w:szCs w:val="28"/>
        </w:rPr>
      </w:pPr>
    </w:p>
    <w:p w:rsidR="00DB48A7" w:rsidRPr="00AF3299" w:rsidRDefault="00DB48A7" w:rsidP="00AF3299">
      <w:pPr>
        <w:autoSpaceDE w:val="0"/>
        <w:autoSpaceDN w:val="0"/>
        <w:adjustRightInd w:val="0"/>
        <w:spacing w:after="0"/>
        <w:rPr>
          <w:rFonts w:ascii="Times New Roman" w:hAnsi="Times New Roman"/>
        </w:rPr>
      </w:pPr>
      <w:r w:rsidRPr="00AF3299">
        <w:rPr>
          <w:rFonts w:ascii="Times New Roman" w:hAnsi="Times New Roman"/>
        </w:rPr>
        <w:t xml:space="preserve">...................................... </w:t>
      </w:r>
    </w:p>
    <w:p w:rsidR="001B3EB1" w:rsidRPr="00AF3299" w:rsidRDefault="001B3EB1" w:rsidP="00AF3299">
      <w:pPr>
        <w:autoSpaceDE w:val="0"/>
        <w:autoSpaceDN w:val="0"/>
        <w:adjustRightInd w:val="0"/>
        <w:spacing w:after="0"/>
        <w:rPr>
          <w:rFonts w:ascii="Times New Roman" w:hAnsi="Times New Roman"/>
        </w:rPr>
      </w:pPr>
      <w:r w:rsidRPr="00AF3299">
        <w:rPr>
          <w:rFonts w:ascii="Times New Roman" w:hAnsi="Times New Roman"/>
        </w:rPr>
        <w:t xml:space="preserve">Signature </w:t>
      </w:r>
    </w:p>
    <w:p w:rsidR="001B3EB1" w:rsidRPr="00AF3299" w:rsidRDefault="00DB48A7" w:rsidP="00AF3299">
      <w:pPr>
        <w:autoSpaceDE w:val="0"/>
        <w:autoSpaceDN w:val="0"/>
        <w:adjustRightInd w:val="0"/>
        <w:spacing w:after="0"/>
        <w:rPr>
          <w:rFonts w:ascii="Times New Roman" w:hAnsi="Times New Roman"/>
        </w:rPr>
      </w:pPr>
      <w:r w:rsidRPr="00AF3299">
        <w:rPr>
          <w:rFonts w:ascii="Times New Roman" w:hAnsi="Times New Roman"/>
          <w:i/>
          <w:iCs/>
        </w:rPr>
        <w:t xml:space="preserve">Muhammad Enamul Haque </w:t>
      </w:r>
    </w:p>
    <w:p w:rsidR="00DB48A7" w:rsidRPr="00AF3299" w:rsidRDefault="00DB48A7" w:rsidP="00AF3299">
      <w:pPr>
        <w:autoSpaceDE w:val="0"/>
        <w:autoSpaceDN w:val="0"/>
        <w:adjustRightInd w:val="0"/>
        <w:spacing w:after="0"/>
        <w:rPr>
          <w:rFonts w:ascii="Times New Roman" w:hAnsi="Times New Roman"/>
        </w:rPr>
      </w:pPr>
      <w:r w:rsidRPr="00AF3299">
        <w:rPr>
          <w:rFonts w:ascii="Times New Roman" w:hAnsi="Times New Roman"/>
          <w:i/>
          <w:iCs/>
        </w:rPr>
        <w:t xml:space="preserve">Assistant Professor, Finance </w:t>
      </w:r>
    </w:p>
    <w:p w:rsidR="00DB48A7" w:rsidRPr="00AF3299" w:rsidRDefault="00DB48A7" w:rsidP="00AF3299">
      <w:pPr>
        <w:autoSpaceDE w:val="0"/>
        <w:autoSpaceDN w:val="0"/>
        <w:adjustRightInd w:val="0"/>
        <w:spacing w:after="0"/>
        <w:rPr>
          <w:rFonts w:ascii="Times New Roman" w:hAnsi="Times New Roman"/>
        </w:rPr>
      </w:pPr>
      <w:r w:rsidRPr="00AF3299">
        <w:rPr>
          <w:rFonts w:ascii="Times New Roman" w:hAnsi="Times New Roman"/>
          <w:i/>
          <w:iCs/>
        </w:rPr>
        <w:t xml:space="preserve">School of Business &amp; Economics </w:t>
      </w:r>
    </w:p>
    <w:p w:rsidR="00FE63FA" w:rsidRPr="00AF3299" w:rsidRDefault="00DB48A7" w:rsidP="00AF3299">
      <w:pPr>
        <w:rPr>
          <w:rFonts w:ascii="Times New Roman" w:hAnsi="Times New Roman"/>
        </w:rPr>
      </w:pPr>
      <w:r w:rsidRPr="00AF3299">
        <w:rPr>
          <w:rFonts w:ascii="Times New Roman" w:hAnsi="Times New Roman"/>
          <w:i/>
          <w:iCs/>
        </w:rPr>
        <w:t>United International University</w:t>
      </w:r>
    </w:p>
    <w:p w:rsidR="00FE63FA" w:rsidRPr="00AF3299" w:rsidRDefault="00FE63FA" w:rsidP="00AF3299">
      <w:pPr>
        <w:rPr>
          <w:rFonts w:ascii="Times New Roman" w:hAnsi="Times New Roman"/>
        </w:rPr>
      </w:pPr>
    </w:p>
    <w:p w:rsidR="00FE63FA" w:rsidRPr="00AF3299" w:rsidRDefault="00FE63FA" w:rsidP="00AF3299">
      <w:pPr>
        <w:rPr>
          <w:rFonts w:ascii="Times New Roman" w:hAnsi="Times New Roman"/>
        </w:rPr>
      </w:pPr>
    </w:p>
    <w:p w:rsidR="00FE63FA" w:rsidRPr="00AF3299" w:rsidRDefault="00FE63FA" w:rsidP="00AF3299">
      <w:pPr>
        <w:rPr>
          <w:rFonts w:ascii="Times New Roman" w:hAnsi="Times New Roman"/>
        </w:rPr>
      </w:pPr>
    </w:p>
    <w:p w:rsidR="00FE63FA" w:rsidRPr="00AF3299" w:rsidRDefault="00FE63FA" w:rsidP="00AF3299">
      <w:pPr>
        <w:rPr>
          <w:rFonts w:ascii="Times New Roman" w:hAnsi="Times New Roman"/>
        </w:rPr>
      </w:pP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A121CD" w:rsidRPr="00AF3299" w:rsidRDefault="00A121CD" w:rsidP="00AF3299">
      <w:pPr>
        <w:autoSpaceDE w:val="0"/>
        <w:autoSpaceDN w:val="0"/>
        <w:adjustRightInd w:val="0"/>
        <w:spacing w:after="0"/>
        <w:jc w:val="both"/>
        <w:rPr>
          <w:rFonts w:ascii="Times New Roman" w:hAnsi="Times New Roman"/>
        </w:rPr>
      </w:pPr>
    </w:p>
    <w:p w:rsidR="00AF3299" w:rsidRPr="00AF3299" w:rsidRDefault="00AF3299" w:rsidP="00AF3299">
      <w:pPr>
        <w:autoSpaceDE w:val="0"/>
        <w:autoSpaceDN w:val="0"/>
        <w:adjustRightInd w:val="0"/>
        <w:spacing w:after="0"/>
        <w:jc w:val="both"/>
        <w:rPr>
          <w:rFonts w:ascii="Times New Roman" w:hAnsi="Times New Roman"/>
          <w:sz w:val="28"/>
          <w:szCs w:val="28"/>
        </w:rPr>
      </w:pPr>
    </w:p>
    <w:p w:rsidR="00A121CD" w:rsidRPr="00AF3299" w:rsidRDefault="00A121CD" w:rsidP="00AF3299">
      <w:pPr>
        <w:autoSpaceDE w:val="0"/>
        <w:autoSpaceDN w:val="0"/>
        <w:adjustRightInd w:val="0"/>
        <w:spacing w:after="0"/>
        <w:jc w:val="both"/>
        <w:rPr>
          <w:rFonts w:ascii="Times New Roman" w:hAnsi="Times New Roman"/>
          <w:sz w:val="28"/>
          <w:szCs w:val="28"/>
        </w:rPr>
      </w:pPr>
    </w:p>
    <w:p w:rsidR="00FC7688" w:rsidRPr="00AF3299" w:rsidRDefault="001B3EB1" w:rsidP="00AF3299">
      <w:pPr>
        <w:autoSpaceDE w:val="0"/>
        <w:autoSpaceDN w:val="0"/>
        <w:adjustRightInd w:val="0"/>
        <w:spacing w:after="0"/>
        <w:jc w:val="both"/>
        <w:rPr>
          <w:rFonts w:ascii="Times New Roman" w:hAnsi="Times New Roman"/>
          <w:sz w:val="28"/>
          <w:szCs w:val="28"/>
        </w:rPr>
      </w:pPr>
      <w:r w:rsidRPr="00AF3299">
        <w:rPr>
          <w:rFonts w:ascii="Times New Roman" w:hAnsi="Times New Roman"/>
          <w:sz w:val="28"/>
          <w:szCs w:val="28"/>
        </w:rPr>
        <w:t>September 2</w:t>
      </w:r>
      <w:r w:rsidR="00230017" w:rsidRPr="00AF3299">
        <w:rPr>
          <w:rFonts w:ascii="Times New Roman" w:hAnsi="Times New Roman"/>
          <w:sz w:val="28"/>
          <w:szCs w:val="28"/>
        </w:rPr>
        <w:t>, 2018</w:t>
      </w:r>
    </w:p>
    <w:p w:rsidR="00230017" w:rsidRPr="00AF3299" w:rsidRDefault="00230017" w:rsidP="00AF3299">
      <w:pPr>
        <w:autoSpaceDE w:val="0"/>
        <w:autoSpaceDN w:val="0"/>
        <w:adjustRightInd w:val="0"/>
        <w:spacing w:after="0"/>
        <w:jc w:val="both"/>
        <w:rPr>
          <w:rFonts w:ascii="Times New Roman" w:hAnsi="Times New Roman"/>
          <w:color w:val="000000"/>
          <w:sz w:val="28"/>
          <w:szCs w:val="28"/>
        </w:rPr>
      </w:pPr>
    </w:p>
    <w:p w:rsidR="00FC7688" w:rsidRPr="00AF3299" w:rsidRDefault="00FC7688" w:rsidP="00AF3299">
      <w:pPr>
        <w:autoSpaceDE w:val="0"/>
        <w:autoSpaceDN w:val="0"/>
        <w:adjustRightInd w:val="0"/>
        <w:spacing w:after="0"/>
        <w:jc w:val="both"/>
        <w:rPr>
          <w:rFonts w:ascii="Times New Roman" w:hAnsi="Times New Roman"/>
          <w:color w:val="000000"/>
          <w:sz w:val="28"/>
          <w:szCs w:val="28"/>
        </w:rPr>
      </w:pPr>
      <w:r w:rsidRPr="00AF3299">
        <w:rPr>
          <w:rFonts w:ascii="Times New Roman" w:hAnsi="Times New Roman"/>
          <w:color w:val="000000"/>
          <w:sz w:val="28"/>
          <w:szCs w:val="28"/>
        </w:rPr>
        <w:t xml:space="preserve">Muhammad Enamul Haque </w:t>
      </w:r>
    </w:p>
    <w:p w:rsidR="00FC7688" w:rsidRPr="00AF3299" w:rsidRDefault="00FC7688" w:rsidP="00AF3299">
      <w:pPr>
        <w:autoSpaceDE w:val="0"/>
        <w:autoSpaceDN w:val="0"/>
        <w:adjustRightInd w:val="0"/>
        <w:spacing w:after="0"/>
        <w:jc w:val="both"/>
        <w:rPr>
          <w:rFonts w:ascii="Times New Roman" w:hAnsi="Times New Roman"/>
          <w:color w:val="000000"/>
          <w:sz w:val="28"/>
          <w:szCs w:val="28"/>
        </w:rPr>
      </w:pPr>
      <w:r w:rsidRPr="00AF3299">
        <w:rPr>
          <w:rFonts w:ascii="Times New Roman" w:hAnsi="Times New Roman"/>
          <w:color w:val="000000"/>
          <w:sz w:val="28"/>
          <w:szCs w:val="28"/>
        </w:rPr>
        <w:t xml:space="preserve">Assistant Professor, Finance </w:t>
      </w:r>
    </w:p>
    <w:p w:rsidR="00FC7688" w:rsidRPr="00AF3299" w:rsidRDefault="00FC7688" w:rsidP="00AF3299">
      <w:pPr>
        <w:autoSpaceDE w:val="0"/>
        <w:autoSpaceDN w:val="0"/>
        <w:adjustRightInd w:val="0"/>
        <w:spacing w:after="0"/>
        <w:jc w:val="both"/>
        <w:rPr>
          <w:rFonts w:ascii="Times New Roman" w:hAnsi="Times New Roman"/>
          <w:color w:val="000000"/>
          <w:sz w:val="28"/>
          <w:szCs w:val="28"/>
        </w:rPr>
      </w:pPr>
      <w:r w:rsidRPr="00AF3299">
        <w:rPr>
          <w:rFonts w:ascii="Times New Roman" w:hAnsi="Times New Roman"/>
          <w:color w:val="000000"/>
          <w:sz w:val="28"/>
          <w:szCs w:val="28"/>
        </w:rPr>
        <w:t xml:space="preserve">School of Business &amp; Economics </w:t>
      </w:r>
    </w:p>
    <w:p w:rsidR="00FC7688" w:rsidRPr="00AF3299" w:rsidRDefault="00FC7688" w:rsidP="00AF3299">
      <w:pPr>
        <w:autoSpaceDE w:val="0"/>
        <w:autoSpaceDN w:val="0"/>
        <w:adjustRightInd w:val="0"/>
        <w:spacing w:after="0"/>
        <w:jc w:val="both"/>
        <w:rPr>
          <w:rFonts w:ascii="Times New Roman" w:hAnsi="Times New Roman"/>
          <w:color w:val="000000"/>
          <w:sz w:val="28"/>
          <w:szCs w:val="28"/>
        </w:rPr>
      </w:pPr>
      <w:r w:rsidRPr="00AF3299">
        <w:rPr>
          <w:rFonts w:ascii="Times New Roman" w:hAnsi="Times New Roman"/>
          <w:color w:val="000000"/>
          <w:sz w:val="28"/>
          <w:szCs w:val="28"/>
        </w:rPr>
        <w:t xml:space="preserve">United International University </w:t>
      </w:r>
    </w:p>
    <w:p w:rsidR="00FC7688" w:rsidRPr="00AF3299" w:rsidRDefault="00FC7688" w:rsidP="00AF3299">
      <w:pPr>
        <w:autoSpaceDE w:val="0"/>
        <w:autoSpaceDN w:val="0"/>
        <w:adjustRightInd w:val="0"/>
        <w:spacing w:after="0"/>
        <w:jc w:val="both"/>
        <w:rPr>
          <w:rFonts w:ascii="Times New Roman" w:hAnsi="Times New Roman"/>
          <w:color w:val="000000"/>
          <w:sz w:val="28"/>
          <w:szCs w:val="28"/>
        </w:rPr>
      </w:pPr>
    </w:p>
    <w:p w:rsidR="00DB48A7" w:rsidRPr="00AF3299" w:rsidRDefault="00FC7688" w:rsidP="00AF3299">
      <w:pPr>
        <w:jc w:val="both"/>
        <w:rPr>
          <w:rFonts w:ascii="Times New Roman" w:hAnsi="Times New Roman"/>
          <w:b/>
          <w:bCs/>
          <w:color w:val="000000"/>
          <w:sz w:val="28"/>
          <w:szCs w:val="28"/>
        </w:rPr>
      </w:pPr>
      <w:r w:rsidRPr="00AF3299">
        <w:rPr>
          <w:rFonts w:ascii="Times New Roman" w:hAnsi="Times New Roman"/>
          <w:b/>
          <w:bCs/>
          <w:color w:val="000000"/>
          <w:sz w:val="28"/>
          <w:szCs w:val="28"/>
        </w:rPr>
        <w:t>Sub: Submission of Internship Report</w:t>
      </w:r>
    </w:p>
    <w:p w:rsidR="001B3EB1" w:rsidRPr="00AF3299" w:rsidRDefault="00FC7688" w:rsidP="00AF3299">
      <w:pPr>
        <w:autoSpaceDE w:val="0"/>
        <w:autoSpaceDN w:val="0"/>
        <w:adjustRightInd w:val="0"/>
        <w:spacing w:after="0"/>
        <w:jc w:val="both"/>
        <w:rPr>
          <w:rFonts w:ascii="Times New Roman" w:hAnsi="Times New Roman"/>
          <w:color w:val="000000"/>
          <w:sz w:val="24"/>
          <w:szCs w:val="24"/>
        </w:rPr>
      </w:pPr>
      <w:r w:rsidRPr="00AF3299">
        <w:rPr>
          <w:rFonts w:ascii="Times New Roman" w:hAnsi="Times New Roman"/>
          <w:color w:val="000000"/>
          <w:sz w:val="24"/>
          <w:szCs w:val="24"/>
        </w:rPr>
        <w:t>Dear Sir,</w:t>
      </w:r>
    </w:p>
    <w:p w:rsidR="00FC7688" w:rsidRPr="00AF3299" w:rsidRDefault="00FC7688" w:rsidP="00AF3299">
      <w:pPr>
        <w:autoSpaceDE w:val="0"/>
        <w:autoSpaceDN w:val="0"/>
        <w:adjustRightInd w:val="0"/>
        <w:spacing w:after="0"/>
        <w:jc w:val="both"/>
        <w:rPr>
          <w:rFonts w:ascii="Times New Roman" w:hAnsi="Times New Roman"/>
          <w:color w:val="000000"/>
          <w:sz w:val="24"/>
          <w:szCs w:val="24"/>
        </w:rPr>
      </w:pPr>
      <w:r w:rsidRPr="00AF3299">
        <w:rPr>
          <w:rFonts w:ascii="Times New Roman" w:hAnsi="Times New Roman"/>
          <w:color w:val="000000"/>
          <w:sz w:val="24"/>
          <w:szCs w:val="24"/>
        </w:rPr>
        <w:t xml:space="preserve"> </w:t>
      </w:r>
    </w:p>
    <w:p w:rsidR="00FC7688" w:rsidRPr="00AF3299" w:rsidRDefault="00FC7688" w:rsidP="00AF3299">
      <w:pPr>
        <w:jc w:val="both"/>
        <w:rPr>
          <w:rFonts w:ascii="Times New Roman" w:hAnsi="Times New Roman"/>
          <w:color w:val="000000"/>
          <w:sz w:val="24"/>
          <w:szCs w:val="24"/>
        </w:rPr>
      </w:pPr>
      <w:r w:rsidRPr="00AF3299">
        <w:rPr>
          <w:rFonts w:ascii="Times New Roman" w:hAnsi="Times New Roman"/>
          <w:color w:val="000000"/>
          <w:sz w:val="24"/>
          <w:szCs w:val="24"/>
        </w:rPr>
        <w:t xml:space="preserve">I would like to submit my report titled </w:t>
      </w:r>
      <w:r w:rsidRPr="00AF3299">
        <w:rPr>
          <w:rFonts w:ascii="Times New Roman" w:hAnsi="Times New Roman"/>
          <w:b/>
          <w:bCs/>
          <w:color w:val="000000"/>
          <w:sz w:val="24"/>
          <w:szCs w:val="24"/>
        </w:rPr>
        <w:t>“</w:t>
      </w:r>
      <w:r w:rsidR="006E4E08">
        <w:rPr>
          <w:rFonts w:ascii="Times New Roman" w:hAnsi="Times New Roman"/>
          <w:b/>
          <w:bCs/>
          <w:i/>
          <w:iCs/>
          <w:color w:val="000000"/>
          <w:sz w:val="24"/>
          <w:szCs w:val="24"/>
        </w:rPr>
        <w:t>Analysis</w:t>
      </w:r>
      <w:r w:rsidRPr="00AF3299">
        <w:rPr>
          <w:rFonts w:ascii="Times New Roman" w:hAnsi="Times New Roman"/>
          <w:b/>
          <w:bCs/>
          <w:i/>
          <w:iCs/>
          <w:color w:val="000000"/>
          <w:sz w:val="24"/>
          <w:szCs w:val="24"/>
        </w:rPr>
        <w:t xml:space="preserve"> of Investment in Financial Assets: A Case Study of The BRAC Bank Limited” </w:t>
      </w:r>
      <w:r w:rsidRPr="00AF3299">
        <w:rPr>
          <w:rFonts w:ascii="Times New Roman" w:hAnsi="Times New Roman"/>
          <w:color w:val="000000"/>
          <w:sz w:val="24"/>
          <w:szCs w:val="24"/>
        </w:rPr>
        <w:t xml:space="preserve">prepared as a part of the requirement for BBA program of School of Business &amp; Economics, United International University. I have successfully completed my internship program in The </w:t>
      </w:r>
      <w:r w:rsidR="003C1FD8" w:rsidRPr="00AF3299">
        <w:rPr>
          <w:rFonts w:ascii="Times New Roman" w:hAnsi="Times New Roman"/>
          <w:color w:val="000000"/>
          <w:sz w:val="24"/>
          <w:szCs w:val="24"/>
        </w:rPr>
        <w:t>BRAC Bank</w:t>
      </w:r>
      <w:r w:rsidRPr="00AF3299">
        <w:rPr>
          <w:rFonts w:ascii="Times New Roman" w:hAnsi="Times New Roman"/>
          <w:color w:val="000000"/>
          <w:sz w:val="24"/>
          <w:szCs w:val="24"/>
        </w:rPr>
        <w:t xml:space="preserve"> Limited and I worked there as an intern for three months. Working on this report was a great learning experience for me as I got to learn the differences between practical and theoretical.</w:t>
      </w:r>
    </w:p>
    <w:p w:rsidR="00FC7688" w:rsidRPr="00AF3299" w:rsidRDefault="00FC7688" w:rsidP="00AF3299">
      <w:pPr>
        <w:jc w:val="both"/>
        <w:rPr>
          <w:rFonts w:ascii="Times New Roman" w:hAnsi="Times New Roman"/>
          <w:sz w:val="24"/>
          <w:szCs w:val="24"/>
        </w:rPr>
      </w:pPr>
      <w:r w:rsidRPr="00AF3299">
        <w:rPr>
          <w:rFonts w:ascii="Times New Roman" w:hAnsi="Times New Roman"/>
          <w:sz w:val="24"/>
          <w:szCs w:val="24"/>
        </w:rPr>
        <w:t>I would like to take this opportunity to thank you for all the support and guidelines that you have provided, which I hope to continue getting in the future.</w:t>
      </w:r>
    </w:p>
    <w:p w:rsidR="00DB48A7" w:rsidRPr="00AF3299" w:rsidRDefault="00DB48A7" w:rsidP="00AF3299">
      <w:pPr>
        <w:jc w:val="both"/>
        <w:rPr>
          <w:rFonts w:ascii="Times New Roman" w:hAnsi="Times New Roman"/>
        </w:rPr>
      </w:pPr>
    </w:p>
    <w:p w:rsidR="003C1FD8" w:rsidRPr="00AF3299" w:rsidRDefault="003C1FD8" w:rsidP="00AF3299">
      <w:pPr>
        <w:jc w:val="both"/>
        <w:rPr>
          <w:rFonts w:ascii="Times New Roman" w:hAnsi="Times New Roman"/>
        </w:rPr>
      </w:pPr>
    </w:p>
    <w:p w:rsidR="003C1FD8" w:rsidRPr="00AF3299" w:rsidRDefault="003C1FD8" w:rsidP="00AF3299">
      <w:pPr>
        <w:jc w:val="both"/>
        <w:rPr>
          <w:rFonts w:ascii="Times New Roman" w:hAnsi="Times New Roman"/>
        </w:rPr>
      </w:pPr>
    </w:p>
    <w:p w:rsidR="00FC7688" w:rsidRPr="00AF3299" w:rsidRDefault="00FC7688" w:rsidP="00AF3299">
      <w:pPr>
        <w:jc w:val="both"/>
        <w:rPr>
          <w:rFonts w:ascii="Times New Roman" w:hAnsi="Times New Roman"/>
          <w:sz w:val="24"/>
          <w:szCs w:val="28"/>
        </w:rPr>
      </w:pPr>
      <w:r w:rsidRPr="00AF3299">
        <w:rPr>
          <w:rFonts w:ascii="Times New Roman" w:hAnsi="Times New Roman"/>
          <w:sz w:val="24"/>
          <w:szCs w:val="28"/>
        </w:rPr>
        <w:t>Sincerely yours,</w:t>
      </w:r>
    </w:p>
    <w:p w:rsidR="00FC7688" w:rsidRPr="00AF3299" w:rsidRDefault="00FC7688" w:rsidP="00AF3299">
      <w:pPr>
        <w:autoSpaceDE w:val="0"/>
        <w:autoSpaceDN w:val="0"/>
        <w:adjustRightInd w:val="0"/>
        <w:spacing w:after="0"/>
        <w:jc w:val="both"/>
        <w:rPr>
          <w:rFonts w:ascii="Times New Roman" w:hAnsi="Times New Roman"/>
          <w:color w:val="000000"/>
          <w:sz w:val="24"/>
          <w:szCs w:val="28"/>
        </w:rPr>
      </w:pPr>
      <w:r w:rsidRPr="00AF3299">
        <w:rPr>
          <w:rFonts w:ascii="Times New Roman" w:hAnsi="Times New Roman"/>
          <w:color w:val="000000"/>
          <w:sz w:val="24"/>
          <w:szCs w:val="28"/>
        </w:rPr>
        <w:t>Tanzila Tasnim</w:t>
      </w:r>
    </w:p>
    <w:p w:rsidR="00FC7688" w:rsidRPr="00AF3299" w:rsidRDefault="00FC7688" w:rsidP="00AF3299">
      <w:pPr>
        <w:autoSpaceDE w:val="0"/>
        <w:autoSpaceDN w:val="0"/>
        <w:adjustRightInd w:val="0"/>
        <w:spacing w:after="0"/>
        <w:jc w:val="both"/>
        <w:rPr>
          <w:rFonts w:ascii="Times New Roman" w:hAnsi="Times New Roman"/>
          <w:color w:val="000000"/>
          <w:sz w:val="24"/>
          <w:szCs w:val="28"/>
        </w:rPr>
      </w:pPr>
      <w:r w:rsidRPr="00AF3299">
        <w:rPr>
          <w:rFonts w:ascii="Times New Roman" w:hAnsi="Times New Roman"/>
          <w:color w:val="000000"/>
          <w:sz w:val="24"/>
          <w:szCs w:val="28"/>
        </w:rPr>
        <w:t>ID: 111141284</w:t>
      </w:r>
    </w:p>
    <w:p w:rsidR="00FC7688" w:rsidRPr="00AF3299" w:rsidRDefault="00FC7688" w:rsidP="00AF3299">
      <w:pPr>
        <w:autoSpaceDE w:val="0"/>
        <w:autoSpaceDN w:val="0"/>
        <w:adjustRightInd w:val="0"/>
        <w:spacing w:after="0"/>
        <w:jc w:val="both"/>
        <w:rPr>
          <w:rFonts w:ascii="Times New Roman" w:hAnsi="Times New Roman"/>
          <w:color w:val="000000"/>
          <w:sz w:val="24"/>
          <w:szCs w:val="28"/>
        </w:rPr>
      </w:pPr>
      <w:r w:rsidRPr="00AF3299">
        <w:rPr>
          <w:rFonts w:ascii="Times New Roman" w:hAnsi="Times New Roman"/>
          <w:color w:val="000000"/>
          <w:sz w:val="24"/>
          <w:szCs w:val="28"/>
        </w:rPr>
        <w:t xml:space="preserve">Major: Finance </w:t>
      </w:r>
    </w:p>
    <w:p w:rsidR="00FC7688" w:rsidRPr="00AF3299" w:rsidRDefault="00FC7688" w:rsidP="00AF3299">
      <w:pPr>
        <w:autoSpaceDE w:val="0"/>
        <w:autoSpaceDN w:val="0"/>
        <w:adjustRightInd w:val="0"/>
        <w:spacing w:after="0"/>
        <w:jc w:val="both"/>
        <w:rPr>
          <w:rFonts w:ascii="Times New Roman" w:hAnsi="Times New Roman"/>
          <w:color w:val="000000"/>
          <w:sz w:val="24"/>
          <w:szCs w:val="28"/>
        </w:rPr>
      </w:pPr>
      <w:r w:rsidRPr="00AF3299">
        <w:rPr>
          <w:rFonts w:ascii="Times New Roman" w:hAnsi="Times New Roman"/>
          <w:color w:val="000000"/>
          <w:sz w:val="24"/>
          <w:szCs w:val="28"/>
        </w:rPr>
        <w:t xml:space="preserve">School of Business &amp; Economics </w:t>
      </w:r>
    </w:p>
    <w:p w:rsidR="00FC7688" w:rsidRPr="00AF3299" w:rsidRDefault="00FC7688" w:rsidP="00AF3299">
      <w:pPr>
        <w:jc w:val="both"/>
        <w:rPr>
          <w:rFonts w:ascii="Times New Roman" w:hAnsi="Times New Roman"/>
          <w:sz w:val="24"/>
          <w:szCs w:val="28"/>
        </w:rPr>
      </w:pPr>
      <w:r w:rsidRPr="00AF3299">
        <w:rPr>
          <w:rFonts w:ascii="Times New Roman" w:hAnsi="Times New Roman"/>
          <w:color w:val="000000"/>
          <w:sz w:val="24"/>
          <w:szCs w:val="28"/>
        </w:rPr>
        <w:t>United International University</w:t>
      </w: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DB48A7" w:rsidRPr="00AF3299" w:rsidRDefault="00DB48A7" w:rsidP="00AF3299">
      <w:pPr>
        <w:rPr>
          <w:rFonts w:ascii="Times New Roman" w:hAnsi="Times New Roman"/>
        </w:rPr>
      </w:pPr>
    </w:p>
    <w:p w:rsidR="00A121CD" w:rsidRPr="00AF3299" w:rsidRDefault="00754BD2" w:rsidP="00AF3299">
      <w:pPr>
        <w:rPr>
          <w:rFonts w:ascii="Times New Roman" w:hAnsi="Times New Roman"/>
          <w:b/>
          <w:bCs/>
          <w:i/>
          <w:iCs/>
          <w:sz w:val="36"/>
          <w:szCs w:val="36"/>
        </w:rPr>
      </w:pPr>
      <w:r w:rsidRPr="00AF3299">
        <w:rPr>
          <w:rFonts w:ascii="Times New Roman" w:hAnsi="Times New Roman"/>
          <w:b/>
          <w:bCs/>
          <w:i/>
          <w:iCs/>
          <w:sz w:val="36"/>
          <w:szCs w:val="36"/>
        </w:rPr>
        <w:t xml:space="preserve">                                 </w:t>
      </w:r>
    </w:p>
    <w:p w:rsidR="00A121CD" w:rsidRPr="00AF3299" w:rsidRDefault="00A121CD" w:rsidP="00AF3299">
      <w:pPr>
        <w:rPr>
          <w:rFonts w:ascii="Times New Roman" w:hAnsi="Times New Roman"/>
          <w:b/>
          <w:bCs/>
          <w:i/>
          <w:iCs/>
          <w:sz w:val="36"/>
          <w:szCs w:val="36"/>
        </w:rPr>
      </w:pPr>
    </w:p>
    <w:p w:rsidR="00754BD2" w:rsidRPr="00AF3299" w:rsidRDefault="00754BD2" w:rsidP="00AF3299">
      <w:pPr>
        <w:rPr>
          <w:rFonts w:ascii="Times New Roman" w:hAnsi="Times New Roman"/>
          <w:b/>
          <w:bCs/>
          <w:i/>
          <w:iCs/>
          <w:sz w:val="36"/>
          <w:szCs w:val="36"/>
        </w:rPr>
      </w:pPr>
      <w:r w:rsidRPr="00AF3299">
        <w:rPr>
          <w:rFonts w:ascii="Times New Roman" w:hAnsi="Times New Roman"/>
          <w:b/>
          <w:bCs/>
          <w:i/>
          <w:iCs/>
          <w:sz w:val="36"/>
          <w:szCs w:val="36"/>
        </w:rPr>
        <w:t xml:space="preserve"> Acknowledgement              </w:t>
      </w:r>
    </w:p>
    <w:p w:rsidR="0004497F" w:rsidRPr="00AF3299" w:rsidRDefault="0004497F" w:rsidP="00AF3299">
      <w:pPr>
        <w:jc w:val="both"/>
        <w:rPr>
          <w:rFonts w:ascii="Times New Roman" w:hAnsi="Times New Roman"/>
          <w:b/>
          <w:bCs/>
          <w:i/>
          <w:iCs/>
          <w:sz w:val="40"/>
          <w:szCs w:val="36"/>
        </w:rPr>
      </w:pPr>
    </w:p>
    <w:p w:rsidR="00754BD2" w:rsidRPr="00AF3299" w:rsidRDefault="0004497F" w:rsidP="00AF3299">
      <w:pPr>
        <w:jc w:val="both"/>
        <w:rPr>
          <w:rFonts w:ascii="Times New Roman" w:hAnsi="Times New Roman"/>
          <w:sz w:val="24"/>
        </w:rPr>
      </w:pPr>
      <w:r w:rsidRPr="00AF3299">
        <w:rPr>
          <w:rFonts w:ascii="Times New Roman" w:hAnsi="Times New Roman"/>
          <w:sz w:val="24"/>
        </w:rPr>
        <w:t>First I want to pay my gratitude to almighty Allah for enabling us to prepare the report successfully. Then I would like to express my sincere gratitude and cordial thanks to some specific persons who helped me to organize this report and for their kind opinion, suggestions, instructions and support and appropriate guidelines for this.</w:t>
      </w:r>
    </w:p>
    <w:p w:rsidR="0004497F" w:rsidRPr="00AF3299" w:rsidRDefault="0004497F" w:rsidP="00AF3299">
      <w:pPr>
        <w:jc w:val="both"/>
        <w:rPr>
          <w:rFonts w:ascii="Times New Roman" w:hAnsi="Times New Roman"/>
          <w:sz w:val="24"/>
        </w:rPr>
      </w:pPr>
      <w:r w:rsidRPr="00AF3299">
        <w:rPr>
          <w:rFonts w:ascii="Times New Roman" w:hAnsi="Times New Roman"/>
          <w:sz w:val="24"/>
        </w:rPr>
        <w:t xml:space="preserve">First of all, I would like to thank my Internship Supervisor Muhammad Enamul Haque for his continuous guidance and assistance in preparing </w:t>
      </w:r>
      <w:r w:rsidRPr="00AF3299">
        <w:rPr>
          <w:rFonts w:ascii="Times New Roman" w:hAnsi="Times New Roman"/>
          <w:b/>
          <w:bCs/>
          <w:i/>
          <w:iCs/>
          <w:sz w:val="24"/>
        </w:rPr>
        <w:t xml:space="preserve">Role of Investment in Financial Assets: A Case Study of The BRAC  Bank Limited”. </w:t>
      </w:r>
      <w:r w:rsidRPr="00AF3299">
        <w:rPr>
          <w:rFonts w:ascii="Times New Roman" w:hAnsi="Times New Roman"/>
          <w:sz w:val="24"/>
        </w:rPr>
        <w:t>His valuable advice has helped me a lot in writing this report. I am immensely thankful to him for the supports he has provided during my Internship period.</w:t>
      </w:r>
    </w:p>
    <w:p w:rsidR="0087693B" w:rsidRPr="00AF3299" w:rsidRDefault="0004497F" w:rsidP="00AF3299">
      <w:pPr>
        <w:jc w:val="both"/>
        <w:rPr>
          <w:rFonts w:ascii="Times New Roman" w:hAnsi="Times New Roman"/>
          <w:sz w:val="24"/>
        </w:rPr>
      </w:pPr>
      <w:r w:rsidRPr="00AF3299">
        <w:rPr>
          <w:rFonts w:ascii="Times New Roman" w:hAnsi="Times New Roman"/>
          <w:sz w:val="24"/>
        </w:rPr>
        <w:t xml:space="preserve">Next, I would also like to express heartfelt gratitude to my organizational supervisor at The BRAC Bank Limited, </w:t>
      </w:r>
      <w:r w:rsidRPr="00AF3299">
        <w:rPr>
          <w:rFonts w:ascii="Times New Roman" w:hAnsi="Times New Roman"/>
          <w:b/>
          <w:bCs/>
          <w:sz w:val="24"/>
        </w:rPr>
        <w:t>Mr. Al Amin Shaker</w:t>
      </w:r>
      <w:r w:rsidR="001B3EB1" w:rsidRPr="00AF3299">
        <w:rPr>
          <w:rFonts w:ascii="Times New Roman" w:hAnsi="Times New Roman"/>
          <w:sz w:val="24"/>
        </w:rPr>
        <w:t>, Senior Manager, L</w:t>
      </w:r>
      <w:r w:rsidRPr="00AF3299">
        <w:rPr>
          <w:rFonts w:ascii="Times New Roman" w:hAnsi="Times New Roman"/>
          <w:sz w:val="24"/>
        </w:rPr>
        <w:t>oan Documentation-Retail &amp; SME Assets Operations Department at head office.</w:t>
      </w:r>
      <w:r w:rsidR="001B3EB1" w:rsidRPr="00AF3299">
        <w:rPr>
          <w:rFonts w:ascii="Times New Roman" w:hAnsi="Times New Roman"/>
          <w:sz w:val="24"/>
        </w:rPr>
        <w:t xml:space="preserve"> </w:t>
      </w:r>
      <w:r w:rsidRPr="00AF3299">
        <w:rPr>
          <w:rFonts w:ascii="Times New Roman" w:hAnsi="Times New Roman"/>
          <w:sz w:val="24"/>
        </w:rPr>
        <w:t>He directed me towards the right information and regularly reviewed my progress in preparation of this report. He has provided the information about the organization and the information about Branch Banking as well to help me with the report</w:t>
      </w:r>
      <w:r w:rsidR="0087693B" w:rsidRPr="00AF3299">
        <w:rPr>
          <w:rFonts w:ascii="Times New Roman" w:hAnsi="Times New Roman"/>
          <w:sz w:val="24"/>
        </w:rPr>
        <w:t>.</w:t>
      </w:r>
    </w:p>
    <w:p w:rsidR="008A4F2A" w:rsidRPr="00AF3299" w:rsidRDefault="0004497F" w:rsidP="00AF3299">
      <w:pPr>
        <w:jc w:val="both"/>
        <w:rPr>
          <w:rFonts w:ascii="Times New Roman" w:hAnsi="Times New Roman"/>
          <w:b/>
          <w:bCs/>
          <w:i/>
          <w:iCs/>
          <w:sz w:val="40"/>
          <w:szCs w:val="36"/>
        </w:rPr>
      </w:pPr>
      <w:r w:rsidRPr="00AF3299">
        <w:rPr>
          <w:rFonts w:ascii="Times New Roman" w:hAnsi="Times New Roman"/>
          <w:sz w:val="24"/>
        </w:rPr>
        <w:t>Finally, this report would not have been possible without the dedication and contribution of all my colleagues who has helped me by teaching all the works. I express my sincere gratitude to all of them. Their valuable contribution is what made this Term Paper possible.</w:t>
      </w:r>
    </w:p>
    <w:p w:rsidR="008A4F2A" w:rsidRPr="00AF3299" w:rsidRDefault="008A4F2A" w:rsidP="00AF3299">
      <w:pPr>
        <w:rPr>
          <w:rFonts w:ascii="Times New Roman" w:hAnsi="Times New Roman"/>
          <w:b/>
          <w:bCs/>
          <w:i/>
          <w:iCs/>
          <w:sz w:val="36"/>
          <w:szCs w:val="36"/>
        </w:rPr>
      </w:pPr>
    </w:p>
    <w:p w:rsidR="008A4F2A" w:rsidRPr="00AF3299" w:rsidRDefault="008A4F2A" w:rsidP="00AF3299">
      <w:pPr>
        <w:rPr>
          <w:rFonts w:ascii="Times New Roman" w:hAnsi="Times New Roman"/>
          <w:b/>
          <w:bCs/>
          <w:i/>
          <w:iCs/>
          <w:sz w:val="36"/>
          <w:szCs w:val="36"/>
        </w:rPr>
      </w:pPr>
    </w:p>
    <w:p w:rsidR="008A4F2A" w:rsidRPr="00AF3299" w:rsidRDefault="008A4F2A" w:rsidP="00AF3299">
      <w:pPr>
        <w:rPr>
          <w:rFonts w:ascii="Times New Roman" w:hAnsi="Times New Roman"/>
          <w:b/>
          <w:bCs/>
          <w:i/>
          <w:iCs/>
          <w:sz w:val="36"/>
          <w:szCs w:val="36"/>
        </w:rPr>
      </w:pPr>
    </w:p>
    <w:p w:rsidR="008A4F2A" w:rsidRPr="00AF3299" w:rsidRDefault="008A4F2A" w:rsidP="00AF3299">
      <w:pPr>
        <w:rPr>
          <w:rFonts w:ascii="Times New Roman" w:hAnsi="Times New Roman"/>
          <w:b/>
          <w:bCs/>
          <w:i/>
          <w:iCs/>
          <w:sz w:val="36"/>
          <w:szCs w:val="36"/>
        </w:rPr>
      </w:pPr>
    </w:p>
    <w:p w:rsidR="00CF3771" w:rsidRPr="00AF3299" w:rsidRDefault="00CF3771" w:rsidP="00AF3299">
      <w:pPr>
        <w:rPr>
          <w:rFonts w:ascii="Times New Roman" w:hAnsi="Times New Roman"/>
          <w:b/>
          <w:bCs/>
          <w:i/>
          <w:iCs/>
          <w:sz w:val="36"/>
          <w:szCs w:val="36"/>
        </w:rPr>
      </w:pPr>
    </w:p>
    <w:p w:rsidR="00AF3299" w:rsidRPr="00AF3299" w:rsidRDefault="00AF3299" w:rsidP="00AF3299">
      <w:pPr>
        <w:rPr>
          <w:rFonts w:ascii="Times New Roman" w:hAnsi="Times New Roman"/>
          <w:b/>
          <w:bCs/>
          <w:i/>
          <w:iCs/>
          <w:sz w:val="36"/>
          <w:szCs w:val="36"/>
        </w:rPr>
      </w:pPr>
    </w:p>
    <w:p w:rsidR="00AF3299" w:rsidRPr="00AF3299" w:rsidRDefault="00AF3299" w:rsidP="00AF3299">
      <w:pPr>
        <w:rPr>
          <w:rFonts w:ascii="Times New Roman" w:hAnsi="Times New Roman"/>
          <w:b/>
          <w:bCs/>
          <w:i/>
          <w:iCs/>
          <w:sz w:val="36"/>
          <w:szCs w:val="36"/>
        </w:rPr>
      </w:pPr>
    </w:p>
    <w:p w:rsidR="00AF3299" w:rsidRPr="00AF3299" w:rsidRDefault="00AF3299" w:rsidP="00AF3299">
      <w:pPr>
        <w:rPr>
          <w:rFonts w:ascii="Times New Roman" w:hAnsi="Times New Roman"/>
          <w:b/>
          <w:bCs/>
          <w:i/>
          <w:iCs/>
          <w:sz w:val="36"/>
          <w:szCs w:val="36"/>
        </w:rPr>
      </w:pPr>
    </w:p>
    <w:p w:rsidR="008A4F2A" w:rsidRPr="00AF3299" w:rsidRDefault="00754BD2" w:rsidP="00AF3299">
      <w:pPr>
        <w:rPr>
          <w:rFonts w:ascii="Times New Roman" w:hAnsi="Times New Roman"/>
          <w:b/>
          <w:bCs/>
          <w:i/>
          <w:iCs/>
          <w:sz w:val="36"/>
          <w:szCs w:val="36"/>
        </w:rPr>
      </w:pPr>
      <w:r w:rsidRPr="00AF3299">
        <w:rPr>
          <w:rFonts w:ascii="Times New Roman" w:hAnsi="Times New Roman"/>
          <w:b/>
          <w:bCs/>
          <w:i/>
          <w:iCs/>
          <w:sz w:val="36"/>
          <w:szCs w:val="36"/>
        </w:rPr>
        <w:t xml:space="preserve">Executive Summary    </w:t>
      </w:r>
    </w:p>
    <w:p w:rsidR="008A4F2A" w:rsidRPr="00AF3299" w:rsidRDefault="008A4F2A" w:rsidP="00AF3299">
      <w:pPr>
        <w:pStyle w:val="Default"/>
        <w:spacing w:line="276" w:lineRule="auto"/>
        <w:jc w:val="both"/>
        <w:rPr>
          <w:szCs w:val="22"/>
        </w:rPr>
      </w:pPr>
      <w:r w:rsidRPr="00AF3299">
        <w:rPr>
          <w:szCs w:val="22"/>
        </w:rPr>
        <w:t>Banking business is the latest dimension in the financial sector to boost up economic growth and sustainability. In the new competitive business era, private banking sector is getting more competitive in Bangladesh. In this sector the one of the significant income for a private commercial Bank is the investment income of the bank which is come from investment in financial assets. Financial assets are more liquid than tangible assets which can increase the banks’ liquidity also.</w:t>
      </w:r>
    </w:p>
    <w:p w:rsidR="008A4F2A" w:rsidRPr="00AF3299" w:rsidRDefault="008A4F2A" w:rsidP="00AF3299">
      <w:pPr>
        <w:pStyle w:val="Default"/>
        <w:spacing w:line="276" w:lineRule="auto"/>
        <w:jc w:val="both"/>
        <w:rPr>
          <w:szCs w:val="22"/>
        </w:rPr>
      </w:pPr>
      <w:r w:rsidRPr="00AF3299">
        <w:rPr>
          <w:szCs w:val="22"/>
        </w:rPr>
        <w:t xml:space="preserve"> </w:t>
      </w:r>
    </w:p>
    <w:p w:rsidR="008A4F2A" w:rsidRPr="00AF3299" w:rsidRDefault="008A4F2A" w:rsidP="00AF3299">
      <w:pPr>
        <w:autoSpaceDE w:val="0"/>
        <w:autoSpaceDN w:val="0"/>
        <w:adjustRightInd w:val="0"/>
        <w:spacing w:after="0"/>
        <w:jc w:val="both"/>
        <w:rPr>
          <w:rFonts w:ascii="Times New Roman" w:hAnsi="Times New Roman"/>
          <w:color w:val="000000"/>
          <w:sz w:val="24"/>
        </w:rPr>
      </w:pPr>
      <w:r w:rsidRPr="00AF3299">
        <w:rPr>
          <w:rFonts w:ascii="Times New Roman" w:hAnsi="Times New Roman"/>
          <w:color w:val="000000"/>
          <w:sz w:val="24"/>
        </w:rPr>
        <w:t>In banking sector the most used financial statements are the balance from which the investment in financial assets can be identified. By analyzing percentage of investment and yearly Growth rate of investment in financial assets it is possible to evaluate a bank’s performance over years on investments in financial assets. In my report I had to study BBL’s investment in financial assets for the last few years then had to analyze and give significant comments regarding the changes of investment in the financial assets. Analysis and interpretation of these investment in financial assets through percentage and growth rate analysis has now become an important technique for performance appraisal because the investors, financial experts, management executives and the bankers are always rely on these analysis to make important decisions. The management team of any bank, investor and the government agencies always concern about liquidity which can be understood by knowing about the percentage rate of investment in financial assets which are considered as more liquid assets than others.</w:t>
      </w:r>
    </w:p>
    <w:p w:rsidR="008A4F2A" w:rsidRPr="00AF3299" w:rsidRDefault="008A4F2A" w:rsidP="00AF3299">
      <w:pPr>
        <w:autoSpaceDE w:val="0"/>
        <w:autoSpaceDN w:val="0"/>
        <w:adjustRightInd w:val="0"/>
        <w:spacing w:after="0"/>
        <w:jc w:val="both"/>
        <w:rPr>
          <w:rFonts w:ascii="Times New Roman" w:hAnsi="Times New Roman"/>
          <w:color w:val="000000"/>
          <w:sz w:val="24"/>
        </w:rPr>
      </w:pPr>
      <w:r w:rsidRPr="00AF3299">
        <w:rPr>
          <w:rFonts w:ascii="Times New Roman" w:hAnsi="Times New Roman"/>
          <w:color w:val="000000"/>
          <w:sz w:val="24"/>
        </w:rPr>
        <w:t xml:space="preserve"> </w:t>
      </w:r>
    </w:p>
    <w:p w:rsidR="008A4F2A" w:rsidRPr="00AF3299" w:rsidRDefault="008A4F2A" w:rsidP="00AF3299">
      <w:pPr>
        <w:jc w:val="both"/>
        <w:rPr>
          <w:rFonts w:ascii="Times New Roman" w:hAnsi="Times New Roman"/>
          <w:color w:val="000000"/>
          <w:sz w:val="24"/>
        </w:rPr>
      </w:pPr>
      <w:r w:rsidRPr="00AF3299">
        <w:rPr>
          <w:rFonts w:ascii="Times New Roman" w:hAnsi="Times New Roman"/>
          <w:color w:val="000000"/>
          <w:sz w:val="24"/>
        </w:rPr>
        <w:t xml:space="preserve">As a part of my B.B.A program, I have spent 12 weeks in BBL Principle Branch learning the activities of general banking, general advance and foreign exchange department. I have analyzed the investment in financial assets of BBL to find out its percentage of yearly growing rate of investment by using its past and current records. After preparing this report I came to know that the main principles of financial asset managements are safety, liquidity and profitability. BRAC Bank also invests its deposit and money in the financial assets which are more risk free and profitable. But year to year the decreasing rates of investment in financial assets are being observed and it is the indication of decreasing rate of liquid assets. </w:t>
      </w:r>
    </w:p>
    <w:p w:rsidR="00754BD2" w:rsidRPr="00AF3299" w:rsidRDefault="008A4F2A" w:rsidP="00AF3299">
      <w:pPr>
        <w:jc w:val="both"/>
        <w:rPr>
          <w:rFonts w:ascii="Times New Roman" w:hAnsi="Times New Roman"/>
          <w:b/>
          <w:bCs/>
          <w:i/>
          <w:iCs/>
          <w:sz w:val="40"/>
          <w:szCs w:val="36"/>
        </w:rPr>
      </w:pPr>
      <w:r w:rsidRPr="00AF3299">
        <w:rPr>
          <w:rFonts w:ascii="Times New Roman" w:hAnsi="Times New Roman"/>
          <w:color w:val="000000"/>
          <w:sz w:val="24"/>
        </w:rPr>
        <w:t xml:space="preserve">It is not a good sign for any commercial bank. Because decreasing rate of liquidation of assets can be hindrance in payment in liabilities. From the decreasing rate in financial assets the investment income is also decreasing among the total interest income. For this reason CBL should make a little change at the investment decision for its betterment and profit earning. </w:t>
      </w:r>
      <w:r w:rsidR="00754BD2" w:rsidRPr="00AF3299">
        <w:rPr>
          <w:rFonts w:ascii="Times New Roman" w:hAnsi="Times New Roman"/>
          <w:b/>
          <w:bCs/>
          <w:i/>
          <w:iCs/>
          <w:sz w:val="40"/>
          <w:szCs w:val="36"/>
        </w:rPr>
        <w:t xml:space="preserve">                </w:t>
      </w:r>
    </w:p>
    <w:p w:rsidR="00754BD2" w:rsidRPr="00AF3299" w:rsidRDefault="00754BD2" w:rsidP="00AF3299">
      <w:pPr>
        <w:rPr>
          <w:rFonts w:ascii="Times New Roman" w:hAnsi="Times New Roman"/>
          <w:b/>
          <w:bCs/>
          <w:i/>
          <w:iCs/>
          <w:sz w:val="36"/>
          <w:szCs w:val="36"/>
        </w:rPr>
      </w:pPr>
    </w:p>
    <w:p w:rsidR="00754BD2" w:rsidRDefault="00754BD2" w:rsidP="00AF3299">
      <w:pPr>
        <w:rPr>
          <w:rFonts w:ascii="Times New Roman" w:hAnsi="Times New Roman"/>
          <w:b/>
          <w:bCs/>
          <w:i/>
          <w:iCs/>
          <w:sz w:val="36"/>
          <w:szCs w:val="36"/>
        </w:rPr>
      </w:pPr>
    </w:p>
    <w:p w:rsidR="006448E9" w:rsidRPr="00AF3299" w:rsidRDefault="006448E9" w:rsidP="00AF3299">
      <w:pPr>
        <w:rPr>
          <w:rFonts w:ascii="Times New Roman" w:hAnsi="Times New Roman"/>
          <w:b/>
          <w:bCs/>
          <w:i/>
          <w:iCs/>
          <w:sz w:val="36"/>
          <w:szCs w:val="36"/>
        </w:rPr>
      </w:pPr>
    </w:p>
    <w:sdt>
      <w:sdtPr>
        <w:rPr>
          <w:rFonts w:ascii="Times New Roman" w:eastAsia="Calibri" w:hAnsi="Times New Roman" w:cs="Times New Roman"/>
          <w:color w:val="auto"/>
          <w:sz w:val="24"/>
          <w:szCs w:val="22"/>
        </w:rPr>
        <w:id w:val="-1047220672"/>
        <w:docPartObj>
          <w:docPartGallery w:val="Table of Contents"/>
          <w:docPartUnique/>
        </w:docPartObj>
      </w:sdtPr>
      <w:sdtEndPr>
        <w:rPr>
          <w:b/>
          <w:bCs/>
          <w:noProof/>
          <w:sz w:val="22"/>
        </w:rPr>
      </w:sdtEndPr>
      <w:sdtContent>
        <w:p w:rsidR="00AF3299" w:rsidRPr="006851B7" w:rsidRDefault="006448E9" w:rsidP="006851B7">
          <w:pPr>
            <w:pStyle w:val="TOCHeading"/>
            <w:spacing w:line="240" w:lineRule="auto"/>
            <w:rPr>
              <w:rFonts w:ascii="Times New Roman" w:hAnsi="Times New Roman" w:cs="Times New Roman"/>
              <w:sz w:val="36"/>
            </w:rPr>
          </w:pPr>
          <w:r w:rsidRPr="006851B7">
            <w:rPr>
              <w:rFonts w:ascii="Times New Roman" w:hAnsi="Times New Roman" w:cs="Times New Roman"/>
              <w:sz w:val="36"/>
            </w:rPr>
            <w:t xml:space="preserve">Table of </w:t>
          </w:r>
          <w:r w:rsidR="00AF3299" w:rsidRPr="006851B7">
            <w:rPr>
              <w:rFonts w:ascii="Times New Roman" w:hAnsi="Times New Roman" w:cs="Times New Roman"/>
              <w:sz w:val="36"/>
            </w:rPr>
            <w:t>Contents</w:t>
          </w:r>
        </w:p>
        <w:p w:rsidR="006851B7" w:rsidRPr="006851B7" w:rsidRDefault="00AF3299" w:rsidP="006851B7">
          <w:pPr>
            <w:pStyle w:val="TOC1"/>
            <w:tabs>
              <w:tab w:val="right" w:leader="dot" w:pos="9017"/>
            </w:tabs>
            <w:spacing w:line="240" w:lineRule="auto"/>
            <w:rPr>
              <w:rFonts w:asciiTheme="minorHAnsi" w:eastAsiaTheme="minorEastAsia" w:hAnsiTheme="minorHAnsi" w:cstheme="minorBidi"/>
              <w:noProof/>
              <w:sz w:val="24"/>
            </w:rPr>
          </w:pPr>
          <w:r w:rsidRPr="006851B7">
            <w:rPr>
              <w:rFonts w:ascii="Times New Roman" w:hAnsi="Times New Roman"/>
              <w:b/>
              <w:bCs/>
              <w:noProof/>
              <w:sz w:val="24"/>
            </w:rPr>
            <w:fldChar w:fldCharType="begin"/>
          </w:r>
          <w:r w:rsidRPr="006851B7">
            <w:rPr>
              <w:rFonts w:ascii="Times New Roman" w:hAnsi="Times New Roman"/>
              <w:b/>
              <w:bCs/>
              <w:noProof/>
              <w:sz w:val="24"/>
            </w:rPr>
            <w:instrText xml:space="preserve"> TOC \o "1-3" \h \z \u </w:instrText>
          </w:r>
          <w:r w:rsidRPr="006851B7">
            <w:rPr>
              <w:rFonts w:ascii="Times New Roman" w:hAnsi="Times New Roman"/>
              <w:b/>
              <w:bCs/>
              <w:noProof/>
              <w:sz w:val="24"/>
            </w:rPr>
            <w:fldChar w:fldCharType="separate"/>
          </w:r>
          <w:hyperlink w:anchor="_Toc523575967" w:history="1">
            <w:r w:rsidR="006851B7" w:rsidRPr="006851B7">
              <w:rPr>
                <w:rStyle w:val="Hyperlink"/>
                <w:rFonts w:ascii="Times New Roman" w:hAnsi="Times New Roman"/>
                <w:i/>
                <w:noProof/>
                <w:sz w:val="24"/>
              </w:rPr>
              <w:t>Chapter 1: Introduction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_Toc523575967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68" w:history="1">
            <w:r w:rsidR="006851B7" w:rsidRPr="006851B7">
              <w:rPr>
                <w:rStyle w:val="Hyperlink"/>
                <w:noProof/>
                <w:sz w:val="24"/>
              </w:rPr>
              <w:t>1.1.</w:t>
            </w:r>
            <w:r w:rsidR="006851B7" w:rsidRPr="006851B7">
              <w:rPr>
                <w:rFonts w:asciiTheme="minorHAnsi" w:eastAsiaTheme="minorEastAsia" w:hAnsiTheme="minorHAnsi" w:cstheme="minorBidi"/>
                <w:noProof/>
                <w:sz w:val="24"/>
              </w:rPr>
              <w:tab/>
            </w:r>
            <w:r w:rsidR="006851B7" w:rsidRPr="006851B7">
              <w:rPr>
                <w:rStyle w:val="Hyperlink"/>
                <w:noProof/>
                <w:sz w:val="24"/>
              </w:rPr>
              <w:t>Introduction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_Toc523575968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2</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69" w:history="1">
            <w:r w:rsidR="006851B7" w:rsidRPr="006851B7">
              <w:rPr>
                <w:rStyle w:val="Hyperlink"/>
                <w:noProof/>
                <w:sz w:val="24"/>
              </w:rPr>
              <w:t>1.2.</w:t>
            </w:r>
            <w:r w:rsidR="006851B7" w:rsidRPr="006851B7">
              <w:rPr>
                <w:rFonts w:asciiTheme="minorHAnsi" w:eastAsiaTheme="minorEastAsia" w:hAnsiTheme="minorHAnsi" w:cstheme="minorBidi"/>
                <w:noProof/>
                <w:sz w:val="24"/>
              </w:rPr>
              <w:tab/>
            </w:r>
            <w:r w:rsidR="006851B7" w:rsidRPr="006851B7">
              <w:rPr>
                <w:rStyle w:val="Hyperlink"/>
                <w:noProof/>
                <w:sz w:val="24"/>
              </w:rPr>
              <w:t>Objective of the Study</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_Toc523575969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2</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0" w:history="1">
            <w:r w:rsidR="006851B7" w:rsidRPr="006851B7">
              <w:rPr>
                <w:rStyle w:val="Hyperlink"/>
                <w:noProof/>
                <w:sz w:val="24"/>
              </w:rPr>
              <w:t>1.3.</w:t>
            </w:r>
            <w:r w:rsidR="006851B7" w:rsidRPr="006851B7">
              <w:rPr>
                <w:rFonts w:asciiTheme="minorHAnsi" w:eastAsiaTheme="minorEastAsia" w:hAnsiTheme="minorHAnsi" w:cstheme="minorBidi"/>
                <w:noProof/>
                <w:sz w:val="24"/>
              </w:rPr>
              <w:tab/>
            </w:r>
            <w:r w:rsidR="006851B7" w:rsidRPr="006851B7">
              <w:rPr>
                <w:rStyle w:val="Hyperlink"/>
                <w:noProof/>
                <w:sz w:val="24"/>
              </w:rPr>
              <w:t>Methodology of the Study</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2</w:t>
            </w:r>
            <w:r w:rsidR="006851B7" w:rsidRPr="006851B7">
              <w:rPr>
                <w:noProof/>
                <w:webHidden/>
                <w:sz w:val="24"/>
              </w:rPr>
              <w:fldChar w:fldCharType="end"/>
            </w:r>
          </w:hyperlink>
        </w:p>
        <w:p w:rsidR="006851B7" w:rsidRPr="006851B7" w:rsidRDefault="006A45AA" w:rsidP="006851B7">
          <w:pPr>
            <w:pStyle w:val="TOC3"/>
            <w:tabs>
              <w:tab w:val="left" w:pos="1320"/>
              <w:tab w:val="right" w:leader="dot" w:pos="9017"/>
            </w:tabs>
            <w:spacing w:line="240" w:lineRule="auto"/>
            <w:rPr>
              <w:rFonts w:asciiTheme="minorHAnsi" w:eastAsiaTheme="minorEastAsia" w:hAnsiTheme="minorHAnsi" w:cstheme="minorBidi"/>
              <w:noProof/>
              <w:sz w:val="24"/>
            </w:rPr>
          </w:pPr>
          <w:hyperlink w:anchor="_Toc523575971" w:history="1">
            <w:r w:rsidR="006851B7" w:rsidRPr="006851B7">
              <w:rPr>
                <w:rStyle w:val="Hyperlink"/>
                <w:noProof/>
                <w:sz w:val="24"/>
              </w:rPr>
              <w:t>1.3.1.</w:t>
            </w:r>
            <w:r w:rsidR="006851B7" w:rsidRPr="006851B7">
              <w:rPr>
                <w:rFonts w:asciiTheme="minorHAnsi" w:eastAsiaTheme="minorEastAsia" w:hAnsiTheme="minorHAnsi" w:cstheme="minorBidi"/>
                <w:noProof/>
                <w:sz w:val="24"/>
              </w:rPr>
              <w:tab/>
            </w:r>
            <w:r w:rsidR="006851B7" w:rsidRPr="006851B7">
              <w:rPr>
                <w:rStyle w:val="Hyperlink"/>
                <w:noProof/>
                <w:sz w:val="24"/>
              </w:rPr>
              <w:t>Secondary Source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2</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2" w:history="1">
            <w:r w:rsidR="006851B7" w:rsidRPr="006851B7">
              <w:rPr>
                <w:rStyle w:val="Hyperlink"/>
                <w:noProof/>
                <w:sz w:val="24"/>
              </w:rPr>
              <w:t>1.4.</w:t>
            </w:r>
            <w:r w:rsidR="006851B7" w:rsidRPr="006851B7">
              <w:rPr>
                <w:rFonts w:asciiTheme="minorHAnsi" w:eastAsiaTheme="minorEastAsia" w:hAnsiTheme="minorHAnsi" w:cstheme="minorBidi"/>
                <w:noProof/>
                <w:sz w:val="24"/>
              </w:rPr>
              <w:tab/>
            </w:r>
            <w:r w:rsidR="006851B7" w:rsidRPr="006851B7">
              <w:rPr>
                <w:rStyle w:val="Hyperlink"/>
                <w:noProof/>
                <w:sz w:val="24"/>
              </w:rPr>
              <w:t>Limitations of the Study</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2</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5973" w:history="1">
            <w:r w:rsidR="006851B7" w:rsidRPr="006851B7">
              <w:rPr>
                <w:rStyle w:val="Hyperlink"/>
                <w:rFonts w:ascii="Times New Roman" w:hAnsi="Times New Roman"/>
                <w:i/>
                <w:noProof/>
                <w:sz w:val="24"/>
              </w:rPr>
              <w:t>Chapter 2: Organization Overview</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5" w:history="1">
            <w:r w:rsidR="006851B7" w:rsidRPr="006851B7">
              <w:rPr>
                <w:rStyle w:val="Hyperlink"/>
                <w:noProof/>
                <w:sz w:val="24"/>
              </w:rPr>
              <w:t>2.1.</w:t>
            </w:r>
            <w:r w:rsidR="006851B7" w:rsidRPr="006851B7">
              <w:rPr>
                <w:rFonts w:asciiTheme="minorHAnsi" w:eastAsiaTheme="minorEastAsia" w:hAnsiTheme="minorHAnsi" w:cstheme="minorBidi"/>
                <w:noProof/>
                <w:sz w:val="24"/>
              </w:rPr>
              <w:tab/>
            </w:r>
            <w:r w:rsidR="006851B7" w:rsidRPr="006851B7">
              <w:rPr>
                <w:rStyle w:val="Hyperlink"/>
                <w:noProof/>
                <w:sz w:val="24"/>
              </w:rPr>
              <w:t>Company Profile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6" w:history="1">
            <w:r w:rsidR="006851B7" w:rsidRPr="006851B7">
              <w:rPr>
                <w:rStyle w:val="Hyperlink"/>
                <w:noProof/>
                <w:sz w:val="24"/>
              </w:rPr>
              <w:t>2.2.</w:t>
            </w:r>
            <w:r w:rsidR="006851B7" w:rsidRPr="006851B7">
              <w:rPr>
                <w:rFonts w:asciiTheme="minorHAnsi" w:eastAsiaTheme="minorEastAsia" w:hAnsiTheme="minorHAnsi" w:cstheme="minorBidi"/>
                <w:noProof/>
                <w:sz w:val="24"/>
              </w:rPr>
              <w:tab/>
            </w:r>
            <w:r w:rsidR="006851B7" w:rsidRPr="006851B7">
              <w:rPr>
                <w:rStyle w:val="Hyperlink"/>
                <w:noProof/>
                <w:sz w:val="24"/>
              </w:rPr>
              <w:t>Corporate Information: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_Toc523575976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7" w:history="1">
            <w:r w:rsidR="006851B7" w:rsidRPr="006851B7">
              <w:rPr>
                <w:rStyle w:val="Hyperlink"/>
                <w:noProof/>
                <w:sz w:val="24"/>
              </w:rPr>
              <w:t>2.3.</w:t>
            </w:r>
            <w:r w:rsidR="006851B7" w:rsidRPr="006851B7">
              <w:rPr>
                <w:rFonts w:asciiTheme="minorHAnsi" w:eastAsiaTheme="minorEastAsia" w:hAnsiTheme="minorHAnsi" w:cstheme="minorBidi"/>
                <w:noProof/>
                <w:sz w:val="24"/>
              </w:rPr>
              <w:tab/>
            </w:r>
            <w:r w:rsidR="006851B7" w:rsidRPr="006851B7">
              <w:rPr>
                <w:rStyle w:val="Hyperlink"/>
                <w:noProof/>
                <w:sz w:val="24"/>
              </w:rPr>
              <w:t>Corporate Vision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8" w:history="1">
            <w:r w:rsidR="006851B7" w:rsidRPr="006851B7">
              <w:rPr>
                <w:rStyle w:val="Hyperlink"/>
                <w:noProof/>
                <w:sz w:val="24"/>
              </w:rPr>
              <w:t>2.4.</w:t>
            </w:r>
            <w:r w:rsidR="006851B7" w:rsidRPr="006851B7">
              <w:rPr>
                <w:rFonts w:asciiTheme="minorHAnsi" w:eastAsiaTheme="minorEastAsia" w:hAnsiTheme="minorHAnsi" w:cstheme="minorBidi"/>
                <w:noProof/>
                <w:sz w:val="24"/>
              </w:rPr>
              <w:tab/>
            </w:r>
            <w:r w:rsidR="006851B7" w:rsidRPr="006851B7">
              <w:rPr>
                <w:rStyle w:val="Hyperlink"/>
                <w:noProof/>
                <w:sz w:val="24"/>
              </w:rPr>
              <w:t>Corporate Mission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79" w:history="1">
            <w:r w:rsidR="006851B7" w:rsidRPr="006851B7">
              <w:rPr>
                <w:rStyle w:val="Hyperlink"/>
                <w:noProof/>
                <w:sz w:val="24"/>
              </w:rPr>
              <w:t>2.5.</w:t>
            </w:r>
            <w:r w:rsidR="006851B7" w:rsidRPr="006851B7">
              <w:rPr>
                <w:rFonts w:asciiTheme="minorHAnsi" w:eastAsiaTheme="minorEastAsia" w:hAnsiTheme="minorHAnsi" w:cstheme="minorBidi"/>
                <w:noProof/>
                <w:sz w:val="24"/>
              </w:rPr>
              <w:tab/>
            </w:r>
            <w:r w:rsidR="006851B7" w:rsidRPr="006851B7">
              <w:rPr>
                <w:rStyle w:val="Hyperlink"/>
                <w:noProof/>
                <w:sz w:val="24"/>
              </w:rPr>
              <w:t>Core Values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_Toc523575979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6</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80" w:history="1">
            <w:r w:rsidR="006851B7" w:rsidRPr="006851B7">
              <w:rPr>
                <w:rStyle w:val="Hyperlink"/>
                <w:noProof/>
                <w:sz w:val="24"/>
              </w:rPr>
              <w:t>2.6.</w:t>
            </w:r>
            <w:r w:rsidR="006851B7" w:rsidRPr="006851B7">
              <w:rPr>
                <w:rFonts w:asciiTheme="minorHAnsi" w:eastAsiaTheme="minorEastAsia" w:hAnsiTheme="minorHAnsi" w:cstheme="minorBidi"/>
                <w:noProof/>
                <w:sz w:val="24"/>
              </w:rPr>
              <w:tab/>
            </w:r>
            <w:r w:rsidR="006851B7" w:rsidRPr="006851B7">
              <w:rPr>
                <w:rStyle w:val="Hyperlink"/>
                <w:noProof/>
                <w:sz w:val="24"/>
              </w:rPr>
              <w:t>Corporate Philosophy:</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6</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81" w:history="1">
            <w:r w:rsidR="006851B7" w:rsidRPr="006851B7">
              <w:rPr>
                <w:rStyle w:val="Hyperlink"/>
                <w:noProof/>
                <w:sz w:val="24"/>
              </w:rPr>
              <w:t>2.7.</w:t>
            </w:r>
            <w:r w:rsidR="006851B7" w:rsidRPr="006851B7">
              <w:rPr>
                <w:rFonts w:asciiTheme="minorHAnsi" w:eastAsiaTheme="minorEastAsia" w:hAnsiTheme="minorHAnsi" w:cstheme="minorBidi"/>
                <w:noProof/>
                <w:sz w:val="24"/>
              </w:rPr>
              <w:tab/>
            </w:r>
            <w:r w:rsidR="006851B7" w:rsidRPr="006851B7">
              <w:rPr>
                <w:rStyle w:val="Hyperlink"/>
                <w:noProof/>
                <w:sz w:val="24"/>
              </w:rPr>
              <w:t>Achievements of the Brac bank limited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7</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82" w:history="1">
            <w:r w:rsidR="006851B7" w:rsidRPr="006851B7">
              <w:rPr>
                <w:rStyle w:val="Hyperlink"/>
                <w:noProof/>
                <w:sz w:val="24"/>
              </w:rPr>
              <w:t>2.8.</w:t>
            </w:r>
            <w:r w:rsidR="006851B7" w:rsidRPr="006851B7">
              <w:rPr>
                <w:rFonts w:asciiTheme="minorHAnsi" w:eastAsiaTheme="minorEastAsia" w:hAnsiTheme="minorHAnsi" w:cstheme="minorBidi"/>
                <w:noProof/>
                <w:sz w:val="24"/>
              </w:rPr>
              <w:tab/>
            </w:r>
            <w:r w:rsidR="006851B7" w:rsidRPr="006851B7">
              <w:rPr>
                <w:rStyle w:val="Hyperlink"/>
                <w:noProof/>
                <w:sz w:val="24"/>
              </w:rPr>
              <w:t>Subsidiaries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7</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83" w:history="1">
            <w:r w:rsidR="006851B7" w:rsidRPr="006851B7">
              <w:rPr>
                <w:rStyle w:val="Hyperlink"/>
                <w:noProof/>
                <w:sz w:val="24"/>
              </w:rPr>
              <w:t>2.9.</w:t>
            </w:r>
            <w:r w:rsidR="006851B7" w:rsidRPr="006851B7">
              <w:rPr>
                <w:rFonts w:asciiTheme="minorHAnsi" w:eastAsiaTheme="minorEastAsia" w:hAnsiTheme="minorHAnsi" w:cstheme="minorBidi"/>
                <w:noProof/>
                <w:sz w:val="24"/>
              </w:rPr>
              <w:tab/>
            </w:r>
            <w:r w:rsidR="006851B7" w:rsidRPr="006851B7">
              <w:rPr>
                <w:rStyle w:val="Hyperlink"/>
                <w:noProof/>
                <w:sz w:val="24"/>
              </w:rPr>
              <w:t>Board of Directors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7</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5984" w:history="1">
            <w:r w:rsidR="006851B7" w:rsidRPr="006851B7">
              <w:rPr>
                <w:rStyle w:val="Hyperlink"/>
                <w:noProof/>
                <w:sz w:val="24"/>
              </w:rPr>
              <w:t>2.10.</w:t>
            </w:r>
            <w:r w:rsidR="006851B7" w:rsidRPr="006851B7">
              <w:rPr>
                <w:rFonts w:asciiTheme="minorHAnsi" w:eastAsiaTheme="minorEastAsia" w:hAnsiTheme="minorHAnsi" w:cstheme="minorBidi"/>
                <w:noProof/>
                <w:sz w:val="24"/>
              </w:rPr>
              <w:tab/>
            </w:r>
            <w:r w:rsidR="006851B7" w:rsidRPr="006851B7">
              <w:rPr>
                <w:rStyle w:val="Hyperlink"/>
                <w:noProof/>
                <w:sz w:val="24"/>
                <w:shd w:val="clear" w:color="auto" w:fill="FFFFFF"/>
              </w:rPr>
              <w:t>Shareholding Structure of Brac Bank Limited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_Toc523575984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8</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5985" w:history="1">
            <w:r w:rsidR="006851B7" w:rsidRPr="006851B7">
              <w:rPr>
                <w:rStyle w:val="Hyperlink"/>
                <w:rFonts w:ascii="Times New Roman" w:hAnsi="Times New Roman"/>
                <w:i/>
                <w:noProof/>
                <w:sz w:val="24"/>
              </w:rPr>
              <w:t>Chapter 3: Internship Experience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9</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87" w:history="1">
            <w:r w:rsidR="006851B7" w:rsidRPr="006851B7">
              <w:rPr>
                <w:rStyle w:val="Hyperlink"/>
                <w:noProof/>
                <w:sz w:val="24"/>
              </w:rPr>
              <w:t>3.1.</w:t>
            </w:r>
            <w:r w:rsidR="006851B7" w:rsidRPr="006851B7">
              <w:rPr>
                <w:rFonts w:asciiTheme="minorHAnsi" w:eastAsiaTheme="minorEastAsia" w:hAnsiTheme="minorHAnsi" w:cstheme="minorBidi"/>
                <w:noProof/>
                <w:sz w:val="24"/>
              </w:rPr>
              <w:tab/>
            </w:r>
            <w:r w:rsidR="006851B7" w:rsidRPr="006851B7">
              <w:rPr>
                <w:rStyle w:val="Hyperlink"/>
                <w:noProof/>
                <w:sz w:val="24"/>
              </w:rPr>
              <w:t>Lessons Learned from Internship</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10</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5988" w:history="1">
            <w:r w:rsidR="006851B7" w:rsidRPr="006851B7">
              <w:rPr>
                <w:rStyle w:val="Hyperlink"/>
                <w:rFonts w:ascii="Times New Roman" w:hAnsi="Times New Roman"/>
                <w:i/>
                <w:noProof/>
                <w:sz w:val="24"/>
              </w:rPr>
              <w:t>Chapter 4: Theoritical Disscussion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_Toc523575988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13</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0" w:history="1">
            <w:r w:rsidR="006851B7" w:rsidRPr="006851B7">
              <w:rPr>
                <w:rStyle w:val="Hyperlink"/>
                <w:noProof/>
                <w:sz w:val="24"/>
              </w:rPr>
              <w:t>4.1.</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Held for Trading (HFT)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14</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1" w:history="1">
            <w:r w:rsidR="006851B7" w:rsidRPr="006851B7">
              <w:rPr>
                <w:rStyle w:val="Hyperlink"/>
                <w:noProof/>
                <w:sz w:val="24"/>
              </w:rPr>
              <w:t>4.2.</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Held to Maturity (HTM)</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14</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2" w:history="1">
            <w:r w:rsidR="006851B7" w:rsidRPr="006851B7">
              <w:rPr>
                <w:rStyle w:val="Hyperlink"/>
                <w:noProof/>
                <w:sz w:val="24"/>
              </w:rPr>
              <w:t>4.3.</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Government Securities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14</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3" w:history="1">
            <w:r w:rsidR="006851B7" w:rsidRPr="006851B7">
              <w:rPr>
                <w:rStyle w:val="Hyperlink"/>
                <w:noProof/>
                <w:sz w:val="24"/>
              </w:rPr>
              <w:t>4.4.</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Treasury Bill</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14</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4" w:history="1">
            <w:r w:rsidR="006851B7" w:rsidRPr="006851B7">
              <w:rPr>
                <w:rStyle w:val="Hyperlink"/>
                <w:noProof/>
                <w:sz w:val="24"/>
              </w:rPr>
              <w:t>4.5.</w:t>
            </w:r>
            <w:r w:rsidR="006851B7" w:rsidRPr="006851B7">
              <w:rPr>
                <w:rFonts w:asciiTheme="minorHAnsi" w:eastAsiaTheme="minorEastAsia" w:hAnsiTheme="minorHAnsi" w:cstheme="minorBidi"/>
                <w:noProof/>
                <w:sz w:val="24"/>
              </w:rPr>
              <w:tab/>
            </w:r>
            <w:r w:rsidR="006851B7" w:rsidRPr="006851B7">
              <w:rPr>
                <w:rStyle w:val="Hyperlink"/>
                <w:noProof/>
                <w:sz w:val="24"/>
              </w:rPr>
              <w:t>Treasury bond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_Toc523575994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14</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5" w:history="1">
            <w:r w:rsidR="006851B7" w:rsidRPr="006851B7">
              <w:rPr>
                <w:rStyle w:val="Hyperlink"/>
                <w:noProof/>
                <w:sz w:val="24"/>
              </w:rPr>
              <w:t>4.6.</w:t>
            </w:r>
            <w:r w:rsidR="006851B7" w:rsidRPr="006851B7">
              <w:rPr>
                <w:rFonts w:asciiTheme="minorHAnsi" w:eastAsiaTheme="minorEastAsia" w:hAnsiTheme="minorHAnsi" w:cstheme="minorBidi"/>
                <w:noProof/>
                <w:sz w:val="24"/>
              </w:rPr>
              <w:tab/>
            </w:r>
            <w:r w:rsidR="006851B7" w:rsidRPr="006851B7">
              <w:rPr>
                <w:rStyle w:val="Hyperlink"/>
                <w:noProof/>
                <w:sz w:val="24"/>
              </w:rPr>
              <w:t>Ordinary Shares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6" w:history="1">
            <w:r w:rsidR="006851B7" w:rsidRPr="006851B7">
              <w:rPr>
                <w:rStyle w:val="Hyperlink"/>
                <w:noProof/>
                <w:sz w:val="24"/>
              </w:rPr>
              <w:t>4.7.</w:t>
            </w:r>
            <w:r w:rsidR="006851B7" w:rsidRPr="006851B7">
              <w:rPr>
                <w:rFonts w:asciiTheme="minorHAnsi" w:eastAsiaTheme="minorEastAsia" w:hAnsiTheme="minorHAnsi" w:cstheme="minorBidi"/>
                <w:noProof/>
                <w:sz w:val="24"/>
              </w:rPr>
              <w:tab/>
            </w:r>
            <w:r w:rsidR="006851B7" w:rsidRPr="006851B7">
              <w:rPr>
                <w:rStyle w:val="Hyperlink"/>
                <w:noProof/>
                <w:sz w:val="24"/>
              </w:rPr>
              <w:t>Preference Shares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_Toc523575996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7" w:history="1">
            <w:r w:rsidR="006851B7" w:rsidRPr="006851B7">
              <w:rPr>
                <w:rStyle w:val="Hyperlink"/>
                <w:noProof/>
                <w:sz w:val="24"/>
              </w:rPr>
              <w:t>4.8.</w:t>
            </w:r>
            <w:r w:rsidR="006851B7" w:rsidRPr="006851B7">
              <w:rPr>
                <w:rFonts w:asciiTheme="minorHAnsi" w:eastAsiaTheme="minorEastAsia" w:hAnsiTheme="minorHAnsi" w:cstheme="minorBidi"/>
                <w:noProof/>
                <w:sz w:val="24"/>
              </w:rPr>
              <w:tab/>
            </w:r>
            <w:r w:rsidR="006851B7" w:rsidRPr="006851B7">
              <w:rPr>
                <w:rStyle w:val="Hyperlink"/>
                <w:noProof/>
                <w:sz w:val="24"/>
              </w:rPr>
              <w:t>Commercial Paper</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15</w:t>
            </w:r>
            <w:r w:rsidR="006851B7" w:rsidRPr="006851B7">
              <w:rPr>
                <w:noProof/>
                <w:webHidden/>
                <w:sz w:val="24"/>
              </w:rPr>
              <w:fldChar w:fldCharType="end"/>
            </w:r>
          </w:hyperlink>
        </w:p>
        <w:p w:rsidR="006851B7" w:rsidRPr="006851B7" w:rsidRDefault="006A45AA" w:rsidP="006851B7">
          <w:pPr>
            <w:pStyle w:val="TOC2"/>
            <w:tabs>
              <w:tab w:val="left" w:pos="880"/>
              <w:tab w:val="right" w:leader="dot" w:pos="9017"/>
            </w:tabs>
            <w:spacing w:line="240" w:lineRule="auto"/>
            <w:rPr>
              <w:rFonts w:asciiTheme="minorHAnsi" w:eastAsiaTheme="minorEastAsia" w:hAnsiTheme="minorHAnsi" w:cstheme="minorBidi"/>
              <w:noProof/>
              <w:sz w:val="24"/>
            </w:rPr>
          </w:pPr>
          <w:hyperlink w:anchor="_Toc523575998" w:history="1">
            <w:r w:rsidR="006851B7" w:rsidRPr="006851B7">
              <w:rPr>
                <w:rStyle w:val="Hyperlink"/>
                <w:noProof/>
                <w:sz w:val="24"/>
              </w:rPr>
              <w:t>4.9.</w:t>
            </w:r>
            <w:r w:rsidR="006851B7" w:rsidRPr="006851B7">
              <w:rPr>
                <w:rFonts w:asciiTheme="minorHAnsi" w:eastAsiaTheme="minorEastAsia" w:hAnsiTheme="minorHAnsi" w:cstheme="minorBidi"/>
                <w:noProof/>
                <w:sz w:val="24"/>
              </w:rPr>
              <w:tab/>
            </w:r>
            <w:r w:rsidR="006851B7" w:rsidRPr="006851B7">
              <w:rPr>
                <w:rStyle w:val="Hyperlink"/>
                <w:noProof/>
                <w:sz w:val="24"/>
              </w:rPr>
              <w:t>Secondary market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15</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5999" w:history="1">
            <w:r w:rsidR="006851B7" w:rsidRPr="006851B7">
              <w:rPr>
                <w:rStyle w:val="Hyperlink"/>
                <w:noProof/>
                <w:sz w:val="24"/>
              </w:rPr>
              <w:t>4.10.</w:t>
            </w:r>
            <w:r w:rsidR="006851B7" w:rsidRPr="006851B7">
              <w:rPr>
                <w:rFonts w:asciiTheme="minorHAnsi" w:eastAsiaTheme="minorEastAsia" w:hAnsiTheme="minorHAnsi" w:cstheme="minorBidi"/>
                <w:noProof/>
                <w:sz w:val="24"/>
              </w:rPr>
              <w:tab/>
            </w:r>
            <w:r w:rsidR="006851B7" w:rsidRPr="006851B7">
              <w:rPr>
                <w:rStyle w:val="Hyperlink"/>
                <w:noProof/>
                <w:sz w:val="24"/>
              </w:rPr>
              <w:t>Initial public offering (IPO)</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_Toc523575999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15</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6000" w:history="1">
            <w:r w:rsidR="006851B7" w:rsidRPr="006851B7">
              <w:rPr>
                <w:rStyle w:val="Hyperlink"/>
                <w:noProof/>
                <w:sz w:val="24"/>
              </w:rPr>
              <w:t>4.11.</w:t>
            </w:r>
            <w:r w:rsidR="006851B7" w:rsidRPr="006851B7">
              <w:rPr>
                <w:rFonts w:asciiTheme="minorHAnsi" w:eastAsiaTheme="minorEastAsia" w:hAnsiTheme="minorHAnsi" w:cstheme="minorBidi"/>
                <w:noProof/>
                <w:sz w:val="24"/>
              </w:rPr>
              <w:tab/>
            </w:r>
            <w:r w:rsidR="006851B7" w:rsidRPr="006851B7">
              <w:rPr>
                <w:rStyle w:val="Hyperlink"/>
                <w:noProof/>
                <w:sz w:val="24"/>
              </w:rPr>
              <w:t>Capital Market Investment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15</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6001" w:history="1">
            <w:r w:rsidR="006851B7" w:rsidRPr="006851B7">
              <w:rPr>
                <w:rStyle w:val="Hyperlink"/>
                <w:i/>
                <w:noProof/>
                <w:sz w:val="24"/>
              </w:rPr>
              <w:t>Chapter 5: Analysis &amp; Compliance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16</w:t>
            </w:r>
            <w:r w:rsidR="006851B7" w:rsidRPr="006851B7">
              <w:rPr>
                <w:noProof/>
                <w:webHidden/>
                <w:sz w:val="24"/>
              </w:rPr>
              <w:fldChar w:fldCharType="end"/>
            </w:r>
          </w:hyperlink>
        </w:p>
        <w:p w:rsidR="006851B7" w:rsidRPr="006851B7" w:rsidRDefault="006A45AA" w:rsidP="006851B7">
          <w:pPr>
            <w:pStyle w:val="TOC1"/>
            <w:tabs>
              <w:tab w:val="left" w:pos="660"/>
              <w:tab w:val="right" w:leader="dot" w:pos="9017"/>
            </w:tabs>
            <w:spacing w:line="240" w:lineRule="auto"/>
            <w:rPr>
              <w:rFonts w:asciiTheme="minorHAnsi" w:eastAsiaTheme="minorEastAsia" w:hAnsiTheme="minorHAnsi" w:cstheme="minorBidi"/>
              <w:noProof/>
              <w:sz w:val="24"/>
            </w:rPr>
          </w:pPr>
          <w:hyperlink w:anchor="_Toc523576002" w:history="1">
            <w:r w:rsidR="006851B7" w:rsidRPr="006851B7">
              <w:rPr>
                <w:rStyle w:val="Hyperlink"/>
                <w:rFonts w:ascii="Times New Roman" w:hAnsi="Times New Roman"/>
                <w:noProof/>
                <w:sz w:val="24"/>
              </w:rPr>
              <w:t>5.1.</w:t>
            </w:r>
            <w:r w:rsidR="006851B7" w:rsidRPr="006851B7">
              <w:rPr>
                <w:rFonts w:asciiTheme="minorHAnsi" w:eastAsiaTheme="minorEastAsia" w:hAnsiTheme="minorHAnsi" w:cstheme="minorBidi"/>
                <w:noProof/>
                <w:sz w:val="24"/>
              </w:rPr>
              <w:tab/>
            </w:r>
            <w:r w:rsidR="006851B7" w:rsidRPr="006851B7">
              <w:rPr>
                <w:rStyle w:val="Hyperlink"/>
                <w:rFonts w:ascii="Times New Roman" w:hAnsi="Times New Roman"/>
                <w:noProof/>
                <w:sz w:val="24"/>
              </w:rPr>
              <w:t>Analysis as per Classification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17</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6003" w:history="1">
            <w:r w:rsidR="006851B7" w:rsidRPr="006851B7">
              <w:rPr>
                <w:rStyle w:val="Hyperlink"/>
                <w:noProof/>
                <w:sz w:val="24"/>
              </w:rPr>
              <w:t>5.1.1.</w:t>
            </w:r>
            <w:r w:rsidR="006851B7" w:rsidRPr="006851B7">
              <w:rPr>
                <w:rFonts w:asciiTheme="minorHAnsi" w:eastAsiaTheme="minorEastAsia" w:hAnsiTheme="minorHAnsi" w:cstheme="minorBidi"/>
                <w:noProof/>
                <w:sz w:val="24"/>
              </w:rPr>
              <w:tab/>
            </w:r>
            <w:r w:rsidR="006851B7" w:rsidRPr="006851B7">
              <w:rPr>
                <w:rStyle w:val="Hyperlink"/>
                <w:noProof/>
                <w:sz w:val="24"/>
              </w:rPr>
              <w:t>Investment Classified as per Bangladesh Bank Circular</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17</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04" w:history="1">
            <w:r w:rsidR="006851B7" w:rsidRPr="006851B7">
              <w:rPr>
                <w:rStyle w:val="Hyperlink"/>
                <w:noProof/>
                <w:sz w:val="24"/>
              </w:rPr>
              <w:t>5.1.1.1.</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Held for Trading (HFT)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_Toc523576004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17</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05" w:history="1">
            <w:r w:rsidR="006851B7" w:rsidRPr="006851B7">
              <w:rPr>
                <w:rStyle w:val="Hyperlink"/>
                <w:noProof/>
                <w:sz w:val="24"/>
              </w:rPr>
              <w:t>5.1.1.2.</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Held to Maturity (HTM)</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18</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06" w:history="1">
            <w:r w:rsidR="006851B7" w:rsidRPr="006851B7">
              <w:rPr>
                <w:rStyle w:val="Hyperlink"/>
                <w:noProof/>
                <w:sz w:val="24"/>
              </w:rPr>
              <w:t>5.1.1.3.</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Other Securities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_Toc523576006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18</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6007" w:history="1">
            <w:r w:rsidR="006851B7" w:rsidRPr="006851B7">
              <w:rPr>
                <w:rStyle w:val="Hyperlink"/>
                <w:noProof/>
                <w:sz w:val="24"/>
              </w:rPr>
              <w:t>5.1.2.</w:t>
            </w:r>
            <w:r w:rsidR="006851B7" w:rsidRPr="006851B7">
              <w:rPr>
                <w:rFonts w:asciiTheme="minorHAnsi" w:eastAsiaTheme="minorEastAsia" w:hAnsiTheme="minorHAnsi" w:cstheme="minorBidi"/>
                <w:noProof/>
                <w:sz w:val="24"/>
              </w:rPr>
              <w:tab/>
            </w:r>
            <w:r w:rsidR="006851B7" w:rsidRPr="006851B7">
              <w:rPr>
                <w:rStyle w:val="Hyperlink"/>
                <w:noProof/>
                <w:sz w:val="24"/>
              </w:rPr>
              <w:t>Investments Classified Generally</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19</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08" w:history="1">
            <w:r w:rsidR="006851B7" w:rsidRPr="006851B7">
              <w:rPr>
                <w:rStyle w:val="Hyperlink"/>
                <w:noProof/>
                <w:sz w:val="24"/>
              </w:rPr>
              <w:t>5.1.2.1.</w:t>
            </w:r>
            <w:r w:rsidR="006851B7" w:rsidRPr="006851B7">
              <w:rPr>
                <w:rFonts w:asciiTheme="minorHAnsi" w:eastAsiaTheme="minorEastAsia" w:hAnsiTheme="minorHAnsi" w:cstheme="minorBidi"/>
                <w:noProof/>
                <w:sz w:val="24"/>
              </w:rPr>
              <w:tab/>
            </w:r>
            <w:r w:rsidR="006851B7" w:rsidRPr="006851B7">
              <w:rPr>
                <w:rStyle w:val="Hyperlink"/>
                <w:noProof/>
                <w:sz w:val="24"/>
              </w:rPr>
              <w:t>Investment in Government Securities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19</w:t>
            </w:r>
            <w:r w:rsidR="006851B7" w:rsidRPr="006851B7">
              <w:rPr>
                <w:noProof/>
                <w:webHidden/>
                <w:sz w:val="24"/>
              </w:rPr>
              <w:fldChar w:fldCharType="end"/>
            </w:r>
          </w:hyperlink>
        </w:p>
        <w:p w:rsidR="006851B7" w:rsidRPr="006851B7" w:rsidRDefault="006A45AA" w:rsidP="006851B7">
          <w:pPr>
            <w:pStyle w:val="TOC3"/>
            <w:tabs>
              <w:tab w:val="right" w:leader="dot" w:pos="9017"/>
            </w:tabs>
            <w:spacing w:line="240" w:lineRule="auto"/>
            <w:rPr>
              <w:rFonts w:asciiTheme="minorHAnsi" w:eastAsiaTheme="minorEastAsia" w:hAnsiTheme="minorHAnsi" w:cstheme="minorBidi"/>
              <w:noProof/>
              <w:sz w:val="24"/>
            </w:rPr>
          </w:pPr>
          <w:hyperlink w:anchor="_Toc523576009" w:history="1">
            <w:r w:rsidR="006851B7" w:rsidRPr="006851B7">
              <w:rPr>
                <w:rStyle w:val="Hyperlink"/>
                <w:noProof/>
                <w:sz w:val="24"/>
              </w:rPr>
              <w:t>Treasury Bond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_Toc523576009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27</w:t>
            </w:r>
            <w:r w:rsidR="006851B7" w:rsidRPr="006851B7">
              <w:rPr>
                <w:noProof/>
                <w:webHidden/>
                <w:sz w:val="24"/>
              </w:rPr>
              <w:fldChar w:fldCharType="end"/>
            </w:r>
          </w:hyperlink>
        </w:p>
        <w:p w:rsidR="006851B7" w:rsidRPr="006851B7" w:rsidRDefault="006A45AA" w:rsidP="006851B7">
          <w:pPr>
            <w:pStyle w:val="TOC3"/>
            <w:tabs>
              <w:tab w:val="right" w:leader="dot" w:pos="9017"/>
            </w:tabs>
            <w:spacing w:line="240" w:lineRule="auto"/>
            <w:rPr>
              <w:rFonts w:asciiTheme="minorHAnsi" w:eastAsiaTheme="minorEastAsia" w:hAnsiTheme="minorHAnsi" w:cstheme="minorBidi"/>
              <w:noProof/>
              <w:sz w:val="24"/>
            </w:rPr>
          </w:pPr>
          <w:hyperlink w:anchor="_Toc523576010" w:history="1">
            <w:r w:rsidR="006851B7" w:rsidRPr="006851B7">
              <w:rPr>
                <w:rStyle w:val="Hyperlink"/>
                <w:noProof/>
                <w:sz w:val="24"/>
              </w:rPr>
              <w:t>Prize bond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33</w:t>
            </w:r>
            <w:r w:rsidR="006851B7" w:rsidRPr="006851B7">
              <w:rPr>
                <w:noProof/>
                <w:webHidden/>
                <w:sz w:val="24"/>
              </w:rPr>
              <w:fldChar w:fldCharType="end"/>
            </w:r>
          </w:hyperlink>
        </w:p>
        <w:p w:rsidR="006851B7" w:rsidRPr="006851B7" w:rsidRDefault="006A45AA" w:rsidP="006851B7">
          <w:pPr>
            <w:pStyle w:val="TOC2"/>
            <w:tabs>
              <w:tab w:val="right" w:leader="dot" w:pos="9017"/>
            </w:tabs>
            <w:spacing w:line="240" w:lineRule="auto"/>
            <w:rPr>
              <w:rFonts w:asciiTheme="minorHAnsi" w:eastAsiaTheme="minorEastAsia" w:hAnsiTheme="minorHAnsi" w:cstheme="minorBidi"/>
              <w:noProof/>
              <w:sz w:val="24"/>
            </w:rPr>
          </w:pPr>
          <w:hyperlink w:anchor="_Toc523576011" w:history="1">
            <w:r w:rsidR="006851B7" w:rsidRPr="006851B7">
              <w:rPr>
                <w:rStyle w:val="Hyperlink"/>
                <w:noProof/>
                <w:sz w:val="24"/>
              </w:rPr>
              <w:t>Other Investment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34</w:t>
            </w:r>
            <w:r w:rsidR="006851B7" w:rsidRPr="006851B7">
              <w:rPr>
                <w:noProof/>
                <w:webHidden/>
                <w:sz w:val="24"/>
              </w:rPr>
              <w:fldChar w:fldCharType="end"/>
            </w:r>
          </w:hyperlink>
        </w:p>
        <w:p w:rsidR="006851B7" w:rsidRPr="006851B7" w:rsidRDefault="006A45AA" w:rsidP="006851B7">
          <w:pPr>
            <w:pStyle w:val="TOC3"/>
            <w:tabs>
              <w:tab w:val="right" w:leader="dot" w:pos="9017"/>
            </w:tabs>
            <w:spacing w:line="240" w:lineRule="auto"/>
            <w:rPr>
              <w:rFonts w:asciiTheme="minorHAnsi" w:eastAsiaTheme="minorEastAsia" w:hAnsiTheme="minorHAnsi" w:cstheme="minorBidi"/>
              <w:noProof/>
              <w:sz w:val="24"/>
            </w:rPr>
          </w:pPr>
          <w:hyperlink w:anchor="_Toc523576012" w:history="1">
            <w:r w:rsidR="006851B7" w:rsidRPr="006851B7">
              <w:rPr>
                <w:rStyle w:val="Hyperlink"/>
                <w:noProof/>
                <w:sz w:val="24"/>
              </w:rPr>
              <w:t>Investment in Ordinary Shares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35</w:t>
            </w:r>
            <w:r w:rsidR="006851B7" w:rsidRPr="006851B7">
              <w:rPr>
                <w:noProof/>
                <w:webHidden/>
                <w:sz w:val="24"/>
              </w:rPr>
              <w:fldChar w:fldCharType="end"/>
            </w:r>
          </w:hyperlink>
        </w:p>
        <w:p w:rsidR="006851B7" w:rsidRPr="006851B7" w:rsidRDefault="006A45AA" w:rsidP="006851B7">
          <w:pPr>
            <w:pStyle w:val="TOC3"/>
            <w:tabs>
              <w:tab w:val="right" w:leader="dot" w:pos="9017"/>
            </w:tabs>
            <w:spacing w:line="240" w:lineRule="auto"/>
            <w:rPr>
              <w:rFonts w:asciiTheme="minorHAnsi" w:eastAsiaTheme="minorEastAsia" w:hAnsiTheme="minorHAnsi" w:cstheme="minorBidi"/>
              <w:noProof/>
              <w:sz w:val="24"/>
            </w:rPr>
          </w:pPr>
          <w:hyperlink w:anchor="_Toc523576013" w:history="1">
            <w:r w:rsidR="006851B7" w:rsidRPr="006851B7">
              <w:rPr>
                <w:rStyle w:val="Hyperlink"/>
                <w:noProof/>
                <w:sz w:val="24"/>
              </w:rPr>
              <w:t>Investment in Secondary Market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36</w:t>
            </w:r>
            <w:r w:rsidR="006851B7" w:rsidRPr="006851B7">
              <w:rPr>
                <w:noProof/>
                <w:webHidden/>
                <w:sz w:val="24"/>
              </w:rPr>
              <w:fldChar w:fldCharType="end"/>
            </w:r>
          </w:hyperlink>
        </w:p>
        <w:p w:rsidR="006851B7" w:rsidRPr="006851B7" w:rsidRDefault="006A45AA" w:rsidP="006851B7">
          <w:pPr>
            <w:pStyle w:val="TOC3"/>
            <w:tabs>
              <w:tab w:val="right" w:leader="dot" w:pos="9017"/>
            </w:tabs>
            <w:spacing w:line="240" w:lineRule="auto"/>
            <w:rPr>
              <w:rFonts w:asciiTheme="minorHAnsi" w:eastAsiaTheme="minorEastAsia" w:hAnsiTheme="minorHAnsi" w:cstheme="minorBidi"/>
              <w:noProof/>
              <w:sz w:val="24"/>
            </w:rPr>
          </w:pPr>
          <w:hyperlink w:anchor="_Toc523576014" w:history="1">
            <w:r w:rsidR="006851B7" w:rsidRPr="006851B7">
              <w:rPr>
                <w:rStyle w:val="Hyperlink"/>
                <w:noProof/>
                <w:sz w:val="24"/>
              </w:rPr>
              <w:t>Preference Share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_Toc523576014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37</w:t>
            </w:r>
            <w:r w:rsidR="006851B7" w:rsidRPr="006851B7">
              <w:rPr>
                <w:noProof/>
                <w:webHidden/>
                <w:sz w:val="24"/>
              </w:rPr>
              <w:fldChar w:fldCharType="end"/>
            </w:r>
          </w:hyperlink>
        </w:p>
        <w:p w:rsidR="006851B7" w:rsidRPr="006851B7" w:rsidRDefault="006A45AA" w:rsidP="006851B7">
          <w:pPr>
            <w:pStyle w:val="TOC3"/>
            <w:tabs>
              <w:tab w:val="right" w:leader="dot" w:pos="9017"/>
            </w:tabs>
            <w:spacing w:line="240" w:lineRule="auto"/>
            <w:rPr>
              <w:rFonts w:asciiTheme="minorHAnsi" w:eastAsiaTheme="minorEastAsia" w:hAnsiTheme="minorHAnsi" w:cstheme="minorBidi"/>
              <w:noProof/>
              <w:sz w:val="24"/>
            </w:rPr>
          </w:pPr>
          <w:hyperlink w:anchor="_Toc523576015" w:history="1">
            <w:r w:rsidR="006851B7" w:rsidRPr="006851B7">
              <w:rPr>
                <w:rStyle w:val="Hyperlink"/>
                <w:noProof/>
                <w:sz w:val="24"/>
              </w:rPr>
              <w:t>Bond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38</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6016" w:history="1">
            <w:r w:rsidR="006851B7" w:rsidRPr="006851B7">
              <w:rPr>
                <w:rStyle w:val="Hyperlink"/>
                <w:noProof/>
                <w:sz w:val="24"/>
              </w:rPr>
              <w:t>5.1.3.</w:t>
            </w:r>
            <w:r w:rsidR="006851B7" w:rsidRPr="006851B7">
              <w:rPr>
                <w:rFonts w:asciiTheme="minorHAnsi" w:eastAsiaTheme="minorEastAsia" w:hAnsiTheme="minorHAnsi" w:cstheme="minorBidi"/>
                <w:noProof/>
                <w:sz w:val="24"/>
              </w:rPr>
              <w:tab/>
            </w:r>
            <w:r w:rsidR="006851B7" w:rsidRPr="006851B7">
              <w:rPr>
                <w:rStyle w:val="Hyperlink"/>
                <w:noProof/>
                <w:sz w:val="24"/>
              </w:rPr>
              <w:t>Maturitywise Classification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_Toc523576016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39</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17" w:history="1">
            <w:r w:rsidR="006851B7" w:rsidRPr="006851B7">
              <w:rPr>
                <w:rStyle w:val="Hyperlink"/>
                <w:noProof/>
                <w:sz w:val="24"/>
              </w:rPr>
              <w:t>5.1.3.1.</w:t>
            </w:r>
            <w:r w:rsidR="006851B7" w:rsidRPr="006851B7">
              <w:rPr>
                <w:rFonts w:asciiTheme="minorHAnsi" w:eastAsiaTheme="minorEastAsia" w:hAnsiTheme="minorHAnsi" w:cstheme="minorBidi"/>
                <w:noProof/>
                <w:sz w:val="24"/>
              </w:rPr>
              <w:tab/>
            </w:r>
            <w:r w:rsidR="006851B7" w:rsidRPr="006851B7">
              <w:rPr>
                <w:rStyle w:val="Hyperlink"/>
                <w:noProof/>
                <w:sz w:val="24"/>
              </w:rPr>
              <w:t>Upto 1 month</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39</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18" w:history="1">
            <w:r w:rsidR="006851B7" w:rsidRPr="006851B7">
              <w:rPr>
                <w:rStyle w:val="Hyperlink"/>
                <w:noProof/>
                <w:sz w:val="24"/>
              </w:rPr>
              <w:t>5.1.3.2.</w:t>
            </w:r>
            <w:r w:rsidR="006851B7" w:rsidRPr="006851B7">
              <w:rPr>
                <w:rFonts w:asciiTheme="minorHAnsi" w:eastAsiaTheme="minorEastAsia" w:hAnsiTheme="minorHAnsi" w:cstheme="minorBidi"/>
                <w:noProof/>
                <w:sz w:val="24"/>
              </w:rPr>
              <w:tab/>
            </w:r>
            <w:r w:rsidR="006851B7" w:rsidRPr="006851B7">
              <w:rPr>
                <w:rStyle w:val="Hyperlink"/>
                <w:noProof/>
                <w:sz w:val="24"/>
              </w:rPr>
              <w:t>More than 1 to 3 months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40</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19" w:history="1">
            <w:r w:rsidR="006851B7" w:rsidRPr="006851B7">
              <w:rPr>
                <w:rStyle w:val="Hyperlink"/>
                <w:noProof/>
                <w:sz w:val="24"/>
              </w:rPr>
              <w:t>5.1.3.3.</w:t>
            </w:r>
            <w:r w:rsidR="006851B7" w:rsidRPr="006851B7">
              <w:rPr>
                <w:rFonts w:asciiTheme="minorHAnsi" w:eastAsiaTheme="minorEastAsia" w:hAnsiTheme="minorHAnsi" w:cstheme="minorBidi"/>
                <w:noProof/>
                <w:sz w:val="24"/>
              </w:rPr>
              <w:tab/>
            </w:r>
            <w:r w:rsidR="006851B7" w:rsidRPr="006851B7">
              <w:rPr>
                <w:rStyle w:val="Hyperlink"/>
                <w:noProof/>
                <w:sz w:val="24"/>
              </w:rPr>
              <w:t>More than 3 months to 1 year</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_Toc523576019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41</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0" w:history="1">
            <w:r w:rsidR="006851B7" w:rsidRPr="006851B7">
              <w:rPr>
                <w:rStyle w:val="Hyperlink"/>
                <w:noProof/>
                <w:sz w:val="24"/>
              </w:rPr>
              <w:t>5.1.3.4.</w:t>
            </w:r>
            <w:r w:rsidR="006851B7" w:rsidRPr="006851B7">
              <w:rPr>
                <w:rFonts w:asciiTheme="minorHAnsi" w:eastAsiaTheme="minorEastAsia" w:hAnsiTheme="minorHAnsi" w:cstheme="minorBidi"/>
                <w:noProof/>
                <w:sz w:val="24"/>
              </w:rPr>
              <w:tab/>
            </w:r>
            <w:r w:rsidR="006851B7" w:rsidRPr="006851B7">
              <w:rPr>
                <w:rStyle w:val="Hyperlink"/>
                <w:noProof/>
                <w:sz w:val="24"/>
              </w:rPr>
              <w:t>1 year to 5 years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41</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1" w:history="1">
            <w:r w:rsidR="006851B7" w:rsidRPr="006851B7">
              <w:rPr>
                <w:rStyle w:val="Hyperlink"/>
                <w:noProof/>
                <w:sz w:val="24"/>
              </w:rPr>
              <w:t>5.1.3.5.</w:t>
            </w:r>
            <w:r w:rsidR="006851B7" w:rsidRPr="006851B7">
              <w:rPr>
                <w:rFonts w:asciiTheme="minorHAnsi" w:eastAsiaTheme="minorEastAsia" w:hAnsiTheme="minorHAnsi" w:cstheme="minorBidi"/>
                <w:noProof/>
                <w:sz w:val="24"/>
              </w:rPr>
              <w:tab/>
            </w:r>
            <w:r w:rsidR="006851B7" w:rsidRPr="006851B7">
              <w:rPr>
                <w:rStyle w:val="Hyperlink"/>
                <w:noProof/>
                <w:sz w:val="24"/>
              </w:rPr>
              <w:t>More than 5 years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42</w:t>
            </w:r>
            <w:r w:rsidR="006851B7" w:rsidRPr="006851B7">
              <w:rPr>
                <w:noProof/>
                <w:webHidden/>
                <w:sz w:val="24"/>
              </w:rPr>
              <w:fldChar w:fldCharType="end"/>
            </w:r>
          </w:hyperlink>
        </w:p>
        <w:p w:rsidR="006851B7" w:rsidRPr="006851B7" w:rsidRDefault="006A45AA" w:rsidP="006851B7">
          <w:pPr>
            <w:pStyle w:val="TOC2"/>
            <w:tabs>
              <w:tab w:val="left" w:pos="1100"/>
              <w:tab w:val="right" w:leader="dot" w:pos="9017"/>
            </w:tabs>
            <w:spacing w:line="240" w:lineRule="auto"/>
            <w:rPr>
              <w:rFonts w:asciiTheme="minorHAnsi" w:eastAsiaTheme="minorEastAsia" w:hAnsiTheme="minorHAnsi" w:cstheme="minorBidi"/>
              <w:noProof/>
              <w:sz w:val="24"/>
            </w:rPr>
          </w:pPr>
          <w:hyperlink w:anchor="_Toc523576022" w:history="1">
            <w:r w:rsidR="006851B7" w:rsidRPr="006851B7">
              <w:rPr>
                <w:rStyle w:val="Hyperlink"/>
                <w:noProof/>
                <w:sz w:val="24"/>
              </w:rPr>
              <w:t>5.1.4.</w:t>
            </w:r>
            <w:r w:rsidR="006851B7" w:rsidRPr="006851B7">
              <w:rPr>
                <w:rFonts w:asciiTheme="minorHAnsi" w:eastAsiaTheme="minorEastAsia" w:hAnsiTheme="minorHAnsi" w:cstheme="minorBidi"/>
                <w:noProof/>
                <w:sz w:val="24"/>
              </w:rPr>
              <w:tab/>
            </w:r>
            <w:r w:rsidR="006851B7" w:rsidRPr="006851B7">
              <w:rPr>
                <w:rStyle w:val="Hyperlink"/>
                <w:noProof/>
                <w:sz w:val="24"/>
              </w:rPr>
              <w:t>Invesment in Subsidiary</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43</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3" w:history="1">
            <w:r w:rsidR="006851B7" w:rsidRPr="006851B7">
              <w:rPr>
                <w:rStyle w:val="Hyperlink"/>
                <w:noProof/>
                <w:sz w:val="24"/>
              </w:rPr>
              <w:t>5.1.4.1.</w:t>
            </w:r>
            <w:r w:rsidR="006851B7" w:rsidRPr="006851B7">
              <w:rPr>
                <w:rFonts w:asciiTheme="minorHAnsi" w:eastAsiaTheme="minorEastAsia" w:hAnsiTheme="minorHAnsi" w:cstheme="minorBidi"/>
                <w:noProof/>
                <w:sz w:val="24"/>
              </w:rPr>
              <w:tab/>
            </w:r>
            <w:r w:rsidR="006851B7" w:rsidRPr="006851B7">
              <w:rPr>
                <w:rStyle w:val="Hyperlink"/>
                <w:noProof/>
                <w:sz w:val="24"/>
              </w:rPr>
              <w:t>BRAC EPL Investment Ltd.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44</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4" w:history="1">
            <w:r w:rsidR="006851B7" w:rsidRPr="006851B7">
              <w:rPr>
                <w:rStyle w:val="Hyperlink"/>
                <w:noProof/>
                <w:sz w:val="24"/>
              </w:rPr>
              <w:t>5.1.4.2.</w:t>
            </w:r>
            <w:r w:rsidR="006851B7" w:rsidRPr="006851B7">
              <w:rPr>
                <w:rFonts w:asciiTheme="minorHAnsi" w:eastAsiaTheme="minorEastAsia" w:hAnsiTheme="minorHAnsi" w:cstheme="minorBidi"/>
                <w:noProof/>
                <w:sz w:val="24"/>
              </w:rPr>
              <w:tab/>
            </w:r>
            <w:r w:rsidR="006851B7" w:rsidRPr="006851B7">
              <w:rPr>
                <w:rStyle w:val="Hyperlink"/>
                <w:noProof/>
                <w:sz w:val="24"/>
              </w:rPr>
              <w:t>BRAC EPL Stock Brokerage Ltd.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_Toc523576024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45</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5" w:history="1">
            <w:r w:rsidR="006851B7" w:rsidRPr="006851B7">
              <w:rPr>
                <w:rStyle w:val="Hyperlink"/>
                <w:noProof/>
                <w:sz w:val="24"/>
              </w:rPr>
              <w:t>5.1.4.3.</w:t>
            </w:r>
            <w:r w:rsidR="006851B7" w:rsidRPr="006851B7">
              <w:rPr>
                <w:rFonts w:asciiTheme="minorHAnsi" w:eastAsiaTheme="minorEastAsia" w:hAnsiTheme="minorHAnsi" w:cstheme="minorBidi"/>
                <w:noProof/>
                <w:sz w:val="24"/>
              </w:rPr>
              <w:tab/>
            </w:r>
            <w:r w:rsidR="006851B7" w:rsidRPr="006851B7">
              <w:rPr>
                <w:rStyle w:val="Hyperlink"/>
                <w:noProof/>
                <w:sz w:val="24"/>
              </w:rPr>
              <w:t>B-kash Ltd.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45</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6" w:history="1">
            <w:r w:rsidR="006851B7" w:rsidRPr="006851B7">
              <w:rPr>
                <w:rStyle w:val="Hyperlink"/>
                <w:noProof/>
                <w:sz w:val="24"/>
              </w:rPr>
              <w:t>5.1.4.4.</w:t>
            </w:r>
            <w:r w:rsidR="006851B7" w:rsidRPr="006851B7">
              <w:rPr>
                <w:rFonts w:asciiTheme="minorHAnsi" w:eastAsiaTheme="minorEastAsia" w:hAnsiTheme="minorHAnsi" w:cstheme="minorBidi"/>
                <w:noProof/>
                <w:sz w:val="24"/>
              </w:rPr>
              <w:tab/>
            </w:r>
            <w:r w:rsidR="006851B7" w:rsidRPr="006851B7">
              <w:rPr>
                <w:rStyle w:val="Hyperlink"/>
                <w:noProof/>
                <w:sz w:val="24"/>
              </w:rPr>
              <w:t>BRAC Saajan Ltd.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_Toc523576026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46</w:t>
            </w:r>
            <w:r w:rsidR="006851B7" w:rsidRPr="006851B7">
              <w:rPr>
                <w:noProof/>
                <w:webHidden/>
                <w:sz w:val="24"/>
              </w:rPr>
              <w:fldChar w:fldCharType="end"/>
            </w:r>
          </w:hyperlink>
        </w:p>
        <w:p w:rsidR="006851B7" w:rsidRPr="006851B7" w:rsidRDefault="006A45AA" w:rsidP="006851B7">
          <w:pPr>
            <w:pStyle w:val="TOC3"/>
            <w:tabs>
              <w:tab w:val="left" w:pos="1540"/>
              <w:tab w:val="right" w:leader="dot" w:pos="9017"/>
            </w:tabs>
            <w:spacing w:line="240" w:lineRule="auto"/>
            <w:rPr>
              <w:rFonts w:asciiTheme="minorHAnsi" w:eastAsiaTheme="minorEastAsia" w:hAnsiTheme="minorHAnsi" w:cstheme="minorBidi"/>
              <w:noProof/>
              <w:sz w:val="24"/>
            </w:rPr>
          </w:pPr>
          <w:hyperlink w:anchor="_Toc523576027" w:history="1">
            <w:r w:rsidR="006851B7" w:rsidRPr="006851B7">
              <w:rPr>
                <w:rStyle w:val="Hyperlink"/>
                <w:noProof/>
                <w:sz w:val="24"/>
              </w:rPr>
              <w:t>5.1.4.5.</w:t>
            </w:r>
            <w:r w:rsidR="006851B7" w:rsidRPr="006851B7">
              <w:rPr>
                <w:rFonts w:asciiTheme="minorHAnsi" w:eastAsiaTheme="minorEastAsia" w:hAnsiTheme="minorHAnsi" w:cstheme="minorBidi"/>
                <w:noProof/>
                <w:sz w:val="24"/>
              </w:rPr>
              <w:tab/>
            </w:r>
            <w:r w:rsidR="006851B7" w:rsidRPr="006851B7">
              <w:rPr>
                <w:rStyle w:val="Hyperlink"/>
                <w:noProof/>
                <w:sz w:val="24"/>
              </w:rPr>
              <w:t>BRAC IT Services Ltd.</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47</w:t>
            </w:r>
            <w:r w:rsidR="006851B7" w:rsidRPr="006851B7">
              <w:rPr>
                <w:noProof/>
                <w:webHidden/>
                <w:sz w:val="24"/>
              </w:rPr>
              <w:fldChar w:fldCharType="end"/>
            </w:r>
          </w:hyperlink>
        </w:p>
        <w:p w:rsidR="006851B7" w:rsidRPr="006851B7" w:rsidRDefault="006A45AA" w:rsidP="006851B7">
          <w:pPr>
            <w:pStyle w:val="TOC1"/>
            <w:tabs>
              <w:tab w:val="left" w:pos="660"/>
              <w:tab w:val="right" w:leader="dot" w:pos="9017"/>
            </w:tabs>
            <w:spacing w:line="240" w:lineRule="auto"/>
            <w:rPr>
              <w:rFonts w:asciiTheme="minorHAnsi" w:eastAsiaTheme="minorEastAsia" w:hAnsiTheme="minorHAnsi" w:cstheme="minorBidi"/>
              <w:noProof/>
              <w:sz w:val="24"/>
            </w:rPr>
          </w:pPr>
          <w:hyperlink w:anchor="_Toc523576028" w:history="1">
            <w:r w:rsidR="006851B7" w:rsidRPr="006851B7">
              <w:rPr>
                <w:rStyle w:val="Hyperlink"/>
                <w:noProof/>
                <w:sz w:val="24"/>
              </w:rPr>
              <w:t>5.2.</w:t>
            </w:r>
            <w:r w:rsidR="006851B7" w:rsidRPr="006851B7">
              <w:rPr>
                <w:rFonts w:asciiTheme="minorHAnsi" w:eastAsiaTheme="minorEastAsia" w:hAnsiTheme="minorHAnsi" w:cstheme="minorBidi"/>
                <w:noProof/>
                <w:sz w:val="24"/>
              </w:rPr>
              <w:tab/>
            </w:r>
            <w:r w:rsidR="006851B7" w:rsidRPr="006851B7">
              <w:rPr>
                <w:rStyle w:val="Hyperlink"/>
                <w:noProof/>
                <w:sz w:val="24"/>
              </w:rPr>
              <w:t>Comparison among Investment as per Classification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47</w:t>
            </w:r>
            <w:r w:rsidR="006851B7" w:rsidRPr="006851B7">
              <w:rPr>
                <w:noProof/>
                <w:webHidden/>
                <w:sz w:val="24"/>
              </w:rPr>
              <w:fldChar w:fldCharType="end"/>
            </w:r>
          </w:hyperlink>
        </w:p>
        <w:p w:rsidR="006851B7" w:rsidRPr="006851B7" w:rsidRDefault="006A45AA" w:rsidP="006851B7">
          <w:pPr>
            <w:pStyle w:val="TOC3"/>
            <w:tabs>
              <w:tab w:val="left" w:pos="1320"/>
              <w:tab w:val="right" w:leader="dot" w:pos="9017"/>
            </w:tabs>
            <w:spacing w:line="240" w:lineRule="auto"/>
            <w:rPr>
              <w:rFonts w:asciiTheme="minorHAnsi" w:eastAsiaTheme="minorEastAsia" w:hAnsiTheme="minorHAnsi" w:cstheme="minorBidi"/>
              <w:noProof/>
              <w:sz w:val="24"/>
            </w:rPr>
          </w:pPr>
          <w:hyperlink w:anchor="_Toc523576029" w:history="1">
            <w:r w:rsidR="006851B7" w:rsidRPr="006851B7">
              <w:rPr>
                <w:rStyle w:val="Hyperlink"/>
                <w:noProof/>
                <w:sz w:val="24"/>
              </w:rPr>
              <w:t>5.2.1.</w:t>
            </w:r>
            <w:r w:rsidR="006851B7" w:rsidRPr="006851B7">
              <w:rPr>
                <w:rFonts w:asciiTheme="minorHAnsi" w:eastAsiaTheme="minorEastAsia" w:hAnsiTheme="minorHAnsi" w:cstheme="minorBidi"/>
                <w:noProof/>
                <w:sz w:val="24"/>
              </w:rPr>
              <w:tab/>
            </w:r>
            <w:r w:rsidR="006851B7" w:rsidRPr="006851B7">
              <w:rPr>
                <w:rStyle w:val="Hyperlink"/>
                <w:noProof/>
                <w:sz w:val="24"/>
              </w:rPr>
              <w:t>General Investment Classification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_Toc523576029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47</w:t>
            </w:r>
            <w:r w:rsidR="006851B7" w:rsidRPr="006851B7">
              <w:rPr>
                <w:noProof/>
                <w:webHidden/>
                <w:sz w:val="24"/>
              </w:rPr>
              <w:fldChar w:fldCharType="end"/>
            </w:r>
          </w:hyperlink>
        </w:p>
        <w:p w:rsidR="006851B7" w:rsidRPr="006851B7" w:rsidRDefault="006A45AA" w:rsidP="006851B7">
          <w:pPr>
            <w:pStyle w:val="TOC3"/>
            <w:tabs>
              <w:tab w:val="left" w:pos="1320"/>
              <w:tab w:val="right" w:leader="dot" w:pos="9017"/>
            </w:tabs>
            <w:spacing w:line="240" w:lineRule="auto"/>
            <w:rPr>
              <w:rFonts w:asciiTheme="minorHAnsi" w:eastAsiaTheme="minorEastAsia" w:hAnsiTheme="minorHAnsi" w:cstheme="minorBidi"/>
              <w:noProof/>
              <w:sz w:val="24"/>
            </w:rPr>
          </w:pPr>
          <w:hyperlink w:anchor="_Toc523576030" w:history="1">
            <w:r w:rsidR="006851B7" w:rsidRPr="006851B7">
              <w:rPr>
                <w:rStyle w:val="Hyperlink"/>
                <w:noProof/>
                <w:sz w:val="24"/>
              </w:rPr>
              <w:t>5.2.2.</w:t>
            </w:r>
            <w:r w:rsidR="006851B7" w:rsidRPr="006851B7">
              <w:rPr>
                <w:rFonts w:asciiTheme="minorHAnsi" w:eastAsiaTheme="minorEastAsia" w:hAnsiTheme="minorHAnsi" w:cstheme="minorBidi"/>
                <w:noProof/>
                <w:sz w:val="24"/>
              </w:rPr>
              <w:tab/>
            </w:r>
            <w:r w:rsidR="006851B7" w:rsidRPr="006851B7">
              <w:rPr>
                <w:rStyle w:val="Hyperlink"/>
                <w:noProof/>
                <w:sz w:val="24"/>
              </w:rPr>
              <w:t>Classification as Maturity Grouping Investment</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48</w:t>
            </w:r>
            <w:r w:rsidR="006851B7" w:rsidRPr="006851B7">
              <w:rPr>
                <w:noProof/>
                <w:webHidden/>
                <w:sz w:val="24"/>
              </w:rPr>
              <w:fldChar w:fldCharType="end"/>
            </w:r>
          </w:hyperlink>
        </w:p>
        <w:p w:rsidR="006851B7" w:rsidRPr="006851B7" w:rsidRDefault="006A45AA" w:rsidP="006851B7">
          <w:pPr>
            <w:pStyle w:val="TOC1"/>
            <w:tabs>
              <w:tab w:val="left" w:pos="660"/>
              <w:tab w:val="right" w:leader="dot" w:pos="9017"/>
            </w:tabs>
            <w:spacing w:line="240" w:lineRule="auto"/>
            <w:rPr>
              <w:rFonts w:asciiTheme="minorHAnsi" w:eastAsiaTheme="minorEastAsia" w:hAnsiTheme="minorHAnsi" w:cstheme="minorBidi"/>
              <w:noProof/>
              <w:sz w:val="24"/>
            </w:rPr>
          </w:pPr>
          <w:hyperlink w:anchor="_Toc523576031" w:history="1">
            <w:r w:rsidR="006851B7" w:rsidRPr="006851B7">
              <w:rPr>
                <w:rStyle w:val="Hyperlink"/>
                <w:rFonts w:ascii="Times New Roman" w:hAnsi="Times New Roman"/>
                <w:noProof/>
                <w:sz w:val="24"/>
              </w:rPr>
              <w:t>5.3.</w:t>
            </w:r>
            <w:r w:rsidR="006851B7" w:rsidRPr="006851B7">
              <w:rPr>
                <w:rFonts w:asciiTheme="minorHAnsi" w:eastAsiaTheme="minorEastAsia" w:hAnsiTheme="minorHAnsi" w:cstheme="minorBidi"/>
                <w:noProof/>
                <w:sz w:val="24"/>
              </w:rPr>
              <w:tab/>
            </w:r>
            <w:r w:rsidR="006851B7" w:rsidRPr="006851B7">
              <w:rPr>
                <w:rStyle w:val="Hyperlink"/>
                <w:rFonts w:ascii="Times New Roman" w:hAnsi="Times New Roman"/>
                <w:noProof/>
                <w:sz w:val="24"/>
              </w:rPr>
              <w:t>Proportion of Investment and Investment Income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50</w:t>
            </w:r>
            <w:r w:rsidR="006851B7" w:rsidRPr="006851B7">
              <w:rPr>
                <w:noProof/>
                <w:webHidden/>
                <w:sz w:val="24"/>
              </w:rPr>
              <w:fldChar w:fldCharType="end"/>
            </w:r>
          </w:hyperlink>
        </w:p>
        <w:p w:rsidR="006851B7" w:rsidRPr="006851B7" w:rsidRDefault="006A45AA" w:rsidP="006851B7">
          <w:pPr>
            <w:pStyle w:val="TOC2"/>
            <w:tabs>
              <w:tab w:val="right" w:leader="dot" w:pos="9017"/>
            </w:tabs>
            <w:spacing w:line="240" w:lineRule="auto"/>
            <w:rPr>
              <w:rFonts w:asciiTheme="minorHAnsi" w:eastAsiaTheme="minorEastAsia" w:hAnsiTheme="minorHAnsi" w:cstheme="minorBidi"/>
              <w:noProof/>
              <w:sz w:val="24"/>
            </w:rPr>
          </w:pPr>
          <w:hyperlink w:anchor="_Toc523576032" w:history="1">
            <w:r w:rsidR="006851B7" w:rsidRPr="006851B7">
              <w:rPr>
                <w:rStyle w:val="Hyperlink"/>
                <w:noProof/>
                <w:sz w:val="24"/>
              </w:rPr>
              <w:t>Investment Income on treasury bills and bonds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_Toc523576032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50</w:t>
            </w:r>
            <w:r w:rsidR="006851B7" w:rsidRPr="006851B7">
              <w:rPr>
                <w:noProof/>
                <w:webHidden/>
                <w:sz w:val="24"/>
              </w:rPr>
              <w:fldChar w:fldCharType="end"/>
            </w:r>
          </w:hyperlink>
        </w:p>
        <w:p w:rsidR="006851B7" w:rsidRPr="006851B7" w:rsidRDefault="006A45AA" w:rsidP="006851B7">
          <w:pPr>
            <w:pStyle w:val="TOC2"/>
            <w:tabs>
              <w:tab w:val="right" w:leader="dot" w:pos="9017"/>
            </w:tabs>
            <w:spacing w:line="240" w:lineRule="auto"/>
            <w:rPr>
              <w:rFonts w:asciiTheme="minorHAnsi" w:eastAsiaTheme="minorEastAsia" w:hAnsiTheme="minorHAnsi" w:cstheme="minorBidi"/>
              <w:noProof/>
              <w:sz w:val="24"/>
            </w:rPr>
          </w:pPr>
          <w:hyperlink w:anchor="_Toc523576033" w:history="1">
            <w:r w:rsidR="006851B7" w:rsidRPr="006851B7">
              <w:rPr>
                <w:rStyle w:val="Hyperlink"/>
                <w:noProof/>
                <w:sz w:val="24"/>
              </w:rPr>
              <w:t>Dividend on Ordinary Shares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_Toc523576033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50</w:t>
            </w:r>
            <w:r w:rsidR="006851B7" w:rsidRPr="006851B7">
              <w:rPr>
                <w:noProof/>
                <w:webHidden/>
                <w:sz w:val="24"/>
              </w:rPr>
              <w:fldChar w:fldCharType="end"/>
            </w:r>
          </w:hyperlink>
        </w:p>
        <w:p w:rsidR="006851B7" w:rsidRPr="006851B7" w:rsidRDefault="006A45AA" w:rsidP="006851B7">
          <w:pPr>
            <w:pStyle w:val="TOC2"/>
            <w:tabs>
              <w:tab w:val="right" w:leader="dot" w:pos="9017"/>
            </w:tabs>
            <w:spacing w:line="240" w:lineRule="auto"/>
            <w:rPr>
              <w:rFonts w:asciiTheme="minorHAnsi" w:eastAsiaTheme="minorEastAsia" w:hAnsiTheme="minorHAnsi" w:cstheme="minorBidi"/>
              <w:noProof/>
              <w:sz w:val="24"/>
            </w:rPr>
          </w:pPr>
          <w:hyperlink w:anchor="_Toc523576034" w:history="1">
            <w:r w:rsidR="006851B7" w:rsidRPr="006851B7">
              <w:rPr>
                <w:rStyle w:val="Hyperlink"/>
                <w:noProof/>
                <w:sz w:val="24"/>
              </w:rPr>
              <w:t>Dividend on Preference Share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_Toc523576034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51</w:t>
            </w:r>
            <w:r w:rsidR="006851B7" w:rsidRPr="006851B7">
              <w:rPr>
                <w:noProof/>
                <w:webHidden/>
                <w:sz w:val="24"/>
              </w:rPr>
              <w:fldChar w:fldCharType="end"/>
            </w:r>
          </w:hyperlink>
        </w:p>
        <w:p w:rsidR="006851B7" w:rsidRPr="006851B7" w:rsidRDefault="006A45AA" w:rsidP="006851B7">
          <w:pPr>
            <w:pStyle w:val="TOC2"/>
            <w:tabs>
              <w:tab w:val="right" w:leader="dot" w:pos="9017"/>
            </w:tabs>
            <w:spacing w:line="240" w:lineRule="auto"/>
            <w:rPr>
              <w:rFonts w:asciiTheme="minorHAnsi" w:eastAsiaTheme="minorEastAsia" w:hAnsiTheme="minorHAnsi" w:cstheme="minorBidi"/>
              <w:noProof/>
              <w:sz w:val="24"/>
            </w:rPr>
          </w:pPr>
          <w:hyperlink w:anchor="_Toc523576035" w:history="1">
            <w:r w:rsidR="006851B7" w:rsidRPr="006851B7">
              <w:rPr>
                <w:rStyle w:val="Hyperlink"/>
                <w:noProof/>
                <w:sz w:val="24"/>
              </w:rPr>
              <w:t>Proportion of Investment in terms of Total Assets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_Toc523576035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52</w:t>
            </w:r>
            <w:r w:rsidR="006851B7" w:rsidRPr="006851B7">
              <w:rPr>
                <w:noProof/>
                <w:webHidden/>
                <w:sz w:val="24"/>
              </w:rPr>
              <w:fldChar w:fldCharType="end"/>
            </w:r>
          </w:hyperlink>
        </w:p>
        <w:p w:rsidR="006851B7" w:rsidRPr="006851B7" w:rsidRDefault="006A45AA" w:rsidP="006851B7">
          <w:pPr>
            <w:pStyle w:val="TOC2"/>
            <w:tabs>
              <w:tab w:val="right" w:leader="dot" w:pos="9017"/>
            </w:tabs>
            <w:spacing w:line="240" w:lineRule="auto"/>
            <w:rPr>
              <w:rFonts w:asciiTheme="minorHAnsi" w:eastAsiaTheme="minorEastAsia" w:hAnsiTheme="minorHAnsi" w:cstheme="minorBidi"/>
              <w:noProof/>
              <w:sz w:val="24"/>
            </w:rPr>
          </w:pPr>
          <w:hyperlink w:anchor="_Toc523576036" w:history="1">
            <w:r w:rsidR="006851B7" w:rsidRPr="006851B7">
              <w:rPr>
                <w:rStyle w:val="Hyperlink"/>
                <w:noProof/>
                <w:sz w:val="24"/>
              </w:rPr>
              <w:t>Investment in terms of Total Liabilities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_Toc523576036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52</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6037" w:history="1">
            <w:r w:rsidR="006851B7" w:rsidRPr="006851B7">
              <w:rPr>
                <w:rStyle w:val="Hyperlink"/>
                <w:rFonts w:ascii="Times New Roman" w:hAnsi="Times New Roman"/>
                <w:noProof/>
                <w:sz w:val="24"/>
              </w:rPr>
              <w:t>Chapter 6: Findings and Conclusion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_Toc523576037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54</w:t>
            </w:r>
            <w:r w:rsidR="006851B7" w:rsidRPr="006851B7">
              <w:rPr>
                <w:noProof/>
                <w:webHidden/>
                <w:sz w:val="24"/>
              </w:rPr>
              <w:fldChar w:fldCharType="end"/>
            </w:r>
          </w:hyperlink>
        </w:p>
        <w:p w:rsidR="006851B7" w:rsidRPr="006851B7" w:rsidRDefault="006A45AA" w:rsidP="006851B7">
          <w:pPr>
            <w:pStyle w:val="TOC1"/>
            <w:tabs>
              <w:tab w:val="left" w:pos="660"/>
              <w:tab w:val="right" w:leader="dot" w:pos="9017"/>
            </w:tabs>
            <w:spacing w:line="240" w:lineRule="auto"/>
            <w:rPr>
              <w:rFonts w:asciiTheme="minorHAnsi" w:eastAsiaTheme="minorEastAsia" w:hAnsiTheme="minorHAnsi" w:cstheme="minorBidi"/>
              <w:noProof/>
              <w:sz w:val="24"/>
            </w:rPr>
          </w:pPr>
          <w:hyperlink w:anchor="_Toc523576038" w:history="1">
            <w:r w:rsidR="006851B7" w:rsidRPr="006851B7">
              <w:rPr>
                <w:rStyle w:val="Hyperlink"/>
                <w:rFonts w:ascii="Times New Roman" w:hAnsi="Times New Roman"/>
                <w:noProof/>
                <w:sz w:val="24"/>
              </w:rPr>
              <w:t>6.1.</w:t>
            </w:r>
            <w:r w:rsidR="006851B7" w:rsidRPr="006851B7">
              <w:rPr>
                <w:rFonts w:asciiTheme="minorHAnsi" w:eastAsiaTheme="minorEastAsia" w:hAnsiTheme="minorHAnsi" w:cstheme="minorBidi"/>
                <w:noProof/>
                <w:sz w:val="24"/>
              </w:rPr>
              <w:tab/>
            </w:r>
            <w:r w:rsidR="006851B7" w:rsidRPr="006851B7">
              <w:rPr>
                <w:rStyle w:val="Hyperlink"/>
                <w:rFonts w:ascii="Times New Roman" w:hAnsi="Times New Roman"/>
                <w:noProof/>
                <w:sz w:val="24"/>
              </w:rPr>
              <w:t>Findings &amp; Recommendation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_Toc523576038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55</w:t>
            </w:r>
            <w:r w:rsidR="006851B7" w:rsidRPr="006851B7">
              <w:rPr>
                <w:noProof/>
                <w:webHidden/>
                <w:sz w:val="24"/>
              </w:rPr>
              <w:fldChar w:fldCharType="end"/>
            </w:r>
          </w:hyperlink>
        </w:p>
        <w:p w:rsidR="006851B7" w:rsidRPr="006851B7" w:rsidRDefault="006A45AA" w:rsidP="006851B7">
          <w:pPr>
            <w:pStyle w:val="TOC1"/>
            <w:tabs>
              <w:tab w:val="left" w:pos="660"/>
              <w:tab w:val="right" w:leader="dot" w:pos="9017"/>
            </w:tabs>
            <w:spacing w:line="240" w:lineRule="auto"/>
            <w:rPr>
              <w:rFonts w:asciiTheme="minorHAnsi" w:eastAsiaTheme="minorEastAsia" w:hAnsiTheme="minorHAnsi" w:cstheme="minorBidi"/>
              <w:noProof/>
              <w:sz w:val="24"/>
            </w:rPr>
          </w:pPr>
          <w:hyperlink w:anchor="_Toc523576039" w:history="1">
            <w:r w:rsidR="006851B7" w:rsidRPr="006851B7">
              <w:rPr>
                <w:rStyle w:val="Hyperlink"/>
                <w:rFonts w:ascii="Times New Roman" w:hAnsi="Times New Roman"/>
                <w:noProof/>
                <w:sz w:val="24"/>
              </w:rPr>
              <w:t>6.2.</w:t>
            </w:r>
            <w:r w:rsidR="006851B7" w:rsidRPr="006851B7">
              <w:rPr>
                <w:rFonts w:asciiTheme="minorHAnsi" w:eastAsiaTheme="minorEastAsia" w:hAnsiTheme="minorHAnsi" w:cstheme="minorBidi"/>
                <w:noProof/>
                <w:sz w:val="24"/>
              </w:rPr>
              <w:tab/>
            </w:r>
            <w:r w:rsidR="006851B7" w:rsidRPr="006851B7">
              <w:rPr>
                <w:rStyle w:val="Hyperlink"/>
                <w:rFonts w:ascii="Times New Roman" w:hAnsi="Times New Roman"/>
                <w:noProof/>
                <w:sz w:val="24"/>
              </w:rPr>
              <w:t>Conclusion</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_Toc523576039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56</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6040" w:history="1">
            <w:r w:rsidR="006851B7" w:rsidRPr="006851B7">
              <w:rPr>
                <w:rStyle w:val="Hyperlink"/>
                <w:noProof/>
                <w:sz w:val="24"/>
              </w:rPr>
              <w:t>Reference</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_Toc523576040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57</w:t>
            </w:r>
            <w:r w:rsidR="006851B7" w:rsidRPr="006851B7">
              <w:rPr>
                <w:noProof/>
                <w:webHidden/>
                <w:sz w:val="24"/>
              </w:rPr>
              <w:fldChar w:fldCharType="end"/>
            </w:r>
          </w:hyperlink>
        </w:p>
        <w:p w:rsidR="006851B7" w:rsidRPr="006851B7" w:rsidRDefault="006A45AA" w:rsidP="006851B7">
          <w:pPr>
            <w:pStyle w:val="TOC1"/>
            <w:tabs>
              <w:tab w:val="right" w:leader="dot" w:pos="9017"/>
            </w:tabs>
            <w:spacing w:line="240" w:lineRule="auto"/>
            <w:rPr>
              <w:rFonts w:asciiTheme="minorHAnsi" w:eastAsiaTheme="minorEastAsia" w:hAnsiTheme="minorHAnsi" w:cstheme="minorBidi"/>
              <w:noProof/>
              <w:sz w:val="24"/>
            </w:rPr>
          </w:pPr>
          <w:hyperlink w:anchor="_Toc523576041" w:history="1">
            <w:r w:rsidR="006851B7" w:rsidRPr="006851B7">
              <w:rPr>
                <w:rStyle w:val="Hyperlink"/>
                <w:noProof/>
                <w:sz w:val="24"/>
              </w:rPr>
              <w:t>Appendix and Notes</w:t>
            </w:r>
            <w:r w:rsidR="006851B7" w:rsidRPr="006851B7">
              <w:rPr>
                <w:noProof/>
                <w:webHidden/>
                <w:sz w:val="24"/>
              </w:rPr>
              <w:tab/>
            </w:r>
            <w:r w:rsidR="006851B7" w:rsidRPr="006851B7">
              <w:rPr>
                <w:noProof/>
                <w:webHidden/>
                <w:sz w:val="24"/>
              </w:rPr>
              <w:fldChar w:fldCharType="begin"/>
            </w:r>
            <w:r w:rsidR="006851B7" w:rsidRPr="006851B7">
              <w:rPr>
                <w:noProof/>
                <w:webHidden/>
                <w:sz w:val="24"/>
              </w:rPr>
              <w:instrText xml:space="preserve"> PAGEREF _Toc523576041 \h </w:instrText>
            </w:r>
            <w:r w:rsidR="006851B7" w:rsidRPr="006851B7">
              <w:rPr>
                <w:noProof/>
                <w:webHidden/>
                <w:sz w:val="24"/>
              </w:rPr>
            </w:r>
            <w:r w:rsidR="006851B7" w:rsidRPr="006851B7">
              <w:rPr>
                <w:noProof/>
                <w:webHidden/>
                <w:sz w:val="24"/>
              </w:rPr>
              <w:fldChar w:fldCharType="separate"/>
            </w:r>
            <w:r w:rsidR="006851B7" w:rsidRPr="006851B7">
              <w:rPr>
                <w:noProof/>
                <w:webHidden/>
                <w:sz w:val="24"/>
              </w:rPr>
              <w:t>57</w:t>
            </w:r>
            <w:r w:rsidR="006851B7" w:rsidRPr="006851B7">
              <w:rPr>
                <w:noProof/>
                <w:webHidden/>
                <w:sz w:val="24"/>
              </w:rPr>
              <w:fldChar w:fldCharType="end"/>
            </w:r>
          </w:hyperlink>
        </w:p>
        <w:p w:rsidR="00AF3299" w:rsidRPr="00AF3299" w:rsidRDefault="00AF3299" w:rsidP="006851B7">
          <w:pPr>
            <w:spacing w:line="240" w:lineRule="auto"/>
            <w:rPr>
              <w:rFonts w:ascii="Times New Roman" w:hAnsi="Times New Roman"/>
            </w:rPr>
          </w:pPr>
          <w:r w:rsidRPr="006851B7">
            <w:rPr>
              <w:rFonts w:ascii="Times New Roman" w:hAnsi="Times New Roman"/>
              <w:b/>
              <w:bCs/>
              <w:noProof/>
              <w:sz w:val="24"/>
            </w:rPr>
            <w:fldChar w:fldCharType="end"/>
          </w:r>
        </w:p>
      </w:sdtContent>
    </w:sdt>
    <w:p w:rsidR="006F4F0E" w:rsidRDefault="006F4F0E" w:rsidP="00AF3299">
      <w:pPr>
        <w:rPr>
          <w:rFonts w:ascii="Times New Roman" w:hAnsi="Times New Roman"/>
          <w:b/>
          <w:bCs/>
          <w:i/>
          <w:iCs/>
          <w:sz w:val="40"/>
          <w:szCs w:val="40"/>
        </w:rPr>
        <w:sectPr w:rsidR="006F4F0E" w:rsidSect="00C44478">
          <w:pgSz w:w="11907" w:h="16839" w:code="9"/>
          <w:pgMar w:top="990" w:right="1440" w:bottom="1170" w:left="1440" w:header="720" w:footer="720" w:gutter="0"/>
          <w:cols w:space="720"/>
          <w:docGrid w:linePitch="360"/>
        </w:sectPr>
      </w:pPr>
    </w:p>
    <w:p w:rsidR="00754BD2" w:rsidRPr="00AF3299" w:rsidRDefault="00754BD2" w:rsidP="00AF3299">
      <w:pPr>
        <w:rPr>
          <w:rFonts w:ascii="Times New Roman" w:hAnsi="Times New Roman"/>
          <w:b/>
          <w:bCs/>
          <w:i/>
          <w:iCs/>
          <w:sz w:val="40"/>
          <w:szCs w:val="40"/>
        </w:rPr>
      </w:pPr>
    </w:p>
    <w:p w:rsidR="00754BD2" w:rsidRPr="00AF3299" w:rsidRDefault="00754BD2" w:rsidP="00AF3299">
      <w:pPr>
        <w:rPr>
          <w:rFonts w:ascii="Times New Roman" w:hAnsi="Times New Roman"/>
          <w:b/>
          <w:bCs/>
          <w:i/>
          <w:iCs/>
          <w:sz w:val="40"/>
          <w:szCs w:val="40"/>
        </w:rPr>
      </w:pPr>
    </w:p>
    <w:p w:rsidR="00754BD2" w:rsidRPr="00AF3299" w:rsidRDefault="00754BD2" w:rsidP="00AF3299">
      <w:pPr>
        <w:rPr>
          <w:rFonts w:ascii="Times New Roman" w:hAnsi="Times New Roman"/>
          <w:b/>
          <w:bCs/>
          <w:i/>
          <w:iCs/>
          <w:sz w:val="40"/>
          <w:szCs w:val="40"/>
        </w:rPr>
      </w:pPr>
    </w:p>
    <w:p w:rsidR="00754BD2" w:rsidRPr="00AF3299" w:rsidRDefault="00754BD2" w:rsidP="00AF3299">
      <w:pPr>
        <w:rPr>
          <w:rFonts w:ascii="Times New Roman" w:hAnsi="Times New Roman"/>
          <w:b/>
          <w:bCs/>
          <w:i/>
          <w:iCs/>
          <w:sz w:val="40"/>
          <w:szCs w:val="40"/>
        </w:rPr>
      </w:pPr>
    </w:p>
    <w:p w:rsidR="00754BD2" w:rsidRPr="00AF3299" w:rsidRDefault="00754BD2" w:rsidP="00AF3299">
      <w:pPr>
        <w:rPr>
          <w:rFonts w:ascii="Times New Roman" w:hAnsi="Times New Roman"/>
          <w:b/>
          <w:bCs/>
          <w:i/>
          <w:iCs/>
          <w:sz w:val="40"/>
          <w:szCs w:val="40"/>
        </w:rPr>
      </w:pPr>
    </w:p>
    <w:p w:rsidR="00754BD2" w:rsidRPr="00AF3299" w:rsidRDefault="00754BD2" w:rsidP="00AF3299">
      <w:pPr>
        <w:rPr>
          <w:rFonts w:ascii="Times New Roman" w:hAnsi="Times New Roman"/>
          <w:b/>
          <w:bCs/>
          <w:i/>
          <w:iCs/>
          <w:sz w:val="40"/>
          <w:szCs w:val="40"/>
        </w:rPr>
      </w:pPr>
    </w:p>
    <w:p w:rsidR="00A121CD" w:rsidRPr="00AF3299" w:rsidRDefault="00A121CD" w:rsidP="00AF3299">
      <w:pPr>
        <w:jc w:val="center"/>
        <w:rPr>
          <w:rFonts w:ascii="Times New Roman" w:hAnsi="Times New Roman"/>
          <w:b/>
          <w:i/>
          <w:sz w:val="56"/>
          <w:szCs w:val="56"/>
        </w:rPr>
      </w:pPr>
    </w:p>
    <w:p w:rsidR="00A121CD" w:rsidRPr="00AF3299" w:rsidRDefault="00A121CD" w:rsidP="00AF3299">
      <w:pPr>
        <w:jc w:val="center"/>
        <w:rPr>
          <w:rFonts w:ascii="Times New Roman" w:hAnsi="Times New Roman"/>
          <w:b/>
          <w:i/>
          <w:sz w:val="56"/>
          <w:szCs w:val="56"/>
        </w:rPr>
      </w:pPr>
    </w:p>
    <w:p w:rsidR="00AF3299" w:rsidRPr="00AF3299" w:rsidRDefault="00AF3299" w:rsidP="00AF3299">
      <w:pPr>
        <w:jc w:val="center"/>
        <w:rPr>
          <w:rFonts w:ascii="Times New Roman" w:hAnsi="Times New Roman"/>
          <w:b/>
          <w:i/>
          <w:sz w:val="56"/>
          <w:szCs w:val="56"/>
        </w:rPr>
      </w:pPr>
    </w:p>
    <w:p w:rsidR="00F2298A" w:rsidRDefault="008B53D9" w:rsidP="00AF3299">
      <w:pPr>
        <w:pStyle w:val="Heading1"/>
        <w:spacing w:line="276" w:lineRule="auto"/>
        <w:jc w:val="center"/>
        <w:rPr>
          <w:rFonts w:ascii="Times New Roman" w:hAnsi="Times New Roman"/>
          <w:i/>
          <w:sz w:val="56"/>
        </w:rPr>
        <w:sectPr w:rsidR="00F2298A" w:rsidSect="006F4F0E">
          <w:footerReference w:type="default" r:id="rId10"/>
          <w:pgSz w:w="11907" w:h="16839" w:code="9"/>
          <w:pgMar w:top="990" w:right="1440" w:bottom="1170" w:left="1440" w:header="720" w:footer="720" w:gutter="0"/>
          <w:pgNumType w:start="1"/>
          <w:cols w:space="720"/>
          <w:docGrid w:linePitch="360"/>
        </w:sectPr>
      </w:pPr>
      <w:bookmarkStart w:id="1" w:name="_Toc523575967"/>
      <w:r w:rsidRPr="00AF3299">
        <w:rPr>
          <w:rFonts w:ascii="Times New Roman" w:hAnsi="Times New Roman"/>
          <w:i/>
          <w:sz w:val="56"/>
        </w:rPr>
        <w:t>Chapter 1: Introduction</w:t>
      </w:r>
      <w:bookmarkEnd w:id="1"/>
    </w:p>
    <w:p w:rsidR="008B53D9" w:rsidRPr="00AF3299" w:rsidRDefault="008B53D9" w:rsidP="00AF3299">
      <w:pPr>
        <w:pStyle w:val="Heading2"/>
        <w:numPr>
          <w:ilvl w:val="1"/>
          <w:numId w:val="15"/>
        </w:numPr>
        <w:spacing w:line="276" w:lineRule="auto"/>
      </w:pPr>
      <w:bookmarkStart w:id="2" w:name="_Toc523575968"/>
      <w:r w:rsidRPr="00AF3299">
        <w:lastRenderedPageBreak/>
        <w:t>Introduction</w:t>
      </w:r>
      <w:bookmarkEnd w:id="2"/>
      <w:r w:rsidRPr="00AF3299">
        <w:t xml:space="preserve"> </w:t>
      </w:r>
    </w:p>
    <w:p w:rsidR="008B53D9" w:rsidRPr="00AF3299" w:rsidRDefault="008B53D9" w:rsidP="00AF3299">
      <w:pPr>
        <w:jc w:val="both"/>
        <w:rPr>
          <w:rFonts w:ascii="Times New Roman" w:hAnsi="Times New Roman"/>
          <w:sz w:val="24"/>
          <w:szCs w:val="24"/>
        </w:rPr>
      </w:pPr>
      <w:r w:rsidRPr="00AF3299">
        <w:rPr>
          <w:rFonts w:ascii="Times New Roman" w:hAnsi="Times New Roman"/>
          <w:sz w:val="24"/>
          <w:szCs w:val="24"/>
        </w:rPr>
        <w:t>This report is based on the investment activities of BBL in its financial assets. This report will cover the area of investment activities in financial assets of The City Bank Ltd. The purposes of this report are to analyze the investment in financial assets and to know about the yearly growth rate at investment in financial assets of BBL.A financial asset is a non-physical asset whose value is derived from a contractual claim, such as bank deposits, bonds, and stocks that are usually more liquid than other tangible assets, such as commodities or real estate, and may be traded on financial markets. BBL mainly invests in government securities and other securities. Prize bonds and government bonds are two types of bonds where BBL invests more than others bond for its risk free investments. Investments in debentures, mutual funds and shares are the parts of others bonds where BBL also invests for increasing investment income. Investment income is one of the most significant earning sources for a commercial bank. BBL generally invests near about 16%-17% in financial assets among total assets and earns near about 16% - 22% from the investment.</w:t>
      </w:r>
    </w:p>
    <w:p w:rsidR="008B53D9" w:rsidRPr="00AF3299" w:rsidRDefault="008B53D9" w:rsidP="00AF3299">
      <w:pPr>
        <w:pStyle w:val="Heading2"/>
        <w:numPr>
          <w:ilvl w:val="1"/>
          <w:numId w:val="15"/>
        </w:numPr>
        <w:spacing w:line="276" w:lineRule="auto"/>
      </w:pPr>
      <w:bookmarkStart w:id="3" w:name="_Toc523575969"/>
      <w:r w:rsidRPr="00AF3299">
        <w:t>Objective of the Study</w:t>
      </w:r>
      <w:bookmarkEnd w:id="3"/>
      <w:r w:rsidRPr="00AF3299">
        <w:t xml:space="preserve"> </w:t>
      </w:r>
    </w:p>
    <w:p w:rsidR="008B53D9" w:rsidRPr="00AF3299" w:rsidRDefault="008B53D9" w:rsidP="00AF3299">
      <w:pPr>
        <w:pStyle w:val="Default"/>
        <w:spacing w:line="276" w:lineRule="auto"/>
        <w:jc w:val="both"/>
      </w:pPr>
      <w:r w:rsidRPr="00AF3299">
        <w:t xml:space="preserve">The primary objective of this report is to analyze the nature of investment in financial assets of BRAC Bank Limited (BBL). The other specific can be categorized as follows: </w:t>
      </w:r>
    </w:p>
    <w:p w:rsidR="008B53D9" w:rsidRPr="00AF3299" w:rsidRDefault="008B53D9" w:rsidP="00AF3299">
      <w:pPr>
        <w:pStyle w:val="Default"/>
        <w:numPr>
          <w:ilvl w:val="0"/>
          <w:numId w:val="1"/>
        </w:numPr>
        <w:spacing w:after="42" w:line="276" w:lineRule="auto"/>
        <w:jc w:val="both"/>
      </w:pPr>
      <w:r w:rsidRPr="00AF3299">
        <w:t xml:space="preserve">To achieve the information regarding the banking environment and its investment in financial assets. </w:t>
      </w:r>
    </w:p>
    <w:p w:rsidR="008B53D9" w:rsidRPr="00AF3299" w:rsidRDefault="008B53D9" w:rsidP="00AF3299">
      <w:pPr>
        <w:pStyle w:val="Default"/>
        <w:numPr>
          <w:ilvl w:val="0"/>
          <w:numId w:val="1"/>
        </w:numPr>
        <w:spacing w:after="42" w:line="276" w:lineRule="auto"/>
        <w:jc w:val="both"/>
      </w:pPr>
      <w:r w:rsidRPr="00AF3299">
        <w:t xml:space="preserve">To find out the performance of investment at financial assets of BBL over years through percentage of growth analysis. </w:t>
      </w:r>
    </w:p>
    <w:p w:rsidR="008B53D9" w:rsidRPr="00AF3299" w:rsidRDefault="008B53D9" w:rsidP="00AF3299">
      <w:pPr>
        <w:pStyle w:val="Default"/>
        <w:numPr>
          <w:ilvl w:val="0"/>
          <w:numId w:val="1"/>
        </w:numPr>
        <w:spacing w:after="42" w:line="276" w:lineRule="auto"/>
        <w:jc w:val="both"/>
      </w:pPr>
      <w:r w:rsidRPr="00AF3299">
        <w:t xml:space="preserve">To estimate the future position of BBL in investment at financial assets. </w:t>
      </w:r>
    </w:p>
    <w:p w:rsidR="008B53D9" w:rsidRPr="00AF3299" w:rsidRDefault="008B53D9" w:rsidP="00AF3299">
      <w:pPr>
        <w:pStyle w:val="Default"/>
        <w:numPr>
          <w:ilvl w:val="0"/>
          <w:numId w:val="1"/>
        </w:numPr>
        <w:spacing w:line="276" w:lineRule="auto"/>
        <w:jc w:val="both"/>
      </w:pPr>
      <w:r w:rsidRPr="00AF3299">
        <w:t xml:space="preserve">To find out the reason behind BBL’s increasing or decreasing rate of growth in investments in financial assets. </w:t>
      </w:r>
    </w:p>
    <w:p w:rsidR="008B53D9" w:rsidRPr="00AF3299" w:rsidRDefault="008B53D9" w:rsidP="00AF3299">
      <w:pPr>
        <w:pStyle w:val="Heading2"/>
        <w:numPr>
          <w:ilvl w:val="1"/>
          <w:numId w:val="15"/>
        </w:numPr>
        <w:spacing w:line="276" w:lineRule="auto"/>
      </w:pPr>
      <w:bookmarkStart w:id="4" w:name="_Toc523575970"/>
      <w:r w:rsidRPr="00AF3299">
        <w:t>Methodology of the Study</w:t>
      </w:r>
      <w:bookmarkEnd w:id="4"/>
      <w:r w:rsidRPr="00AF3299">
        <w:t xml:space="preserve"> </w:t>
      </w:r>
    </w:p>
    <w:p w:rsidR="008B53D9" w:rsidRPr="00AF3299" w:rsidRDefault="008B53D9" w:rsidP="00AF3299">
      <w:pPr>
        <w:pStyle w:val="Default"/>
        <w:spacing w:line="276" w:lineRule="auto"/>
        <w:jc w:val="both"/>
      </w:pPr>
      <w:r w:rsidRPr="00AF3299">
        <w:t xml:space="preserve">Methodology is a system of methods used in a particular area of study. For analyzing in a particular area of study, there are two source of information. </w:t>
      </w:r>
    </w:p>
    <w:p w:rsidR="008B53D9" w:rsidRPr="00AF3299" w:rsidRDefault="008B53D9" w:rsidP="00AF3299">
      <w:pPr>
        <w:pStyle w:val="Default"/>
        <w:spacing w:line="276" w:lineRule="auto"/>
        <w:jc w:val="both"/>
      </w:pPr>
      <w:r w:rsidRPr="00AF3299">
        <w:t xml:space="preserve">1. Primary source </w:t>
      </w:r>
    </w:p>
    <w:p w:rsidR="008B53D9" w:rsidRPr="00AF3299" w:rsidRDefault="008B53D9" w:rsidP="00AF3299">
      <w:pPr>
        <w:jc w:val="both"/>
        <w:rPr>
          <w:rFonts w:ascii="Times New Roman" w:hAnsi="Times New Roman"/>
          <w:sz w:val="24"/>
          <w:szCs w:val="24"/>
        </w:rPr>
      </w:pPr>
      <w:r w:rsidRPr="00AF3299">
        <w:rPr>
          <w:rFonts w:ascii="Times New Roman" w:hAnsi="Times New Roman"/>
          <w:sz w:val="24"/>
          <w:szCs w:val="24"/>
        </w:rPr>
        <w:t>2. Secondary source</w:t>
      </w:r>
      <w:r w:rsidRPr="00AF3299">
        <w:rPr>
          <w:rFonts w:ascii="Times New Roman" w:hAnsi="Times New Roman"/>
        </w:rPr>
        <w:t xml:space="preserve">As there is no convenient and available primary source for making this report, I have use secondary sources of information for preparing this. </w:t>
      </w:r>
    </w:p>
    <w:p w:rsidR="008B53D9" w:rsidRPr="00AF3299" w:rsidRDefault="008B53D9" w:rsidP="00AF3299">
      <w:pPr>
        <w:jc w:val="both"/>
        <w:rPr>
          <w:rFonts w:ascii="Times New Roman" w:hAnsi="Times New Roman"/>
        </w:rPr>
      </w:pPr>
      <w:r w:rsidRPr="00AF3299">
        <w:rPr>
          <w:rFonts w:ascii="Times New Roman" w:hAnsi="Times New Roman"/>
        </w:rPr>
        <w:t>This report is basically prepared on the basis of secondary sources of information. They are as follows:-</w:t>
      </w:r>
    </w:p>
    <w:p w:rsidR="008B53D9" w:rsidRPr="00AF3299" w:rsidRDefault="008B53D9" w:rsidP="00AF3299">
      <w:pPr>
        <w:pStyle w:val="Heading3"/>
        <w:numPr>
          <w:ilvl w:val="2"/>
          <w:numId w:val="15"/>
        </w:numPr>
      </w:pPr>
      <w:bookmarkStart w:id="5" w:name="_Toc523575971"/>
      <w:r w:rsidRPr="00AF3299">
        <w:t>Secondary Source</w:t>
      </w:r>
      <w:bookmarkEnd w:id="5"/>
    </w:p>
    <w:p w:rsidR="008B53D9" w:rsidRPr="00AF3299" w:rsidRDefault="008B53D9" w:rsidP="00AF3299">
      <w:pPr>
        <w:pStyle w:val="Default"/>
        <w:numPr>
          <w:ilvl w:val="0"/>
          <w:numId w:val="2"/>
        </w:numPr>
        <w:spacing w:line="276" w:lineRule="auto"/>
        <w:jc w:val="both"/>
      </w:pPr>
      <w:r w:rsidRPr="00AF3299">
        <w:t>Annual report of The BRAC Bank Ltd.</w:t>
      </w:r>
    </w:p>
    <w:p w:rsidR="008B53D9" w:rsidRPr="00AF3299" w:rsidRDefault="008B53D9" w:rsidP="00AF3299">
      <w:pPr>
        <w:pStyle w:val="Default"/>
        <w:numPr>
          <w:ilvl w:val="0"/>
          <w:numId w:val="2"/>
        </w:numPr>
        <w:spacing w:line="276" w:lineRule="auto"/>
        <w:jc w:val="both"/>
      </w:pPr>
      <w:r w:rsidRPr="00AF3299">
        <w:t xml:space="preserve">File balance sheet and various documents </w:t>
      </w:r>
    </w:p>
    <w:p w:rsidR="008B53D9" w:rsidRPr="00AF3299" w:rsidRDefault="008B53D9" w:rsidP="00AF3299">
      <w:pPr>
        <w:pStyle w:val="Default"/>
        <w:numPr>
          <w:ilvl w:val="0"/>
          <w:numId w:val="2"/>
        </w:numPr>
        <w:spacing w:line="276" w:lineRule="auto"/>
        <w:jc w:val="both"/>
      </w:pPr>
      <w:r w:rsidRPr="00AF3299">
        <w:t xml:space="preserve">Different textbooks &amp; materials </w:t>
      </w:r>
    </w:p>
    <w:p w:rsidR="008B53D9" w:rsidRPr="00AF3299" w:rsidRDefault="008B53D9" w:rsidP="00AF3299">
      <w:pPr>
        <w:pStyle w:val="Default"/>
        <w:numPr>
          <w:ilvl w:val="0"/>
          <w:numId w:val="2"/>
        </w:numPr>
        <w:spacing w:line="276" w:lineRule="auto"/>
        <w:jc w:val="both"/>
      </w:pPr>
      <w:r w:rsidRPr="00AF3299">
        <w:t xml:space="preserve">Website of The City Bank Limited </w:t>
      </w:r>
    </w:p>
    <w:p w:rsidR="008B53D9" w:rsidRPr="00AF3299" w:rsidRDefault="008B53D9" w:rsidP="00AF3299">
      <w:pPr>
        <w:pStyle w:val="Default"/>
        <w:numPr>
          <w:ilvl w:val="0"/>
          <w:numId w:val="2"/>
        </w:numPr>
        <w:spacing w:line="276" w:lineRule="auto"/>
        <w:jc w:val="both"/>
      </w:pPr>
      <w:r w:rsidRPr="00AF3299">
        <w:t xml:space="preserve">Reports submitted by several internship students </w:t>
      </w:r>
    </w:p>
    <w:p w:rsidR="00AF3299" w:rsidRPr="00AF3299" w:rsidRDefault="008B53D9" w:rsidP="00AF3299">
      <w:pPr>
        <w:pStyle w:val="Default"/>
        <w:numPr>
          <w:ilvl w:val="0"/>
          <w:numId w:val="2"/>
        </w:numPr>
        <w:spacing w:line="276" w:lineRule="auto"/>
        <w:jc w:val="both"/>
      </w:pPr>
      <w:r w:rsidRPr="00AF3299">
        <w:rPr>
          <w:sz w:val="22"/>
          <w:szCs w:val="22"/>
        </w:rPr>
        <w:t xml:space="preserve">Wikipedia about financial assets and related topic </w:t>
      </w:r>
    </w:p>
    <w:p w:rsidR="008B53D9" w:rsidRPr="00AF3299" w:rsidRDefault="008B53D9" w:rsidP="00AF3299">
      <w:pPr>
        <w:pStyle w:val="Heading2"/>
        <w:numPr>
          <w:ilvl w:val="1"/>
          <w:numId w:val="15"/>
        </w:numPr>
      </w:pPr>
      <w:r w:rsidRPr="00AF3299">
        <w:t xml:space="preserve"> </w:t>
      </w:r>
      <w:bookmarkStart w:id="6" w:name="_Toc523575972"/>
      <w:r w:rsidRPr="00AF3299">
        <w:t>Limitations of the Study</w:t>
      </w:r>
      <w:bookmarkEnd w:id="6"/>
      <w:r w:rsidRPr="00AF3299">
        <w:t xml:space="preserve"> </w:t>
      </w:r>
    </w:p>
    <w:p w:rsidR="008B53D9" w:rsidRPr="00AF3299" w:rsidRDefault="008B53D9" w:rsidP="00AF3299">
      <w:pPr>
        <w:pStyle w:val="Default"/>
        <w:spacing w:line="276" w:lineRule="auto"/>
        <w:jc w:val="both"/>
        <w:rPr>
          <w:sz w:val="22"/>
          <w:szCs w:val="22"/>
        </w:rPr>
      </w:pPr>
      <w:r w:rsidRPr="00AF3299">
        <w:rPr>
          <w:sz w:val="22"/>
          <w:szCs w:val="22"/>
        </w:rPr>
        <w:t xml:space="preserve">This report has been conducted from the intention to make the report realistic and properly accepted. However, many problems appeared in the way of conducting the study. All the given information was not fully complete and some of the information was company secret and important and only provided </w:t>
      </w:r>
      <w:r w:rsidRPr="00AF3299">
        <w:rPr>
          <w:sz w:val="22"/>
          <w:szCs w:val="22"/>
        </w:rPr>
        <w:lastRenderedPageBreak/>
        <w:t xml:space="preserve">to some persons to know about it. However, I have tried my best to settle and pass up the Report before the due date and hoping it was satisfied. The study considers following limitations: </w:t>
      </w:r>
    </w:p>
    <w:p w:rsidR="008B53D9" w:rsidRPr="00AF3299" w:rsidRDefault="008B53D9" w:rsidP="00AF3299">
      <w:pPr>
        <w:pStyle w:val="Default"/>
        <w:numPr>
          <w:ilvl w:val="0"/>
          <w:numId w:val="4"/>
        </w:numPr>
        <w:spacing w:after="44" w:line="276" w:lineRule="auto"/>
        <w:jc w:val="both"/>
        <w:rPr>
          <w:sz w:val="22"/>
          <w:szCs w:val="22"/>
        </w:rPr>
      </w:pPr>
      <w:r w:rsidRPr="00AF3299">
        <w:rPr>
          <w:sz w:val="22"/>
          <w:szCs w:val="22"/>
        </w:rPr>
        <w:t xml:space="preserve">Lack of in-depth knowledge and analytical ability for writing such report. </w:t>
      </w:r>
    </w:p>
    <w:p w:rsidR="008B53D9" w:rsidRPr="00AF3299" w:rsidRDefault="008B53D9" w:rsidP="00AF3299">
      <w:pPr>
        <w:pStyle w:val="Default"/>
        <w:numPr>
          <w:ilvl w:val="0"/>
          <w:numId w:val="4"/>
        </w:numPr>
        <w:spacing w:after="44" w:line="276" w:lineRule="auto"/>
        <w:jc w:val="both"/>
        <w:rPr>
          <w:sz w:val="22"/>
          <w:szCs w:val="22"/>
        </w:rPr>
      </w:pPr>
      <w:r w:rsidRPr="00AF3299">
        <w:rPr>
          <w:sz w:val="22"/>
          <w:szCs w:val="22"/>
        </w:rPr>
        <w:t xml:space="preserve">Bank’s policy of not disclosing some data and information for obvious reason, which could be very much useful. </w:t>
      </w:r>
    </w:p>
    <w:p w:rsidR="008B53D9" w:rsidRPr="00AF3299" w:rsidRDefault="008B53D9" w:rsidP="00AF3299">
      <w:pPr>
        <w:pStyle w:val="Default"/>
        <w:numPr>
          <w:ilvl w:val="0"/>
          <w:numId w:val="4"/>
        </w:numPr>
        <w:spacing w:after="44" w:line="276" w:lineRule="auto"/>
        <w:jc w:val="both"/>
        <w:rPr>
          <w:sz w:val="22"/>
          <w:szCs w:val="22"/>
        </w:rPr>
      </w:pPr>
      <w:r w:rsidRPr="00AF3299">
        <w:rPr>
          <w:sz w:val="22"/>
          <w:szCs w:val="22"/>
        </w:rPr>
        <w:t xml:space="preserve">In case of the secondary data collection, there were very few secondary information was     available. There were few supporting books, report, journals etc. </w:t>
      </w:r>
    </w:p>
    <w:p w:rsidR="008B53D9" w:rsidRPr="00AF3299" w:rsidRDefault="008B53D9" w:rsidP="00AF3299">
      <w:pPr>
        <w:pStyle w:val="Default"/>
        <w:numPr>
          <w:ilvl w:val="0"/>
          <w:numId w:val="4"/>
        </w:numPr>
        <w:spacing w:line="276" w:lineRule="auto"/>
        <w:jc w:val="both"/>
      </w:pPr>
      <w:r w:rsidRPr="00AF3299">
        <w:rPr>
          <w:sz w:val="22"/>
          <w:szCs w:val="22"/>
        </w:rPr>
        <w:t>As the duration of the internship program is three months; I didn’t get sufficient time in each</w:t>
      </w:r>
      <w:r w:rsidRPr="00AF3299">
        <w:t xml:space="preserve"> </w:t>
      </w:r>
    </w:p>
    <w:p w:rsidR="008B53D9" w:rsidRPr="00AF3299" w:rsidRDefault="008B53D9" w:rsidP="00AF3299">
      <w:pPr>
        <w:pStyle w:val="Default"/>
        <w:spacing w:line="276" w:lineRule="auto"/>
        <w:jc w:val="both"/>
      </w:pPr>
      <w:r w:rsidRPr="00AF3299">
        <w:t xml:space="preserve">                Department to understand their activities. </w:t>
      </w:r>
    </w:p>
    <w:p w:rsidR="008B53D9" w:rsidRPr="00AF3299" w:rsidRDefault="008B53D9" w:rsidP="00AF3299">
      <w:pPr>
        <w:pStyle w:val="Default"/>
        <w:spacing w:line="276" w:lineRule="auto"/>
        <w:jc w:val="both"/>
        <w:rPr>
          <w:sz w:val="22"/>
          <w:szCs w:val="22"/>
        </w:rPr>
      </w:pPr>
      <w:r w:rsidRPr="00AF3299">
        <w:rPr>
          <w:sz w:val="22"/>
          <w:szCs w:val="22"/>
        </w:rPr>
        <w:t xml:space="preserve">           </w:t>
      </w:r>
    </w:p>
    <w:p w:rsidR="008B53D9" w:rsidRPr="00AF3299" w:rsidRDefault="008B53D9" w:rsidP="00AF3299">
      <w:pPr>
        <w:pStyle w:val="Default"/>
        <w:numPr>
          <w:ilvl w:val="0"/>
          <w:numId w:val="5"/>
        </w:numPr>
        <w:spacing w:line="276" w:lineRule="auto"/>
        <w:jc w:val="both"/>
      </w:pPr>
      <w:r w:rsidRPr="00AF3299">
        <w:t xml:space="preserve">Gathering information about the investment in financial assets was very difficult. That is why I have to follow more on secondary data like annual report, web sites and some of banking documents. </w:t>
      </w:r>
    </w:p>
    <w:p w:rsidR="008B53D9" w:rsidRPr="00AF3299" w:rsidRDefault="008B53D9" w:rsidP="00AF3299">
      <w:pPr>
        <w:pStyle w:val="ListParagraph"/>
        <w:numPr>
          <w:ilvl w:val="0"/>
          <w:numId w:val="5"/>
        </w:numPr>
        <w:autoSpaceDE w:val="0"/>
        <w:autoSpaceDN w:val="0"/>
        <w:adjustRightInd w:val="0"/>
        <w:spacing w:after="0"/>
        <w:jc w:val="both"/>
        <w:rPr>
          <w:rFonts w:ascii="Times New Roman" w:hAnsi="Times New Roman"/>
          <w:color w:val="000000"/>
        </w:rPr>
      </w:pPr>
      <w:r w:rsidRPr="00AF3299">
        <w:rPr>
          <w:rFonts w:ascii="Times New Roman" w:hAnsi="Times New Roman"/>
          <w:color w:val="000000"/>
        </w:rPr>
        <w:t xml:space="preserve">Banking sector is a very vast sector where I have a little knowledge about it which limits my report. </w:t>
      </w: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8B53D9" w:rsidRPr="00AF3299" w:rsidRDefault="008B53D9" w:rsidP="00AF3299">
      <w:pPr>
        <w:rPr>
          <w:rFonts w:ascii="Times New Roman" w:hAnsi="Times New Roman"/>
          <w:b/>
          <w:i/>
          <w:sz w:val="56"/>
          <w:szCs w:val="56"/>
        </w:rPr>
      </w:pPr>
    </w:p>
    <w:p w:rsidR="00A121CD" w:rsidRPr="00AF3299" w:rsidRDefault="00A121CD" w:rsidP="00AF3299">
      <w:pPr>
        <w:rPr>
          <w:rFonts w:ascii="Times New Roman" w:hAnsi="Times New Roman"/>
          <w:b/>
          <w:i/>
          <w:sz w:val="56"/>
          <w:szCs w:val="56"/>
        </w:rPr>
      </w:pPr>
    </w:p>
    <w:p w:rsidR="00A121CD" w:rsidRPr="00AF3299" w:rsidRDefault="00A121CD" w:rsidP="00AF3299">
      <w:pPr>
        <w:rPr>
          <w:rFonts w:ascii="Times New Roman" w:hAnsi="Times New Roman"/>
          <w:b/>
          <w:i/>
          <w:sz w:val="56"/>
          <w:szCs w:val="56"/>
        </w:rPr>
      </w:pPr>
    </w:p>
    <w:p w:rsidR="00A121CD" w:rsidRPr="00AF3299" w:rsidRDefault="00A121CD" w:rsidP="00AF3299">
      <w:pPr>
        <w:rPr>
          <w:rFonts w:ascii="Times New Roman" w:hAnsi="Times New Roman"/>
          <w:b/>
          <w:i/>
          <w:sz w:val="56"/>
          <w:szCs w:val="56"/>
        </w:rPr>
      </w:pPr>
    </w:p>
    <w:p w:rsidR="00A121CD" w:rsidRPr="00AF3299" w:rsidRDefault="00A121CD" w:rsidP="00AF3299">
      <w:pPr>
        <w:rPr>
          <w:rFonts w:ascii="Times New Roman" w:hAnsi="Times New Roman"/>
          <w:b/>
          <w:i/>
          <w:sz w:val="56"/>
          <w:szCs w:val="56"/>
        </w:rPr>
      </w:pPr>
    </w:p>
    <w:p w:rsidR="008B53D9" w:rsidRDefault="008B53D9" w:rsidP="00AF3299">
      <w:pPr>
        <w:rPr>
          <w:rFonts w:ascii="Times New Roman" w:hAnsi="Times New Roman"/>
          <w:b/>
          <w:i/>
          <w:sz w:val="56"/>
          <w:szCs w:val="56"/>
        </w:rPr>
      </w:pPr>
    </w:p>
    <w:p w:rsidR="006851B7" w:rsidRDefault="006851B7" w:rsidP="00AF3299">
      <w:pPr>
        <w:rPr>
          <w:rFonts w:ascii="Times New Roman" w:hAnsi="Times New Roman"/>
          <w:b/>
          <w:i/>
          <w:sz w:val="56"/>
          <w:szCs w:val="56"/>
        </w:rPr>
      </w:pPr>
    </w:p>
    <w:p w:rsidR="006851B7" w:rsidRDefault="006851B7" w:rsidP="00AF3299">
      <w:pPr>
        <w:rPr>
          <w:rFonts w:ascii="Times New Roman" w:hAnsi="Times New Roman"/>
          <w:b/>
          <w:i/>
          <w:sz w:val="56"/>
          <w:szCs w:val="56"/>
        </w:rPr>
      </w:pPr>
    </w:p>
    <w:p w:rsidR="006851B7" w:rsidRPr="00AF3299" w:rsidRDefault="006851B7" w:rsidP="00AF3299">
      <w:pPr>
        <w:rPr>
          <w:rFonts w:ascii="Times New Roman" w:hAnsi="Times New Roman"/>
          <w:b/>
          <w:i/>
          <w:sz w:val="56"/>
          <w:szCs w:val="56"/>
        </w:rPr>
      </w:pPr>
    </w:p>
    <w:p w:rsidR="00F2298A" w:rsidRDefault="008B53D9" w:rsidP="00AF3299">
      <w:pPr>
        <w:pStyle w:val="Heading1"/>
        <w:jc w:val="center"/>
        <w:rPr>
          <w:rFonts w:ascii="Times New Roman" w:hAnsi="Times New Roman"/>
          <w:i/>
          <w:sz w:val="52"/>
        </w:rPr>
        <w:sectPr w:rsidR="00F2298A" w:rsidSect="00C44478">
          <w:pgSz w:w="11907" w:h="16839" w:code="9"/>
          <w:pgMar w:top="990" w:right="1440" w:bottom="1170" w:left="1440" w:header="720" w:footer="720" w:gutter="0"/>
          <w:cols w:space="720"/>
          <w:docGrid w:linePitch="360"/>
        </w:sectPr>
      </w:pPr>
      <w:bookmarkStart w:id="7" w:name="_Toc523575973"/>
      <w:r w:rsidRPr="00AF3299">
        <w:rPr>
          <w:rFonts w:ascii="Times New Roman" w:hAnsi="Times New Roman"/>
          <w:i/>
          <w:sz w:val="52"/>
        </w:rPr>
        <w:t>Chapter 2: Orga</w:t>
      </w:r>
      <w:r w:rsidR="00AF3299" w:rsidRPr="00AF3299">
        <w:rPr>
          <w:rFonts w:ascii="Times New Roman" w:hAnsi="Times New Roman"/>
          <w:i/>
          <w:sz w:val="52"/>
        </w:rPr>
        <w:t>nization O</w:t>
      </w:r>
      <w:r w:rsidRPr="00AF3299">
        <w:rPr>
          <w:rFonts w:ascii="Times New Roman" w:hAnsi="Times New Roman"/>
          <w:i/>
          <w:sz w:val="52"/>
        </w:rPr>
        <w:t>verview</w:t>
      </w:r>
      <w:bookmarkEnd w:id="7"/>
    </w:p>
    <w:p w:rsidR="007659CD" w:rsidRPr="007659CD" w:rsidRDefault="007659CD" w:rsidP="007659CD">
      <w:pPr>
        <w:pStyle w:val="ListParagraph"/>
        <w:keepNext/>
        <w:keepLines/>
        <w:numPr>
          <w:ilvl w:val="0"/>
          <w:numId w:val="15"/>
        </w:numPr>
        <w:spacing w:before="40" w:after="0" w:line="256" w:lineRule="auto"/>
        <w:contextualSpacing w:val="0"/>
        <w:outlineLvl w:val="1"/>
        <w:rPr>
          <w:rFonts w:ascii="Times New Roman" w:eastAsia="Times New Roman" w:hAnsi="Times New Roman"/>
          <w:vanish/>
          <w:color w:val="365F91"/>
          <w:sz w:val="26"/>
          <w:szCs w:val="26"/>
        </w:rPr>
      </w:pPr>
      <w:bookmarkStart w:id="8" w:name="_Toc523528784"/>
      <w:bookmarkStart w:id="9" w:name="_Toc523533357"/>
      <w:bookmarkStart w:id="10" w:name="_Toc523572559"/>
      <w:bookmarkStart w:id="11" w:name="_Toc523575974"/>
      <w:bookmarkEnd w:id="8"/>
      <w:bookmarkEnd w:id="9"/>
      <w:bookmarkEnd w:id="10"/>
      <w:bookmarkEnd w:id="11"/>
    </w:p>
    <w:p w:rsidR="008B53D9" w:rsidRPr="00AF3299" w:rsidRDefault="007659CD" w:rsidP="007659CD">
      <w:pPr>
        <w:pStyle w:val="Heading2"/>
        <w:numPr>
          <w:ilvl w:val="1"/>
          <w:numId w:val="15"/>
        </w:numPr>
      </w:pPr>
      <w:bookmarkStart w:id="12" w:name="_Toc523575975"/>
      <w:r>
        <w:t>Company Profile</w:t>
      </w:r>
      <w:bookmarkEnd w:id="12"/>
    </w:p>
    <w:p w:rsidR="008B53D9" w:rsidRPr="00AF3299" w:rsidRDefault="008B53D9" w:rsidP="00AF3299">
      <w:pPr>
        <w:jc w:val="both"/>
        <w:rPr>
          <w:rFonts w:ascii="Times New Roman" w:hAnsi="Times New Roman"/>
        </w:rPr>
      </w:pPr>
      <w:r w:rsidRPr="00AF3299">
        <w:rPr>
          <w:rFonts w:ascii="Times New Roman" w:hAnsi="Times New Roman"/>
        </w:rPr>
        <w:t>In Bangladesh, there are lots of private commercial banks and Brac bank is one of them. In this twenty first century, when different country develop their financial condition by developing various financial organization. In this process, country like Bangladesh introduce lots of financial and non-financial institution to upgrade the economic condition of Bangladesh. Brac bank is a scheduled commercial bank in Bangladesh. It was established under the Banking Companies Act, 1991 and incorporated as a private limited company as on May 20, 1999 under the Company Act, 1994.The primary objective of the bank is to provide all kinds of banking business. At the very beginning, the Bank faced some legal obligations because the High Court of Bangladesh suspended activity of this bank and it could fail to start its operations till 3rd June2001.Eventually, the judgment of the High Court was set aside and dismissed by the Appellate Division of the Supreme. This bank tried to solve different problem and the days come for the bank. When The Bank has started its operations from July 04, 2001. The Chairman of the Bank is Sir Fazle Hasan Abed. Now the Managing Director &amp; CEO of the bank Mr.Selim R. F. Hussain has made a reasonable progress due to its visionary management people and its appropriate policy and implementation.Brac bank is a commercial scheduled bank extending full range of banking facilities as per the directives of Bangladesh bank. Brac bank in surviving in the large banking arena through its unique and competitive products and it was the only local bank that started providing 100% integrated online banking facility.Brac bank limited is a fully operational commercial bank, it focuses on pursuing unexplored market niches in the Small and Medium Enterprise Business, which till now has remained largely untapped within the country.The management of the bank believes that this sector of the economy can contribute the most to the rapid generation of employment in Bangladesh through a team of over 8,000 employees. Brac bank offers a broad range of products and services, including SME, retail, commercial and corporate banking to more than 1.4 million customers. Those all about the journey and some present information about this financial institution. Now I am going add some other information related with Brac Bank All points are given below with discussion about various issue.</w:t>
      </w:r>
    </w:p>
    <w:p w:rsidR="008B53D9" w:rsidRPr="007659CD" w:rsidRDefault="008B53D9" w:rsidP="00AD6091">
      <w:pPr>
        <w:pStyle w:val="Heading2"/>
        <w:numPr>
          <w:ilvl w:val="1"/>
          <w:numId w:val="15"/>
        </w:numPr>
      </w:pPr>
      <w:bookmarkStart w:id="13" w:name="_Toc523575976"/>
      <w:r w:rsidRPr="007659CD">
        <w:t>Corporate Information:</w:t>
      </w:r>
      <w:bookmarkEnd w:id="13"/>
    </w:p>
    <w:p w:rsidR="008B53D9" w:rsidRPr="007659CD" w:rsidRDefault="008B53D9" w:rsidP="00AF3299">
      <w:pPr>
        <w:jc w:val="both"/>
        <w:rPr>
          <w:rFonts w:ascii="Times New Roman" w:hAnsi="Times New Roman"/>
          <w:sz w:val="24"/>
          <w:szCs w:val="24"/>
        </w:rPr>
      </w:pPr>
      <w:r w:rsidRPr="00AF3299">
        <w:rPr>
          <w:rFonts w:ascii="Times New Roman" w:hAnsi="Times New Roman"/>
          <w:sz w:val="24"/>
          <w:szCs w:val="24"/>
        </w:rPr>
        <w:t>Brac bank limited was passed more than thirteen year and in this passing year Brac bank develop several points like financial product, service and facilities. Brac bank establish branches more than 186 and more than 458 SME Unit Office are used for SME banking and more than 1800 Remittance Delivery Point are used to make customer happy. To establish smooth money transfer this introduce 350+ ATM booth for customer service. This bank also involve them by doing various social work for different type of people.</w:t>
      </w:r>
      <w:r w:rsidR="007659CD">
        <w:rPr>
          <w:rFonts w:ascii="Times New Roman" w:hAnsi="Times New Roman"/>
          <w:sz w:val="24"/>
          <w:szCs w:val="24"/>
        </w:rPr>
        <w:t xml:space="preserve">  </w:t>
      </w:r>
    </w:p>
    <w:p w:rsidR="008B53D9" w:rsidRPr="007659CD" w:rsidRDefault="008B53D9" w:rsidP="00AD6091">
      <w:pPr>
        <w:pStyle w:val="Heading2"/>
        <w:numPr>
          <w:ilvl w:val="1"/>
          <w:numId w:val="15"/>
        </w:numPr>
      </w:pPr>
      <w:bookmarkStart w:id="14" w:name="_Toc523575977"/>
      <w:r w:rsidRPr="007659CD">
        <w:t>Corporate Vision</w:t>
      </w:r>
      <w:bookmarkEnd w:id="14"/>
    </w:p>
    <w:p w:rsidR="008B53D9" w:rsidRPr="00AF3299" w:rsidRDefault="008B53D9" w:rsidP="00AF3299">
      <w:pPr>
        <w:jc w:val="both"/>
        <w:rPr>
          <w:rFonts w:ascii="Times New Roman" w:hAnsi="Times New Roman"/>
          <w:sz w:val="24"/>
          <w:szCs w:val="24"/>
        </w:rPr>
      </w:pPr>
      <w:r w:rsidRPr="00AF3299">
        <w:rPr>
          <w:rFonts w:ascii="Times New Roman" w:hAnsi="Times New Roman"/>
          <w:sz w:val="24"/>
          <w:szCs w:val="24"/>
        </w:rPr>
        <w:t>Building profitable and socially responsible financial institution focused on Market and Business with Growth potential, thereby assisting BRAC and stakeholders to build a just, enlightened, healthy democratic and poverty free Bangladesh”.</w:t>
      </w:r>
    </w:p>
    <w:p w:rsidR="008B53D9" w:rsidRPr="007659CD" w:rsidRDefault="008B53D9" w:rsidP="00AD6091">
      <w:pPr>
        <w:pStyle w:val="Heading2"/>
        <w:numPr>
          <w:ilvl w:val="1"/>
          <w:numId w:val="15"/>
        </w:numPr>
      </w:pPr>
      <w:bookmarkStart w:id="15" w:name="_Toc523575978"/>
      <w:r w:rsidRPr="007659CD">
        <w:t>Corporate Mission</w:t>
      </w:r>
      <w:bookmarkEnd w:id="15"/>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Sustained growth in Small &amp; Medium Enterprise sector</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Continuous low-cost deposit Growth with controlled growth in retail assets.</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Corporate Assets to be funded through self-liability mobilization. Growth in Assets through syndications and investment in faster growing sectors.</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Continuous endeavor to increase non-funded income</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Keep our debt charges at 2% to maintain a steady profitable growth</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lastRenderedPageBreak/>
        <w:t>Achieve efficient synergies between the bank’s branches, SME unit offices and BRAC field offices for delivery of remittance and Bank’s other products and services</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Manage various lines of business in a full controlled environment with no compromise on service quality</w:t>
      </w:r>
    </w:p>
    <w:p w:rsidR="008B53D9" w:rsidRPr="00AF3299" w:rsidRDefault="008B53D9" w:rsidP="00AF3299">
      <w:pPr>
        <w:pStyle w:val="ListParagraph"/>
        <w:numPr>
          <w:ilvl w:val="0"/>
          <w:numId w:val="6"/>
        </w:numPr>
        <w:spacing w:after="160"/>
        <w:jc w:val="both"/>
        <w:rPr>
          <w:rFonts w:ascii="Times New Roman" w:hAnsi="Times New Roman"/>
          <w:sz w:val="24"/>
          <w:szCs w:val="24"/>
        </w:rPr>
      </w:pPr>
      <w:r w:rsidRPr="00AF3299">
        <w:rPr>
          <w:rFonts w:ascii="Times New Roman" w:hAnsi="Times New Roman"/>
          <w:sz w:val="24"/>
          <w:szCs w:val="24"/>
        </w:rPr>
        <w:t>Keep a divers, far flung team fully controlled environment with no compromise on service quality</w:t>
      </w:r>
    </w:p>
    <w:p w:rsidR="008B53D9" w:rsidRPr="007659CD" w:rsidRDefault="008B53D9" w:rsidP="00AD6091">
      <w:pPr>
        <w:pStyle w:val="Heading2"/>
        <w:numPr>
          <w:ilvl w:val="1"/>
          <w:numId w:val="15"/>
        </w:numPr>
      </w:pPr>
      <w:bookmarkStart w:id="16" w:name="_Toc523575979"/>
      <w:r w:rsidRPr="007659CD">
        <w:t>Core Values</w:t>
      </w:r>
      <w:bookmarkEnd w:id="16"/>
    </w:p>
    <w:p w:rsidR="008B53D9" w:rsidRPr="00AF3299" w:rsidRDefault="008B53D9" w:rsidP="00AF3299">
      <w:pPr>
        <w:jc w:val="both"/>
        <w:rPr>
          <w:rFonts w:ascii="Times New Roman" w:hAnsi="Times New Roman"/>
          <w:sz w:val="24"/>
          <w:szCs w:val="24"/>
        </w:rPr>
      </w:pPr>
      <w:r w:rsidRPr="00AF3299">
        <w:rPr>
          <w:rFonts w:ascii="Times New Roman" w:hAnsi="Times New Roman"/>
          <w:sz w:val="24"/>
          <w:szCs w:val="24"/>
        </w:rPr>
        <w:t>Our Strength emanates from our owner - BRAC. This means, we will hold the following values and will be guided by BRAC as we do our work. Value the fact that one is a member of the BRAC family;</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Creating an honest, open and enabling environment</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Have a strong customer focus and build relationships based on integrity, superior service and mutual benefit</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Strive for profit &amp; sound growth</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Work as team to serve the best interest of our owners</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Relentless in pursuit of business innovation and improvement</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Value and respect people and make decisions based on merit</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Base recognition and reward on performance</w:t>
      </w:r>
    </w:p>
    <w:p w:rsidR="008B53D9" w:rsidRPr="00AF3299" w:rsidRDefault="008B53D9" w:rsidP="00AF3299">
      <w:pPr>
        <w:pStyle w:val="ListParagraph"/>
        <w:numPr>
          <w:ilvl w:val="0"/>
          <w:numId w:val="7"/>
        </w:numPr>
        <w:spacing w:after="160"/>
        <w:jc w:val="both"/>
        <w:rPr>
          <w:rFonts w:ascii="Times New Roman" w:hAnsi="Times New Roman"/>
          <w:sz w:val="24"/>
          <w:szCs w:val="24"/>
        </w:rPr>
      </w:pPr>
      <w:r w:rsidRPr="00AF3299">
        <w:rPr>
          <w:rFonts w:ascii="Times New Roman" w:hAnsi="Times New Roman"/>
          <w:sz w:val="24"/>
          <w:szCs w:val="24"/>
        </w:rPr>
        <w:t>Responsible, trustworthy and law-abiding in all that we do.</w:t>
      </w:r>
    </w:p>
    <w:p w:rsidR="008B53D9" w:rsidRPr="007659CD" w:rsidRDefault="008B53D9" w:rsidP="00AD6091">
      <w:pPr>
        <w:pStyle w:val="Heading2"/>
        <w:numPr>
          <w:ilvl w:val="1"/>
          <w:numId w:val="15"/>
        </w:numPr>
      </w:pPr>
      <w:bookmarkStart w:id="17" w:name="_Toc523575980"/>
      <w:r w:rsidRPr="007659CD">
        <w:t>Corporate Philosophy:</w:t>
      </w:r>
      <w:bookmarkEnd w:id="17"/>
    </w:p>
    <w:p w:rsidR="008B53D9" w:rsidRPr="00AF3299" w:rsidRDefault="008B53D9" w:rsidP="00AF3299">
      <w:pPr>
        <w:ind w:left="360"/>
        <w:jc w:val="both"/>
        <w:rPr>
          <w:rFonts w:ascii="Times New Roman" w:hAnsi="Times New Roman"/>
          <w:sz w:val="24"/>
          <w:szCs w:val="24"/>
        </w:rPr>
      </w:pPr>
      <w:r w:rsidRPr="00AF3299">
        <w:rPr>
          <w:rFonts w:ascii="Times New Roman" w:hAnsi="Times New Roman"/>
          <w:sz w:val="24"/>
          <w:szCs w:val="24"/>
        </w:rPr>
        <w:t>In this point Brac Bank has managed several category of customer, shareholders, employee and community. For this managing purpose this bank was following different types of objective like</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Building a strong customer focus and relationship based on integrity, superior service.</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creating an honest, open and enabling environment.</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value and respect people and make decisions based on merit.</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strive for profit &amp; sound growth.</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work as a team to serve the best interest of our owners.</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relentless in pursuit of business innovation and improvement.</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base recognition and reward on performance.</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responsible, trustworthy and law-abiding in all that we do.</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mobilize the savings and channeling it out as loan or advance as the company approve.</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establish, maintain, carry on, transact and undertake all kinds of investment and financial business including underwriting, managing and distributing the issue of stocks, debentures, and other securities.</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finance the international trade both in import and export.</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develop the standard of living of the limited income group by providing Consumer credit.</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t>To finance the industry, trade and commerce in both the conventional way and by offering customer friendly credit service.</w:t>
      </w:r>
    </w:p>
    <w:p w:rsidR="008B53D9" w:rsidRPr="00AF3299" w:rsidRDefault="008B53D9" w:rsidP="00AF3299">
      <w:pPr>
        <w:pStyle w:val="ListParagraph"/>
        <w:numPr>
          <w:ilvl w:val="0"/>
          <w:numId w:val="8"/>
        </w:numPr>
        <w:spacing w:after="160"/>
        <w:jc w:val="both"/>
        <w:rPr>
          <w:rFonts w:ascii="Times New Roman" w:hAnsi="Times New Roman"/>
          <w:sz w:val="24"/>
          <w:szCs w:val="24"/>
        </w:rPr>
      </w:pPr>
      <w:r w:rsidRPr="00AF3299">
        <w:rPr>
          <w:rFonts w:ascii="Times New Roman" w:hAnsi="Times New Roman"/>
          <w:sz w:val="24"/>
          <w:szCs w:val="24"/>
        </w:rPr>
        <w:lastRenderedPageBreak/>
        <w:t>To encourage the new entrepreneurs for investment and thus to develop the country’s industry sector and contribute to the economic development’s.</w:t>
      </w:r>
    </w:p>
    <w:p w:rsidR="008B53D9" w:rsidRPr="00AD6091" w:rsidRDefault="008B53D9" w:rsidP="00AD6091">
      <w:pPr>
        <w:pStyle w:val="Heading2"/>
        <w:numPr>
          <w:ilvl w:val="1"/>
          <w:numId w:val="15"/>
        </w:numPr>
      </w:pPr>
      <w:bookmarkStart w:id="18" w:name="_Toc523575981"/>
      <w:r w:rsidRPr="00AD6091">
        <w:t>Achievements of the Brac bank limited</w:t>
      </w:r>
      <w:bookmarkEnd w:id="18"/>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Asia money "Best Bank for SMEs" 2017</w:t>
      </w:r>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ICMAB Best Corporate Award 2015 (3rd Position)</w:t>
      </w:r>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BRAC Bank wins prestigious 'Sustainable Marketing Excellence Award' from CMO Asia</w:t>
      </w:r>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BRAC Bank wins prestigious 'Best Bank in Bangladesh Award' from Finance Asia</w:t>
      </w:r>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BRAC Bank wins The Best Managed Bank Award from The Asian Banker</w:t>
      </w:r>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BRAC Bank Wins the Award for Best Retail Bank in Bangladesh by The Asian Banker</w:t>
      </w:r>
    </w:p>
    <w:p w:rsidR="008B53D9" w:rsidRPr="00AF3299" w:rsidRDefault="008B53D9" w:rsidP="00AF3299">
      <w:pPr>
        <w:pStyle w:val="ListParagraph"/>
        <w:numPr>
          <w:ilvl w:val="0"/>
          <w:numId w:val="9"/>
        </w:numPr>
        <w:spacing w:after="160"/>
        <w:jc w:val="both"/>
        <w:rPr>
          <w:rFonts w:ascii="Times New Roman" w:hAnsi="Times New Roman"/>
          <w:sz w:val="24"/>
          <w:szCs w:val="24"/>
        </w:rPr>
      </w:pPr>
      <w:r w:rsidRPr="00AF3299">
        <w:rPr>
          <w:rFonts w:ascii="Times New Roman" w:hAnsi="Times New Roman"/>
          <w:sz w:val="24"/>
          <w:szCs w:val="24"/>
        </w:rPr>
        <w:t>DHL–Daily Star Bangladesh Business Awards 2008</w:t>
      </w:r>
    </w:p>
    <w:p w:rsidR="008B53D9" w:rsidRPr="00AF3299" w:rsidRDefault="008B53D9" w:rsidP="00AF3299">
      <w:pPr>
        <w:jc w:val="both"/>
        <w:rPr>
          <w:rFonts w:ascii="Times New Roman" w:hAnsi="Times New Roman"/>
          <w:b/>
          <w:sz w:val="24"/>
          <w:szCs w:val="24"/>
        </w:rPr>
      </w:pPr>
    </w:p>
    <w:p w:rsidR="008B53D9" w:rsidRPr="00AD6091" w:rsidRDefault="008B53D9" w:rsidP="00AD6091">
      <w:pPr>
        <w:pStyle w:val="Heading2"/>
        <w:numPr>
          <w:ilvl w:val="1"/>
          <w:numId w:val="15"/>
        </w:numPr>
      </w:pPr>
      <w:bookmarkStart w:id="19" w:name="_Toc523575982"/>
      <w:r w:rsidRPr="00AD6091">
        <w:t>Subsidiaries</w:t>
      </w:r>
      <w:bookmarkEnd w:id="19"/>
    </w:p>
    <w:p w:rsidR="008B53D9" w:rsidRPr="00AF3299" w:rsidRDefault="008B53D9" w:rsidP="00AF3299">
      <w:pPr>
        <w:pStyle w:val="ListParagraph"/>
        <w:numPr>
          <w:ilvl w:val="0"/>
          <w:numId w:val="10"/>
        </w:numPr>
        <w:spacing w:after="160"/>
        <w:jc w:val="both"/>
        <w:rPr>
          <w:rFonts w:ascii="Times New Roman" w:hAnsi="Times New Roman"/>
          <w:sz w:val="24"/>
          <w:szCs w:val="24"/>
        </w:rPr>
      </w:pPr>
      <w:r w:rsidRPr="00AF3299">
        <w:rPr>
          <w:rFonts w:ascii="Times New Roman" w:hAnsi="Times New Roman"/>
          <w:sz w:val="24"/>
          <w:szCs w:val="24"/>
        </w:rPr>
        <w:t>BRAC EPL Investments Limited</w:t>
      </w:r>
    </w:p>
    <w:p w:rsidR="008B53D9" w:rsidRPr="00AF3299" w:rsidRDefault="008B53D9" w:rsidP="00AF3299">
      <w:pPr>
        <w:pStyle w:val="ListParagraph"/>
        <w:numPr>
          <w:ilvl w:val="0"/>
          <w:numId w:val="10"/>
        </w:numPr>
        <w:spacing w:after="160"/>
        <w:jc w:val="both"/>
        <w:rPr>
          <w:rFonts w:ascii="Times New Roman" w:hAnsi="Times New Roman"/>
          <w:sz w:val="24"/>
          <w:szCs w:val="24"/>
        </w:rPr>
      </w:pPr>
      <w:r w:rsidRPr="00AF3299">
        <w:rPr>
          <w:rFonts w:ascii="Times New Roman" w:hAnsi="Times New Roman"/>
          <w:sz w:val="24"/>
          <w:szCs w:val="24"/>
        </w:rPr>
        <w:t>BRAC EPL Stock Brokerage Limited</w:t>
      </w:r>
    </w:p>
    <w:p w:rsidR="008B53D9" w:rsidRPr="00AF3299" w:rsidRDefault="008B53D9" w:rsidP="00AF3299">
      <w:pPr>
        <w:pStyle w:val="ListParagraph"/>
        <w:numPr>
          <w:ilvl w:val="0"/>
          <w:numId w:val="10"/>
        </w:numPr>
        <w:spacing w:after="160"/>
        <w:jc w:val="both"/>
        <w:rPr>
          <w:rFonts w:ascii="Times New Roman" w:hAnsi="Times New Roman"/>
          <w:sz w:val="24"/>
          <w:szCs w:val="24"/>
        </w:rPr>
      </w:pPr>
      <w:r w:rsidRPr="00AF3299">
        <w:rPr>
          <w:rFonts w:ascii="Times New Roman" w:hAnsi="Times New Roman"/>
          <w:sz w:val="24"/>
          <w:szCs w:val="24"/>
        </w:rPr>
        <w:t>Bkash (Mobile banking service) Limited</w:t>
      </w:r>
    </w:p>
    <w:p w:rsidR="008B53D9" w:rsidRPr="00AF3299" w:rsidRDefault="008B53D9" w:rsidP="00AF3299">
      <w:pPr>
        <w:pStyle w:val="ListParagraph"/>
        <w:numPr>
          <w:ilvl w:val="0"/>
          <w:numId w:val="10"/>
        </w:numPr>
        <w:spacing w:after="160"/>
        <w:jc w:val="both"/>
        <w:rPr>
          <w:rFonts w:ascii="Times New Roman" w:hAnsi="Times New Roman"/>
          <w:sz w:val="24"/>
          <w:szCs w:val="24"/>
        </w:rPr>
      </w:pPr>
      <w:r w:rsidRPr="00AF3299">
        <w:rPr>
          <w:rFonts w:ascii="Times New Roman" w:hAnsi="Times New Roman"/>
          <w:sz w:val="24"/>
          <w:szCs w:val="24"/>
        </w:rPr>
        <w:t>BRAC Saajan Exchange Limited</w:t>
      </w:r>
    </w:p>
    <w:p w:rsidR="008B53D9" w:rsidRPr="00AF3299" w:rsidRDefault="008B53D9" w:rsidP="00AF3299">
      <w:pPr>
        <w:pStyle w:val="ListParagraph"/>
        <w:numPr>
          <w:ilvl w:val="0"/>
          <w:numId w:val="10"/>
        </w:numPr>
        <w:spacing w:after="160"/>
        <w:jc w:val="both"/>
        <w:rPr>
          <w:rFonts w:ascii="Times New Roman" w:hAnsi="Times New Roman"/>
          <w:sz w:val="24"/>
          <w:szCs w:val="24"/>
        </w:rPr>
      </w:pPr>
      <w:r w:rsidRPr="00AF3299">
        <w:rPr>
          <w:rFonts w:ascii="Times New Roman" w:hAnsi="Times New Roman"/>
          <w:sz w:val="24"/>
          <w:szCs w:val="24"/>
        </w:rPr>
        <w:t>BRAC IT Services Limited</w:t>
      </w:r>
    </w:p>
    <w:p w:rsidR="008B53D9" w:rsidRPr="00AF3299" w:rsidRDefault="008B53D9" w:rsidP="00AF3299">
      <w:pPr>
        <w:jc w:val="both"/>
        <w:rPr>
          <w:rFonts w:ascii="Times New Roman" w:hAnsi="Times New Roman"/>
          <w:sz w:val="24"/>
          <w:szCs w:val="24"/>
        </w:rPr>
      </w:pPr>
    </w:p>
    <w:p w:rsidR="008B53D9" w:rsidRPr="00AF3299" w:rsidRDefault="008B53D9" w:rsidP="00AF3299">
      <w:pPr>
        <w:jc w:val="both"/>
        <w:rPr>
          <w:rFonts w:ascii="Times New Roman" w:hAnsi="Times New Roman"/>
          <w:sz w:val="24"/>
          <w:szCs w:val="24"/>
        </w:rPr>
      </w:pPr>
      <w:r w:rsidRPr="00AF3299">
        <w:rPr>
          <w:rFonts w:ascii="Times New Roman" w:hAnsi="Times New Roman"/>
          <w:sz w:val="24"/>
          <w:szCs w:val="24"/>
        </w:rPr>
        <w:t>After discussing several points of Brac bank limited, it will help our reader gets some specific idea about different activity of Brac bank and also make clear concepts about the performance of this bank past and future procedures.</w:t>
      </w:r>
    </w:p>
    <w:p w:rsidR="008B53D9" w:rsidRDefault="008B53D9" w:rsidP="00AD6091">
      <w:pPr>
        <w:pStyle w:val="Heading2"/>
        <w:numPr>
          <w:ilvl w:val="1"/>
          <w:numId w:val="15"/>
        </w:numPr>
      </w:pPr>
      <w:bookmarkStart w:id="20" w:name="_Toc523575983"/>
      <w:r w:rsidRPr="00AD6091">
        <w:t>Board of Directors</w:t>
      </w:r>
      <w:bookmarkEnd w:id="20"/>
    </w:p>
    <w:p w:rsidR="008B53D9" w:rsidRPr="00CB3330" w:rsidRDefault="00AD6091" w:rsidP="00CB3330">
      <w:r>
        <w:rPr>
          <w:noProof/>
        </w:rPr>
        <w:drawing>
          <wp:anchor distT="0" distB="0" distL="114300" distR="114300" simplePos="0" relativeHeight="251729920" behindDoc="0" locked="0" layoutInCell="1" allowOverlap="1">
            <wp:simplePos x="0" y="0"/>
            <wp:positionH relativeFrom="margin">
              <wp:align>right</wp:align>
            </wp:positionH>
            <wp:positionV relativeFrom="paragraph">
              <wp:posOffset>182880</wp:posOffset>
            </wp:positionV>
            <wp:extent cx="5718175" cy="2279015"/>
            <wp:effectExtent l="0" t="0" r="15875" b="0"/>
            <wp:wrapTopAndBottom/>
            <wp:docPr id="72" name="Diagram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anchor>
        </w:drawing>
      </w:r>
    </w:p>
    <w:p w:rsidR="008B53D9" w:rsidRPr="00AF3299" w:rsidRDefault="008B53D9" w:rsidP="00AF3299">
      <w:pPr>
        <w:tabs>
          <w:tab w:val="left" w:pos="1785"/>
        </w:tabs>
        <w:jc w:val="both"/>
        <w:rPr>
          <w:rFonts w:ascii="Times New Roman" w:hAnsi="Times New Roman"/>
          <w:b/>
          <w:sz w:val="28"/>
          <w:szCs w:val="28"/>
        </w:rPr>
      </w:pPr>
    </w:p>
    <w:p w:rsidR="008B53D9" w:rsidRPr="00AF3299" w:rsidRDefault="008B53D9" w:rsidP="00AF3299">
      <w:pPr>
        <w:tabs>
          <w:tab w:val="left" w:pos="1785"/>
        </w:tabs>
        <w:jc w:val="both"/>
        <w:rPr>
          <w:rFonts w:ascii="Times New Roman" w:hAnsi="Times New Roman"/>
          <w:b/>
          <w:sz w:val="28"/>
          <w:szCs w:val="28"/>
        </w:rPr>
      </w:pPr>
    </w:p>
    <w:p w:rsidR="008B53D9" w:rsidRPr="00AF3299" w:rsidRDefault="008B53D9" w:rsidP="00AF3299">
      <w:pPr>
        <w:tabs>
          <w:tab w:val="left" w:pos="1785"/>
        </w:tabs>
        <w:jc w:val="center"/>
        <w:rPr>
          <w:rFonts w:ascii="Times New Roman" w:hAnsi="Times New Roman"/>
          <w:sz w:val="24"/>
          <w:szCs w:val="28"/>
        </w:rPr>
      </w:pPr>
      <w:r w:rsidRPr="00AF3299">
        <w:rPr>
          <w:rFonts w:ascii="Times New Roman" w:hAnsi="Times New Roman"/>
          <w:b/>
          <w:sz w:val="24"/>
          <w:szCs w:val="28"/>
        </w:rPr>
        <w:lastRenderedPageBreak/>
        <w:t>Figure 1:</w:t>
      </w:r>
      <w:r w:rsidRPr="00AF3299">
        <w:rPr>
          <w:rFonts w:ascii="Times New Roman" w:hAnsi="Times New Roman"/>
          <w:sz w:val="24"/>
          <w:szCs w:val="28"/>
        </w:rPr>
        <w:t xml:space="preserve"> Directors of Brac Bank Limited</w:t>
      </w:r>
    </w:p>
    <w:p w:rsidR="008B53D9" w:rsidRDefault="008B53D9" w:rsidP="00AF3299">
      <w:pPr>
        <w:tabs>
          <w:tab w:val="left" w:pos="1785"/>
        </w:tabs>
        <w:jc w:val="both"/>
        <w:rPr>
          <w:rFonts w:ascii="Times New Roman" w:hAnsi="Times New Roman"/>
          <w:b/>
          <w:color w:val="000000"/>
          <w:sz w:val="24"/>
          <w:szCs w:val="24"/>
        </w:rPr>
      </w:pPr>
    </w:p>
    <w:p w:rsidR="00AD6091" w:rsidRDefault="00AD6091" w:rsidP="00AF3299">
      <w:pPr>
        <w:tabs>
          <w:tab w:val="left" w:pos="1785"/>
        </w:tabs>
        <w:jc w:val="both"/>
        <w:rPr>
          <w:rFonts w:ascii="Times New Roman" w:hAnsi="Times New Roman"/>
          <w:b/>
          <w:color w:val="000000"/>
          <w:sz w:val="24"/>
          <w:szCs w:val="24"/>
        </w:rPr>
      </w:pPr>
    </w:p>
    <w:p w:rsidR="00AD6091" w:rsidRPr="00AF3299" w:rsidRDefault="00AD6091" w:rsidP="00AF3299">
      <w:pPr>
        <w:tabs>
          <w:tab w:val="left" w:pos="1785"/>
        </w:tabs>
        <w:jc w:val="both"/>
        <w:rPr>
          <w:rFonts w:ascii="Times New Roman" w:hAnsi="Times New Roman"/>
          <w:b/>
          <w:color w:val="000000"/>
          <w:sz w:val="24"/>
          <w:szCs w:val="24"/>
        </w:rPr>
      </w:pPr>
    </w:p>
    <w:p w:rsidR="008B53D9" w:rsidRPr="00AF3299" w:rsidRDefault="008B53D9" w:rsidP="00AF3299">
      <w:pPr>
        <w:tabs>
          <w:tab w:val="left" w:pos="1785"/>
        </w:tabs>
        <w:jc w:val="both"/>
        <w:rPr>
          <w:rFonts w:ascii="Times New Roman" w:hAnsi="Times New Roman"/>
          <w:b/>
          <w:color w:val="000000"/>
          <w:sz w:val="24"/>
          <w:szCs w:val="24"/>
        </w:rPr>
      </w:pPr>
    </w:p>
    <w:p w:rsidR="008B53D9" w:rsidRDefault="00CB3330" w:rsidP="00AD6091">
      <w:pPr>
        <w:pStyle w:val="Heading2"/>
        <w:numPr>
          <w:ilvl w:val="1"/>
          <w:numId w:val="15"/>
        </w:numPr>
        <w:rPr>
          <w:shd w:val="clear" w:color="auto" w:fill="FFFFFF"/>
        </w:rPr>
      </w:pPr>
      <w:bookmarkStart w:id="21" w:name="_Toc523575984"/>
      <w:r>
        <w:rPr>
          <w:shd w:val="clear" w:color="auto" w:fill="FFFFFF"/>
        </w:rPr>
        <w:t>Shareholding S</w:t>
      </w:r>
      <w:r w:rsidR="008B53D9" w:rsidRPr="00AD6091">
        <w:rPr>
          <w:shd w:val="clear" w:color="auto" w:fill="FFFFFF"/>
        </w:rPr>
        <w:t xml:space="preserve">tructure </w:t>
      </w:r>
      <w:r>
        <w:rPr>
          <w:shd w:val="clear" w:color="auto" w:fill="FFFFFF"/>
        </w:rPr>
        <w:t>of Brac Bank L</w:t>
      </w:r>
      <w:r w:rsidR="008B53D9" w:rsidRPr="00AD6091">
        <w:rPr>
          <w:shd w:val="clear" w:color="auto" w:fill="FFFFFF"/>
        </w:rPr>
        <w:t>imited</w:t>
      </w:r>
      <w:bookmarkEnd w:id="21"/>
    </w:p>
    <w:p w:rsidR="00CB3330" w:rsidRPr="00CB3330" w:rsidRDefault="00CB3330" w:rsidP="00CB3330"/>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601"/>
        <w:gridCol w:w="3394"/>
        <w:gridCol w:w="3394"/>
      </w:tblGrid>
      <w:tr w:rsidR="0038242D" w:rsidRPr="00AF3299" w:rsidTr="00E93EEB">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b/>
                <w:bCs/>
                <w:color w:val="333333"/>
                <w:sz w:val="20"/>
                <w:szCs w:val="20"/>
              </w:rPr>
              <w:t>Sl. No.</w:t>
            </w:r>
          </w:p>
        </w:tc>
        <w:tc>
          <w:tcPr>
            <w:tcW w:w="3000" w:type="dxa"/>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b/>
                <w:bCs/>
                <w:color w:val="333333"/>
                <w:sz w:val="20"/>
                <w:szCs w:val="20"/>
              </w:rPr>
              <w:t>Name of sponsors/promoters and directors</w:t>
            </w:r>
          </w:p>
        </w:tc>
        <w:tc>
          <w:tcPr>
            <w:tcW w:w="3225" w:type="dxa"/>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b/>
                <w:bCs/>
                <w:color w:val="333333"/>
                <w:sz w:val="20"/>
                <w:szCs w:val="20"/>
              </w:rPr>
              <w:t>Status (Sponsor/Promoter/Director/Sponsor Director/Nominated Director/Independent Director/Depositor Director etc.)</w:t>
            </w:r>
          </w:p>
        </w:tc>
        <w:tc>
          <w:tcPr>
            <w:tcW w:w="3225" w:type="dxa"/>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b/>
                <w:bCs/>
                <w:color w:val="333333"/>
                <w:sz w:val="20"/>
                <w:szCs w:val="20"/>
              </w:rPr>
              <w:t>Shareholding of (Sponsor/Promoter/Director/Sponsor Director/Nominated Director/Independent Director/Depositor Director etc.</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BRAC</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Sponsor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379,918,141</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Sir Fazle Hasan Abed (Nominated by BRAC)</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Sponsor/Nominated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8,424</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Late A. S. Mahmud</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Sponsor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7,046</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Mr. Faruq A. Choudhury</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Sponsor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7,046</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Dr. Saleh Uddin Ahmed</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Sponsor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5,790</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06.</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Mr. Shib Narayan Kairy </w:t>
            </w:r>
            <w:r w:rsidRPr="00AF3299">
              <w:rPr>
                <w:rFonts w:ascii="Times New Roman" w:eastAsia="Times New Roman" w:hAnsi="Times New Roman"/>
                <w:color w:val="333333"/>
                <w:sz w:val="20"/>
                <w:szCs w:val="20"/>
              </w:rPr>
              <w:br/>
              <w:t>(Nominated by BRAC)</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Nominated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6,409</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Ms. Nihad Kabir </w:t>
            </w:r>
            <w:r w:rsidRPr="00AF3299">
              <w:rPr>
                <w:rFonts w:ascii="Times New Roman" w:eastAsia="Times New Roman" w:hAnsi="Times New Roman"/>
                <w:color w:val="333333"/>
                <w:sz w:val="20"/>
                <w:szCs w:val="20"/>
              </w:rPr>
              <w:br/>
              <w:t>(Nominated by BRAC)</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Nominated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31,046</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Mr. Kaiser Kabir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Nominated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1,10,000</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09.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Dr. Ahsan H. Mansur</w:t>
            </w:r>
            <w:r w:rsidRPr="00AF3299">
              <w:rPr>
                <w:rFonts w:ascii="Times New Roman" w:eastAsia="Times New Roman" w:hAnsi="Times New Roman"/>
                <w:color w:val="333333"/>
                <w:sz w:val="20"/>
                <w:szCs w:val="20"/>
              </w:rPr>
              <w:br/>
              <w:t>(Independent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Independent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Nil</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Mr. Kazi Mahmood Sattar </w:t>
            </w:r>
            <w:r w:rsidRPr="00AF3299">
              <w:rPr>
                <w:rFonts w:ascii="Times New Roman" w:eastAsia="Times New Roman" w:hAnsi="Times New Roman"/>
                <w:color w:val="333333"/>
                <w:sz w:val="20"/>
                <w:szCs w:val="20"/>
              </w:rPr>
              <w:br/>
              <w:t>(Independent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Independent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Nil</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11.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Ms. Zahida Ispahani</w:t>
            </w:r>
            <w:r w:rsidRPr="00AF3299">
              <w:rPr>
                <w:rFonts w:ascii="Times New Roman" w:eastAsia="Times New Roman" w:hAnsi="Times New Roman"/>
                <w:color w:val="333333"/>
                <w:sz w:val="20"/>
                <w:szCs w:val="20"/>
              </w:rPr>
              <w:br/>
              <w:t>(Independent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Independent Director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Nil</w:t>
            </w:r>
          </w:p>
        </w:tc>
      </w:tr>
      <w:tr w:rsidR="0038242D" w:rsidRPr="00AF3299" w:rsidTr="00E93EEB">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12.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Mr. Asif Saleh</w:t>
            </w:r>
            <w:r w:rsidRPr="00AF3299">
              <w:rPr>
                <w:rFonts w:ascii="Times New Roman" w:eastAsia="Times New Roman" w:hAnsi="Times New Roman"/>
                <w:color w:val="333333"/>
                <w:sz w:val="20"/>
                <w:szCs w:val="20"/>
              </w:rPr>
              <w:br/>
              <w:t>(Nominated by BRAC)</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Nominated by BRAC)</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B53D9" w:rsidRPr="00AF3299" w:rsidRDefault="008B53D9" w:rsidP="00AF3299">
            <w:pPr>
              <w:spacing w:after="0"/>
              <w:jc w:val="center"/>
              <w:rPr>
                <w:rFonts w:ascii="Times New Roman" w:eastAsia="Times New Roman" w:hAnsi="Times New Roman"/>
                <w:color w:val="333333"/>
                <w:sz w:val="20"/>
                <w:szCs w:val="20"/>
              </w:rPr>
            </w:pPr>
            <w:r w:rsidRPr="00AF3299">
              <w:rPr>
                <w:rFonts w:ascii="Times New Roman" w:eastAsia="Times New Roman" w:hAnsi="Times New Roman"/>
                <w:color w:val="333333"/>
                <w:sz w:val="20"/>
                <w:szCs w:val="20"/>
              </w:rPr>
              <w:t>Nil</w:t>
            </w:r>
          </w:p>
        </w:tc>
      </w:tr>
    </w:tbl>
    <w:p w:rsidR="008B53D9" w:rsidRPr="00AF3299" w:rsidRDefault="008B53D9" w:rsidP="00AF3299">
      <w:pPr>
        <w:tabs>
          <w:tab w:val="left" w:pos="1785"/>
        </w:tabs>
        <w:jc w:val="both"/>
        <w:rPr>
          <w:rFonts w:ascii="Times New Roman" w:hAnsi="Times New Roman"/>
          <w:b/>
          <w:sz w:val="28"/>
          <w:szCs w:val="28"/>
        </w:rPr>
      </w:pPr>
    </w:p>
    <w:p w:rsidR="008B53D9" w:rsidRPr="00AF3299" w:rsidRDefault="008B53D9" w:rsidP="00AF3299">
      <w:pPr>
        <w:tabs>
          <w:tab w:val="left" w:pos="1785"/>
        </w:tabs>
        <w:jc w:val="center"/>
        <w:rPr>
          <w:rFonts w:ascii="Times New Roman" w:hAnsi="Times New Roman"/>
          <w:sz w:val="24"/>
          <w:szCs w:val="28"/>
        </w:rPr>
      </w:pPr>
      <w:r w:rsidRPr="00AF3299">
        <w:rPr>
          <w:rFonts w:ascii="Times New Roman" w:hAnsi="Times New Roman"/>
          <w:b/>
          <w:sz w:val="24"/>
          <w:szCs w:val="28"/>
        </w:rPr>
        <w:t>Figure 2:</w:t>
      </w:r>
      <w:r w:rsidRPr="00AF3299">
        <w:rPr>
          <w:rFonts w:ascii="Times New Roman" w:hAnsi="Times New Roman"/>
          <w:bCs/>
          <w:color w:val="000000"/>
          <w:sz w:val="24"/>
          <w:szCs w:val="24"/>
          <w:shd w:val="clear" w:color="auto" w:fill="FFFFFF"/>
        </w:rPr>
        <w:t xml:space="preserve"> Shareholding structure of Brac bank limited</w:t>
      </w:r>
    </w:p>
    <w:p w:rsidR="00C44478" w:rsidRPr="00AF3299" w:rsidRDefault="00C44478" w:rsidP="00AF3299">
      <w:pPr>
        <w:rPr>
          <w:rFonts w:ascii="Times New Roman" w:hAnsi="Times New Roman"/>
          <w:sz w:val="52"/>
          <w:szCs w:val="52"/>
        </w:rPr>
      </w:pPr>
      <w:r w:rsidRPr="00AF3299">
        <w:rPr>
          <w:rFonts w:ascii="Times New Roman" w:hAnsi="Times New Roman"/>
          <w:sz w:val="52"/>
          <w:szCs w:val="52"/>
        </w:rPr>
        <w:t xml:space="preserve">        </w:t>
      </w: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sz w:val="52"/>
          <w:szCs w:val="52"/>
        </w:rPr>
      </w:pPr>
    </w:p>
    <w:p w:rsidR="00F2298A" w:rsidRDefault="00C44478" w:rsidP="00D83541">
      <w:pPr>
        <w:pStyle w:val="Heading1"/>
        <w:jc w:val="center"/>
        <w:rPr>
          <w:rFonts w:ascii="Times New Roman" w:hAnsi="Times New Roman"/>
          <w:i/>
          <w:sz w:val="52"/>
          <w:szCs w:val="52"/>
        </w:rPr>
        <w:sectPr w:rsidR="00F2298A" w:rsidSect="00C44478">
          <w:pgSz w:w="11907" w:h="16839" w:code="9"/>
          <w:pgMar w:top="990" w:right="1440" w:bottom="1170" w:left="1440" w:header="720" w:footer="720" w:gutter="0"/>
          <w:cols w:space="720"/>
          <w:docGrid w:linePitch="360"/>
        </w:sectPr>
      </w:pPr>
      <w:bookmarkStart w:id="22" w:name="_Toc523575985"/>
      <w:r w:rsidRPr="00D83541">
        <w:rPr>
          <w:rFonts w:ascii="Times New Roman" w:hAnsi="Times New Roman"/>
          <w:i/>
          <w:sz w:val="52"/>
          <w:szCs w:val="52"/>
        </w:rPr>
        <w:t>Chapter 3: Internship Experience</w:t>
      </w:r>
      <w:bookmarkEnd w:id="22"/>
    </w:p>
    <w:p w:rsidR="00D66873" w:rsidRPr="00D66873" w:rsidRDefault="00D66873" w:rsidP="00D66873">
      <w:pPr>
        <w:pStyle w:val="ListParagraph"/>
        <w:keepNext/>
        <w:keepLines/>
        <w:numPr>
          <w:ilvl w:val="0"/>
          <w:numId w:val="15"/>
        </w:numPr>
        <w:spacing w:before="40" w:after="0" w:line="256" w:lineRule="auto"/>
        <w:contextualSpacing w:val="0"/>
        <w:outlineLvl w:val="1"/>
        <w:rPr>
          <w:rFonts w:ascii="Times New Roman" w:eastAsia="Times New Roman" w:hAnsi="Times New Roman"/>
          <w:vanish/>
          <w:color w:val="365F91"/>
          <w:sz w:val="26"/>
          <w:szCs w:val="26"/>
        </w:rPr>
      </w:pPr>
      <w:bookmarkStart w:id="23" w:name="_Toc523528796"/>
      <w:bookmarkStart w:id="24" w:name="_Toc523533369"/>
      <w:bookmarkStart w:id="25" w:name="_Toc523572571"/>
      <w:bookmarkStart w:id="26" w:name="_Toc523575986"/>
      <w:bookmarkEnd w:id="23"/>
      <w:bookmarkEnd w:id="24"/>
      <w:bookmarkEnd w:id="25"/>
      <w:bookmarkEnd w:id="26"/>
    </w:p>
    <w:p w:rsidR="00D66873" w:rsidRDefault="00C44478" w:rsidP="00D66873">
      <w:pPr>
        <w:pStyle w:val="Heading2"/>
        <w:numPr>
          <w:ilvl w:val="1"/>
          <w:numId w:val="15"/>
        </w:numPr>
        <w:spacing w:line="276" w:lineRule="auto"/>
      </w:pPr>
      <w:bookmarkStart w:id="27" w:name="_Toc523575987"/>
      <w:r w:rsidRPr="00AF3299">
        <w:t>Lessons Learned from Internship</w:t>
      </w:r>
      <w:bookmarkEnd w:id="27"/>
    </w:p>
    <w:p w:rsidR="00D66873" w:rsidRPr="00D66873" w:rsidRDefault="00D66873" w:rsidP="00D66873"/>
    <w:p w:rsidR="00D66873" w:rsidRPr="00AF3299" w:rsidRDefault="00C44478" w:rsidP="00D66873">
      <w:pPr>
        <w:spacing w:after="120"/>
        <w:jc w:val="both"/>
        <w:rPr>
          <w:rFonts w:ascii="Times New Roman" w:hAnsi="Times New Roman"/>
          <w:sz w:val="24"/>
          <w:szCs w:val="24"/>
        </w:rPr>
      </w:pPr>
      <w:r w:rsidRPr="00AF3299">
        <w:rPr>
          <w:rFonts w:ascii="Times New Roman" w:hAnsi="Times New Roman"/>
          <w:sz w:val="24"/>
          <w:szCs w:val="24"/>
        </w:rPr>
        <w:t>Internship season for any student will become positive for every student. This period will help a graduate to get practical knowledge about office environment and different corporate cultural. Huge number of students has lack idea about corporate activity because university course are based on subjective learning. By the help of this course named internship, student get benefited not only by developing practical skill but also prepare his or her self like corporate person. Some learning are given below:</w:t>
      </w:r>
    </w:p>
    <w:p w:rsidR="00C44478" w:rsidRPr="00D66873" w:rsidRDefault="00C44478" w:rsidP="00D66873">
      <w:pPr>
        <w:spacing w:after="120"/>
        <w:jc w:val="both"/>
        <w:rPr>
          <w:rFonts w:ascii="Times New Roman" w:hAnsi="Times New Roman"/>
          <w:sz w:val="24"/>
          <w:szCs w:val="24"/>
        </w:rPr>
      </w:pPr>
      <w:r w:rsidRPr="00D66873">
        <w:rPr>
          <w:rFonts w:ascii="Times New Roman" w:hAnsi="Times New Roman"/>
          <w:b/>
          <w:sz w:val="24"/>
          <w:szCs w:val="24"/>
        </w:rPr>
        <w:t xml:space="preserve">Corporate cultural learn: </w:t>
      </w:r>
      <w:r w:rsidRPr="00D66873">
        <w:rPr>
          <w:rFonts w:ascii="Times New Roman" w:hAnsi="Times New Roman"/>
          <w:sz w:val="24"/>
          <w:szCs w:val="24"/>
        </w:rPr>
        <w:t>Student life dreams to become a corporate person. But large number of student don’t get job in graduation period. Student who got chance to do internship in reputed organization are lucky because before graduation they are learned corporate cultural and different corporate activity. I am doing internship in Brac Bank for three month and in this three month I got several official knowledge. Those idea will develop myself as corporate person and build me as corporate cultural.</w:t>
      </w:r>
    </w:p>
    <w:p w:rsidR="00C44478" w:rsidRPr="00AF3299" w:rsidRDefault="00C44478" w:rsidP="00D66873">
      <w:pPr>
        <w:spacing w:after="120"/>
        <w:jc w:val="both"/>
        <w:rPr>
          <w:rFonts w:ascii="Times New Roman" w:hAnsi="Times New Roman"/>
          <w:bCs/>
          <w:sz w:val="24"/>
          <w:szCs w:val="24"/>
        </w:rPr>
      </w:pPr>
      <w:r w:rsidRPr="00AF3299">
        <w:rPr>
          <w:rFonts w:ascii="Times New Roman" w:hAnsi="Times New Roman"/>
          <w:b/>
          <w:bCs/>
          <w:sz w:val="24"/>
          <w:szCs w:val="24"/>
        </w:rPr>
        <w:t>Time Management:</w:t>
      </w:r>
      <w:r w:rsidRPr="00AF3299">
        <w:rPr>
          <w:rFonts w:ascii="Times New Roman" w:hAnsi="Times New Roman"/>
          <w:bCs/>
          <w:sz w:val="24"/>
          <w:szCs w:val="24"/>
        </w:rPr>
        <w:t xml:space="preserve"> To become a corporate person, you have to be punctual in your activity and regular life. In every financial and non-financial institution are strongly follow time management. During internship in Brac bank I learned a lot from my senior. Every person try to reach office before 10:00am and as an intern I have to follow this rules so I prepaid myself to early woke up in the morning and ready for office. So this habit will change my regular activity of life in right time frame.</w:t>
      </w:r>
    </w:p>
    <w:p w:rsidR="00C44478" w:rsidRPr="00D83541" w:rsidRDefault="00C44478" w:rsidP="00D66873">
      <w:pPr>
        <w:spacing w:after="120"/>
        <w:jc w:val="both"/>
        <w:rPr>
          <w:rFonts w:ascii="Times New Roman" w:hAnsi="Times New Roman"/>
          <w:bCs/>
          <w:sz w:val="24"/>
          <w:szCs w:val="24"/>
        </w:rPr>
      </w:pPr>
      <w:r w:rsidRPr="00AF3299">
        <w:rPr>
          <w:rFonts w:ascii="Times New Roman" w:hAnsi="Times New Roman"/>
          <w:b/>
          <w:bCs/>
          <w:sz w:val="24"/>
          <w:szCs w:val="24"/>
        </w:rPr>
        <w:t>Followed corporate dress code:</w:t>
      </w:r>
      <w:r w:rsidRPr="00AF3299">
        <w:rPr>
          <w:rFonts w:ascii="Times New Roman" w:hAnsi="Times New Roman"/>
          <w:bCs/>
          <w:sz w:val="24"/>
          <w:szCs w:val="24"/>
        </w:rPr>
        <w:t xml:space="preserve"> Different organization follow various dress code but I was doing internship in a banking organization that’s was thought me to be followed formal dress code. So through this process I am prepared myself to wear regular formal outfit .this learning made one self mentally and physically com</w:t>
      </w:r>
      <w:r w:rsidR="00D83541">
        <w:rPr>
          <w:rFonts w:ascii="Times New Roman" w:hAnsi="Times New Roman"/>
          <w:bCs/>
          <w:sz w:val="24"/>
          <w:szCs w:val="24"/>
        </w:rPr>
        <w:t>fortable to wear formal outfit.</w:t>
      </w:r>
    </w:p>
    <w:p w:rsidR="00C44478" w:rsidRPr="00AF3299" w:rsidRDefault="00C44478" w:rsidP="00D66873">
      <w:pPr>
        <w:spacing w:after="120"/>
        <w:jc w:val="both"/>
        <w:rPr>
          <w:rFonts w:ascii="Times New Roman" w:hAnsi="Times New Roman"/>
          <w:sz w:val="24"/>
          <w:szCs w:val="24"/>
        </w:rPr>
      </w:pPr>
      <w:r w:rsidRPr="00AF3299">
        <w:rPr>
          <w:rFonts w:ascii="Times New Roman" w:hAnsi="Times New Roman"/>
          <w:b/>
          <w:bCs/>
          <w:sz w:val="24"/>
          <w:szCs w:val="24"/>
        </w:rPr>
        <w:t xml:space="preserve">Work Place Management:  </w:t>
      </w:r>
      <w:r w:rsidRPr="00AF3299">
        <w:rPr>
          <w:rFonts w:ascii="Times New Roman" w:hAnsi="Times New Roman"/>
          <w:sz w:val="24"/>
          <w:szCs w:val="24"/>
        </w:rPr>
        <w:t>Here in the last 3 months, I learned to manage workplace. It’s a big element for future career. In this internship program, I managed workplace as per the norms and practice of Brac Bank. There everyone follows a clean desk policy. Also they are responsible for all equipment they are using. It was a mandatory part of my daily activities. In this internship period one other major learning acquired by me is that how you are familiar, flexible and show respect to your upper level employees  and your supervise.</w:t>
      </w:r>
    </w:p>
    <w:p w:rsidR="00C44478" w:rsidRPr="00AF3299" w:rsidRDefault="00C44478" w:rsidP="00D66873">
      <w:pPr>
        <w:spacing w:after="120"/>
        <w:jc w:val="both"/>
        <w:rPr>
          <w:rFonts w:ascii="Times New Roman" w:hAnsi="Times New Roman"/>
          <w:sz w:val="24"/>
          <w:szCs w:val="24"/>
        </w:rPr>
      </w:pPr>
      <w:r w:rsidRPr="00AF3299">
        <w:rPr>
          <w:rFonts w:ascii="Times New Roman" w:hAnsi="Times New Roman"/>
          <w:b/>
          <w:bCs/>
          <w:sz w:val="24"/>
          <w:szCs w:val="24"/>
        </w:rPr>
        <w:t xml:space="preserve">Communication Skill: </w:t>
      </w:r>
      <w:r w:rsidRPr="00AF3299">
        <w:rPr>
          <w:rFonts w:ascii="Times New Roman" w:hAnsi="Times New Roman"/>
          <w:sz w:val="24"/>
          <w:szCs w:val="24"/>
        </w:rPr>
        <w:t>Communication skill is very important in Brac Bank. Employees of Brac Bank is very good in communication. They cannot give any information to their customers that is totally wrong and. This type of work is not accepted in Brac Bank. So that’s why I always tried to improve my communication skill for my better career.</w:t>
      </w:r>
    </w:p>
    <w:p w:rsidR="00C44478" w:rsidRDefault="00C44478" w:rsidP="00D66873">
      <w:pPr>
        <w:spacing w:after="120"/>
        <w:jc w:val="both"/>
        <w:rPr>
          <w:rFonts w:ascii="Times New Roman" w:hAnsi="Times New Roman"/>
          <w:sz w:val="24"/>
          <w:szCs w:val="24"/>
        </w:rPr>
      </w:pPr>
      <w:r w:rsidRPr="00AF3299">
        <w:rPr>
          <w:rFonts w:ascii="Times New Roman" w:hAnsi="Times New Roman"/>
          <w:b/>
          <w:bCs/>
          <w:sz w:val="24"/>
          <w:szCs w:val="24"/>
        </w:rPr>
        <w:t xml:space="preserve">Good Approach: </w:t>
      </w:r>
      <w:r w:rsidRPr="00AF3299">
        <w:rPr>
          <w:rFonts w:ascii="Times New Roman" w:hAnsi="Times New Roman"/>
          <w:sz w:val="24"/>
          <w:szCs w:val="24"/>
        </w:rPr>
        <w:t>Good approach is very important in every work place. As like all employees of corporate offices, employees of Brac bank head office all time practice this thing. Their main target is their customer satisfaction and make business happy by their regular positive activity. They also attend their client and business with a smiling face. They never see their busyness with customer relationship officer. For that they are now working as a leading private bank only for their better approach. I also learned this while doing my internship from Brac Bank head office.</w:t>
      </w:r>
    </w:p>
    <w:p w:rsidR="006448E9" w:rsidRPr="00AF3299" w:rsidRDefault="006448E9" w:rsidP="00D66873">
      <w:pPr>
        <w:spacing w:after="120"/>
        <w:jc w:val="both"/>
        <w:rPr>
          <w:rFonts w:ascii="Times New Roman" w:hAnsi="Times New Roman"/>
          <w:sz w:val="24"/>
          <w:szCs w:val="24"/>
        </w:rPr>
      </w:pPr>
    </w:p>
    <w:p w:rsidR="00C44478" w:rsidRPr="00AF3299" w:rsidRDefault="00C44478" w:rsidP="00D66873">
      <w:pPr>
        <w:spacing w:after="120"/>
        <w:jc w:val="both"/>
        <w:rPr>
          <w:rFonts w:ascii="Times New Roman" w:hAnsi="Times New Roman"/>
          <w:bCs/>
          <w:sz w:val="24"/>
          <w:szCs w:val="24"/>
        </w:rPr>
      </w:pPr>
      <w:r w:rsidRPr="00AF3299">
        <w:rPr>
          <w:rFonts w:ascii="Times New Roman" w:hAnsi="Times New Roman"/>
          <w:b/>
          <w:bCs/>
          <w:sz w:val="24"/>
          <w:szCs w:val="24"/>
        </w:rPr>
        <w:lastRenderedPageBreak/>
        <w:t>Team Work:</w:t>
      </w:r>
      <w:r w:rsidRPr="00AF3299">
        <w:rPr>
          <w:rFonts w:ascii="Times New Roman" w:hAnsi="Times New Roman"/>
          <w:bCs/>
          <w:sz w:val="24"/>
          <w:szCs w:val="24"/>
        </w:rPr>
        <w:t xml:space="preserve"> In my internship season I was appointed for a project. This project is mainly group based and each group there are five members.  I was doing all operation individual but have follow group members activity. The permanent employees of my department are working by different group. There are lots of group like home loan, auto loan disbursement etc. So after watching all group activity of my departments and other inters group, I am learning a lot about group work and team activity.</w:t>
      </w:r>
    </w:p>
    <w:p w:rsidR="00C44478" w:rsidRPr="00AF3299" w:rsidRDefault="00C44478" w:rsidP="00D66873">
      <w:pPr>
        <w:rPr>
          <w:rFonts w:ascii="Times New Roman" w:hAnsi="Times New Roman"/>
          <w:sz w:val="24"/>
          <w:szCs w:val="24"/>
        </w:rPr>
      </w:pPr>
      <w:r w:rsidRPr="00AF3299">
        <w:rPr>
          <w:rFonts w:ascii="Times New Roman" w:hAnsi="Times New Roman"/>
          <w:b/>
          <w:bCs/>
          <w:sz w:val="24"/>
          <w:szCs w:val="24"/>
        </w:rPr>
        <w:t xml:space="preserve">Basic Knowledge of Behavior: </w:t>
      </w:r>
      <w:r w:rsidRPr="00AF3299">
        <w:rPr>
          <w:rFonts w:ascii="Times New Roman" w:hAnsi="Times New Roman"/>
          <w:sz w:val="24"/>
          <w:szCs w:val="24"/>
        </w:rPr>
        <w:t xml:space="preserve">Basic knowledge of behavior is very important to work any institution. At the moment of working in </w:t>
      </w:r>
      <w:r w:rsidRPr="00AF3299">
        <w:rPr>
          <w:rFonts w:ascii="Times New Roman" w:hAnsi="Times New Roman"/>
          <w:bCs/>
          <w:sz w:val="24"/>
          <w:szCs w:val="24"/>
        </w:rPr>
        <w:t>Brac</w:t>
      </w:r>
      <w:r w:rsidRPr="00AF3299">
        <w:rPr>
          <w:rFonts w:ascii="Times New Roman" w:hAnsi="Times New Roman"/>
          <w:sz w:val="24"/>
          <w:szCs w:val="24"/>
        </w:rPr>
        <w:t xml:space="preserve"> Bank I got this knowledge broadly. I learned how to address the department head, -Senior Manager and the other colleagues. They also taught me the way of my behavior with the client and business of their Bank.  </w:t>
      </w:r>
    </w:p>
    <w:p w:rsidR="00C44478" w:rsidRPr="00AF3299" w:rsidRDefault="00C44478" w:rsidP="00D66873">
      <w:pPr>
        <w:spacing w:after="120"/>
        <w:jc w:val="both"/>
        <w:rPr>
          <w:rFonts w:ascii="Times New Roman" w:hAnsi="Times New Roman"/>
          <w:b/>
          <w:bCs/>
          <w:sz w:val="24"/>
          <w:szCs w:val="24"/>
        </w:rPr>
      </w:pPr>
      <w:r w:rsidRPr="00AF3299">
        <w:rPr>
          <w:rFonts w:ascii="Times New Roman" w:hAnsi="Times New Roman"/>
          <w:b/>
          <w:bCs/>
          <w:sz w:val="24"/>
          <w:szCs w:val="24"/>
        </w:rPr>
        <w:t>Retail banking knowledge:</w:t>
      </w:r>
      <w:r w:rsidRPr="00AF3299">
        <w:rPr>
          <w:rFonts w:ascii="Times New Roman" w:hAnsi="Times New Roman"/>
          <w:bCs/>
          <w:sz w:val="24"/>
          <w:szCs w:val="24"/>
        </w:rPr>
        <w:t xml:space="preserve"> In my internship season I was appointed in retail banking department and division of retail products.in retail loan product sector there are mainly 4 types of product like home loan, auto loan, personal loan, secured loan. In entire internship period I was involved with home land and its collateral project. But several time I visited other three section for short time learning like life cycle of other three loan and its loan documentation process and its disbursement procedures. </w:t>
      </w:r>
    </w:p>
    <w:p w:rsidR="00C44478" w:rsidRPr="00AF3299" w:rsidRDefault="00C44478" w:rsidP="00D66873">
      <w:pPr>
        <w:spacing w:after="120"/>
        <w:jc w:val="both"/>
        <w:rPr>
          <w:rFonts w:ascii="Times New Roman" w:hAnsi="Times New Roman"/>
          <w:sz w:val="24"/>
          <w:szCs w:val="24"/>
        </w:rPr>
      </w:pPr>
      <w:r w:rsidRPr="00AF3299">
        <w:rPr>
          <w:rFonts w:ascii="Times New Roman" w:hAnsi="Times New Roman"/>
          <w:b/>
          <w:bCs/>
          <w:sz w:val="24"/>
          <w:szCs w:val="24"/>
        </w:rPr>
        <w:t>Practical Knowledge:</w:t>
      </w:r>
      <w:r w:rsidRPr="00AF3299">
        <w:rPr>
          <w:rFonts w:ascii="Times New Roman" w:hAnsi="Times New Roman"/>
          <w:sz w:val="24"/>
          <w:szCs w:val="24"/>
        </w:rPr>
        <w:t xml:space="preserve"> At the moment of my internship in Brac Bank I learned the practical knowledge related to home loan and different home loan documents and many other things outside the bookish knowledge. Some classification of practical idea:</w:t>
      </w:r>
    </w:p>
    <w:p w:rsidR="00C44478" w:rsidRPr="00AF3299" w:rsidRDefault="00C44478" w:rsidP="00D66873">
      <w:pPr>
        <w:pStyle w:val="ListParagraph"/>
        <w:numPr>
          <w:ilvl w:val="0"/>
          <w:numId w:val="11"/>
        </w:numPr>
        <w:spacing w:after="120"/>
        <w:jc w:val="both"/>
        <w:rPr>
          <w:rFonts w:ascii="Times New Roman" w:hAnsi="Times New Roman"/>
          <w:sz w:val="24"/>
          <w:szCs w:val="24"/>
        </w:rPr>
      </w:pPr>
      <w:r w:rsidRPr="00AF3299">
        <w:rPr>
          <w:rFonts w:ascii="Times New Roman" w:hAnsi="Times New Roman"/>
          <w:sz w:val="24"/>
          <w:szCs w:val="24"/>
        </w:rPr>
        <w:t>Different types of deed and its different name and also ins and outs of a regular deed.</w:t>
      </w:r>
    </w:p>
    <w:p w:rsidR="00C44478" w:rsidRPr="00AF3299" w:rsidRDefault="00C44478" w:rsidP="00D66873">
      <w:pPr>
        <w:pStyle w:val="ListParagraph"/>
        <w:numPr>
          <w:ilvl w:val="0"/>
          <w:numId w:val="11"/>
        </w:numPr>
        <w:spacing w:after="120"/>
        <w:jc w:val="both"/>
        <w:rPr>
          <w:rFonts w:ascii="Times New Roman" w:hAnsi="Times New Roman"/>
          <w:sz w:val="24"/>
          <w:szCs w:val="24"/>
        </w:rPr>
      </w:pPr>
      <w:r w:rsidRPr="00AF3299">
        <w:rPr>
          <w:rFonts w:ascii="Times New Roman" w:hAnsi="Times New Roman"/>
          <w:sz w:val="24"/>
          <w:szCs w:val="24"/>
        </w:rPr>
        <w:t>To get loan customer must keep mortgage and make RIPOA (Registered Irrevocable Power Of Attorney).</w:t>
      </w:r>
    </w:p>
    <w:p w:rsidR="00C44478" w:rsidRPr="00AF3299" w:rsidRDefault="00C44478" w:rsidP="00D66873">
      <w:pPr>
        <w:pStyle w:val="ListParagraph"/>
        <w:numPr>
          <w:ilvl w:val="0"/>
          <w:numId w:val="11"/>
        </w:numPr>
        <w:spacing w:after="120"/>
        <w:jc w:val="both"/>
        <w:rPr>
          <w:rFonts w:ascii="Times New Roman" w:hAnsi="Times New Roman"/>
          <w:sz w:val="24"/>
          <w:szCs w:val="24"/>
        </w:rPr>
      </w:pPr>
      <w:r w:rsidRPr="00AF3299">
        <w:rPr>
          <w:rFonts w:ascii="Times New Roman" w:hAnsi="Times New Roman"/>
          <w:sz w:val="24"/>
          <w:szCs w:val="24"/>
        </w:rPr>
        <w:t>Different Land Has Various Type Of Khatian And Dag Number Like C.S, S.A, and R.S Etc.</w:t>
      </w:r>
    </w:p>
    <w:p w:rsidR="00C44478" w:rsidRPr="00AF3299" w:rsidRDefault="00C44478" w:rsidP="00D66873">
      <w:pPr>
        <w:pStyle w:val="ListParagraph"/>
        <w:numPr>
          <w:ilvl w:val="0"/>
          <w:numId w:val="11"/>
        </w:numPr>
        <w:spacing w:after="120"/>
        <w:jc w:val="both"/>
        <w:rPr>
          <w:rFonts w:ascii="Times New Roman" w:hAnsi="Times New Roman"/>
          <w:sz w:val="24"/>
          <w:szCs w:val="24"/>
        </w:rPr>
      </w:pPr>
      <w:r w:rsidRPr="00AF3299">
        <w:rPr>
          <w:rFonts w:ascii="Times New Roman" w:hAnsi="Times New Roman"/>
          <w:sz w:val="24"/>
          <w:szCs w:val="24"/>
        </w:rPr>
        <w:t>I learned about mutation and its different types of paper and mutation number and jote number of a land and flat.</w:t>
      </w:r>
    </w:p>
    <w:p w:rsidR="00C44478" w:rsidRPr="00AF3299" w:rsidRDefault="00C44478" w:rsidP="00D66873">
      <w:pPr>
        <w:pStyle w:val="ListParagraph"/>
        <w:numPr>
          <w:ilvl w:val="0"/>
          <w:numId w:val="11"/>
        </w:numPr>
        <w:spacing w:after="120"/>
        <w:jc w:val="both"/>
        <w:rPr>
          <w:rFonts w:ascii="Times New Roman" w:hAnsi="Times New Roman"/>
          <w:sz w:val="24"/>
          <w:szCs w:val="24"/>
        </w:rPr>
      </w:pPr>
      <w:r w:rsidRPr="00AF3299">
        <w:rPr>
          <w:rFonts w:ascii="Times New Roman" w:hAnsi="Times New Roman"/>
          <w:sz w:val="24"/>
          <w:szCs w:val="24"/>
        </w:rPr>
        <w:t>Different type of loan giving process and loan documents like sanction letter, valuation, legal opinion, book late contain customer information etc.</w:t>
      </w:r>
    </w:p>
    <w:p w:rsidR="00C44478" w:rsidRPr="00AF3299" w:rsidRDefault="00C44478" w:rsidP="00D66873">
      <w:pPr>
        <w:pStyle w:val="ListParagraph"/>
        <w:numPr>
          <w:ilvl w:val="0"/>
          <w:numId w:val="11"/>
        </w:numPr>
        <w:spacing w:after="120"/>
        <w:jc w:val="both"/>
        <w:rPr>
          <w:rFonts w:ascii="Times New Roman" w:hAnsi="Times New Roman"/>
          <w:sz w:val="24"/>
          <w:szCs w:val="24"/>
        </w:rPr>
      </w:pPr>
      <w:r w:rsidRPr="00AF3299">
        <w:rPr>
          <w:rFonts w:ascii="Times New Roman" w:hAnsi="Times New Roman"/>
          <w:sz w:val="24"/>
          <w:szCs w:val="24"/>
        </w:rPr>
        <w:t xml:space="preserve">Learned some loan disbursement process and essential papers for a signal and joint loan.    </w:t>
      </w:r>
    </w:p>
    <w:p w:rsidR="00C44478" w:rsidRPr="00AF3299" w:rsidRDefault="00C44478" w:rsidP="00D66873">
      <w:pPr>
        <w:spacing w:after="120"/>
        <w:jc w:val="both"/>
        <w:rPr>
          <w:rFonts w:ascii="Times New Roman" w:hAnsi="Times New Roman"/>
          <w:sz w:val="24"/>
          <w:szCs w:val="24"/>
        </w:rPr>
      </w:pPr>
      <w:r w:rsidRPr="00AF3299">
        <w:rPr>
          <w:rFonts w:ascii="Times New Roman" w:hAnsi="Times New Roman"/>
          <w:b/>
          <w:sz w:val="24"/>
          <w:szCs w:val="24"/>
        </w:rPr>
        <w:t>Software learning:</w:t>
      </w:r>
      <w:r w:rsidRPr="00AF3299">
        <w:rPr>
          <w:rFonts w:ascii="Times New Roman" w:hAnsi="Times New Roman"/>
          <w:sz w:val="24"/>
          <w:szCs w:val="24"/>
        </w:rPr>
        <w:t xml:space="preserve"> During the period of internship I was familiar with different software like CSMS (collateral security management system), Connect Plus, Home Loan Tracker, Finical software etc. those are regular used by every employees for their regular operation. I was regularly using the CSMS because through this online based software we were giving all data entry of all collateral security.</w:t>
      </w:r>
    </w:p>
    <w:p w:rsidR="00C44478" w:rsidRPr="00AF3299" w:rsidRDefault="00C44478" w:rsidP="00D66873">
      <w:pPr>
        <w:spacing w:after="120"/>
        <w:jc w:val="both"/>
        <w:rPr>
          <w:rFonts w:ascii="Times New Roman" w:hAnsi="Times New Roman"/>
          <w:bCs/>
          <w:sz w:val="24"/>
          <w:szCs w:val="24"/>
        </w:rPr>
      </w:pPr>
      <w:r w:rsidRPr="00AF3299">
        <w:rPr>
          <w:rFonts w:ascii="Times New Roman" w:hAnsi="Times New Roman"/>
          <w:b/>
          <w:bCs/>
          <w:sz w:val="24"/>
          <w:szCs w:val="24"/>
        </w:rPr>
        <w:t>Responsibilities:</w:t>
      </w:r>
      <w:r w:rsidRPr="00AF3299">
        <w:rPr>
          <w:rFonts w:ascii="Times New Roman" w:hAnsi="Times New Roman"/>
          <w:bCs/>
          <w:sz w:val="24"/>
          <w:szCs w:val="24"/>
        </w:rPr>
        <w:t xml:space="preserve"> In my entire internship season my main work was giving data entry by analyzing collateral security and other home loan documents. First two month we are giving all data entry in excel sheet but last month of my internship I was started to using software which was online based .By the help of this two activity I was learned different things like excel practice, collateral security analysis and get knowledge about home loan documentation and also different home loan documents.</w:t>
      </w:r>
    </w:p>
    <w:p w:rsidR="00C44478" w:rsidRPr="00AF3299" w:rsidRDefault="00C44478" w:rsidP="00D66873">
      <w:pPr>
        <w:spacing w:after="120"/>
        <w:jc w:val="both"/>
        <w:rPr>
          <w:rFonts w:ascii="Times New Roman" w:hAnsi="Times New Roman"/>
          <w:bCs/>
          <w:sz w:val="24"/>
          <w:szCs w:val="24"/>
        </w:rPr>
      </w:pPr>
      <w:r w:rsidRPr="00AF3299">
        <w:rPr>
          <w:rFonts w:ascii="Times New Roman" w:hAnsi="Times New Roman"/>
          <w:b/>
          <w:bCs/>
          <w:sz w:val="24"/>
          <w:szCs w:val="24"/>
        </w:rPr>
        <w:lastRenderedPageBreak/>
        <w:t>Other learning</w:t>
      </w:r>
      <w:r w:rsidRPr="00AF3299">
        <w:rPr>
          <w:rFonts w:ascii="Times New Roman" w:hAnsi="Times New Roman"/>
          <w:bCs/>
          <w:sz w:val="24"/>
          <w:szCs w:val="24"/>
        </w:rPr>
        <w:t xml:space="preserve">: In this three month I was visited different division of asset operation department like Sme, Repayments, Disbursement </w:t>
      </w:r>
      <w:r w:rsidR="00D83541" w:rsidRPr="00AF3299">
        <w:rPr>
          <w:rFonts w:ascii="Times New Roman" w:hAnsi="Times New Roman"/>
          <w:bCs/>
          <w:sz w:val="24"/>
          <w:szCs w:val="24"/>
        </w:rPr>
        <w:t>and</w:t>
      </w:r>
      <w:r w:rsidRPr="00AF3299">
        <w:rPr>
          <w:rFonts w:ascii="Times New Roman" w:hAnsi="Times New Roman"/>
          <w:bCs/>
          <w:sz w:val="24"/>
          <w:szCs w:val="24"/>
        </w:rPr>
        <w:t xml:space="preserve"> Cod .some other non-official operation was learned by </w:t>
      </w:r>
      <w:r w:rsidR="00D83541" w:rsidRPr="00AF3299">
        <w:rPr>
          <w:rFonts w:ascii="Times New Roman" w:hAnsi="Times New Roman"/>
          <w:bCs/>
          <w:sz w:val="24"/>
          <w:szCs w:val="24"/>
        </w:rPr>
        <w:t>me.</w:t>
      </w:r>
    </w:p>
    <w:p w:rsidR="00C44478" w:rsidRPr="00AF3299" w:rsidRDefault="00C44478" w:rsidP="00D66873">
      <w:pPr>
        <w:spacing w:after="120"/>
        <w:jc w:val="both"/>
        <w:rPr>
          <w:rFonts w:ascii="Times New Roman" w:hAnsi="Times New Roman"/>
          <w:bCs/>
          <w:sz w:val="24"/>
          <w:szCs w:val="24"/>
        </w:rPr>
      </w:pPr>
      <w:r w:rsidRPr="00AF3299">
        <w:rPr>
          <w:rFonts w:ascii="Times New Roman" w:hAnsi="Times New Roman"/>
          <w:bCs/>
          <w:sz w:val="24"/>
          <w:szCs w:val="24"/>
        </w:rPr>
        <w:t xml:space="preserve">The journey of this three month internship program in Brac Bank becomes very much helpful and knowledgeable for my future aspect. I was very happy to learn something different from this organization which will give me a positive sign for rest of my life.  </w:t>
      </w:r>
    </w:p>
    <w:p w:rsidR="00C44478" w:rsidRPr="00AF3299" w:rsidRDefault="00C44478" w:rsidP="00AF3299">
      <w:pPr>
        <w:rPr>
          <w:rFonts w:ascii="Times New Roman" w:hAnsi="Times New Roman"/>
          <w:sz w:val="52"/>
          <w:szCs w:val="52"/>
        </w:rPr>
      </w:pPr>
    </w:p>
    <w:p w:rsidR="00C44478" w:rsidRPr="00AF3299" w:rsidRDefault="00C44478" w:rsidP="00AF3299">
      <w:pPr>
        <w:rPr>
          <w:rFonts w:ascii="Times New Roman" w:hAnsi="Times New Roman"/>
        </w:rPr>
      </w:pPr>
    </w:p>
    <w:p w:rsidR="00754BD2" w:rsidRPr="00AF3299" w:rsidRDefault="00754BD2"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Default="00C44478" w:rsidP="00AF3299">
      <w:pPr>
        <w:rPr>
          <w:rFonts w:ascii="Times New Roman" w:hAnsi="Times New Roman"/>
          <w:b/>
          <w:bCs/>
          <w:i/>
          <w:iCs/>
          <w:sz w:val="40"/>
          <w:szCs w:val="40"/>
        </w:rPr>
      </w:pPr>
    </w:p>
    <w:p w:rsidR="00F2298A" w:rsidRDefault="00F2298A" w:rsidP="00AF3299">
      <w:pPr>
        <w:rPr>
          <w:rFonts w:ascii="Times New Roman" w:hAnsi="Times New Roman"/>
          <w:b/>
          <w:bCs/>
          <w:i/>
          <w:iCs/>
          <w:sz w:val="40"/>
          <w:szCs w:val="40"/>
        </w:rPr>
      </w:pPr>
    </w:p>
    <w:p w:rsidR="00F2298A" w:rsidRDefault="00F2298A" w:rsidP="00AF3299">
      <w:pPr>
        <w:rPr>
          <w:rFonts w:ascii="Times New Roman" w:hAnsi="Times New Roman"/>
          <w:b/>
          <w:bCs/>
          <w:i/>
          <w:iCs/>
          <w:sz w:val="40"/>
          <w:szCs w:val="40"/>
        </w:rPr>
      </w:pPr>
    </w:p>
    <w:p w:rsidR="00F2298A" w:rsidRDefault="00F2298A" w:rsidP="00AF3299">
      <w:pPr>
        <w:rPr>
          <w:rFonts w:ascii="Times New Roman" w:hAnsi="Times New Roman"/>
          <w:b/>
          <w:bCs/>
          <w:i/>
          <w:iCs/>
          <w:sz w:val="40"/>
          <w:szCs w:val="40"/>
        </w:rPr>
      </w:pPr>
    </w:p>
    <w:p w:rsidR="00F2298A" w:rsidRDefault="00F2298A" w:rsidP="00AF3299">
      <w:pPr>
        <w:rPr>
          <w:rFonts w:ascii="Times New Roman" w:hAnsi="Times New Roman"/>
          <w:b/>
          <w:bCs/>
          <w:i/>
          <w:iCs/>
          <w:sz w:val="40"/>
          <w:szCs w:val="40"/>
        </w:rPr>
      </w:pPr>
    </w:p>
    <w:p w:rsidR="00F2298A" w:rsidRPr="00AF3299" w:rsidRDefault="00F2298A"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F2298A" w:rsidRDefault="00C44478" w:rsidP="006448E9">
      <w:pPr>
        <w:pStyle w:val="Heading1"/>
        <w:jc w:val="center"/>
        <w:rPr>
          <w:rFonts w:ascii="Times New Roman" w:hAnsi="Times New Roman"/>
          <w:i/>
          <w:sz w:val="52"/>
        </w:rPr>
        <w:sectPr w:rsidR="00F2298A" w:rsidSect="00C44478">
          <w:pgSz w:w="11907" w:h="16839" w:code="9"/>
          <w:pgMar w:top="990" w:right="1440" w:bottom="1170" w:left="1440" w:header="720" w:footer="720" w:gutter="0"/>
          <w:cols w:space="720"/>
          <w:docGrid w:linePitch="360"/>
        </w:sectPr>
      </w:pPr>
      <w:bookmarkStart w:id="28" w:name="_Toc523575988"/>
      <w:r w:rsidRPr="006448E9">
        <w:rPr>
          <w:rFonts w:ascii="Times New Roman" w:hAnsi="Times New Roman"/>
          <w:i/>
          <w:sz w:val="52"/>
        </w:rPr>
        <w:t>Chapter 4: Theoritical Disscussion</w:t>
      </w:r>
      <w:bookmarkEnd w:id="28"/>
    </w:p>
    <w:p w:rsidR="00C44478" w:rsidRPr="00735322" w:rsidRDefault="00735322" w:rsidP="00735322">
      <w:pPr>
        <w:rPr>
          <w:rFonts w:ascii="Times New Roman" w:hAnsi="Times New Roman"/>
          <w:sz w:val="24"/>
        </w:rPr>
      </w:pPr>
      <w:r>
        <w:rPr>
          <w:rFonts w:ascii="Times New Roman" w:hAnsi="Times New Roman"/>
          <w:sz w:val="24"/>
        </w:rPr>
        <w:lastRenderedPageBreak/>
        <w:t xml:space="preserve">Brac Bank has invested in different kinds of financial assets. Before I go into the analysis here I have given a brief description about each of the financial asset BBL invested in. </w:t>
      </w:r>
    </w:p>
    <w:p w:rsidR="00735322" w:rsidRPr="00735322" w:rsidRDefault="00735322" w:rsidP="00735322">
      <w:pPr>
        <w:pStyle w:val="ListParagraph"/>
        <w:keepNext/>
        <w:keepLines/>
        <w:numPr>
          <w:ilvl w:val="0"/>
          <w:numId w:val="15"/>
        </w:numPr>
        <w:spacing w:before="40" w:after="0" w:line="256" w:lineRule="auto"/>
        <w:contextualSpacing w:val="0"/>
        <w:outlineLvl w:val="1"/>
        <w:rPr>
          <w:rFonts w:ascii="Times New Roman" w:eastAsia="Times New Roman" w:hAnsi="Times New Roman"/>
          <w:vanish/>
          <w:color w:val="365F91"/>
          <w:sz w:val="26"/>
          <w:szCs w:val="26"/>
        </w:rPr>
      </w:pPr>
      <w:bookmarkStart w:id="29" w:name="_Toc523533372"/>
      <w:bookmarkStart w:id="30" w:name="_Toc523572574"/>
      <w:bookmarkStart w:id="31" w:name="_Toc523575989"/>
      <w:bookmarkEnd w:id="29"/>
      <w:bookmarkEnd w:id="30"/>
      <w:bookmarkEnd w:id="31"/>
    </w:p>
    <w:p w:rsidR="00C44478" w:rsidRPr="00AF3299" w:rsidRDefault="00C44478" w:rsidP="00735322">
      <w:pPr>
        <w:pStyle w:val="Heading2"/>
        <w:numPr>
          <w:ilvl w:val="1"/>
          <w:numId w:val="15"/>
        </w:numPr>
      </w:pPr>
      <w:bookmarkStart w:id="32" w:name="_Toc523575990"/>
      <w:r w:rsidRPr="00AF3299">
        <w:t>Investment in Held for Trading (HFT)</w:t>
      </w:r>
      <w:bookmarkEnd w:id="32"/>
      <w:r w:rsidRPr="00AF3299">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Short term marketable security is known as held of trading investment. A held of trading investment is a financial asset that is freely marketable and is purchased with an objective to generate short term gain.</w:t>
      </w:r>
    </w:p>
    <w:p w:rsidR="00C44478" w:rsidRPr="00735322" w:rsidRDefault="00C44478" w:rsidP="00735322">
      <w:pPr>
        <w:jc w:val="both"/>
        <w:rPr>
          <w:rFonts w:ascii="Times New Roman" w:hAnsi="Times New Roman"/>
          <w:sz w:val="24"/>
        </w:rPr>
      </w:pPr>
      <w:r w:rsidRPr="00AF3299">
        <w:rPr>
          <w:rFonts w:ascii="Times New Roman" w:hAnsi="Times New Roman"/>
          <w:sz w:val="24"/>
        </w:rPr>
        <w:t>A held of trading investment is re-counted at its fair value on the balance sheet and adjusted in fair value during a period. Dividend or interest income over the period is accepted in profit and l</w:t>
      </w:r>
      <w:r w:rsidR="00735322">
        <w:rPr>
          <w:rFonts w:ascii="Times New Roman" w:hAnsi="Times New Roman"/>
          <w:sz w:val="24"/>
        </w:rPr>
        <w:t>oss for that particular period.</w:t>
      </w:r>
    </w:p>
    <w:p w:rsidR="00C44478" w:rsidRPr="00735322" w:rsidRDefault="00C44478" w:rsidP="00735322">
      <w:pPr>
        <w:pStyle w:val="Heading2"/>
        <w:numPr>
          <w:ilvl w:val="1"/>
          <w:numId w:val="15"/>
        </w:numPr>
      </w:pPr>
      <w:bookmarkStart w:id="33" w:name="_Toc523575991"/>
      <w:r w:rsidRPr="00AF3299">
        <w:t>Investment in Held to Maturity (HTM)</w:t>
      </w:r>
      <w:bookmarkEnd w:id="33"/>
      <w:r w:rsidRPr="00AF3299">
        <w:t xml:space="preserve"> </w:t>
      </w:r>
    </w:p>
    <w:p w:rsidR="00C44478" w:rsidRPr="00735322" w:rsidRDefault="00C44478" w:rsidP="00AF3299">
      <w:pPr>
        <w:jc w:val="both"/>
        <w:rPr>
          <w:rFonts w:ascii="Times New Roman" w:hAnsi="Times New Roman"/>
          <w:sz w:val="24"/>
        </w:rPr>
      </w:pPr>
      <w:r w:rsidRPr="00735322">
        <w:rPr>
          <w:rFonts w:ascii="Times New Roman" w:hAnsi="Times New Roman"/>
          <w:sz w:val="24"/>
        </w:rPr>
        <w:t>A held to maturity investment is a type of investment which made by a company which an investor holds until maturity. It is also reported on balance sheet at its amortized cost.</w:t>
      </w:r>
    </w:p>
    <w:p w:rsidR="00C44478" w:rsidRPr="00735322" w:rsidRDefault="00C44478" w:rsidP="00AF3299">
      <w:pPr>
        <w:jc w:val="both"/>
        <w:rPr>
          <w:rFonts w:ascii="Times New Roman" w:hAnsi="Times New Roman"/>
          <w:sz w:val="24"/>
        </w:rPr>
      </w:pPr>
      <w:r w:rsidRPr="00735322">
        <w:rPr>
          <w:rFonts w:ascii="Times New Roman" w:hAnsi="Times New Roman"/>
          <w:sz w:val="24"/>
        </w:rPr>
        <w:t>Debt securities can be classified as held to maturity. If investors purchase debt securities then they have two options. One option is they can hold the security until maturity and the other is they can sell it at premium after a rela</w:t>
      </w:r>
      <w:r w:rsidR="00735322" w:rsidRPr="00735322">
        <w:rPr>
          <w:rFonts w:ascii="Times New Roman" w:hAnsi="Times New Roman"/>
          <w:sz w:val="24"/>
        </w:rPr>
        <w:t>tive decline in interest rates.</w:t>
      </w:r>
    </w:p>
    <w:p w:rsidR="00C44478" w:rsidRPr="00735322" w:rsidRDefault="00C44478" w:rsidP="00735322">
      <w:pPr>
        <w:pStyle w:val="Heading2"/>
        <w:numPr>
          <w:ilvl w:val="1"/>
          <w:numId w:val="15"/>
        </w:numPr>
      </w:pPr>
      <w:bookmarkStart w:id="34" w:name="_Toc523575992"/>
      <w:r w:rsidRPr="00AF3299">
        <w:t>Investment in Government Securities</w:t>
      </w:r>
      <w:bookmarkEnd w:id="34"/>
      <w:r w:rsidRPr="00AF3299">
        <w:t xml:space="preserve"> </w:t>
      </w:r>
    </w:p>
    <w:p w:rsidR="00C44478" w:rsidRPr="00735322" w:rsidRDefault="00C44478" w:rsidP="00AF3299">
      <w:pPr>
        <w:jc w:val="both"/>
        <w:rPr>
          <w:rFonts w:ascii="Times New Roman" w:hAnsi="Times New Roman"/>
          <w:sz w:val="24"/>
        </w:rPr>
      </w:pPr>
      <w:r w:rsidRPr="00735322">
        <w:rPr>
          <w:rFonts w:ascii="Times New Roman" w:hAnsi="Times New Roman"/>
          <w:sz w:val="24"/>
        </w:rPr>
        <w:t xml:space="preserve">A Government Security is tradable instrument which issued by any country’s Government.  A government Security allows the Government’s debt obligation. The short terms securities are known as treasury bills which maturity is less than one year and long term securities generally called government treasury bonds securities which maturity level is more than one year. There are some benefits to invest in government securities. Such as: </w:t>
      </w:r>
    </w:p>
    <w:p w:rsidR="00C44478" w:rsidRPr="00735322" w:rsidRDefault="00C44478" w:rsidP="00AF3299">
      <w:pPr>
        <w:pStyle w:val="ListParagraph"/>
        <w:numPr>
          <w:ilvl w:val="0"/>
          <w:numId w:val="12"/>
        </w:numPr>
        <w:jc w:val="both"/>
        <w:rPr>
          <w:rFonts w:ascii="Times New Roman" w:hAnsi="Times New Roman"/>
          <w:sz w:val="24"/>
        </w:rPr>
      </w:pPr>
      <w:r w:rsidRPr="00735322">
        <w:rPr>
          <w:rFonts w:ascii="Times New Roman" w:hAnsi="Times New Roman"/>
          <w:sz w:val="24"/>
        </w:rPr>
        <w:t>Government Securities are always risk free.</w:t>
      </w:r>
    </w:p>
    <w:p w:rsidR="00C44478" w:rsidRPr="00735322" w:rsidRDefault="00C44478" w:rsidP="00AF3299">
      <w:pPr>
        <w:pStyle w:val="ListParagraph"/>
        <w:numPr>
          <w:ilvl w:val="0"/>
          <w:numId w:val="12"/>
        </w:numPr>
        <w:jc w:val="both"/>
        <w:rPr>
          <w:rFonts w:ascii="Times New Roman" w:hAnsi="Times New Roman"/>
          <w:sz w:val="24"/>
        </w:rPr>
      </w:pPr>
      <w:r w:rsidRPr="00735322">
        <w:rPr>
          <w:rFonts w:ascii="Times New Roman" w:hAnsi="Times New Roman"/>
          <w:sz w:val="24"/>
        </w:rPr>
        <w:t xml:space="preserve">Good long term returns </w:t>
      </w:r>
    </w:p>
    <w:p w:rsidR="00C44478" w:rsidRPr="00735322" w:rsidRDefault="00C44478" w:rsidP="00AF3299">
      <w:pPr>
        <w:pStyle w:val="ListParagraph"/>
        <w:numPr>
          <w:ilvl w:val="0"/>
          <w:numId w:val="12"/>
        </w:numPr>
        <w:jc w:val="both"/>
        <w:rPr>
          <w:rFonts w:ascii="Times New Roman" w:hAnsi="Times New Roman"/>
          <w:sz w:val="24"/>
        </w:rPr>
      </w:pPr>
      <w:r w:rsidRPr="00735322">
        <w:rPr>
          <w:rFonts w:ascii="Times New Roman" w:hAnsi="Times New Roman"/>
          <w:sz w:val="24"/>
        </w:rPr>
        <w:t>Good liquidity because Government Securities can be bought and sold like equity products.</w:t>
      </w:r>
    </w:p>
    <w:p w:rsidR="000B25A9" w:rsidRDefault="00C44478" w:rsidP="000B25A9">
      <w:pPr>
        <w:pStyle w:val="ListParagraph"/>
        <w:numPr>
          <w:ilvl w:val="0"/>
          <w:numId w:val="12"/>
        </w:numPr>
        <w:jc w:val="both"/>
        <w:rPr>
          <w:rFonts w:ascii="Times New Roman" w:hAnsi="Times New Roman"/>
          <w:sz w:val="24"/>
        </w:rPr>
      </w:pPr>
      <w:r w:rsidRPr="00735322">
        <w:rPr>
          <w:rFonts w:ascii="Times New Roman" w:hAnsi="Times New Roman"/>
          <w:sz w:val="24"/>
        </w:rPr>
        <w:t>Government Securities funds in investment portfolio it gets well diversifies and which consider risk free.</w:t>
      </w:r>
    </w:p>
    <w:p w:rsidR="00C44478" w:rsidRPr="000B25A9" w:rsidRDefault="00C44478" w:rsidP="000B25A9">
      <w:pPr>
        <w:pStyle w:val="Heading2"/>
        <w:numPr>
          <w:ilvl w:val="1"/>
          <w:numId w:val="15"/>
        </w:numPr>
        <w:rPr>
          <w:sz w:val="24"/>
        </w:rPr>
      </w:pPr>
      <w:bookmarkStart w:id="35" w:name="_Toc523575993"/>
      <w:r w:rsidRPr="00AF3299">
        <w:t>Investment in Treasury Bill</w:t>
      </w:r>
      <w:bookmarkEnd w:id="35"/>
    </w:p>
    <w:p w:rsidR="00C44478" w:rsidRPr="00BE1592" w:rsidRDefault="00C44478" w:rsidP="00BE1592">
      <w:pPr>
        <w:jc w:val="both"/>
        <w:rPr>
          <w:rFonts w:ascii="Times New Roman" w:hAnsi="Times New Roman"/>
        </w:rPr>
      </w:pPr>
      <w:r w:rsidRPr="00AF3299">
        <w:rPr>
          <w:rFonts w:ascii="Times New Roman" w:hAnsi="Times New Roman"/>
        </w:rPr>
        <w:t xml:space="preserve">A Treasury bill is a short-term debt obligation.  At present 91, 182 and 364 days maturity Treasury Bills (T-Bills) are available for investment by residents.  Minimum amount in every trade is 1.00 lac Taka or any amount of multiples of BDT 1 lac in face value. Treasury bill is freely tradable and transferable.  </w:t>
      </w:r>
      <w:r w:rsidRPr="00AF3299">
        <w:rPr>
          <w:rFonts w:ascii="Times New Roman" w:eastAsia="Times New Roman" w:hAnsi="Times New Roman"/>
          <w:sz w:val="24"/>
          <w:szCs w:val="24"/>
        </w:rPr>
        <w:t>Investors can also purchase T-Bills from PDs, other banks and financial institutions in the secondary market.</w:t>
      </w:r>
      <w:r w:rsidRPr="00AF3299">
        <w:rPr>
          <w:rFonts w:ascii="Times New Roman" w:hAnsi="Times New Roman"/>
        </w:rPr>
        <w:t xml:space="preserve"> Non-residents are not allowed to purchase T-Bills. Taxes are applicable on income from investment in T-Bills as per existing tax rules and regulations issued by National Board of Revenue.</w:t>
      </w:r>
    </w:p>
    <w:p w:rsidR="00C44478" w:rsidRPr="00AF3299" w:rsidRDefault="00C44478" w:rsidP="000B25A9">
      <w:pPr>
        <w:pStyle w:val="Heading2"/>
        <w:numPr>
          <w:ilvl w:val="1"/>
          <w:numId w:val="15"/>
        </w:numPr>
      </w:pPr>
      <w:bookmarkStart w:id="36" w:name="_Toc523575994"/>
      <w:r w:rsidRPr="00AF3299">
        <w:t>Treasury bond</w:t>
      </w:r>
      <w:bookmarkEnd w:id="36"/>
    </w:p>
    <w:p w:rsidR="00C44478" w:rsidRPr="00AF3299" w:rsidRDefault="00C44478" w:rsidP="00AF3299">
      <w:pPr>
        <w:jc w:val="both"/>
        <w:rPr>
          <w:rFonts w:ascii="Times New Roman" w:hAnsi="Times New Roman"/>
          <w:sz w:val="24"/>
        </w:rPr>
      </w:pPr>
      <w:r w:rsidRPr="00AF3299">
        <w:rPr>
          <w:rFonts w:ascii="Times New Roman" w:hAnsi="Times New Roman"/>
          <w:sz w:val="24"/>
        </w:rPr>
        <w:t>A Treasury bond is a debt security issued by a government to support government spending. Treasury bonds are considered risk-free and are traded in highly liquid markets. The percentage rate of investment of BBL in government bond is calculated by dividing the total amount of investment in government bond with the total number of investment in financial assets.</w:t>
      </w:r>
    </w:p>
    <w:p w:rsidR="00C44478" w:rsidRPr="00AF3299" w:rsidRDefault="00C44478" w:rsidP="000B25A9">
      <w:pPr>
        <w:pStyle w:val="Heading2"/>
        <w:numPr>
          <w:ilvl w:val="1"/>
          <w:numId w:val="15"/>
        </w:numPr>
      </w:pPr>
      <w:bookmarkStart w:id="37" w:name="_Toc523575995"/>
      <w:r w:rsidRPr="00AF3299">
        <w:lastRenderedPageBreak/>
        <w:t>Ordinary Shares</w:t>
      </w:r>
      <w:bookmarkEnd w:id="37"/>
    </w:p>
    <w:p w:rsidR="00C44478" w:rsidRPr="00AF3299" w:rsidRDefault="00C44478" w:rsidP="00AF3299">
      <w:pPr>
        <w:jc w:val="both"/>
        <w:rPr>
          <w:rFonts w:ascii="Times New Roman" w:hAnsi="Times New Roman"/>
          <w:color w:val="222222"/>
          <w:shd w:val="clear" w:color="auto" w:fill="FFFFFF"/>
        </w:rPr>
      </w:pPr>
      <w:r w:rsidRPr="00AF3299">
        <w:rPr>
          <w:rFonts w:ascii="Times New Roman" w:hAnsi="Times New Roman"/>
          <w:color w:val="222222"/>
          <w:shd w:val="clear" w:color="auto" w:fill="FFFFFF"/>
        </w:rPr>
        <w:t>Ordinary share is the synonym of common shares. It represents the basic voting shares of a corporation. The Holders of ordinary shares are usually allowed to one vote per share and do not have any predetermined dividend amounts.</w:t>
      </w:r>
    </w:p>
    <w:p w:rsidR="00C44478" w:rsidRPr="00AF3299" w:rsidRDefault="00C44478" w:rsidP="000B25A9">
      <w:pPr>
        <w:pStyle w:val="Heading2"/>
        <w:numPr>
          <w:ilvl w:val="1"/>
          <w:numId w:val="15"/>
        </w:numPr>
      </w:pPr>
      <w:bookmarkStart w:id="38" w:name="_Toc523575996"/>
      <w:r w:rsidRPr="00AF3299">
        <w:t>Preference Shares</w:t>
      </w:r>
      <w:bookmarkEnd w:id="38"/>
    </w:p>
    <w:p w:rsidR="00C44478" w:rsidRPr="00AF3299" w:rsidRDefault="00C44478" w:rsidP="00AF3299">
      <w:pPr>
        <w:jc w:val="both"/>
        <w:rPr>
          <w:rFonts w:ascii="Times New Roman" w:hAnsi="Times New Roman"/>
          <w:color w:val="222222"/>
          <w:shd w:val="clear" w:color="auto" w:fill="FFFFFF"/>
        </w:rPr>
      </w:pPr>
      <w:r w:rsidRPr="00AF3299">
        <w:rPr>
          <w:rFonts w:ascii="Times New Roman" w:hAnsi="Times New Roman"/>
          <w:color w:val="545454"/>
          <w:shd w:val="clear" w:color="auto" w:fill="FFFFFF"/>
        </w:rPr>
        <w:t>Preference shares are more commonly referred as preferred stock. Preferred shares of a company’s stock with dividends that are paid out to shareholders before common stock dividends are issued.</w:t>
      </w:r>
      <w:r w:rsidRPr="00AF3299">
        <w:rPr>
          <w:rFonts w:ascii="Times New Roman" w:hAnsi="Times New Roman"/>
          <w:color w:val="222222"/>
          <w:shd w:val="clear" w:color="auto" w:fill="FFFFFF"/>
        </w:rPr>
        <w:t xml:space="preserve"> Preferred stock shareholders also typically do not hold any voting rights.</w:t>
      </w:r>
    </w:p>
    <w:p w:rsidR="00C44478" w:rsidRPr="00AF3299" w:rsidRDefault="00C44478" w:rsidP="000B25A9">
      <w:pPr>
        <w:pStyle w:val="Heading2"/>
        <w:numPr>
          <w:ilvl w:val="1"/>
          <w:numId w:val="15"/>
        </w:numPr>
      </w:pPr>
      <w:bookmarkStart w:id="39" w:name="_Toc523575997"/>
      <w:r w:rsidRPr="00AF3299">
        <w:t>Commercial Paper</w:t>
      </w:r>
      <w:bookmarkEnd w:id="39"/>
    </w:p>
    <w:p w:rsidR="00C44478" w:rsidRPr="00AF3299" w:rsidRDefault="00C44478" w:rsidP="00AF3299">
      <w:pPr>
        <w:jc w:val="both"/>
        <w:rPr>
          <w:rFonts w:ascii="Times New Roman" w:hAnsi="Times New Roman"/>
          <w:color w:val="000000"/>
        </w:rPr>
      </w:pPr>
      <w:r w:rsidRPr="00AF3299">
        <w:rPr>
          <w:rFonts w:ascii="Times New Roman" w:hAnsi="Times New Roman"/>
          <w:color w:val="000000"/>
        </w:rPr>
        <w:t xml:space="preserve"> Commercial paper is an unsecured, short term debt instrument which issued by a large   corporation and naturally for the financing of account receivable, inventories and short term obligations and backed only by an issuing bank or promises to pay the face amount on the maturity date specified on the note.</w:t>
      </w:r>
    </w:p>
    <w:p w:rsidR="00C44478" w:rsidRPr="00AF3299" w:rsidRDefault="00C44478" w:rsidP="000B25A9">
      <w:pPr>
        <w:pStyle w:val="Heading2"/>
        <w:numPr>
          <w:ilvl w:val="1"/>
          <w:numId w:val="15"/>
        </w:numPr>
      </w:pPr>
      <w:bookmarkStart w:id="40" w:name="_Toc523575998"/>
      <w:r w:rsidRPr="00AF3299">
        <w:t>Secondary market</w:t>
      </w:r>
      <w:bookmarkEnd w:id="40"/>
    </w:p>
    <w:p w:rsidR="00C44478" w:rsidRPr="00AF3299" w:rsidRDefault="00C44478" w:rsidP="00AF3299">
      <w:pPr>
        <w:jc w:val="both"/>
        <w:rPr>
          <w:rFonts w:ascii="Times New Roman" w:eastAsia="Times New Roman" w:hAnsi="Times New Roman"/>
          <w:color w:val="000000"/>
          <w:sz w:val="24"/>
          <w:szCs w:val="24"/>
        </w:rPr>
      </w:pPr>
      <w:r w:rsidRPr="00AF3299">
        <w:rPr>
          <w:rFonts w:ascii="Times New Roman" w:eastAsia="Times New Roman" w:hAnsi="Times New Roman"/>
          <w:color w:val="000000"/>
          <w:sz w:val="24"/>
          <w:szCs w:val="24"/>
        </w:rPr>
        <w:t xml:space="preserve">Secondary market is the market where investors buy and sell securities they have already own. Secondary market consists of both equity as well as debt markets. When securities issued by a company for the first time are offered to the public in the primary market. Once the initial public offering is done and the stock is listed then they are traded in secondary market. </w:t>
      </w:r>
    </w:p>
    <w:p w:rsidR="00C44478" w:rsidRPr="00AF3299" w:rsidRDefault="00C44478" w:rsidP="000B25A9">
      <w:pPr>
        <w:pStyle w:val="Heading2"/>
        <w:numPr>
          <w:ilvl w:val="1"/>
          <w:numId w:val="15"/>
        </w:numPr>
        <w:rPr>
          <w:rFonts w:eastAsia="Calibri"/>
        </w:rPr>
      </w:pPr>
      <w:bookmarkStart w:id="41" w:name="_Toc523575999"/>
      <w:r w:rsidRPr="00AF3299">
        <w:rPr>
          <w:rFonts w:eastAsia="Calibri"/>
        </w:rPr>
        <w:t>Initial public offering (IPO)</w:t>
      </w:r>
      <w:bookmarkEnd w:id="41"/>
    </w:p>
    <w:p w:rsidR="00C44478" w:rsidRPr="00AF3299" w:rsidRDefault="00C44478" w:rsidP="00AF3299">
      <w:pPr>
        <w:pStyle w:val="uiqtextpara"/>
        <w:spacing w:before="0" w:beforeAutospacing="0" w:after="240" w:afterAutospacing="0" w:line="276" w:lineRule="auto"/>
        <w:jc w:val="both"/>
        <w:rPr>
          <w:color w:val="333333"/>
        </w:rPr>
      </w:pPr>
      <w:r w:rsidRPr="00AF3299">
        <w:rPr>
          <w:color w:val="333333"/>
        </w:rPr>
        <w:t>An initial public offering or IPO, is the very first sale of stock issued by a company to the public. Prior to an IPO the company is considered private, with a relatively small number of shareholders of early investor.</w:t>
      </w:r>
    </w:p>
    <w:p w:rsidR="00C44478" w:rsidRPr="00AF3299" w:rsidRDefault="00C44478" w:rsidP="000B25A9">
      <w:pPr>
        <w:pStyle w:val="Heading2"/>
        <w:numPr>
          <w:ilvl w:val="1"/>
          <w:numId w:val="15"/>
        </w:numPr>
      </w:pPr>
      <w:bookmarkStart w:id="42" w:name="_Toc523576000"/>
      <w:r w:rsidRPr="00AF3299">
        <w:t>Capital Market Investment</w:t>
      </w:r>
      <w:bookmarkEnd w:id="42"/>
    </w:p>
    <w:p w:rsidR="00C44478" w:rsidRPr="00AF3299" w:rsidRDefault="00C44478" w:rsidP="00AF3299">
      <w:pPr>
        <w:jc w:val="both"/>
        <w:rPr>
          <w:rFonts w:ascii="Times New Roman" w:hAnsi="Times New Roman"/>
        </w:rPr>
      </w:pPr>
      <w:r w:rsidRPr="00AF3299">
        <w:rPr>
          <w:rFonts w:ascii="Times New Roman" w:hAnsi="Times New Roman"/>
          <w:color w:val="222222"/>
          <w:shd w:val="clear" w:color="auto" w:fill="FFFFFF"/>
        </w:rPr>
        <w:t xml:space="preserve">A capital market is a financial market in which long term debt (over one year maturity) or equity are bought and sold. Capital markets are the channel in which the wealth who wants to put for long run is a very beneficial way. Basically companies or governments using long term investment. </w:t>
      </w:r>
    </w:p>
    <w:p w:rsidR="00C44478" w:rsidRPr="00AF3299" w:rsidRDefault="00C44478" w:rsidP="00AF3299">
      <w:pPr>
        <w:spacing w:after="160"/>
        <w:jc w:val="both"/>
        <w:rPr>
          <w:rFonts w:ascii="Times New Roman" w:hAnsi="Times New Roman"/>
          <w:b/>
          <w:sz w:val="24"/>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C44478" w:rsidRPr="00AF3299" w:rsidRDefault="00C44478" w:rsidP="00AF3299">
      <w:pPr>
        <w:rPr>
          <w:rFonts w:ascii="Times New Roman" w:hAnsi="Times New Roman"/>
          <w:b/>
          <w:bCs/>
          <w:i/>
          <w:iCs/>
          <w:sz w:val="40"/>
          <w:szCs w:val="40"/>
        </w:rPr>
      </w:pPr>
    </w:p>
    <w:p w:rsidR="00BE1592" w:rsidRDefault="000B25A9" w:rsidP="000B25A9">
      <w:pPr>
        <w:pStyle w:val="Heading1"/>
        <w:jc w:val="center"/>
        <w:rPr>
          <w:i/>
          <w:sz w:val="52"/>
        </w:rPr>
        <w:sectPr w:rsidR="00BE1592" w:rsidSect="00C44478">
          <w:pgSz w:w="11907" w:h="16839" w:code="9"/>
          <w:pgMar w:top="990" w:right="1440" w:bottom="1170" w:left="1440" w:header="720" w:footer="720" w:gutter="0"/>
          <w:cols w:space="720"/>
          <w:docGrid w:linePitch="360"/>
        </w:sectPr>
      </w:pPr>
      <w:bookmarkStart w:id="43" w:name="_Toc523576001"/>
      <w:r w:rsidRPr="000B25A9">
        <w:rPr>
          <w:i/>
          <w:sz w:val="52"/>
        </w:rPr>
        <w:t>Chapter 5: Analysis &amp; Compliance</w:t>
      </w:r>
      <w:bookmarkEnd w:id="43"/>
    </w:p>
    <w:p w:rsidR="00C44478" w:rsidRPr="00AF3299" w:rsidRDefault="00C44478" w:rsidP="00D17F25">
      <w:pPr>
        <w:pStyle w:val="Heading1"/>
        <w:numPr>
          <w:ilvl w:val="1"/>
          <w:numId w:val="18"/>
        </w:numPr>
        <w:spacing w:line="276" w:lineRule="auto"/>
        <w:rPr>
          <w:rFonts w:ascii="Times New Roman" w:hAnsi="Times New Roman"/>
        </w:rPr>
      </w:pPr>
      <w:bookmarkStart w:id="44" w:name="_Toc523576002"/>
      <w:r w:rsidRPr="00AF3299">
        <w:rPr>
          <w:rFonts w:ascii="Times New Roman" w:hAnsi="Times New Roman"/>
        </w:rPr>
        <w:lastRenderedPageBreak/>
        <w:t>Analysis as per Classification</w:t>
      </w:r>
      <w:bookmarkEnd w:id="44"/>
      <w:r w:rsidRPr="00AF3299">
        <w:rPr>
          <w:rFonts w:ascii="Times New Roman" w:hAnsi="Times New Roman"/>
        </w:rPr>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BBL is showing its investment in financial assets by some descriptive classification. Because classification of investment is necessary to assess the quality of Investment of the bank, to establish discipline in banking sector and to assess the level of Risk. </w:t>
      </w:r>
    </w:p>
    <w:p w:rsidR="00C44478" w:rsidRPr="00AF3299" w:rsidRDefault="00C44478" w:rsidP="00D17F25">
      <w:pPr>
        <w:pStyle w:val="Heading2"/>
        <w:numPr>
          <w:ilvl w:val="2"/>
          <w:numId w:val="18"/>
        </w:numPr>
        <w:spacing w:line="276" w:lineRule="auto"/>
      </w:pPr>
      <w:r w:rsidRPr="00AF3299">
        <w:t xml:space="preserve"> </w:t>
      </w:r>
      <w:bookmarkStart w:id="45" w:name="_Toc523576003"/>
      <w:r w:rsidRPr="00AF3299">
        <w:t>Investment Classified as per Bangladesh Bank Circular</w:t>
      </w:r>
      <w:bookmarkEnd w:id="45"/>
      <w:r w:rsidRPr="00AF3299">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Classification of investment as per Bangladesh Bank circular is normally means to segregate the merit of an investment in accordance with Bangladesh bank circular. Classified investments as per Bangladesh Bank are those investments where bank is unclear whether it will be able to recoup the investment proceeds from the customer or not. Here the investments of BBL are classified as per Bangladesh Bank circular as follow: </w:t>
      </w:r>
    </w:p>
    <w:p w:rsidR="00C44478" w:rsidRPr="00AF3299" w:rsidRDefault="00C44478" w:rsidP="00D17F25">
      <w:pPr>
        <w:pStyle w:val="Heading3"/>
        <w:numPr>
          <w:ilvl w:val="3"/>
          <w:numId w:val="18"/>
        </w:numPr>
      </w:pPr>
      <w:bookmarkStart w:id="46" w:name="_Toc523576004"/>
      <w:r w:rsidRPr="00AF3299">
        <w:t>Investment in Held for Trading (HFT)</w:t>
      </w:r>
      <w:bookmarkEnd w:id="46"/>
      <w:r w:rsidRPr="00AF3299">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Debt and equity investments which are bought with the intent of selling them within a short period of time, usually less than one year called investment in held for trading (HFT). For measurement, government Treasury bill and Bonds are designated as HFT in BBL.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percentages of investment in HTF are calculated by dividing the amount of investment in HTF with the total amount of investment in financial assets.</w:t>
      </w:r>
    </w:p>
    <w:tbl>
      <w:tblPr>
        <w:tblW w:w="5000" w:type="pct"/>
        <w:jc w:val="center"/>
        <w:tblLook w:val="04A0" w:firstRow="1" w:lastRow="0" w:firstColumn="1" w:lastColumn="0" w:noHBand="0" w:noVBand="1"/>
      </w:tblPr>
      <w:tblGrid>
        <w:gridCol w:w="3859"/>
        <w:gridCol w:w="1436"/>
        <w:gridCol w:w="974"/>
        <w:gridCol w:w="1028"/>
        <w:gridCol w:w="974"/>
        <w:gridCol w:w="972"/>
      </w:tblGrid>
      <w:tr w:rsidR="0038242D" w:rsidRPr="00AF3299" w:rsidTr="00D17F25">
        <w:trPr>
          <w:jc w:val="center"/>
        </w:trPr>
        <w:tc>
          <w:tcPr>
            <w:tcW w:w="20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77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52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55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52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52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D17F25">
        <w:trPr>
          <w:jc w:val="center"/>
        </w:trPr>
        <w:tc>
          <w:tcPr>
            <w:tcW w:w="2087"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77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-50.09%</w:t>
            </w:r>
          </w:p>
        </w:tc>
        <w:tc>
          <w:tcPr>
            <w:tcW w:w="52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44%</w:t>
            </w:r>
          </w:p>
        </w:tc>
        <w:tc>
          <w:tcPr>
            <w:tcW w:w="55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-67%</w:t>
            </w:r>
          </w:p>
        </w:tc>
        <w:tc>
          <w:tcPr>
            <w:tcW w:w="52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52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r>
      <w:tr w:rsidR="0038242D" w:rsidRPr="00AF3299" w:rsidTr="00D17F25">
        <w:trPr>
          <w:jc w:val="center"/>
        </w:trPr>
        <w:tc>
          <w:tcPr>
            <w:tcW w:w="2087" w:type="pct"/>
            <w:shd w:val="clear" w:color="auto" w:fill="auto"/>
            <w:vAlign w:val="center"/>
          </w:tcPr>
          <w:p w:rsidR="00C44478" w:rsidRPr="00AF3299" w:rsidRDefault="00C44478" w:rsidP="00D17F25">
            <w:pPr>
              <w:spacing w:after="0"/>
              <w:rPr>
                <w:rFonts w:ascii="Times New Roman" w:hAnsi="Times New Roman"/>
                <w:b/>
                <w:bCs/>
              </w:rPr>
            </w:pPr>
            <w:r w:rsidRPr="00AF3299">
              <w:rPr>
                <w:rFonts w:ascii="Times New Roman" w:hAnsi="Times New Roman"/>
                <w:b/>
                <w:bCs/>
              </w:rPr>
              <w:t>Percentage of Investment</w:t>
            </w:r>
          </w:p>
        </w:tc>
        <w:tc>
          <w:tcPr>
            <w:tcW w:w="77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28%</w:t>
            </w:r>
          </w:p>
        </w:tc>
        <w:tc>
          <w:tcPr>
            <w:tcW w:w="52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36%</w:t>
            </w:r>
          </w:p>
        </w:tc>
        <w:tc>
          <w:tcPr>
            <w:tcW w:w="55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w:t>
            </w:r>
          </w:p>
        </w:tc>
        <w:tc>
          <w:tcPr>
            <w:tcW w:w="52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52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r>
    </w:tbl>
    <w:p w:rsidR="00C44478" w:rsidRPr="00AF3299" w:rsidRDefault="00F427B1" w:rsidP="00AF3299">
      <w:pPr>
        <w:jc w:val="both"/>
        <w:rPr>
          <w:rFonts w:ascii="Times New Roman" w:hAnsi="Times New Roman"/>
        </w:rPr>
      </w:pPr>
      <w:r w:rsidRPr="00AF3299">
        <w:rPr>
          <w:rFonts w:ascii="Times New Roman" w:hAnsi="Times New Roman"/>
          <w:noProof/>
        </w:rPr>
        <w:drawing>
          <wp:anchor distT="6096" distB="6096" distL="120396" distR="120396" simplePos="0" relativeHeight="251723776" behindDoc="0" locked="0" layoutInCell="1" allowOverlap="1">
            <wp:simplePos x="0" y="0"/>
            <wp:positionH relativeFrom="margin">
              <wp:align>right</wp:align>
            </wp:positionH>
            <wp:positionV relativeFrom="paragraph">
              <wp:posOffset>243840</wp:posOffset>
            </wp:positionV>
            <wp:extent cx="5734050" cy="2219325"/>
            <wp:effectExtent l="0" t="0" r="0" b="9525"/>
            <wp:wrapTopAndBottom/>
            <wp:docPr id="6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C44478" w:rsidRPr="00AF3299" w:rsidRDefault="00C44478" w:rsidP="00AF3299">
      <w:pPr>
        <w:jc w:val="both"/>
        <w:rPr>
          <w:rFonts w:ascii="Times New Roman" w:hAnsi="Times New Roman"/>
        </w:rPr>
      </w:pPr>
    </w:p>
    <w:p w:rsidR="00C44478" w:rsidRPr="00AF3299" w:rsidRDefault="00C44478" w:rsidP="00AF3299">
      <w:pPr>
        <w:jc w:val="both"/>
        <w:rPr>
          <w:rFonts w:ascii="Times New Roman" w:eastAsia="Times New Roman" w:hAnsi="Times New Roman"/>
          <w:color w:val="000000"/>
          <w:sz w:val="24"/>
        </w:rPr>
      </w:pPr>
      <w:r w:rsidRPr="00AF3299">
        <w:rPr>
          <w:rFonts w:ascii="Times New Roman" w:hAnsi="Times New Roman"/>
          <w:sz w:val="24"/>
        </w:rPr>
        <w:t xml:space="preserve">In the investment in HTF the percentage rate of investment are </w:t>
      </w:r>
      <w:r w:rsidRPr="00AF3299">
        <w:rPr>
          <w:rFonts w:ascii="Times New Roman" w:eastAsia="Times New Roman" w:hAnsi="Times New Roman"/>
          <w:color w:val="000000"/>
          <w:sz w:val="24"/>
        </w:rPr>
        <w:t>28.15%</w:t>
      </w:r>
      <w:r w:rsidRPr="00AF3299">
        <w:rPr>
          <w:rFonts w:ascii="Times New Roman" w:hAnsi="Times New Roman"/>
          <w:sz w:val="24"/>
        </w:rPr>
        <w:t xml:space="preserve">, </w:t>
      </w:r>
      <w:r w:rsidRPr="00AF3299">
        <w:rPr>
          <w:rFonts w:ascii="Times New Roman" w:eastAsia="Times New Roman" w:hAnsi="Times New Roman"/>
          <w:color w:val="000000"/>
          <w:sz w:val="24"/>
        </w:rPr>
        <w:t>36.18%</w:t>
      </w:r>
      <w:r w:rsidRPr="00AF3299">
        <w:rPr>
          <w:rFonts w:ascii="Times New Roman" w:hAnsi="Times New Roman"/>
          <w:sz w:val="24"/>
        </w:rPr>
        <w:t xml:space="preserve"> and </w:t>
      </w:r>
      <w:r w:rsidRPr="00AF3299">
        <w:rPr>
          <w:rFonts w:ascii="Times New Roman" w:eastAsia="Times New Roman" w:hAnsi="Times New Roman"/>
          <w:color w:val="000000"/>
          <w:sz w:val="24"/>
        </w:rPr>
        <w:t>14.31%</w:t>
      </w:r>
      <w:r w:rsidRPr="00AF3299">
        <w:rPr>
          <w:rFonts w:ascii="Times New Roman" w:hAnsi="Times New Roman"/>
          <w:sz w:val="24"/>
        </w:rPr>
        <w:t xml:space="preserve">, from year 2013 to 2015. This is indicating that the investment of BBL in HTF growth increased and then dropped significantly. In the annual growth rate it is being notified that in 2015 there is a negative investment growth in HTF. The growth rate of investment in HTF is clearly mentioned in the given chart that is showing that the highest number of investment in HTF is on 2014. As BBL didn't mention their investment in HFT we supposed that they didn't invest in HFT instruments. </w:t>
      </w:r>
    </w:p>
    <w:p w:rsidR="00C44478" w:rsidRPr="00AF3299" w:rsidRDefault="00C44478" w:rsidP="00D17F25">
      <w:pPr>
        <w:pStyle w:val="Heading3"/>
        <w:numPr>
          <w:ilvl w:val="3"/>
          <w:numId w:val="18"/>
        </w:numPr>
      </w:pPr>
      <w:bookmarkStart w:id="47" w:name="_Toc523576005"/>
      <w:r w:rsidRPr="00AF3299">
        <w:lastRenderedPageBreak/>
        <w:t>Investment in Held to Maturity (HTM)</w:t>
      </w:r>
      <w:bookmarkEnd w:id="47"/>
      <w:r w:rsidRPr="00AF3299">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Securities which are purchased with the intention of holding the investment to maturity called investment in Held to Maturity securities. This type of security is reported at amortized cost on a company's financial statements and is usually in the form of a debt security with a specific maturity date. The gain/loss from HTM instruments is also identified in Profit/ Loss statement. Government Treasury Bills and Bonds designated as 'Held to Maturity (HTM)' in BBL. </w:t>
      </w: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numbers of investment in HTM are calculated by dividing the total amount of investment in HTM with the total amount of investment in financial assets.</w:t>
      </w:r>
    </w:p>
    <w:tbl>
      <w:tblPr>
        <w:tblW w:w="5000" w:type="pct"/>
        <w:jc w:val="center"/>
        <w:tblLook w:val="04A0" w:firstRow="1" w:lastRow="0" w:firstColumn="1" w:lastColumn="0" w:noHBand="0" w:noVBand="1"/>
      </w:tblPr>
      <w:tblGrid>
        <w:gridCol w:w="3963"/>
        <w:gridCol w:w="1000"/>
        <w:gridCol w:w="1056"/>
        <w:gridCol w:w="1000"/>
        <w:gridCol w:w="1224"/>
        <w:gridCol w:w="1000"/>
      </w:tblGrid>
      <w:tr w:rsidR="0038242D" w:rsidRPr="00AF3299" w:rsidTr="00D17F25">
        <w:trPr>
          <w:jc w:val="center"/>
        </w:trPr>
        <w:tc>
          <w:tcPr>
            <w:tcW w:w="214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54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57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54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6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54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D17F25">
        <w:trPr>
          <w:jc w:val="center"/>
        </w:trPr>
        <w:tc>
          <w:tcPr>
            <w:tcW w:w="214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4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36%</w:t>
            </w:r>
          </w:p>
        </w:tc>
        <w:tc>
          <w:tcPr>
            <w:tcW w:w="57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-11%</w:t>
            </w:r>
          </w:p>
        </w:tc>
        <w:tc>
          <w:tcPr>
            <w:tcW w:w="54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w:t>
            </w:r>
          </w:p>
        </w:tc>
        <w:tc>
          <w:tcPr>
            <w:tcW w:w="662"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-100%</w:t>
            </w:r>
          </w:p>
        </w:tc>
        <w:tc>
          <w:tcPr>
            <w:tcW w:w="54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r>
      <w:tr w:rsidR="0038242D" w:rsidRPr="00AF3299" w:rsidTr="00D17F25">
        <w:trPr>
          <w:jc w:val="center"/>
        </w:trPr>
        <w:tc>
          <w:tcPr>
            <w:tcW w:w="2143"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Investment</w:t>
            </w:r>
          </w:p>
        </w:tc>
        <w:tc>
          <w:tcPr>
            <w:tcW w:w="54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63%</w:t>
            </w:r>
          </w:p>
        </w:tc>
        <w:tc>
          <w:tcPr>
            <w:tcW w:w="57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50%</w:t>
            </w:r>
          </w:p>
        </w:tc>
        <w:tc>
          <w:tcPr>
            <w:tcW w:w="54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61%</w:t>
            </w:r>
          </w:p>
        </w:tc>
        <w:tc>
          <w:tcPr>
            <w:tcW w:w="66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54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r>
    </w:tbl>
    <w:p w:rsidR="00C44478" w:rsidRPr="00AF3299" w:rsidRDefault="00F427B1" w:rsidP="00AF3299">
      <w:pPr>
        <w:jc w:val="both"/>
        <w:rPr>
          <w:rFonts w:ascii="Times New Roman" w:hAnsi="Times New Roman"/>
        </w:rPr>
      </w:pPr>
      <w:r w:rsidRPr="00AF3299">
        <w:rPr>
          <w:rFonts w:ascii="Times New Roman" w:hAnsi="Times New Roman"/>
          <w:noProof/>
        </w:rPr>
        <w:drawing>
          <wp:anchor distT="6096" distB="8001" distL="120396" distR="117475" simplePos="0" relativeHeight="251727872" behindDoc="0" locked="0" layoutInCell="1" allowOverlap="1">
            <wp:simplePos x="0" y="0"/>
            <wp:positionH relativeFrom="margin">
              <wp:align>right</wp:align>
            </wp:positionH>
            <wp:positionV relativeFrom="paragraph">
              <wp:posOffset>173990</wp:posOffset>
            </wp:positionV>
            <wp:extent cx="5724525" cy="2228850"/>
            <wp:effectExtent l="0" t="0" r="9525" b="0"/>
            <wp:wrapTopAndBottom/>
            <wp:docPr id="62" name="Chart 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rsidR="00C44478" w:rsidRPr="00AF3299" w:rsidRDefault="00C44478" w:rsidP="00AF3299">
      <w:pPr>
        <w:jc w:val="both"/>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investment rates are </w:t>
      </w:r>
      <w:r w:rsidRPr="00AF3299">
        <w:rPr>
          <w:rFonts w:ascii="Times New Roman" w:eastAsia="Times New Roman" w:hAnsi="Times New Roman"/>
          <w:color w:val="000000"/>
          <w:sz w:val="24"/>
        </w:rPr>
        <w:t>62.77%, 49.83% and 61.41%.</w:t>
      </w:r>
      <w:r w:rsidRPr="00AF3299">
        <w:rPr>
          <w:rFonts w:ascii="Times New Roman" w:hAnsi="Times New Roman"/>
          <w:sz w:val="24"/>
        </w:rPr>
        <w:t xml:space="preserve"> This is indicating that the percentage of investment in HTM is floating year to year. From the percentage of annual growth rate it is clearly understood that there is no negative growth rate of invest of BBL in HTM in all the year except 2014 and 2016. Here we have assumed that BBL didn't invest any amount on HTM securities.</w:t>
      </w:r>
    </w:p>
    <w:p w:rsidR="00C44478" w:rsidRPr="00AF3299" w:rsidRDefault="00C44478" w:rsidP="00AF3299">
      <w:pPr>
        <w:jc w:val="both"/>
        <w:rPr>
          <w:rFonts w:ascii="Times New Roman" w:hAnsi="Times New Roman"/>
          <w:sz w:val="24"/>
        </w:rPr>
      </w:pPr>
      <w:r w:rsidRPr="00AF3299">
        <w:rPr>
          <w:rFonts w:ascii="Times New Roman" w:hAnsi="Times New Roman"/>
          <w:sz w:val="24"/>
        </w:rPr>
        <w:t>Only in 2015, BBL have invested the highest amount in HTF. This is showing in the given chart very clearly.</w:t>
      </w:r>
    </w:p>
    <w:p w:rsidR="00C44478" w:rsidRPr="00AF3299" w:rsidRDefault="00C44478" w:rsidP="00D17F25">
      <w:pPr>
        <w:pStyle w:val="Heading3"/>
        <w:numPr>
          <w:ilvl w:val="3"/>
          <w:numId w:val="18"/>
        </w:numPr>
      </w:pPr>
      <w:bookmarkStart w:id="48" w:name="_Toc523576006"/>
      <w:r w:rsidRPr="00AF3299">
        <w:t>Investment in Other Securities</w:t>
      </w:r>
      <w:bookmarkEnd w:id="48"/>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investment in other securities of BBL is indicating that the investment in securities as per Bangladesh Bank classification which are not included with HFT and HTM. Securities which are purchased in order to be held for investment and for quick resale are classified as investment in other securities as per Bangladesh Bank. The percentage of investment is calculated by dividing the total amount of other investment with the total amount of investment in financial assets. </w:t>
      </w:r>
    </w:p>
    <w:p w:rsidR="00C44478" w:rsidRPr="00AF3299" w:rsidRDefault="00C44478" w:rsidP="00AF3299">
      <w:pPr>
        <w:jc w:val="both"/>
        <w:rPr>
          <w:rFonts w:ascii="Times New Roman" w:hAnsi="Times New Roman"/>
          <w:sz w:val="24"/>
        </w:rPr>
      </w:pPr>
    </w:p>
    <w:tbl>
      <w:tblPr>
        <w:tblW w:w="5000" w:type="pct"/>
        <w:jc w:val="center"/>
        <w:tblLook w:val="04A0" w:firstRow="1" w:lastRow="0" w:firstColumn="1" w:lastColumn="0" w:noHBand="0" w:noVBand="1"/>
      </w:tblPr>
      <w:tblGrid>
        <w:gridCol w:w="4084"/>
        <w:gridCol w:w="1031"/>
        <w:gridCol w:w="1032"/>
        <w:gridCol w:w="1032"/>
        <w:gridCol w:w="1032"/>
        <w:gridCol w:w="1032"/>
      </w:tblGrid>
      <w:tr w:rsidR="0038242D" w:rsidRPr="00AF3299" w:rsidTr="00D17F25">
        <w:trPr>
          <w:jc w:val="center"/>
        </w:trPr>
        <w:tc>
          <w:tcPr>
            <w:tcW w:w="221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lastRenderedPageBreak/>
              <w:t>Year</w:t>
            </w:r>
          </w:p>
        </w:tc>
        <w:tc>
          <w:tcPr>
            <w:tcW w:w="5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5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5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5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5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D17F25">
        <w:trPr>
          <w:jc w:val="center"/>
        </w:trPr>
        <w:tc>
          <w:tcPr>
            <w:tcW w:w="2210"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5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73%</w:t>
            </w:r>
          </w:p>
        </w:tc>
        <w:tc>
          <w:tcPr>
            <w:tcW w:w="5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44%</w:t>
            </w:r>
          </w:p>
        </w:tc>
        <w:tc>
          <w:tcPr>
            <w:tcW w:w="5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13%</w:t>
            </w:r>
          </w:p>
        </w:tc>
        <w:tc>
          <w:tcPr>
            <w:tcW w:w="5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w:t>
            </w:r>
          </w:p>
        </w:tc>
      </w:tr>
      <w:tr w:rsidR="0038242D" w:rsidRPr="00AF3299" w:rsidTr="00D17F25">
        <w:trPr>
          <w:jc w:val="center"/>
        </w:trPr>
        <w:tc>
          <w:tcPr>
            <w:tcW w:w="2210"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Investment</w:t>
            </w:r>
          </w:p>
        </w:tc>
        <w:tc>
          <w:tcPr>
            <w:tcW w:w="5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w:t>
            </w:r>
          </w:p>
        </w:tc>
        <w:tc>
          <w:tcPr>
            <w:tcW w:w="5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w:t>
            </w:r>
          </w:p>
        </w:tc>
        <w:tc>
          <w:tcPr>
            <w:tcW w:w="5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w:t>
            </w:r>
          </w:p>
        </w:tc>
        <w:tc>
          <w:tcPr>
            <w:tcW w:w="5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w:t>
            </w:r>
          </w:p>
        </w:tc>
        <w:tc>
          <w:tcPr>
            <w:tcW w:w="5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23%</w:t>
            </w:r>
          </w:p>
        </w:tc>
      </w:tr>
    </w:tbl>
    <w:p w:rsidR="00C44478" w:rsidRPr="00AF3299" w:rsidRDefault="00D17F25" w:rsidP="00AF3299">
      <w:pPr>
        <w:jc w:val="both"/>
        <w:rPr>
          <w:rFonts w:ascii="Times New Roman" w:hAnsi="Times New Roman"/>
        </w:rPr>
      </w:pPr>
      <w:r w:rsidRPr="00AF3299">
        <w:rPr>
          <w:rFonts w:ascii="Times New Roman" w:hAnsi="Times New Roman"/>
          <w:noProof/>
        </w:rPr>
        <w:drawing>
          <wp:anchor distT="6096" distB="6096" distL="120396" distR="120396" simplePos="0" relativeHeight="251667456" behindDoc="0" locked="0" layoutInCell="1" allowOverlap="1">
            <wp:simplePos x="0" y="0"/>
            <wp:positionH relativeFrom="margin">
              <wp:align>right</wp:align>
            </wp:positionH>
            <wp:positionV relativeFrom="paragraph">
              <wp:posOffset>273050</wp:posOffset>
            </wp:positionV>
            <wp:extent cx="5734050" cy="2628900"/>
            <wp:effectExtent l="0" t="0" r="0" b="0"/>
            <wp:wrapTopAndBottom/>
            <wp:docPr id="6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C44478" w:rsidRPr="00AF3299" w:rsidRDefault="00C44478" w:rsidP="00AF3299">
      <w:pPr>
        <w:jc w:val="both"/>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percentage rate of investments are </w:t>
      </w:r>
      <w:r w:rsidRPr="00AF3299">
        <w:rPr>
          <w:rFonts w:ascii="Times New Roman" w:eastAsia="Times New Roman" w:hAnsi="Times New Roman"/>
          <w:color w:val="000000"/>
          <w:sz w:val="24"/>
        </w:rPr>
        <w:t>9.08%, 13.99%, 24.28%, 24.21% and 23.13%</w:t>
      </w:r>
      <w:r w:rsidRPr="00AF3299">
        <w:rPr>
          <w:rFonts w:ascii="Times New Roman" w:hAnsi="Times New Roman"/>
          <w:sz w:val="24"/>
        </w:rPr>
        <w:t xml:space="preserve"> from the year 2013 to 2017. There are no negative growth rate of investment of BBL in other investment.The growth rate are showing in the given chart clearly that is indicating that the highest number of investment in other securities have happened in 2014. </w:t>
      </w:r>
    </w:p>
    <w:p w:rsidR="00C44478" w:rsidRPr="00AF3299" w:rsidRDefault="00C44478" w:rsidP="00E55D48">
      <w:pPr>
        <w:pStyle w:val="Heading2"/>
        <w:numPr>
          <w:ilvl w:val="2"/>
          <w:numId w:val="18"/>
        </w:numPr>
        <w:spacing w:line="276" w:lineRule="auto"/>
      </w:pPr>
      <w:r w:rsidRPr="00AF3299">
        <w:t xml:space="preserve"> </w:t>
      </w:r>
      <w:bookmarkStart w:id="49" w:name="_Toc523576007"/>
      <w:r w:rsidRPr="00AF3299">
        <w:t>Investments Classified Generally</w:t>
      </w:r>
      <w:bookmarkEnd w:id="49"/>
      <w:r w:rsidRPr="00AF3299">
        <w:t xml:space="preserve"> </w:t>
      </w:r>
    </w:p>
    <w:p w:rsidR="00C44478" w:rsidRPr="00AF3299" w:rsidRDefault="00C44478" w:rsidP="00AF3299">
      <w:pPr>
        <w:jc w:val="both"/>
        <w:rPr>
          <w:rFonts w:ascii="Times New Roman" w:hAnsi="Times New Roman"/>
        </w:rPr>
      </w:pPr>
      <w:r w:rsidRPr="00AF3299">
        <w:rPr>
          <w:rFonts w:ascii="Times New Roman" w:hAnsi="Times New Roman"/>
        </w:rPr>
        <w:t>In this classification of BBL there are mainly two parts.</w:t>
      </w:r>
    </w:p>
    <w:p w:rsidR="00E55D48" w:rsidRDefault="00F427B1" w:rsidP="00AF3299">
      <w:pPr>
        <w:jc w:val="both"/>
        <w:rPr>
          <w:rFonts w:ascii="Times New Roman" w:hAnsi="Times New Roman"/>
        </w:rPr>
      </w:pPr>
      <w:r w:rsidRPr="00AF3299">
        <w:rPr>
          <w:rFonts w:ascii="Times New Roman" w:hAnsi="Times New Roman"/>
          <w:noProof/>
        </w:rPr>
        <w:drawing>
          <wp:anchor distT="0" distB="0" distL="138684" distR="124841" simplePos="0" relativeHeight="251668480" behindDoc="0" locked="0" layoutInCell="1" allowOverlap="1">
            <wp:simplePos x="0" y="0"/>
            <wp:positionH relativeFrom="margin">
              <wp:align>center</wp:align>
            </wp:positionH>
            <wp:positionV relativeFrom="paragraph">
              <wp:posOffset>171450</wp:posOffset>
            </wp:positionV>
            <wp:extent cx="3592195" cy="2095500"/>
            <wp:effectExtent l="19050" t="0" r="8255" b="0"/>
            <wp:wrapTopAndBottom/>
            <wp:docPr id="60"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rsidR="00E55D48" w:rsidRPr="00AF3299" w:rsidRDefault="00E55D48" w:rsidP="00AF3299">
      <w:pPr>
        <w:jc w:val="both"/>
        <w:rPr>
          <w:rFonts w:ascii="Times New Roman" w:hAnsi="Times New Roman"/>
        </w:rPr>
      </w:pPr>
    </w:p>
    <w:p w:rsidR="00C44478" w:rsidRPr="00AF3299" w:rsidRDefault="00C44478" w:rsidP="00074AAE">
      <w:pPr>
        <w:pStyle w:val="Heading3"/>
        <w:numPr>
          <w:ilvl w:val="3"/>
          <w:numId w:val="18"/>
        </w:numPr>
      </w:pPr>
      <w:bookmarkStart w:id="50" w:name="_Toc523576008"/>
      <w:r w:rsidRPr="00AF3299">
        <w:t>Investment in Government Securities</w:t>
      </w:r>
      <w:bookmarkEnd w:id="50"/>
      <w:r w:rsidRPr="00AF3299">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A government security is a bond or other type of debt obligation that is issued by a government with a promise of repayment upon the security's maturity date. Government securities are usually considered low-risk investments because they are backed by the taxing </w:t>
      </w:r>
      <w:r w:rsidRPr="00AF3299">
        <w:rPr>
          <w:rFonts w:ascii="Times New Roman" w:hAnsi="Times New Roman"/>
          <w:sz w:val="24"/>
        </w:rPr>
        <w:lastRenderedPageBreak/>
        <w:t xml:space="preserve">power of a government. Variation with the duration of the Treasury bill or bond holding, Investors in treasury securities earn interest income. The return on investments in government securities is virtually guaranteed and assets are relatively easy to convert to cash. </w:t>
      </w:r>
    </w:p>
    <w:p w:rsidR="00C44478" w:rsidRPr="00AF3299" w:rsidRDefault="00F427B1" w:rsidP="00AF3299">
      <w:pPr>
        <w:jc w:val="both"/>
        <w:rPr>
          <w:rFonts w:ascii="Times New Roman" w:hAnsi="Times New Roman"/>
          <w:sz w:val="24"/>
        </w:rPr>
      </w:pPr>
      <w:r w:rsidRPr="00AF3299">
        <w:rPr>
          <w:rFonts w:ascii="Times New Roman" w:hAnsi="Times New Roman"/>
          <w:noProof/>
        </w:rPr>
        <w:drawing>
          <wp:anchor distT="0" distB="0" distL="156972" distR="137541" simplePos="0" relativeHeight="251669504" behindDoc="0" locked="0" layoutInCell="1" allowOverlap="1">
            <wp:simplePos x="0" y="0"/>
            <wp:positionH relativeFrom="margin">
              <wp:align>right</wp:align>
            </wp:positionH>
            <wp:positionV relativeFrom="paragraph">
              <wp:posOffset>231775</wp:posOffset>
            </wp:positionV>
            <wp:extent cx="5591175" cy="809625"/>
            <wp:effectExtent l="76200" t="0" r="85725" b="0"/>
            <wp:wrapTopAndBottom/>
            <wp:docPr id="59" name="Diagram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r w:rsidR="00C44478" w:rsidRPr="00AF3299">
        <w:rPr>
          <w:rFonts w:ascii="Times New Roman" w:hAnsi="Times New Roman"/>
          <w:sz w:val="24"/>
        </w:rPr>
        <w:t>There are five types of bond in which BBL invest.</w:t>
      </w:r>
    </w:p>
    <w:p w:rsidR="00C44478" w:rsidRPr="00AF3299" w:rsidRDefault="00C44478" w:rsidP="00AF3299">
      <w:pPr>
        <w:jc w:val="both"/>
        <w:rPr>
          <w:rFonts w:ascii="Times New Roman" w:hAnsi="Times New Roman"/>
          <w:sz w:val="24"/>
        </w:rPr>
      </w:pPr>
      <w:r w:rsidRPr="00AF3299">
        <w:rPr>
          <w:rFonts w:ascii="Times New Roman" w:hAnsi="Times New Roman"/>
          <w:sz w:val="24"/>
        </w:rPr>
        <w:t>Following is the Growth rate and percentage over Total investment for Government Securities-</w:t>
      </w:r>
    </w:p>
    <w:tbl>
      <w:tblPr>
        <w:tblpPr w:leftFromText="180" w:rightFromText="180" w:vertAnchor="text" w:horzAnchor="margin" w:tblpXSpec="center" w:tblpY="185"/>
        <w:tblW w:w="5000" w:type="pct"/>
        <w:tblLook w:val="04A0" w:firstRow="1" w:lastRow="0" w:firstColumn="1" w:lastColumn="0" w:noHBand="0" w:noVBand="1"/>
      </w:tblPr>
      <w:tblGrid>
        <w:gridCol w:w="4062"/>
        <w:gridCol w:w="1025"/>
        <w:gridCol w:w="1025"/>
        <w:gridCol w:w="1083"/>
        <w:gridCol w:w="1024"/>
        <w:gridCol w:w="1024"/>
      </w:tblGrid>
      <w:tr w:rsidR="0038242D" w:rsidRPr="00AF3299" w:rsidTr="00E55D48">
        <w:tc>
          <w:tcPr>
            <w:tcW w:w="219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55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55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5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55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55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E55D48">
        <w:tc>
          <w:tcPr>
            <w:tcW w:w="2197"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5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55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w:t>
            </w:r>
          </w:p>
        </w:tc>
        <w:tc>
          <w:tcPr>
            <w:tcW w:w="5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-27%</w:t>
            </w:r>
          </w:p>
        </w:tc>
        <w:tc>
          <w:tcPr>
            <w:tcW w:w="55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w:t>
            </w:r>
          </w:p>
        </w:tc>
        <w:tc>
          <w:tcPr>
            <w:tcW w:w="55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13%</w:t>
            </w:r>
          </w:p>
        </w:tc>
      </w:tr>
      <w:tr w:rsidR="0038242D" w:rsidRPr="00AF3299" w:rsidTr="00E55D48">
        <w:tc>
          <w:tcPr>
            <w:tcW w:w="2197"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Investment</w:t>
            </w:r>
          </w:p>
        </w:tc>
        <w:tc>
          <w:tcPr>
            <w:tcW w:w="55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91%</w:t>
            </w:r>
          </w:p>
        </w:tc>
        <w:tc>
          <w:tcPr>
            <w:tcW w:w="55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86%</w:t>
            </w:r>
          </w:p>
        </w:tc>
        <w:tc>
          <w:tcPr>
            <w:tcW w:w="5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76%</w:t>
            </w:r>
          </w:p>
        </w:tc>
        <w:tc>
          <w:tcPr>
            <w:tcW w:w="55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76%</w:t>
            </w:r>
          </w:p>
        </w:tc>
        <w:tc>
          <w:tcPr>
            <w:tcW w:w="55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77%</w:t>
            </w:r>
          </w:p>
        </w:tc>
      </w:tr>
    </w:tbl>
    <w:p w:rsidR="00C44478" w:rsidRPr="00AF3299" w:rsidRDefault="00C44478" w:rsidP="00AF3299">
      <w:pPr>
        <w:jc w:val="both"/>
        <w:rPr>
          <w:rFonts w:ascii="Times New Roman" w:hAnsi="Times New Roman"/>
        </w:rPr>
      </w:pPr>
    </w:p>
    <w:p w:rsidR="00E55D48" w:rsidRDefault="00BE1592" w:rsidP="00AF3299">
      <w:pPr>
        <w:jc w:val="both"/>
        <w:rPr>
          <w:rFonts w:ascii="Times New Roman" w:hAnsi="Times New Roman"/>
          <w:sz w:val="24"/>
        </w:rPr>
      </w:pPr>
      <w:r w:rsidRPr="00AF3299">
        <w:rPr>
          <w:rFonts w:ascii="Times New Roman" w:hAnsi="Times New Roman"/>
          <w:noProof/>
        </w:rPr>
        <w:drawing>
          <wp:anchor distT="6096" distB="5461" distL="120396" distR="118872" simplePos="0" relativeHeight="251670528" behindDoc="0" locked="0" layoutInCell="1" allowOverlap="1">
            <wp:simplePos x="0" y="0"/>
            <wp:positionH relativeFrom="margin">
              <wp:align>right</wp:align>
            </wp:positionH>
            <wp:positionV relativeFrom="margin">
              <wp:posOffset>2779568</wp:posOffset>
            </wp:positionV>
            <wp:extent cx="5734050" cy="2543175"/>
            <wp:effectExtent l="0" t="0" r="0" b="9525"/>
            <wp:wrapTopAndBottom/>
            <wp:docPr id="58" name="Chart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rsidR="00BE1592" w:rsidRDefault="00BE1592" w:rsidP="00AF3299">
      <w:pPr>
        <w:jc w:val="both"/>
        <w:rPr>
          <w:rFonts w:ascii="Times New Roman" w:hAnsi="Times New Roman"/>
          <w:sz w:val="24"/>
        </w:rPr>
      </w:pPr>
    </w:p>
    <w:p w:rsidR="00C44478" w:rsidRPr="00E55D48" w:rsidRDefault="00C44478" w:rsidP="00AF3299">
      <w:pPr>
        <w:jc w:val="both"/>
        <w:rPr>
          <w:rFonts w:ascii="Times New Roman" w:hAnsi="Times New Roman"/>
          <w:sz w:val="24"/>
        </w:rPr>
      </w:pPr>
      <w:r w:rsidRPr="00AF3299">
        <w:rPr>
          <w:rFonts w:ascii="Times New Roman" w:hAnsi="Times New Roman"/>
          <w:sz w:val="24"/>
        </w:rPr>
        <w:t xml:space="preserve">The percentage rate of BBL in Government securities for the year 2013,2014,2015,2016 and 2017 are </w:t>
      </w:r>
      <w:r w:rsidRPr="00AF3299">
        <w:rPr>
          <w:rFonts w:ascii="Times New Roman" w:eastAsia="Times New Roman" w:hAnsi="Times New Roman"/>
          <w:color w:val="000000"/>
        </w:rPr>
        <w:t>90.92%, 86.03%, 75.73%, 75.80% and 76.88%</w:t>
      </w:r>
      <w:r w:rsidRPr="00AF3299">
        <w:rPr>
          <w:rFonts w:ascii="Times New Roman" w:hAnsi="Times New Roman"/>
          <w:sz w:val="24"/>
        </w:rPr>
        <w:t>. This is indicating that the growth rate of investing in Government sector is fluctuating year to year for the securities of guaranteed return. With the calculation of yearly growth and chat it is clearly showing that the highest number of percentage growth is in 2016 and there is also negative growth in 2014 and 2017.</w:t>
      </w:r>
      <w:r w:rsidR="00E55D48">
        <w:rPr>
          <w:rFonts w:ascii="Times New Roman" w:hAnsi="Times New Roman"/>
          <w:sz w:val="24"/>
        </w:rPr>
        <w:t xml:space="preserve"> </w:t>
      </w:r>
    </w:p>
    <w:p w:rsidR="00C44478" w:rsidRPr="00AF3299" w:rsidRDefault="00C44478" w:rsidP="00AF3299">
      <w:pPr>
        <w:pStyle w:val="Heading4"/>
        <w:rPr>
          <w:rFonts w:ascii="Times New Roman" w:hAnsi="Times New Roman"/>
        </w:rPr>
      </w:pPr>
      <w:r w:rsidRPr="00AF3299">
        <w:rPr>
          <w:rFonts w:ascii="Times New Roman" w:hAnsi="Times New Roman"/>
        </w:rPr>
        <w:t>Investment in Treasury Bill</w:t>
      </w:r>
    </w:p>
    <w:p w:rsidR="00C44478" w:rsidRPr="00AF3299" w:rsidRDefault="00C44478" w:rsidP="00AF3299">
      <w:pPr>
        <w:jc w:val="both"/>
        <w:rPr>
          <w:rFonts w:ascii="Times New Roman" w:hAnsi="Times New Roman"/>
          <w:sz w:val="24"/>
        </w:rPr>
      </w:pPr>
      <w:r w:rsidRPr="00AF3299">
        <w:rPr>
          <w:rFonts w:ascii="Times New Roman" w:hAnsi="Times New Roman"/>
          <w:sz w:val="24"/>
        </w:rPr>
        <w:t>Treasury bill is the short-term obligated debt. The Government of any country ususally issue this type of debt. The government of Bangladesh issue this on the basis of situation. It is risk-free so people are interested to buy and sell as there is a certainty involved in this type of. BRAC Bank Limited (BBL) has also invested in Treasury Bill.</w:t>
      </w:r>
    </w:p>
    <w:p w:rsidR="00C44478" w:rsidRDefault="00C44478" w:rsidP="00AF3299">
      <w:pPr>
        <w:jc w:val="both"/>
        <w:rPr>
          <w:rFonts w:ascii="Times New Roman" w:hAnsi="Times New Roman"/>
          <w:sz w:val="24"/>
        </w:rPr>
      </w:pPr>
      <w:r w:rsidRPr="00AF3299">
        <w:rPr>
          <w:rFonts w:ascii="Times New Roman" w:hAnsi="Times New Roman"/>
          <w:sz w:val="24"/>
        </w:rPr>
        <w:t>The following is the Percentage of Total Investment in Total Treasury bill, Total Government Securities in Treasury bill and Growth rate-</w:t>
      </w:r>
    </w:p>
    <w:p w:rsidR="00E55D48" w:rsidRDefault="00E55D48" w:rsidP="00AF3299">
      <w:pPr>
        <w:jc w:val="both"/>
        <w:rPr>
          <w:rFonts w:ascii="Times New Roman" w:hAnsi="Times New Roman"/>
          <w:sz w:val="24"/>
        </w:rPr>
      </w:pPr>
    </w:p>
    <w:p w:rsidR="00E55D48" w:rsidRPr="00AF3299" w:rsidRDefault="00E55D48" w:rsidP="00AF3299">
      <w:pPr>
        <w:jc w:val="both"/>
        <w:rPr>
          <w:rFonts w:ascii="Times New Roman" w:hAnsi="Times New Roman"/>
          <w:sz w:val="24"/>
        </w:rPr>
      </w:pPr>
    </w:p>
    <w:tbl>
      <w:tblPr>
        <w:tblpPr w:leftFromText="180" w:rightFromText="180" w:vertAnchor="text" w:horzAnchor="margin" w:tblpXSpec="center"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1536"/>
        <w:gridCol w:w="1371"/>
        <w:gridCol w:w="858"/>
        <w:gridCol w:w="1276"/>
        <w:gridCol w:w="1536"/>
      </w:tblGrid>
      <w:tr w:rsidR="0038242D" w:rsidRPr="00AF3299" w:rsidTr="00E55D48">
        <w:tc>
          <w:tcPr>
            <w:tcW w:w="2440" w:type="dxa"/>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1536" w:type="dxa"/>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1371" w:type="dxa"/>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858" w:type="dxa"/>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1276" w:type="dxa"/>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1536" w:type="dxa"/>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E55D48">
        <w:tc>
          <w:tcPr>
            <w:tcW w:w="2440" w:type="dxa"/>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Total amount Treasury Bill</w:t>
            </w:r>
          </w:p>
        </w:tc>
        <w:tc>
          <w:tcPr>
            <w:tcW w:w="1536"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3,69,34,62,982</w:t>
            </w:r>
          </w:p>
        </w:tc>
        <w:tc>
          <w:tcPr>
            <w:tcW w:w="1371"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97,73,94,052</w:t>
            </w:r>
          </w:p>
        </w:tc>
        <w:tc>
          <w:tcPr>
            <w:tcW w:w="858"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1276"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34,97,73,900</w:t>
            </w:r>
          </w:p>
        </w:tc>
        <w:tc>
          <w:tcPr>
            <w:tcW w:w="1536"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1,48,73,97,269</w:t>
            </w:r>
          </w:p>
        </w:tc>
      </w:tr>
      <w:tr w:rsidR="0038242D" w:rsidRPr="00AF3299" w:rsidTr="00E55D48">
        <w:tc>
          <w:tcPr>
            <w:tcW w:w="2440" w:type="dxa"/>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1536" w:type="dxa"/>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1371" w:type="dxa"/>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-74%</w:t>
            </w:r>
          </w:p>
        </w:tc>
        <w:tc>
          <w:tcPr>
            <w:tcW w:w="858" w:type="dxa"/>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-100%</w:t>
            </w:r>
          </w:p>
        </w:tc>
        <w:tc>
          <w:tcPr>
            <w:tcW w:w="1276" w:type="dxa"/>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1536" w:type="dxa"/>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325%</w:t>
            </w:r>
          </w:p>
        </w:tc>
      </w:tr>
      <w:tr w:rsidR="0038242D" w:rsidRPr="00AF3299" w:rsidTr="00E55D48">
        <w:tc>
          <w:tcPr>
            <w:tcW w:w="2440" w:type="dxa"/>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1536"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17.34%</w:t>
            </w:r>
          </w:p>
        </w:tc>
        <w:tc>
          <w:tcPr>
            <w:tcW w:w="1371"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4.09%</w:t>
            </w:r>
          </w:p>
        </w:tc>
        <w:tc>
          <w:tcPr>
            <w:tcW w:w="858"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1276"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1.56%</w:t>
            </w:r>
          </w:p>
        </w:tc>
        <w:tc>
          <w:tcPr>
            <w:tcW w:w="1536" w:type="dxa"/>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5.96%</w:t>
            </w:r>
          </w:p>
        </w:tc>
      </w:tr>
      <w:tr w:rsidR="0038242D" w:rsidRPr="00AF3299" w:rsidTr="00E55D48">
        <w:tc>
          <w:tcPr>
            <w:tcW w:w="2440" w:type="dxa"/>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Government Securities</w:t>
            </w:r>
          </w:p>
        </w:tc>
        <w:tc>
          <w:tcPr>
            <w:tcW w:w="1536" w:type="dxa"/>
            <w:shd w:val="clear" w:color="auto" w:fill="auto"/>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19.07%</w:t>
            </w:r>
          </w:p>
        </w:tc>
        <w:tc>
          <w:tcPr>
            <w:tcW w:w="1371" w:type="dxa"/>
            <w:shd w:val="clear" w:color="auto" w:fill="auto"/>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4.75%</w:t>
            </w:r>
          </w:p>
        </w:tc>
        <w:tc>
          <w:tcPr>
            <w:tcW w:w="858" w:type="dxa"/>
            <w:shd w:val="clear" w:color="auto" w:fill="auto"/>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0%</w:t>
            </w:r>
          </w:p>
        </w:tc>
        <w:tc>
          <w:tcPr>
            <w:tcW w:w="1276" w:type="dxa"/>
            <w:shd w:val="clear" w:color="auto" w:fill="auto"/>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2.05%</w:t>
            </w:r>
          </w:p>
        </w:tc>
        <w:tc>
          <w:tcPr>
            <w:tcW w:w="1536" w:type="dxa"/>
            <w:shd w:val="clear" w:color="auto" w:fill="auto"/>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7.75%</w:t>
            </w:r>
          </w:p>
        </w:tc>
      </w:tr>
    </w:tbl>
    <w:p w:rsidR="00C44478" w:rsidRPr="00AF3299" w:rsidRDefault="00E55D48" w:rsidP="00AF3299">
      <w:pPr>
        <w:rPr>
          <w:rFonts w:ascii="Times New Roman" w:hAnsi="Times New Roman"/>
        </w:rPr>
      </w:pPr>
      <w:r w:rsidRPr="00AF3299">
        <w:rPr>
          <w:rFonts w:ascii="Times New Roman" w:hAnsi="Times New Roman"/>
          <w:noProof/>
        </w:rPr>
        <w:drawing>
          <wp:anchor distT="6096" distB="6477" distL="120396" distR="121031" simplePos="0" relativeHeight="251672576" behindDoc="0" locked="0" layoutInCell="1" allowOverlap="1">
            <wp:simplePos x="0" y="0"/>
            <wp:positionH relativeFrom="margin">
              <wp:align>right</wp:align>
            </wp:positionH>
            <wp:positionV relativeFrom="margin">
              <wp:posOffset>1943100</wp:posOffset>
            </wp:positionV>
            <wp:extent cx="5743575" cy="2305050"/>
            <wp:effectExtent l="0" t="0" r="9525" b="0"/>
            <wp:wrapSquare wrapText="bothSides"/>
            <wp:docPr id="57" name="Chart 6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rsidR="00C44478" w:rsidRPr="00AF3299" w:rsidRDefault="00E55D48" w:rsidP="00AF3299">
      <w:pPr>
        <w:jc w:val="both"/>
        <w:rPr>
          <w:rFonts w:ascii="Times New Roman" w:hAnsi="Times New Roman"/>
        </w:rPr>
      </w:pPr>
      <w:r w:rsidRPr="00AF3299">
        <w:rPr>
          <w:rFonts w:ascii="Times New Roman" w:hAnsi="Times New Roman"/>
          <w:noProof/>
        </w:rPr>
        <w:drawing>
          <wp:anchor distT="6096" distB="5461" distL="120396" distR="123190" simplePos="0" relativeHeight="251671552" behindDoc="0" locked="0" layoutInCell="1" allowOverlap="1">
            <wp:simplePos x="0" y="0"/>
            <wp:positionH relativeFrom="margin">
              <wp:align>right</wp:align>
            </wp:positionH>
            <wp:positionV relativeFrom="paragraph">
              <wp:posOffset>2530475</wp:posOffset>
            </wp:positionV>
            <wp:extent cx="5734050" cy="2571750"/>
            <wp:effectExtent l="0" t="0" r="0" b="0"/>
            <wp:wrapTopAndBottom/>
            <wp:docPr id="56"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rsidR="00C44478" w:rsidRPr="00AF3299" w:rsidRDefault="00C44478" w:rsidP="00AF3299">
      <w:pPr>
        <w:jc w:val="both"/>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of Total Investment in Treasury Bill are 17.34%, 4.09%, 0%, 1.56% and 5.96% from the year 2013 to 2017. There is no investmentin 2015 so the growth rate is -100% in that year. From the graph we can understand that the highest investment was in 2017. The growth rate and percentage of total investment in treasury bill is also higher.</w:t>
      </w:r>
    </w:p>
    <w:p w:rsidR="00C44478" w:rsidRPr="00AF3299" w:rsidRDefault="00C44478" w:rsidP="00AF3299">
      <w:pPr>
        <w:pStyle w:val="Heading4"/>
        <w:rPr>
          <w:rFonts w:ascii="Times New Roman" w:hAnsi="Times New Roman"/>
        </w:rPr>
      </w:pPr>
      <w:r w:rsidRPr="00AF3299">
        <w:rPr>
          <w:rFonts w:ascii="Times New Roman" w:hAnsi="Times New Roman"/>
        </w:rPr>
        <w:t xml:space="preserve">91 days Tearsury Bill </w:t>
      </w:r>
    </w:p>
    <w:tbl>
      <w:tblPr>
        <w:tblpPr w:leftFromText="180" w:rightFromText="180" w:vertAnchor="text" w:horzAnchor="margin" w:tblpXSpec="center" w:tblpY="110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5"/>
        <w:gridCol w:w="1311"/>
        <w:gridCol w:w="1070"/>
        <w:gridCol w:w="714"/>
        <w:gridCol w:w="714"/>
        <w:gridCol w:w="1309"/>
      </w:tblGrid>
      <w:tr w:rsidR="0038242D" w:rsidRPr="00AF3299" w:rsidTr="0095215B">
        <w:tc>
          <w:tcPr>
            <w:tcW w:w="223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70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57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3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3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70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95215B">
        <w:tc>
          <w:tcPr>
            <w:tcW w:w="223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91 days Treasury Bill</w:t>
            </w:r>
          </w:p>
        </w:tc>
        <w:tc>
          <w:tcPr>
            <w:tcW w:w="70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127666760</w:t>
            </w:r>
          </w:p>
        </w:tc>
        <w:tc>
          <w:tcPr>
            <w:tcW w:w="57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6080104</w:t>
            </w:r>
          </w:p>
        </w:tc>
        <w:tc>
          <w:tcPr>
            <w:tcW w:w="3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3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70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135082207</w:t>
            </w:r>
          </w:p>
        </w:tc>
      </w:tr>
      <w:tr w:rsidR="0038242D" w:rsidRPr="00AF3299" w:rsidTr="0095215B">
        <w:tc>
          <w:tcPr>
            <w:tcW w:w="2232"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70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57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-95%</w:t>
            </w:r>
          </w:p>
        </w:tc>
        <w:tc>
          <w:tcPr>
            <w:tcW w:w="3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3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70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r>
      <w:tr w:rsidR="0038242D" w:rsidRPr="00AF3299" w:rsidTr="0095215B">
        <w:tc>
          <w:tcPr>
            <w:tcW w:w="223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70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0.60%</w:t>
            </w:r>
          </w:p>
        </w:tc>
        <w:tc>
          <w:tcPr>
            <w:tcW w:w="57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0.03%</w:t>
            </w:r>
          </w:p>
        </w:tc>
        <w:tc>
          <w:tcPr>
            <w:tcW w:w="3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3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70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0.54%</w:t>
            </w:r>
          </w:p>
        </w:tc>
      </w:tr>
      <w:tr w:rsidR="0038242D" w:rsidRPr="00AF3299" w:rsidTr="0095215B">
        <w:tc>
          <w:tcPr>
            <w:tcW w:w="2232"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70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0.66%</w:t>
            </w:r>
          </w:p>
        </w:tc>
        <w:tc>
          <w:tcPr>
            <w:tcW w:w="57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0.03%</w:t>
            </w:r>
          </w:p>
        </w:tc>
        <w:tc>
          <w:tcPr>
            <w:tcW w:w="3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3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70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0.70%</w:t>
            </w:r>
          </w:p>
        </w:tc>
      </w:tr>
      <w:tr w:rsidR="0038242D" w:rsidRPr="00AF3299" w:rsidTr="0095215B">
        <w:tc>
          <w:tcPr>
            <w:tcW w:w="223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Treasury Bill</w:t>
            </w:r>
          </w:p>
        </w:tc>
        <w:tc>
          <w:tcPr>
            <w:tcW w:w="70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3.46%</w:t>
            </w:r>
          </w:p>
        </w:tc>
        <w:tc>
          <w:tcPr>
            <w:tcW w:w="57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0.62%</w:t>
            </w:r>
          </w:p>
        </w:tc>
        <w:tc>
          <w:tcPr>
            <w:tcW w:w="386"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0%</w:t>
            </w:r>
          </w:p>
        </w:tc>
        <w:tc>
          <w:tcPr>
            <w:tcW w:w="386"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0%</w:t>
            </w:r>
          </w:p>
        </w:tc>
        <w:tc>
          <w:tcPr>
            <w:tcW w:w="70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9.08%</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of investment of BBL in 91 days treasury bills are calculated by dividing the total number of investment in 91 days treasury bills with the total investment in financial </w:t>
      </w:r>
      <w:r w:rsidRPr="00AF3299">
        <w:rPr>
          <w:rFonts w:ascii="Times New Roman" w:hAnsi="Times New Roman"/>
          <w:sz w:val="24"/>
        </w:rPr>
        <w:lastRenderedPageBreak/>
        <w:t xml:space="preserve">assets.  </w:t>
      </w:r>
    </w:p>
    <w:p w:rsidR="00C44478" w:rsidRPr="00AF3299" w:rsidRDefault="00C44478" w:rsidP="00AF3299">
      <w:pPr>
        <w:rPr>
          <w:rFonts w:ascii="Times New Roman" w:hAnsi="Times New Roman"/>
        </w:rPr>
      </w:pPr>
      <w:r w:rsidRPr="00AF3299">
        <w:rPr>
          <w:rFonts w:ascii="Times New Roman" w:hAnsi="Times New Roman"/>
        </w:rPr>
        <w:t xml:space="preserve"> </w:t>
      </w:r>
    </w:p>
    <w:p w:rsidR="00C44478" w:rsidRPr="00AF3299" w:rsidRDefault="009A1E54" w:rsidP="00AF3299">
      <w:pPr>
        <w:rPr>
          <w:rFonts w:ascii="Times New Roman" w:hAnsi="Times New Roman"/>
        </w:rPr>
      </w:pPr>
      <w:r w:rsidRPr="00AF3299">
        <w:rPr>
          <w:rFonts w:ascii="Times New Roman" w:hAnsi="Times New Roman"/>
          <w:noProof/>
        </w:rPr>
        <w:drawing>
          <wp:anchor distT="6096" distB="7874" distL="120396" distR="119507" simplePos="0" relativeHeight="251673600" behindDoc="0" locked="0" layoutInCell="1" allowOverlap="1">
            <wp:simplePos x="0" y="0"/>
            <wp:positionH relativeFrom="margin">
              <wp:posOffset>-1905</wp:posOffset>
            </wp:positionH>
            <wp:positionV relativeFrom="paragraph">
              <wp:posOffset>1306830</wp:posOffset>
            </wp:positionV>
            <wp:extent cx="5724525" cy="2419350"/>
            <wp:effectExtent l="0" t="0" r="9525" b="0"/>
            <wp:wrapTopAndBottom/>
            <wp:docPr id="54"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rsidR="00C44478" w:rsidRPr="00AF3299" w:rsidRDefault="009A1E54" w:rsidP="00AF3299">
      <w:pPr>
        <w:rPr>
          <w:rFonts w:ascii="Times New Roman" w:hAnsi="Times New Roman"/>
        </w:rPr>
      </w:pPr>
      <w:r w:rsidRPr="00AF3299">
        <w:rPr>
          <w:rFonts w:ascii="Times New Roman" w:hAnsi="Times New Roman"/>
          <w:noProof/>
        </w:rPr>
        <w:drawing>
          <wp:anchor distT="6096" distB="4318" distL="120396" distR="122682" simplePos="0" relativeHeight="251674624" behindDoc="1" locked="0" layoutInCell="1" allowOverlap="1">
            <wp:simplePos x="0" y="0"/>
            <wp:positionH relativeFrom="margin">
              <wp:posOffset>-1905</wp:posOffset>
            </wp:positionH>
            <wp:positionV relativeFrom="paragraph">
              <wp:posOffset>2694940</wp:posOffset>
            </wp:positionV>
            <wp:extent cx="5734050" cy="2543175"/>
            <wp:effectExtent l="0" t="0" r="0" b="9525"/>
            <wp:wrapTopAndBottom/>
            <wp:docPr id="55"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rsidR="009A1E54" w:rsidRDefault="009A1E54"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investment rate in 91 days treasury bills are 0.60%, 0.03% and 0.54% in 2013, 2014 and 2017 respectively but there is no investment in 2015 to 2016. The growth rate is negative which are being showed in the given chart.</w:t>
      </w:r>
    </w:p>
    <w:p w:rsidR="00C44478" w:rsidRPr="00AF3299" w:rsidRDefault="00C44478" w:rsidP="00AF3299">
      <w:pPr>
        <w:pStyle w:val="Heading4"/>
        <w:rPr>
          <w:rFonts w:ascii="Times New Roman" w:hAnsi="Times New Roman"/>
        </w:rPr>
      </w:pPr>
      <w:r w:rsidRPr="00AF3299">
        <w:rPr>
          <w:rFonts w:ascii="Times New Roman" w:hAnsi="Times New Roman"/>
        </w:rPr>
        <w:t>182 Days Treasury Bills</w:t>
      </w:r>
    </w:p>
    <w:tbl>
      <w:tblPr>
        <w:tblpPr w:leftFromText="180" w:rightFromText="180" w:vertAnchor="text" w:horzAnchor="margin" w:tblpY="11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1349"/>
        <w:gridCol w:w="1237"/>
        <w:gridCol w:w="1170"/>
        <w:gridCol w:w="1237"/>
        <w:gridCol w:w="1235"/>
      </w:tblGrid>
      <w:tr w:rsidR="009A1E54" w:rsidRPr="00AF3299" w:rsidTr="009A1E54">
        <w:tc>
          <w:tcPr>
            <w:tcW w:w="1631"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Year</w:t>
            </w:r>
          </w:p>
        </w:tc>
        <w:tc>
          <w:tcPr>
            <w:tcW w:w="730"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2013</w:t>
            </w:r>
          </w:p>
        </w:tc>
        <w:tc>
          <w:tcPr>
            <w:tcW w:w="669"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2014</w:t>
            </w:r>
          </w:p>
        </w:tc>
        <w:tc>
          <w:tcPr>
            <w:tcW w:w="633"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2015</w:t>
            </w:r>
          </w:p>
        </w:tc>
        <w:tc>
          <w:tcPr>
            <w:tcW w:w="669"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2016</w:t>
            </w:r>
          </w:p>
        </w:tc>
        <w:tc>
          <w:tcPr>
            <w:tcW w:w="669"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2017</w:t>
            </w:r>
          </w:p>
        </w:tc>
      </w:tr>
      <w:tr w:rsidR="009A1E54" w:rsidRPr="00AF3299" w:rsidTr="009A1E54">
        <w:tc>
          <w:tcPr>
            <w:tcW w:w="1631" w:type="pct"/>
            <w:shd w:val="clear" w:color="auto" w:fill="DBE5F1"/>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Total amount of 182 days Treasury Bill</w:t>
            </w:r>
          </w:p>
        </w:tc>
        <w:tc>
          <w:tcPr>
            <w:tcW w:w="730"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1125959655</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605912445</w:t>
            </w:r>
          </w:p>
        </w:tc>
        <w:tc>
          <w:tcPr>
            <w:tcW w:w="633"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349773900</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719940240</w:t>
            </w:r>
          </w:p>
        </w:tc>
      </w:tr>
      <w:tr w:rsidR="009A1E54" w:rsidRPr="00AF3299" w:rsidTr="009A1E54">
        <w:tc>
          <w:tcPr>
            <w:tcW w:w="1631" w:type="pct"/>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Growth Rate</w:t>
            </w:r>
          </w:p>
        </w:tc>
        <w:tc>
          <w:tcPr>
            <w:tcW w:w="730"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-46%</w:t>
            </w:r>
          </w:p>
        </w:tc>
        <w:tc>
          <w:tcPr>
            <w:tcW w:w="633"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-100%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106%</w:t>
            </w:r>
          </w:p>
        </w:tc>
      </w:tr>
      <w:tr w:rsidR="009A1E54" w:rsidRPr="00AF3299" w:rsidTr="009A1E54">
        <w:tc>
          <w:tcPr>
            <w:tcW w:w="1631" w:type="pct"/>
            <w:shd w:val="clear" w:color="auto" w:fill="DBE5F1"/>
            <w:vAlign w:val="center"/>
          </w:tcPr>
          <w:p w:rsidR="009A1E54" w:rsidRPr="00AF3299" w:rsidRDefault="009A1E54" w:rsidP="009A1E54">
            <w:pPr>
              <w:spacing w:after="0"/>
              <w:rPr>
                <w:rFonts w:ascii="Times New Roman" w:hAnsi="Times New Roman"/>
                <w:b/>
                <w:bCs/>
              </w:rPr>
            </w:pPr>
            <w:r w:rsidRPr="00AF3299">
              <w:rPr>
                <w:rFonts w:ascii="Times New Roman" w:hAnsi="Times New Roman"/>
                <w:b/>
                <w:bCs/>
              </w:rPr>
              <w:t xml:space="preserve">Percentage of Total Investment </w:t>
            </w:r>
          </w:p>
        </w:tc>
        <w:tc>
          <w:tcPr>
            <w:tcW w:w="730"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5.29%</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2.54%</w:t>
            </w:r>
          </w:p>
        </w:tc>
        <w:tc>
          <w:tcPr>
            <w:tcW w:w="633"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0%</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1.56%</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2.88%</w:t>
            </w:r>
          </w:p>
        </w:tc>
      </w:tr>
      <w:tr w:rsidR="009A1E54" w:rsidRPr="00AF3299" w:rsidTr="009A1E54">
        <w:tc>
          <w:tcPr>
            <w:tcW w:w="1631" w:type="pct"/>
            <w:shd w:val="clear" w:color="auto" w:fill="auto"/>
            <w:vAlign w:val="center"/>
          </w:tcPr>
          <w:p w:rsidR="009A1E54" w:rsidRPr="00AF3299" w:rsidRDefault="009A1E54" w:rsidP="009A1E54">
            <w:pPr>
              <w:spacing w:after="0"/>
              <w:rPr>
                <w:rFonts w:ascii="Times New Roman" w:hAnsi="Times New Roman"/>
                <w:b/>
                <w:bCs/>
              </w:rPr>
            </w:pPr>
            <w:r w:rsidRPr="00AF3299">
              <w:rPr>
                <w:rFonts w:ascii="Times New Roman" w:hAnsi="Times New Roman"/>
                <w:b/>
                <w:bCs/>
              </w:rPr>
              <w:t>Percentage of Government Securities</w:t>
            </w:r>
          </w:p>
        </w:tc>
        <w:tc>
          <w:tcPr>
            <w:tcW w:w="730"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5.81%</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2.95%</w:t>
            </w:r>
          </w:p>
        </w:tc>
        <w:tc>
          <w:tcPr>
            <w:tcW w:w="633"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2.05%</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3.75%</w:t>
            </w:r>
          </w:p>
        </w:tc>
      </w:tr>
      <w:tr w:rsidR="009A1E54" w:rsidRPr="00AF3299" w:rsidTr="009A1E54">
        <w:tc>
          <w:tcPr>
            <w:tcW w:w="1631" w:type="pct"/>
            <w:shd w:val="clear" w:color="auto" w:fill="DBE5F1"/>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lastRenderedPageBreak/>
              <w:t>Percentage of Treasury Bill</w:t>
            </w:r>
          </w:p>
        </w:tc>
        <w:tc>
          <w:tcPr>
            <w:tcW w:w="730"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30.49%</w:t>
            </w:r>
          </w:p>
        </w:tc>
        <w:tc>
          <w:tcPr>
            <w:tcW w:w="669"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61.99%</w:t>
            </w:r>
          </w:p>
        </w:tc>
        <w:tc>
          <w:tcPr>
            <w:tcW w:w="633"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0%</w:t>
            </w:r>
          </w:p>
        </w:tc>
        <w:tc>
          <w:tcPr>
            <w:tcW w:w="669"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100%</w:t>
            </w:r>
          </w:p>
        </w:tc>
        <w:tc>
          <w:tcPr>
            <w:tcW w:w="669"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48.40%</w:t>
            </w:r>
          </w:p>
        </w:tc>
      </w:tr>
    </w:tbl>
    <w:p w:rsidR="00C44478" w:rsidRPr="00AF3299" w:rsidRDefault="00C44478" w:rsidP="00AF3299">
      <w:pPr>
        <w:rPr>
          <w:rFonts w:ascii="Times New Roman" w:hAnsi="Times New Roman"/>
          <w:sz w:val="24"/>
        </w:rPr>
      </w:pPr>
      <w:r w:rsidRPr="00AF3299">
        <w:rPr>
          <w:rFonts w:ascii="Times New Roman" w:hAnsi="Times New Roman"/>
          <w:sz w:val="24"/>
        </w:rPr>
        <w:t>The percentage of investment of BBL in 182 days treasury bills are calculated by dividing the total amount of investment in 182 days treasury bills with the total amount of investment in financial assets.</w:t>
      </w:r>
    </w:p>
    <w:p w:rsidR="00C44478" w:rsidRPr="00AF3299" w:rsidRDefault="009A1E54" w:rsidP="00AF3299">
      <w:pPr>
        <w:rPr>
          <w:rFonts w:ascii="Times New Roman" w:hAnsi="Times New Roman"/>
        </w:rPr>
      </w:pPr>
      <w:r w:rsidRPr="00AF3299">
        <w:rPr>
          <w:rFonts w:ascii="Times New Roman" w:hAnsi="Times New Roman"/>
          <w:noProof/>
        </w:rPr>
        <w:drawing>
          <wp:anchor distT="6096" distB="6096" distL="120396" distR="120396" simplePos="0" relativeHeight="251675648" behindDoc="0" locked="0" layoutInCell="1" allowOverlap="1">
            <wp:simplePos x="0" y="0"/>
            <wp:positionH relativeFrom="margin">
              <wp:posOffset>-1905</wp:posOffset>
            </wp:positionH>
            <wp:positionV relativeFrom="paragraph">
              <wp:posOffset>1941195</wp:posOffset>
            </wp:positionV>
            <wp:extent cx="5734050" cy="2266950"/>
            <wp:effectExtent l="0" t="0" r="0" b="0"/>
            <wp:wrapTopAndBottom/>
            <wp:docPr id="53" name="Chart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rsidR="00C44478" w:rsidRPr="00AF3299" w:rsidRDefault="009A1E54" w:rsidP="00AF3299">
      <w:pPr>
        <w:rPr>
          <w:rFonts w:ascii="Times New Roman" w:hAnsi="Times New Roman"/>
        </w:rPr>
      </w:pPr>
      <w:r w:rsidRPr="00AF3299">
        <w:rPr>
          <w:rFonts w:ascii="Times New Roman" w:hAnsi="Times New Roman"/>
          <w:noProof/>
        </w:rPr>
        <w:drawing>
          <wp:anchor distT="6096" distB="6096" distL="120396" distR="120396" simplePos="0" relativeHeight="251676672" behindDoc="0" locked="0" layoutInCell="1" allowOverlap="1">
            <wp:simplePos x="0" y="0"/>
            <wp:positionH relativeFrom="margin">
              <wp:posOffset>-1905</wp:posOffset>
            </wp:positionH>
            <wp:positionV relativeFrom="paragraph">
              <wp:posOffset>2346325</wp:posOffset>
            </wp:positionV>
            <wp:extent cx="5734050" cy="2505075"/>
            <wp:effectExtent l="0" t="0" r="0" b="9525"/>
            <wp:wrapTopAndBottom/>
            <wp:docPr id="52"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of BBL in 182 days treasury bills are 5.29%, 2.54%, 1.56% and 2.88% in 2013, 2014, 2016 and 2017 respectively but there is no investment in 2015. There is a positive growth rate in 2012 but no growth rate in 2016. The other year’s growth rate is negative. The all over growth rate from 2012 to 2016 are being showed in the given chart.</w:t>
      </w:r>
    </w:p>
    <w:p w:rsidR="00C44478" w:rsidRPr="00AF3299" w:rsidRDefault="00C44478" w:rsidP="00AF3299">
      <w:pPr>
        <w:pStyle w:val="Heading4"/>
        <w:rPr>
          <w:rFonts w:ascii="Times New Roman" w:hAnsi="Times New Roman"/>
        </w:rPr>
      </w:pPr>
      <w:r w:rsidRPr="00AF3299">
        <w:rPr>
          <w:rFonts w:ascii="Times New Roman" w:hAnsi="Times New Roman"/>
        </w:rPr>
        <w:t>364 Days Treasury Bills</w:t>
      </w:r>
    </w:p>
    <w:tbl>
      <w:tblPr>
        <w:tblpPr w:leftFromText="180" w:rightFromText="180" w:vertAnchor="text" w:horzAnchor="margin" w:tblpXSpec="center" w:tblpY="110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1316"/>
        <w:gridCol w:w="1206"/>
        <w:gridCol w:w="788"/>
        <w:gridCol w:w="107"/>
        <w:gridCol w:w="895"/>
        <w:gridCol w:w="510"/>
        <w:gridCol w:w="510"/>
        <w:gridCol w:w="1206"/>
      </w:tblGrid>
      <w:tr w:rsidR="009A1E54" w:rsidRPr="00AF3299" w:rsidTr="009A1E54">
        <w:tc>
          <w:tcPr>
            <w:tcW w:w="1640"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Year</w:t>
            </w:r>
          </w:p>
        </w:tc>
        <w:tc>
          <w:tcPr>
            <w:tcW w:w="730"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2013</w:t>
            </w:r>
          </w:p>
        </w:tc>
        <w:tc>
          <w:tcPr>
            <w:tcW w:w="669"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2014</w:t>
            </w:r>
          </w:p>
        </w:tc>
        <w:tc>
          <w:tcPr>
            <w:tcW w:w="642"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2015</w:t>
            </w:r>
          </w:p>
        </w:tc>
        <w:tc>
          <w:tcPr>
            <w:tcW w:w="650" w:type="pct"/>
            <w:gridSpan w:val="4"/>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2016</w:t>
            </w:r>
          </w:p>
        </w:tc>
        <w:tc>
          <w:tcPr>
            <w:tcW w:w="669" w:type="pct"/>
            <w:tcBorders>
              <w:bottom w:val="single" w:sz="4" w:space="0" w:color="95B3D7"/>
            </w:tcBorders>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2017</w:t>
            </w:r>
          </w:p>
        </w:tc>
      </w:tr>
      <w:tr w:rsidR="009A1E54" w:rsidRPr="00AF3299" w:rsidTr="009A1E54">
        <w:tc>
          <w:tcPr>
            <w:tcW w:w="1640" w:type="pct"/>
            <w:shd w:val="clear" w:color="auto" w:fill="DBE5F1"/>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Total amount of 182 days Treasury Bill</w:t>
            </w:r>
          </w:p>
        </w:tc>
        <w:tc>
          <w:tcPr>
            <w:tcW w:w="730"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2439836568</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365401503</w:t>
            </w:r>
          </w:p>
        </w:tc>
        <w:tc>
          <w:tcPr>
            <w:tcW w:w="642"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50" w:type="pct"/>
            <w:gridSpan w:val="4"/>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632374823</w:t>
            </w:r>
          </w:p>
        </w:tc>
      </w:tr>
      <w:tr w:rsidR="009A1E54" w:rsidRPr="00AF3299" w:rsidTr="009A1E54">
        <w:tc>
          <w:tcPr>
            <w:tcW w:w="1640" w:type="pct"/>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Growth Rate</w:t>
            </w:r>
          </w:p>
        </w:tc>
        <w:tc>
          <w:tcPr>
            <w:tcW w:w="730"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-85%</w:t>
            </w:r>
          </w:p>
        </w:tc>
        <w:tc>
          <w:tcPr>
            <w:tcW w:w="642"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-100%</w:t>
            </w:r>
          </w:p>
        </w:tc>
        <w:tc>
          <w:tcPr>
            <w:tcW w:w="650" w:type="pct"/>
            <w:gridSpan w:val="4"/>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hAnsi="Times New Roman"/>
              </w:rPr>
              <w:t>0%</w:t>
            </w:r>
          </w:p>
        </w:tc>
      </w:tr>
      <w:tr w:rsidR="009A1E54" w:rsidRPr="00AF3299" w:rsidTr="009A1E54">
        <w:tc>
          <w:tcPr>
            <w:tcW w:w="1640" w:type="pct"/>
            <w:shd w:val="clear" w:color="auto" w:fill="DBE5F1"/>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730"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11.46%</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1.53%</w:t>
            </w:r>
          </w:p>
        </w:tc>
        <w:tc>
          <w:tcPr>
            <w:tcW w:w="642"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0%</w:t>
            </w:r>
          </w:p>
        </w:tc>
        <w:tc>
          <w:tcPr>
            <w:tcW w:w="650" w:type="pct"/>
            <w:gridSpan w:val="4"/>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0%</w:t>
            </w:r>
          </w:p>
        </w:tc>
        <w:tc>
          <w:tcPr>
            <w:tcW w:w="669" w:type="pct"/>
            <w:shd w:val="clear" w:color="auto" w:fill="DBE5F1"/>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2.53%</w:t>
            </w:r>
          </w:p>
        </w:tc>
      </w:tr>
      <w:tr w:rsidR="009A1E54" w:rsidRPr="00AF3299" w:rsidTr="009A1E54">
        <w:tc>
          <w:tcPr>
            <w:tcW w:w="1640" w:type="pct"/>
            <w:gridSpan w:val="3"/>
            <w:shd w:val="clear" w:color="auto" w:fill="auto"/>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Percentage of Government Securities</w:t>
            </w:r>
          </w:p>
        </w:tc>
        <w:tc>
          <w:tcPr>
            <w:tcW w:w="730" w:type="pct"/>
            <w:gridSpan w:val="2"/>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12.60%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1.78%</w:t>
            </w:r>
          </w:p>
        </w:tc>
        <w:tc>
          <w:tcPr>
            <w:tcW w:w="642"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0%</w:t>
            </w:r>
          </w:p>
        </w:tc>
        <w:tc>
          <w:tcPr>
            <w:tcW w:w="650"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0%</w:t>
            </w:r>
          </w:p>
        </w:tc>
        <w:tc>
          <w:tcPr>
            <w:tcW w:w="669" w:type="pct"/>
            <w:shd w:val="clear" w:color="auto" w:fill="auto"/>
            <w:vAlign w:val="center"/>
          </w:tcPr>
          <w:p w:rsidR="009A1E54" w:rsidRPr="00AF3299" w:rsidRDefault="009A1E54" w:rsidP="009A1E54">
            <w:pPr>
              <w:spacing w:after="0"/>
              <w:jc w:val="both"/>
              <w:rPr>
                <w:rFonts w:ascii="Times New Roman" w:hAnsi="Times New Roman"/>
              </w:rPr>
            </w:pPr>
            <w:r w:rsidRPr="00AF3299">
              <w:rPr>
                <w:rFonts w:ascii="Times New Roman" w:eastAsia="Times New Roman" w:hAnsi="Times New Roman"/>
                <w:color w:val="000000"/>
              </w:rPr>
              <w:t>3.29%</w:t>
            </w:r>
          </w:p>
        </w:tc>
      </w:tr>
      <w:tr w:rsidR="009A1E54" w:rsidRPr="00AF3299" w:rsidTr="009A1E54">
        <w:tc>
          <w:tcPr>
            <w:tcW w:w="1640" w:type="pct"/>
            <w:gridSpan w:val="3"/>
            <w:shd w:val="clear" w:color="auto" w:fill="DBE5F1"/>
            <w:vAlign w:val="center"/>
          </w:tcPr>
          <w:p w:rsidR="009A1E54" w:rsidRPr="00AF3299" w:rsidRDefault="009A1E54" w:rsidP="009A1E54">
            <w:pPr>
              <w:spacing w:after="0"/>
              <w:jc w:val="both"/>
              <w:rPr>
                <w:rFonts w:ascii="Times New Roman" w:hAnsi="Times New Roman"/>
                <w:b/>
                <w:bCs/>
              </w:rPr>
            </w:pPr>
            <w:r w:rsidRPr="00AF3299">
              <w:rPr>
                <w:rFonts w:ascii="Times New Roman" w:hAnsi="Times New Roman"/>
                <w:b/>
                <w:bCs/>
              </w:rPr>
              <w:t>Percentage of Treasury Bill</w:t>
            </w:r>
          </w:p>
        </w:tc>
        <w:tc>
          <w:tcPr>
            <w:tcW w:w="730" w:type="pct"/>
            <w:gridSpan w:val="2"/>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66.06%</w:t>
            </w:r>
          </w:p>
        </w:tc>
        <w:tc>
          <w:tcPr>
            <w:tcW w:w="669"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37.39%</w:t>
            </w:r>
          </w:p>
        </w:tc>
        <w:tc>
          <w:tcPr>
            <w:tcW w:w="642"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0%</w:t>
            </w:r>
          </w:p>
        </w:tc>
        <w:tc>
          <w:tcPr>
            <w:tcW w:w="650"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0%</w:t>
            </w:r>
          </w:p>
        </w:tc>
        <w:tc>
          <w:tcPr>
            <w:tcW w:w="669" w:type="pct"/>
            <w:shd w:val="clear" w:color="auto" w:fill="DBE5F1"/>
            <w:vAlign w:val="center"/>
          </w:tcPr>
          <w:p w:rsidR="009A1E54" w:rsidRPr="00AF3299" w:rsidRDefault="009A1E54" w:rsidP="009A1E54">
            <w:pPr>
              <w:spacing w:after="0"/>
              <w:jc w:val="both"/>
              <w:rPr>
                <w:rFonts w:ascii="Times New Roman" w:eastAsia="Times New Roman" w:hAnsi="Times New Roman"/>
                <w:color w:val="000000"/>
              </w:rPr>
            </w:pPr>
            <w:r w:rsidRPr="00AF3299">
              <w:rPr>
                <w:rFonts w:ascii="Times New Roman" w:eastAsia="Times New Roman" w:hAnsi="Times New Roman"/>
                <w:color w:val="000000"/>
              </w:rPr>
              <w:t>42.52%</w:t>
            </w:r>
          </w:p>
        </w:tc>
      </w:tr>
    </w:tbl>
    <w:p w:rsidR="00C44478" w:rsidRPr="00AF3299" w:rsidRDefault="00C44478" w:rsidP="00AF3299">
      <w:pPr>
        <w:rPr>
          <w:rFonts w:ascii="Times New Roman" w:hAnsi="Times New Roman"/>
          <w:sz w:val="24"/>
        </w:rPr>
      </w:pPr>
      <w:r w:rsidRPr="00AF3299">
        <w:rPr>
          <w:rFonts w:ascii="Times New Roman" w:hAnsi="Times New Roman"/>
          <w:sz w:val="24"/>
        </w:rPr>
        <w:t xml:space="preserve">The percentage of investment of BBL in 364 days treasury bills are calculated by dividing the total number of investment in 364 days treasury bills with the total number of investment in </w:t>
      </w:r>
      <w:r w:rsidRPr="00AF3299">
        <w:rPr>
          <w:rFonts w:ascii="Times New Roman" w:hAnsi="Times New Roman"/>
          <w:sz w:val="24"/>
        </w:rPr>
        <w:lastRenderedPageBreak/>
        <w:t xml:space="preserve">financial assets.  </w:t>
      </w:r>
    </w:p>
    <w:p w:rsidR="00C44478" w:rsidRPr="00AF3299" w:rsidRDefault="009A1E54" w:rsidP="00AF3299">
      <w:pPr>
        <w:rPr>
          <w:rFonts w:ascii="Times New Roman" w:hAnsi="Times New Roman"/>
        </w:rPr>
      </w:pPr>
      <w:r w:rsidRPr="00AF3299">
        <w:rPr>
          <w:rFonts w:ascii="Times New Roman" w:hAnsi="Times New Roman"/>
          <w:noProof/>
        </w:rPr>
        <w:drawing>
          <wp:anchor distT="6096" distB="9017" distL="120396" distR="119380" simplePos="0" relativeHeight="251677696" behindDoc="0" locked="0" layoutInCell="1" allowOverlap="1">
            <wp:simplePos x="0" y="0"/>
            <wp:positionH relativeFrom="margin">
              <wp:align>right</wp:align>
            </wp:positionH>
            <wp:positionV relativeFrom="paragraph">
              <wp:posOffset>1884045</wp:posOffset>
            </wp:positionV>
            <wp:extent cx="5734050" cy="2257425"/>
            <wp:effectExtent l="0" t="0" r="0" b="9525"/>
            <wp:wrapTopAndBottom/>
            <wp:docPr id="51"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rsidR="00C44478" w:rsidRPr="00AF3299" w:rsidRDefault="009A1E54" w:rsidP="00AF3299">
      <w:pPr>
        <w:ind w:firstLine="720"/>
        <w:rPr>
          <w:rFonts w:ascii="Times New Roman" w:hAnsi="Times New Roman"/>
        </w:rPr>
      </w:pPr>
      <w:r w:rsidRPr="00AF3299">
        <w:rPr>
          <w:rFonts w:ascii="Times New Roman" w:hAnsi="Times New Roman"/>
          <w:noProof/>
        </w:rPr>
        <w:drawing>
          <wp:anchor distT="6096" distB="9017" distL="120396" distR="118745" simplePos="0" relativeHeight="251678720" behindDoc="0" locked="0" layoutInCell="1" allowOverlap="1">
            <wp:simplePos x="0" y="0"/>
            <wp:positionH relativeFrom="margin">
              <wp:align>right</wp:align>
            </wp:positionH>
            <wp:positionV relativeFrom="paragraph">
              <wp:posOffset>2399665</wp:posOffset>
            </wp:positionV>
            <wp:extent cx="5724525" cy="2593975"/>
            <wp:effectExtent l="0" t="0" r="9525" b="15875"/>
            <wp:wrapTopAndBottom/>
            <wp:docPr id="50"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rsidR="00C44478" w:rsidRPr="00AF3299" w:rsidRDefault="00C44478" w:rsidP="00AF3299">
      <w:pPr>
        <w:ind w:firstLine="720"/>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of BBL in 364 days Treasury bill are 11.46%, 1.53% and 2.53% in 2013, 2014 and 2017 respectively. But 0% in both 2015 and 2016.The growth rate is negative in 2014 and 2015 and no growth in 2013 and 2016. The growth rates are being showed in the given chart clearly.</w:t>
      </w:r>
    </w:p>
    <w:p w:rsidR="00C44478" w:rsidRPr="00AF3299" w:rsidRDefault="00C44478" w:rsidP="00AF3299">
      <w:pPr>
        <w:pStyle w:val="Heading4"/>
        <w:rPr>
          <w:rFonts w:ascii="Times New Roman" w:hAnsi="Times New Roman"/>
        </w:rPr>
      </w:pPr>
      <w:r w:rsidRPr="00AF3299">
        <w:rPr>
          <w:rFonts w:ascii="Times New Roman" w:hAnsi="Times New Roman"/>
        </w:rPr>
        <w:t>Bangladesh Bank Bill</w:t>
      </w:r>
    </w:p>
    <w:p w:rsidR="00C44478" w:rsidRPr="00AF3299" w:rsidRDefault="00C44478" w:rsidP="00AF3299">
      <w:pPr>
        <w:jc w:val="both"/>
        <w:rPr>
          <w:rFonts w:ascii="Times New Roman" w:hAnsi="Times New Roman"/>
          <w:sz w:val="24"/>
        </w:rPr>
      </w:pPr>
      <w:r w:rsidRPr="00AF3299">
        <w:rPr>
          <w:rFonts w:ascii="Times New Roman" w:hAnsi="Times New Roman"/>
          <w:sz w:val="24"/>
        </w:rPr>
        <w:t>Bangladesh Bank bill is a one type of Treasury Bill of Bangladesh. It is short term debt obligation. The price of these type of bill is fixed through auction and similar as any Treasury bill. Like Treasury bill, Bangladesh Bank bill is also risk-free investment. BRAC Bank has invested significant portion of their total investment in BB bill. The percentage of total investment in BB bill is calculated by dividing total amount of BB bill with the total amount of investment in financial assets. The Following is the table for growth rate, percentage of total investment in BB Bill and Percentage of Government securities invested in BB bill-</w:t>
      </w:r>
    </w:p>
    <w:tbl>
      <w:tblPr>
        <w:tblpPr w:leftFromText="180" w:rightFromText="180" w:vertAnchor="text" w:horzAnchor="margin" w:tblpXSpec="center" w:tblpY="12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1316"/>
        <w:gridCol w:w="1159"/>
        <w:gridCol w:w="1316"/>
        <w:gridCol w:w="1155"/>
        <w:gridCol w:w="1316"/>
      </w:tblGrid>
      <w:tr w:rsidR="0038242D" w:rsidRPr="00AF3299" w:rsidTr="009A1E54">
        <w:tc>
          <w:tcPr>
            <w:tcW w:w="1669"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lastRenderedPageBreak/>
              <w:t>Year</w:t>
            </w:r>
          </w:p>
        </w:tc>
        <w:tc>
          <w:tcPr>
            <w:tcW w:w="59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83"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68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68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689"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9A1E54">
        <w:tc>
          <w:tcPr>
            <w:tcW w:w="1669"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Total amount of BB Bill</w:t>
            </w:r>
          </w:p>
        </w:tc>
        <w:tc>
          <w:tcPr>
            <w:tcW w:w="59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2059520257</w:t>
            </w:r>
          </w:p>
        </w:tc>
        <w:tc>
          <w:tcPr>
            <w:tcW w:w="683"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2176290860</w:t>
            </w:r>
          </w:p>
        </w:tc>
        <w:tc>
          <w:tcPr>
            <w:tcW w:w="68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9"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2497936800</w:t>
            </w:r>
          </w:p>
        </w:tc>
      </w:tr>
      <w:tr w:rsidR="0038242D" w:rsidRPr="00AF3299" w:rsidTr="009A1E54">
        <w:tc>
          <w:tcPr>
            <w:tcW w:w="1669"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59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9.76%</w:t>
            </w:r>
          </w:p>
        </w:tc>
        <w:tc>
          <w:tcPr>
            <w:tcW w:w="683"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687"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11%</w:t>
            </w:r>
          </w:p>
        </w:tc>
        <w:tc>
          <w:tcPr>
            <w:tcW w:w="68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689"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10.01%</w:t>
            </w:r>
          </w:p>
        </w:tc>
      </w:tr>
      <w:tr w:rsidR="0038242D" w:rsidRPr="00AF3299" w:rsidTr="009A1E54">
        <w:tc>
          <w:tcPr>
            <w:tcW w:w="1669"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Government Securities</w:t>
            </w:r>
          </w:p>
        </w:tc>
        <w:tc>
          <w:tcPr>
            <w:tcW w:w="59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10.64%</w:t>
            </w:r>
          </w:p>
        </w:tc>
        <w:tc>
          <w:tcPr>
            <w:tcW w:w="683"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68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14.53%</w:t>
            </w:r>
          </w:p>
        </w:tc>
        <w:tc>
          <w:tcPr>
            <w:tcW w:w="68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w:t>
            </w:r>
          </w:p>
        </w:tc>
        <w:tc>
          <w:tcPr>
            <w:tcW w:w="689"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13.01%</w:t>
            </w:r>
          </w:p>
        </w:tc>
      </w:tr>
    </w:tbl>
    <w:p w:rsidR="00C44478" w:rsidRPr="00AF3299" w:rsidRDefault="009A1E54" w:rsidP="00AF3299">
      <w:pPr>
        <w:ind w:firstLine="720"/>
        <w:rPr>
          <w:rFonts w:ascii="Times New Roman" w:hAnsi="Times New Roman"/>
        </w:rPr>
      </w:pPr>
      <w:r w:rsidRPr="00AF3299">
        <w:rPr>
          <w:rFonts w:ascii="Times New Roman" w:hAnsi="Times New Roman"/>
          <w:noProof/>
        </w:rPr>
        <w:drawing>
          <wp:anchor distT="6096" distB="6096" distL="120396" distR="120396" simplePos="0" relativeHeight="251679744" behindDoc="0" locked="0" layoutInCell="1" allowOverlap="1">
            <wp:simplePos x="0" y="0"/>
            <wp:positionH relativeFrom="margin">
              <wp:align>right</wp:align>
            </wp:positionH>
            <wp:positionV relativeFrom="paragraph">
              <wp:posOffset>1410970</wp:posOffset>
            </wp:positionV>
            <wp:extent cx="5734050" cy="2742565"/>
            <wp:effectExtent l="0" t="0" r="0" b="635"/>
            <wp:wrapTopAndBottom/>
            <wp:docPr id="4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p w:rsidR="00C44478" w:rsidRPr="00AF3299" w:rsidRDefault="00C44478" w:rsidP="00AF3299">
      <w:pPr>
        <w:ind w:firstLine="720"/>
        <w:rPr>
          <w:rFonts w:ascii="Times New Roman" w:hAnsi="Times New Roman"/>
        </w:rPr>
      </w:pPr>
    </w:p>
    <w:p w:rsidR="00C44478" w:rsidRPr="00AF3299" w:rsidRDefault="00C44478" w:rsidP="00AF3299">
      <w:pPr>
        <w:rPr>
          <w:rFonts w:ascii="Times New Roman" w:hAnsi="Times New Roman"/>
          <w:sz w:val="24"/>
        </w:rPr>
      </w:pPr>
      <w:r w:rsidRPr="00AF3299">
        <w:rPr>
          <w:rFonts w:ascii="Times New Roman" w:hAnsi="Times New Roman"/>
          <w:sz w:val="24"/>
        </w:rPr>
        <w:t>From the graph and table we can understand that the percentage of total investment in BB bill are 9.76%, 11% and 10.01% in 2013, 2015 and 2017 respectively. The highest investment was in 2015. It can be clearly understand from the table and graph above.</w:t>
      </w:r>
    </w:p>
    <w:p w:rsidR="00C44478" w:rsidRPr="00AF3299" w:rsidRDefault="00C44478" w:rsidP="00AF3299">
      <w:pPr>
        <w:pStyle w:val="Heading4"/>
        <w:rPr>
          <w:rFonts w:ascii="Times New Roman" w:hAnsi="Times New Roman"/>
        </w:rPr>
      </w:pPr>
      <w:r w:rsidRPr="00AF3299">
        <w:rPr>
          <w:rFonts w:ascii="Times New Roman" w:hAnsi="Times New Roman"/>
        </w:rPr>
        <w:t>30 days BB bill</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of investment of BBL in 30 days Bangladesh Bank bills are calculated by dividing the total number of investment in 30 days Bangladesh Bank bills with the total number of investment in financial assets.</w:t>
      </w:r>
    </w:p>
    <w:tbl>
      <w:tblPr>
        <w:tblpPr w:leftFromText="180" w:rightFromText="180" w:vertAnchor="text" w:horzAnchor="margin" w:tblpXSpec="center" w:tblpY="1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0"/>
        <w:gridCol w:w="1852"/>
        <w:gridCol w:w="2141"/>
      </w:tblGrid>
      <w:tr w:rsidR="0038242D" w:rsidRPr="00AF3299" w:rsidTr="005F283B">
        <w:tc>
          <w:tcPr>
            <w:tcW w:w="283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100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11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r>
      <w:tr w:rsidR="0038242D" w:rsidRPr="00AF3299" w:rsidTr="005F283B">
        <w:tc>
          <w:tcPr>
            <w:tcW w:w="283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30 days BB Bill</w:t>
            </w:r>
          </w:p>
        </w:tc>
        <w:tc>
          <w:tcPr>
            <w:tcW w:w="1002"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2059520257</w:t>
            </w:r>
          </w:p>
        </w:tc>
        <w:tc>
          <w:tcPr>
            <w:tcW w:w="11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2176290860</w:t>
            </w:r>
          </w:p>
        </w:tc>
      </w:tr>
      <w:tr w:rsidR="00C44478" w:rsidRPr="00AF3299" w:rsidTr="005F283B">
        <w:tc>
          <w:tcPr>
            <w:tcW w:w="2839"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100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9.67%</w:t>
            </w:r>
          </w:p>
        </w:tc>
        <w:tc>
          <w:tcPr>
            <w:tcW w:w="11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11%</w:t>
            </w:r>
          </w:p>
        </w:tc>
      </w:tr>
      <w:tr w:rsidR="0038242D" w:rsidRPr="00AF3299" w:rsidTr="005F283B">
        <w:tc>
          <w:tcPr>
            <w:tcW w:w="283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1002"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10.64%</w:t>
            </w:r>
          </w:p>
        </w:tc>
        <w:tc>
          <w:tcPr>
            <w:tcW w:w="11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14.53%</w:t>
            </w:r>
          </w:p>
        </w:tc>
      </w:tr>
    </w:tbl>
    <w:p w:rsidR="00C44478" w:rsidRPr="00AF3299" w:rsidRDefault="00C44478" w:rsidP="00AF3299">
      <w:pPr>
        <w:rPr>
          <w:rFonts w:ascii="Times New Roman" w:hAnsi="Times New Roman"/>
        </w:rPr>
      </w:pPr>
    </w:p>
    <w:p w:rsidR="00C44478" w:rsidRPr="00AF3299" w:rsidRDefault="00C44478" w:rsidP="00AF3299">
      <w:pPr>
        <w:rPr>
          <w:rFonts w:ascii="Times New Roman" w:hAnsi="Times New Roman"/>
        </w:rPr>
      </w:pPr>
    </w:p>
    <w:p w:rsidR="00C44478" w:rsidRPr="00AF3299" w:rsidRDefault="00C44478" w:rsidP="00AF3299">
      <w:pPr>
        <w:rPr>
          <w:rFonts w:ascii="Times New Roman" w:hAnsi="Times New Roman"/>
        </w:rPr>
      </w:pPr>
    </w:p>
    <w:p w:rsidR="00C44478" w:rsidRPr="00AF3299" w:rsidRDefault="00F427B1" w:rsidP="00AF3299">
      <w:pPr>
        <w:rPr>
          <w:rFonts w:ascii="Times New Roman" w:hAnsi="Times New Roman"/>
        </w:rPr>
      </w:pPr>
      <w:r w:rsidRPr="00AF3299">
        <w:rPr>
          <w:rFonts w:ascii="Times New Roman" w:hAnsi="Times New Roman"/>
          <w:noProof/>
        </w:rPr>
        <w:lastRenderedPageBreak/>
        <w:drawing>
          <wp:anchor distT="6096" distB="6096" distL="120396" distR="120396" simplePos="0" relativeHeight="251680768" behindDoc="0" locked="0" layoutInCell="1" allowOverlap="1">
            <wp:simplePos x="0" y="0"/>
            <wp:positionH relativeFrom="margin">
              <wp:align>right</wp:align>
            </wp:positionH>
            <wp:positionV relativeFrom="paragraph">
              <wp:posOffset>183515</wp:posOffset>
            </wp:positionV>
            <wp:extent cx="5734050" cy="2447925"/>
            <wp:effectExtent l="0" t="0" r="0" b="9525"/>
            <wp:wrapTopAndBottom/>
            <wp:docPr id="48"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is 9.67% and 11% in 2013 and 2015 but 0% in 2014 2016 and 2017. The growth rate of investment of BBL in 30 days Bangladesh Bank bills are being showed in the chart. Here it is seeing that the highest positive number of percentage growth has happened in 2015.</w:t>
      </w:r>
    </w:p>
    <w:p w:rsidR="00C44478" w:rsidRPr="00AF3299" w:rsidRDefault="00C44478" w:rsidP="00AF3299">
      <w:pPr>
        <w:pStyle w:val="Heading4"/>
        <w:rPr>
          <w:rFonts w:ascii="Times New Roman" w:hAnsi="Times New Roman"/>
        </w:rPr>
      </w:pPr>
      <w:r w:rsidRPr="00AF3299">
        <w:rPr>
          <w:rFonts w:ascii="Times New Roman" w:hAnsi="Times New Roman"/>
        </w:rPr>
        <w:t>14 Days BB Bill</w:t>
      </w:r>
    </w:p>
    <w:p w:rsidR="00C44478" w:rsidRPr="00AF3299" w:rsidRDefault="00C44478" w:rsidP="00AF3299">
      <w:pPr>
        <w:rPr>
          <w:rFonts w:ascii="Times New Roman" w:hAnsi="Times New Roman"/>
        </w:rPr>
      </w:pPr>
      <w:r w:rsidRPr="00AF3299">
        <w:rPr>
          <w:rFonts w:ascii="Times New Roman" w:hAnsi="Times New Roman"/>
          <w:sz w:val="24"/>
        </w:rPr>
        <w:t>The percentage of investment of BBL in 30 days Bangladesh Bank bills are calculated by dividing the total number of investment in 30 days Bangladesh Bank bills with the total number of investment in financial assets.</w:t>
      </w:r>
    </w:p>
    <w:tbl>
      <w:tblPr>
        <w:tblpPr w:leftFromText="180" w:rightFromText="180" w:vertAnchor="text" w:horzAnchor="margin" w:tblpXSpec="center"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8"/>
        <w:gridCol w:w="2695"/>
      </w:tblGrid>
      <w:tr w:rsidR="0038242D" w:rsidRPr="00AF3299" w:rsidTr="005F283B">
        <w:tc>
          <w:tcPr>
            <w:tcW w:w="354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14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5F283B">
        <w:tc>
          <w:tcPr>
            <w:tcW w:w="354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14 days BB Bill</w:t>
            </w:r>
          </w:p>
        </w:tc>
        <w:tc>
          <w:tcPr>
            <w:tcW w:w="14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2497936800</w:t>
            </w:r>
          </w:p>
        </w:tc>
      </w:tr>
      <w:tr w:rsidR="00C44478" w:rsidRPr="00AF3299" w:rsidTr="005F283B">
        <w:tc>
          <w:tcPr>
            <w:tcW w:w="3542"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14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10.01%</w:t>
            </w:r>
          </w:p>
        </w:tc>
      </w:tr>
      <w:tr w:rsidR="0038242D" w:rsidRPr="00AF3299" w:rsidTr="005F283B">
        <w:tc>
          <w:tcPr>
            <w:tcW w:w="354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14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13.01%</w:t>
            </w:r>
          </w:p>
        </w:tc>
      </w:tr>
    </w:tbl>
    <w:p w:rsidR="00C44478" w:rsidRPr="00AF3299" w:rsidRDefault="005F283B" w:rsidP="00AF3299">
      <w:pPr>
        <w:ind w:firstLine="720"/>
        <w:rPr>
          <w:rFonts w:ascii="Times New Roman" w:hAnsi="Times New Roman"/>
        </w:rPr>
      </w:pPr>
      <w:r w:rsidRPr="00AF3299">
        <w:rPr>
          <w:rFonts w:ascii="Times New Roman" w:hAnsi="Times New Roman"/>
          <w:noProof/>
        </w:rPr>
        <w:drawing>
          <wp:anchor distT="6096" distB="6096" distL="120396" distR="120396" simplePos="0" relativeHeight="251681792" behindDoc="0" locked="0" layoutInCell="1" allowOverlap="1">
            <wp:simplePos x="0" y="0"/>
            <wp:positionH relativeFrom="margin">
              <wp:align>right</wp:align>
            </wp:positionH>
            <wp:positionV relativeFrom="paragraph">
              <wp:posOffset>909320</wp:posOffset>
            </wp:positionV>
            <wp:extent cx="5724525" cy="2742565"/>
            <wp:effectExtent l="0" t="0" r="9525" b="635"/>
            <wp:wrapTopAndBottom/>
            <wp:docPr id="47"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rsidR="00C44478" w:rsidRPr="00AF3299" w:rsidRDefault="00C44478" w:rsidP="005F283B">
      <w:pPr>
        <w:rPr>
          <w:rFonts w:ascii="Times New Roman" w:hAnsi="Times New Roman"/>
        </w:rPr>
      </w:pPr>
    </w:p>
    <w:p w:rsidR="00C44478" w:rsidRPr="00AF3299" w:rsidRDefault="00C44478" w:rsidP="00AF3299">
      <w:pPr>
        <w:rPr>
          <w:rFonts w:ascii="Times New Roman" w:hAnsi="Times New Roman"/>
        </w:rPr>
      </w:pPr>
      <w:r w:rsidRPr="00AF3299">
        <w:rPr>
          <w:rFonts w:ascii="Times New Roman" w:hAnsi="Times New Roman"/>
          <w:sz w:val="24"/>
        </w:rPr>
        <w:lastRenderedPageBreak/>
        <w:t>Here the percentage rate of investment is 10.01% in 2017 but 0% in 2013 through 2017.</w:t>
      </w:r>
    </w:p>
    <w:p w:rsidR="00C44478" w:rsidRPr="00AF3299" w:rsidRDefault="00C44478" w:rsidP="00AF3299">
      <w:pPr>
        <w:pStyle w:val="Heading3"/>
      </w:pPr>
      <w:bookmarkStart w:id="51" w:name="_Toc523576009"/>
      <w:r w:rsidRPr="00AF3299">
        <w:t>Treasury Bond</w:t>
      </w:r>
      <w:bookmarkEnd w:id="51"/>
    </w:p>
    <w:p w:rsidR="00C44478" w:rsidRPr="00AF3299" w:rsidRDefault="00C44478" w:rsidP="00AF3299">
      <w:pPr>
        <w:jc w:val="both"/>
        <w:rPr>
          <w:rFonts w:ascii="Times New Roman" w:hAnsi="Times New Roman"/>
          <w:sz w:val="24"/>
        </w:rPr>
      </w:pPr>
      <w:r w:rsidRPr="00AF3299">
        <w:rPr>
          <w:rFonts w:ascii="Times New Roman" w:hAnsi="Times New Roman"/>
          <w:sz w:val="24"/>
        </w:rPr>
        <w:t>A Treasury bond is a debt security issued by a government to support government spending. Treasury bonds are considered risk-free and are traded in highly liquid markets. The percentage rate of investment of BBL in government bond is calculated by dividing the total amount of investment in government bond with the total number of investment in financial assets.</w:t>
      </w:r>
    </w:p>
    <w:tbl>
      <w:tblPr>
        <w:tblpPr w:leftFromText="180" w:rightFromText="180" w:vertAnchor="text" w:horzAnchor="margin" w:tblpXSpec="center" w:tblpY="12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1306"/>
        <w:gridCol w:w="1305"/>
        <w:gridCol w:w="1305"/>
        <w:gridCol w:w="1305"/>
        <w:gridCol w:w="1305"/>
      </w:tblGrid>
      <w:tr w:rsidR="0038242D" w:rsidRPr="00AF3299" w:rsidTr="005F283B">
        <w:tc>
          <w:tcPr>
            <w:tcW w:w="1469"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70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70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70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70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70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5F283B">
        <w:tc>
          <w:tcPr>
            <w:tcW w:w="1469"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706" w:type="pct"/>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0%</w:t>
            </w:r>
          </w:p>
        </w:tc>
        <w:tc>
          <w:tcPr>
            <w:tcW w:w="706" w:type="pct"/>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35%</w:t>
            </w:r>
          </w:p>
        </w:tc>
        <w:tc>
          <w:tcPr>
            <w:tcW w:w="706" w:type="pct"/>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-28%</w:t>
            </w:r>
          </w:p>
        </w:tc>
        <w:tc>
          <w:tcPr>
            <w:tcW w:w="706" w:type="pct"/>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30%</w:t>
            </w:r>
          </w:p>
        </w:tc>
        <w:tc>
          <w:tcPr>
            <w:tcW w:w="706" w:type="pct"/>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-9%</w:t>
            </w:r>
          </w:p>
        </w:tc>
      </w:tr>
      <w:tr w:rsidR="0038242D" w:rsidRPr="00AF3299" w:rsidTr="005F283B">
        <w:tc>
          <w:tcPr>
            <w:tcW w:w="1469"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70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61.64%</w:t>
            </w:r>
          </w:p>
        </w:tc>
        <w:tc>
          <w:tcPr>
            <w:tcW w:w="70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73.99%</w:t>
            </w:r>
          </w:p>
        </w:tc>
        <w:tc>
          <w:tcPr>
            <w:tcW w:w="70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64.72%</w:t>
            </w:r>
          </w:p>
        </w:tc>
        <w:tc>
          <w:tcPr>
            <w:tcW w:w="70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74.23%</w:t>
            </w:r>
          </w:p>
        </w:tc>
        <w:tc>
          <w:tcPr>
            <w:tcW w:w="70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60.91%</w:t>
            </w:r>
          </w:p>
        </w:tc>
      </w:tr>
      <w:tr w:rsidR="0038242D" w:rsidRPr="00AF3299" w:rsidTr="005F283B">
        <w:tc>
          <w:tcPr>
            <w:tcW w:w="1469"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Government Securities</w:t>
            </w:r>
          </w:p>
        </w:tc>
        <w:tc>
          <w:tcPr>
            <w:tcW w:w="70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67.79%</w:t>
            </w:r>
          </w:p>
        </w:tc>
        <w:tc>
          <w:tcPr>
            <w:tcW w:w="70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86.01%</w:t>
            </w:r>
          </w:p>
        </w:tc>
        <w:tc>
          <w:tcPr>
            <w:tcW w:w="70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85.46%</w:t>
            </w:r>
          </w:p>
        </w:tc>
        <w:tc>
          <w:tcPr>
            <w:tcW w:w="70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97.94%</w:t>
            </w:r>
          </w:p>
        </w:tc>
        <w:tc>
          <w:tcPr>
            <w:tcW w:w="70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79.23%</w:t>
            </w:r>
          </w:p>
        </w:tc>
      </w:tr>
    </w:tbl>
    <w:p w:rsidR="00C44478" w:rsidRPr="00AF3299" w:rsidRDefault="00F427B1" w:rsidP="00AF3299">
      <w:pPr>
        <w:jc w:val="both"/>
        <w:rPr>
          <w:rFonts w:ascii="Times New Roman" w:hAnsi="Times New Roman"/>
        </w:rPr>
      </w:pPr>
      <w:r w:rsidRPr="00AF3299">
        <w:rPr>
          <w:rFonts w:ascii="Times New Roman" w:hAnsi="Times New Roman"/>
          <w:noProof/>
        </w:rPr>
        <w:drawing>
          <wp:anchor distT="6096" distB="6223" distL="120396" distR="119761" simplePos="0" relativeHeight="251682816" behindDoc="0" locked="0" layoutInCell="1" allowOverlap="1">
            <wp:simplePos x="0" y="0"/>
            <wp:positionH relativeFrom="margin">
              <wp:align>right</wp:align>
            </wp:positionH>
            <wp:positionV relativeFrom="paragraph">
              <wp:posOffset>1427480</wp:posOffset>
            </wp:positionV>
            <wp:extent cx="5734050" cy="2449830"/>
            <wp:effectExtent l="0" t="0" r="0" b="7620"/>
            <wp:wrapTopAndBottom/>
            <wp:docPr id="46" name="Chart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rsidR="00C44478" w:rsidRPr="00AF3299" w:rsidRDefault="00F427B1" w:rsidP="00AF3299">
      <w:pPr>
        <w:rPr>
          <w:rFonts w:ascii="Times New Roman" w:hAnsi="Times New Roman"/>
        </w:rPr>
      </w:pPr>
      <w:r w:rsidRPr="00AF3299">
        <w:rPr>
          <w:rFonts w:ascii="Times New Roman" w:hAnsi="Times New Roman"/>
          <w:noProof/>
        </w:rPr>
        <w:drawing>
          <wp:anchor distT="6096" distB="5334" distL="120396" distR="123190" simplePos="0" relativeHeight="251683840" behindDoc="0" locked="0" layoutInCell="1" allowOverlap="1">
            <wp:simplePos x="0" y="0"/>
            <wp:positionH relativeFrom="margin">
              <wp:align>right</wp:align>
            </wp:positionH>
            <wp:positionV relativeFrom="paragraph">
              <wp:posOffset>2658745</wp:posOffset>
            </wp:positionV>
            <wp:extent cx="5734050" cy="2426970"/>
            <wp:effectExtent l="0" t="0" r="0" b="11430"/>
            <wp:wrapTopAndBottom/>
            <wp:docPr id="45" name="Chart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percentage rate of investment of BBL in government bond is 61.64%, 73.99%, 64.72%, 74.23%, and 60.91% from 2013 to 2017. Here it is seeing that the highest number of investment in treasury bond have happened in 2014. But the highest percentage of growth rate has happened in 2014.The growth rate of investment in treasury bond is shown in the </w:t>
      </w:r>
      <w:r w:rsidRPr="00AF3299">
        <w:rPr>
          <w:rFonts w:ascii="Times New Roman" w:hAnsi="Times New Roman"/>
          <w:sz w:val="24"/>
        </w:rPr>
        <w:lastRenderedPageBreak/>
        <w:t>given chart in which there are negative growth rate in 2015 and 2017.</w:t>
      </w:r>
    </w:p>
    <w:p w:rsidR="00C44478" w:rsidRPr="00AF3299" w:rsidRDefault="00C44478" w:rsidP="00AF3299">
      <w:pPr>
        <w:pStyle w:val="Heading4"/>
        <w:rPr>
          <w:rFonts w:ascii="Times New Roman" w:hAnsi="Times New Roman"/>
        </w:rPr>
      </w:pPr>
      <w:r w:rsidRPr="00AF3299">
        <w:rPr>
          <w:rFonts w:ascii="Times New Roman" w:hAnsi="Times New Roman"/>
        </w:rPr>
        <w:t>Treasury Bond (2 years)</w:t>
      </w:r>
    </w:p>
    <w:tbl>
      <w:tblPr>
        <w:tblpPr w:leftFromText="180" w:rightFromText="180" w:vertAnchor="text" w:horzAnchor="margin" w:tblpXSpec="center" w:tblpY="10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1070"/>
        <w:gridCol w:w="1244"/>
        <w:gridCol w:w="1235"/>
        <w:gridCol w:w="1233"/>
        <w:gridCol w:w="1246"/>
      </w:tblGrid>
      <w:tr w:rsidR="0038242D" w:rsidRPr="00AF3299" w:rsidTr="005F283B">
        <w:tc>
          <w:tcPr>
            <w:tcW w:w="173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57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7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6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6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7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5F283B">
        <w:tc>
          <w:tcPr>
            <w:tcW w:w="1739"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7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73"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655%</w:t>
            </w:r>
          </w:p>
        </w:tc>
        <w:tc>
          <w:tcPr>
            <w:tcW w:w="66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-96%</w:t>
            </w:r>
          </w:p>
        </w:tc>
        <w:tc>
          <w:tcPr>
            <w:tcW w:w="66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-79%</w:t>
            </w:r>
          </w:p>
        </w:tc>
        <w:tc>
          <w:tcPr>
            <w:tcW w:w="67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12562%</w:t>
            </w:r>
          </w:p>
        </w:tc>
      </w:tr>
      <w:tr w:rsidR="0038242D" w:rsidRPr="00AF3299" w:rsidTr="005F283B">
        <w:tc>
          <w:tcPr>
            <w:tcW w:w="173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57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1.07%</w:t>
            </w:r>
          </w:p>
        </w:tc>
        <w:tc>
          <w:tcPr>
            <w:tcW w:w="673"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7.21%</w:t>
            </w:r>
          </w:p>
        </w:tc>
        <w:tc>
          <w:tcPr>
            <w:tcW w:w="66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0.37%</w:t>
            </w:r>
          </w:p>
        </w:tc>
        <w:tc>
          <w:tcPr>
            <w:tcW w:w="66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0.07%</w:t>
            </w:r>
          </w:p>
        </w:tc>
        <w:tc>
          <w:tcPr>
            <w:tcW w:w="67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7.98%</w:t>
            </w:r>
          </w:p>
        </w:tc>
      </w:tr>
      <w:tr w:rsidR="0038242D" w:rsidRPr="00AF3299" w:rsidTr="005F283B">
        <w:tc>
          <w:tcPr>
            <w:tcW w:w="1739"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57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1.18%</w:t>
            </w:r>
          </w:p>
        </w:tc>
        <w:tc>
          <w:tcPr>
            <w:tcW w:w="673"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8.38%</w:t>
            </w:r>
          </w:p>
        </w:tc>
        <w:tc>
          <w:tcPr>
            <w:tcW w:w="66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0.49%</w:t>
            </w:r>
          </w:p>
        </w:tc>
        <w:tc>
          <w:tcPr>
            <w:tcW w:w="66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0.09%</w:t>
            </w:r>
          </w:p>
        </w:tc>
        <w:tc>
          <w:tcPr>
            <w:tcW w:w="67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10.38%</w:t>
            </w:r>
          </w:p>
        </w:tc>
      </w:tr>
      <w:tr w:rsidR="0038242D" w:rsidRPr="00AF3299" w:rsidTr="005F283B">
        <w:tc>
          <w:tcPr>
            <w:tcW w:w="173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Treasury Bond</w:t>
            </w:r>
          </w:p>
        </w:tc>
        <w:tc>
          <w:tcPr>
            <w:tcW w:w="57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1.74%</w:t>
            </w:r>
          </w:p>
        </w:tc>
        <w:tc>
          <w:tcPr>
            <w:tcW w:w="673"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9.74%</w:t>
            </w:r>
          </w:p>
        </w:tc>
        <w:tc>
          <w:tcPr>
            <w:tcW w:w="668"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0.57%</w:t>
            </w:r>
          </w:p>
        </w:tc>
        <w:tc>
          <w:tcPr>
            <w:tcW w:w="667"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0.09%</w:t>
            </w:r>
          </w:p>
        </w:tc>
        <w:tc>
          <w:tcPr>
            <w:tcW w:w="674"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13.10%</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percentage rate of investment of BBL in 2 years Treasury bond is calculated by dividing the total amount of investment in 2 years Treasury bond with the total number of investment in financial assets. </w:t>
      </w:r>
    </w:p>
    <w:p w:rsidR="00C44478" w:rsidRPr="00AF3299" w:rsidRDefault="005F283B" w:rsidP="00AF3299">
      <w:pPr>
        <w:rPr>
          <w:rFonts w:ascii="Times New Roman" w:hAnsi="Times New Roman"/>
        </w:rPr>
      </w:pPr>
      <w:r w:rsidRPr="00AF3299">
        <w:rPr>
          <w:rFonts w:ascii="Times New Roman" w:hAnsi="Times New Roman"/>
          <w:noProof/>
        </w:rPr>
        <w:drawing>
          <wp:anchor distT="6096" distB="5842" distL="120396" distR="117729" simplePos="0" relativeHeight="251685888" behindDoc="0" locked="0" layoutInCell="1" allowOverlap="1">
            <wp:simplePos x="0" y="0"/>
            <wp:positionH relativeFrom="margin">
              <wp:align>right</wp:align>
            </wp:positionH>
            <wp:positionV relativeFrom="paragraph">
              <wp:posOffset>1283970</wp:posOffset>
            </wp:positionV>
            <wp:extent cx="5734050" cy="2444750"/>
            <wp:effectExtent l="0" t="0" r="0" b="12700"/>
            <wp:wrapTopAndBottom/>
            <wp:docPr id="44"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rsidR="00C44478" w:rsidRPr="00AF3299" w:rsidRDefault="00F427B1" w:rsidP="00AF3299">
      <w:pPr>
        <w:rPr>
          <w:rFonts w:ascii="Times New Roman" w:hAnsi="Times New Roman"/>
        </w:rPr>
      </w:pPr>
      <w:r w:rsidRPr="00AF3299">
        <w:rPr>
          <w:rFonts w:ascii="Times New Roman" w:hAnsi="Times New Roman"/>
          <w:noProof/>
        </w:rPr>
        <w:drawing>
          <wp:anchor distT="6096" distB="5207" distL="120396" distR="118491" simplePos="0" relativeHeight="251684864" behindDoc="0" locked="0" layoutInCell="1" allowOverlap="1">
            <wp:simplePos x="0" y="0"/>
            <wp:positionH relativeFrom="margin">
              <wp:align>right</wp:align>
            </wp:positionH>
            <wp:positionV relativeFrom="paragraph">
              <wp:posOffset>2529205</wp:posOffset>
            </wp:positionV>
            <wp:extent cx="5734050" cy="2414905"/>
            <wp:effectExtent l="0" t="0" r="0" b="4445"/>
            <wp:wrapTopAndBottom/>
            <wp:docPr id="43"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rates of investment of BBL from 2012 to 2016 are 1.07%, 7.21%, 0.37%, 0.07%, 7.98%. Here the highest number of percentage of investment are being showed in 2017. The growth rate of investment year to year are negative in 2015 and 2016 but positive from 2013 to 2015.The highest growth rate has happened in 2017.The overall growth rates of investment are being showed in the given chart clearly.</w:t>
      </w:r>
    </w:p>
    <w:p w:rsidR="00C44478" w:rsidRPr="00AF3299" w:rsidRDefault="00C44478" w:rsidP="00AF3299">
      <w:pPr>
        <w:pStyle w:val="Heading4"/>
        <w:rPr>
          <w:rFonts w:ascii="Times New Roman" w:hAnsi="Times New Roman"/>
        </w:rPr>
      </w:pPr>
      <w:r w:rsidRPr="00AF3299">
        <w:rPr>
          <w:rFonts w:ascii="Times New Roman" w:hAnsi="Times New Roman"/>
        </w:rPr>
        <w:lastRenderedPageBreak/>
        <w:t>Treasury Bond (5 years)</w:t>
      </w:r>
    </w:p>
    <w:p w:rsidR="00C44478" w:rsidRPr="00AF3299" w:rsidRDefault="00C44478" w:rsidP="00AF3299">
      <w:pPr>
        <w:rPr>
          <w:rFonts w:ascii="Times New Roman" w:hAnsi="Times New Roman"/>
        </w:rPr>
      </w:pPr>
      <w:r w:rsidRPr="00AF3299">
        <w:rPr>
          <w:rFonts w:ascii="Times New Roman" w:hAnsi="Times New Roman"/>
        </w:rPr>
        <w:t>Here, the percentage rate of investment of BBL in 5 years Treasury bond is calculated by dividing the total amount of investment in 5 years Treasury bond with the total number of investment in financial assets.</w:t>
      </w:r>
      <w:r w:rsidRPr="00AF3299">
        <w:rPr>
          <w:rFonts w:ascii="Times New Roman" w:hAnsi="Times New Roman"/>
        </w:rPr>
        <w:tab/>
      </w:r>
    </w:p>
    <w:tbl>
      <w:tblPr>
        <w:tblpPr w:leftFromText="180" w:rightFromText="180" w:vertAnchor="text" w:horzAnchor="margin" w:tblpXSpec="center" w:tblpY="9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1219"/>
        <w:gridCol w:w="1219"/>
        <w:gridCol w:w="1218"/>
        <w:gridCol w:w="1218"/>
        <w:gridCol w:w="1218"/>
      </w:tblGrid>
      <w:tr w:rsidR="0038242D" w:rsidRPr="00AF3299" w:rsidTr="005F283B">
        <w:tc>
          <w:tcPr>
            <w:tcW w:w="170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5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5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5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5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5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5F283B">
        <w:tc>
          <w:tcPr>
            <w:tcW w:w="1703"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103%</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-65%</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169%</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-17%</w:t>
            </w:r>
          </w:p>
        </w:tc>
      </w:tr>
      <w:tr w:rsidR="0038242D" w:rsidRPr="00AF3299" w:rsidTr="005F283B">
        <w:tc>
          <w:tcPr>
            <w:tcW w:w="170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5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9.03%</w:t>
            </w:r>
          </w:p>
        </w:tc>
        <w:tc>
          <w:tcPr>
            <w:tcW w:w="65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16.34%</w:t>
            </w:r>
          </w:p>
        </w:tc>
        <w:tc>
          <w:tcPr>
            <w:tcW w:w="65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6.96%</w:t>
            </w:r>
          </w:p>
        </w:tc>
        <w:tc>
          <w:tcPr>
            <w:tcW w:w="65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16.49%</w:t>
            </w:r>
          </w:p>
        </w:tc>
        <w:tc>
          <w:tcPr>
            <w:tcW w:w="65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12.30%</w:t>
            </w:r>
          </w:p>
        </w:tc>
      </w:tr>
      <w:tr w:rsidR="0038242D" w:rsidRPr="00AF3299" w:rsidTr="005F283B">
        <w:tc>
          <w:tcPr>
            <w:tcW w:w="1703"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9.93%</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18.99%</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9.19%</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21.75%</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16%</w:t>
            </w:r>
          </w:p>
        </w:tc>
      </w:tr>
      <w:tr w:rsidR="0038242D" w:rsidRPr="00AF3299" w:rsidTr="005F283B">
        <w:tc>
          <w:tcPr>
            <w:tcW w:w="170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Treasury Bond</w:t>
            </w:r>
          </w:p>
        </w:tc>
        <w:tc>
          <w:tcPr>
            <w:tcW w:w="65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14.65%</w:t>
            </w:r>
          </w:p>
        </w:tc>
        <w:tc>
          <w:tcPr>
            <w:tcW w:w="65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22.08%</w:t>
            </w:r>
          </w:p>
        </w:tc>
        <w:tc>
          <w:tcPr>
            <w:tcW w:w="65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10.75%</w:t>
            </w:r>
          </w:p>
        </w:tc>
        <w:tc>
          <w:tcPr>
            <w:tcW w:w="65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22.21%</w:t>
            </w:r>
          </w:p>
        </w:tc>
        <w:tc>
          <w:tcPr>
            <w:tcW w:w="65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20.20%</w:t>
            </w:r>
          </w:p>
        </w:tc>
      </w:tr>
    </w:tbl>
    <w:p w:rsidR="00C44478" w:rsidRPr="00AF3299" w:rsidRDefault="005F283B" w:rsidP="00AF3299">
      <w:pPr>
        <w:tabs>
          <w:tab w:val="left" w:pos="1291"/>
        </w:tabs>
        <w:rPr>
          <w:rFonts w:ascii="Times New Roman" w:hAnsi="Times New Roman"/>
        </w:rPr>
      </w:pPr>
      <w:r w:rsidRPr="00AF3299">
        <w:rPr>
          <w:rFonts w:ascii="Times New Roman" w:hAnsi="Times New Roman"/>
          <w:noProof/>
        </w:rPr>
        <w:drawing>
          <wp:anchor distT="6096" distB="6096" distL="120396" distR="120396" simplePos="0" relativeHeight="251686912" behindDoc="0" locked="0" layoutInCell="1" allowOverlap="1">
            <wp:simplePos x="0" y="0"/>
            <wp:positionH relativeFrom="margin">
              <wp:align>right</wp:align>
            </wp:positionH>
            <wp:positionV relativeFrom="paragraph">
              <wp:posOffset>1610360</wp:posOffset>
            </wp:positionV>
            <wp:extent cx="5734050" cy="2524125"/>
            <wp:effectExtent l="0" t="0" r="0" b="9525"/>
            <wp:wrapTopAndBottom/>
            <wp:docPr id="42"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p w:rsidR="00C44478" w:rsidRPr="00AF3299" w:rsidRDefault="005F283B" w:rsidP="00AF3299">
      <w:pPr>
        <w:rPr>
          <w:rFonts w:ascii="Times New Roman" w:hAnsi="Times New Roman"/>
        </w:rPr>
      </w:pPr>
      <w:r w:rsidRPr="00AF3299">
        <w:rPr>
          <w:rFonts w:ascii="Times New Roman" w:hAnsi="Times New Roman"/>
          <w:noProof/>
        </w:rPr>
        <w:drawing>
          <wp:anchor distT="6096" distB="6096" distL="120396" distR="120396" simplePos="0" relativeHeight="251687936" behindDoc="0" locked="0" layoutInCell="1" allowOverlap="1">
            <wp:simplePos x="0" y="0"/>
            <wp:positionH relativeFrom="margin">
              <wp:align>right</wp:align>
            </wp:positionH>
            <wp:positionV relativeFrom="paragraph">
              <wp:posOffset>2709545</wp:posOffset>
            </wp:positionV>
            <wp:extent cx="5724525" cy="2552700"/>
            <wp:effectExtent l="0" t="0" r="9525" b="0"/>
            <wp:wrapTopAndBottom/>
            <wp:docPr id="41" name="Chart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rates of investment of BBL in 5 years Treasury bond are 9.03%, 16.34%, 6.96%, 16.49%, and 12.30%. The growth rate of investment are being showed 103% in 2014. There are some negative growth rate of investment in 2015 and 2017. The growth rates are being showed in the chart clearly.</w:t>
      </w:r>
    </w:p>
    <w:p w:rsidR="00C44478" w:rsidRPr="00AF3299" w:rsidRDefault="00C44478" w:rsidP="00AF3299">
      <w:pPr>
        <w:pStyle w:val="Heading4"/>
        <w:rPr>
          <w:rFonts w:ascii="Times New Roman" w:hAnsi="Times New Roman"/>
        </w:rPr>
      </w:pPr>
      <w:r w:rsidRPr="00AF3299">
        <w:rPr>
          <w:rFonts w:ascii="Times New Roman" w:hAnsi="Times New Roman"/>
        </w:rPr>
        <w:t>Treasury Bond (10 years)</w:t>
      </w:r>
    </w:p>
    <w:tbl>
      <w:tblPr>
        <w:tblpPr w:leftFromText="180" w:rightFromText="180" w:vertAnchor="text" w:horzAnchor="margin" w:tblpXSpec="center" w:tblpY="12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1179"/>
        <w:gridCol w:w="1216"/>
        <w:gridCol w:w="1207"/>
        <w:gridCol w:w="1207"/>
        <w:gridCol w:w="1218"/>
      </w:tblGrid>
      <w:tr w:rsidR="0038242D" w:rsidRPr="00AF3299" w:rsidTr="005F283B">
        <w:tc>
          <w:tcPr>
            <w:tcW w:w="173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3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5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5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5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5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5F283B">
        <w:tc>
          <w:tcPr>
            <w:tcW w:w="1739"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3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14%</w:t>
            </w:r>
          </w:p>
        </w:tc>
        <w:tc>
          <w:tcPr>
            <w:tcW w:w="653"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-20%</w:t>
            </w:r>
          </w:p>
        </w:tc>
        <w:tc>
          <w:tcPr>
            <w:tcW w:w="653"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9%</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-58%</w:t>
            </w:r>
          </w:p>
        </w:tc>
      </w:tr>
      <w:tr w:rsidR="0038242D" w:rsidRPr="00AF3299" w:rsidTr="005F283B">
        <w:tc>
          <w:tcPr>
            <w:tcW w:w="173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3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26.58%</w:t>
            </w:r>
          </w:p>
        </w:tc>
        <w:tc>
          <w:tcPr>
            <w:tcW w:w="65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26.92%</w:t>
            </w:r>
          </w:p>
        </w:tc>
        <w:tc>
          <w:tcPr>
            <w:tcW w:w="653"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26.08%</w:t>
            </w:r>
          </w:p>
        </w:tc>
        <w:tc>
          <w:tcPr>
            <w:tcW w:w="653"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24.99%</w:t>
            </w:r>
          </w:p>
        </w:tc>
        <w:tc>
          <w:tcPr>
            <w:tcW w:w="65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9.53%</w:t>
            </w:r>
          </w:p>
        </w:tc>
      </w:tr>
      <w:tr w:rsidR="0038242D" w:rsidRPr="00AF3299" w:rsidTr="005F283B">
        <w:tc>
          <w:tcPr>
            <w:tcW w:w="1739"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63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29.23%</w:t>
            </w:r>
          </w:p>
        </w:tc>
        <w:tc>
          <w:tcPr>
            <w:tcW w:w="65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31.29%</w:t>
            </w:r>
          </w:p>
        </w:tc>
        <w:tc>
          <w:tcPr>
            <w:tcW w:w="653"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34.44%</w:t>
            </w:r>
          </w:p>
        </w:tc>
        <w:tc>
          <w:tcPr>
            <w:tcW w:w="653"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32.97%</w:t>
            </w:r>
          </w:p>
        </w:tc>
        <w:tc>
          <w:tcPr>
            <w:tcW w:w="65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12.39%</w:t>
            </w:r>
          </w:p>
        </w:tc>
      </w:tr>
      <w:tr w:rsidR="0038242D" w:rsidRPr="00AF3299" w:rsidTr="005F283B">
        <w:tc>
          <w:tcPr>
            <w:tcW w:w="173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Treasury Bond</w:t>
            </w:r>
          </w:p>
        </w:tc>
        <w:tc>
          <w:tcPr>
            <w:tcW w:w="637"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43.12%</w:t>
            </w:r>
          </w:p>
        </w:tc>
        <w:tc>
          <w:tcPr>
            <w:tcW w:w="658"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36.38%</w:t>
            </w:r>
          </w:p>
        </w:tc>
        <w:tc>
          <w:tcPr>
            <w:tcW w:w="653"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40.30%</w:t>
            </w:r>
          </w:p>
        </w:tc>
        <w:tc>
          <w:tcPr>
            <w:tcW w:w="653"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33.66%</w:t>
            </w:r>
          </w:p>
        </w:tc>
        <w:tc>
          <w:tcPr>
            <w:tcW w:w="659"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15.64%</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percentage rate of investment of BBL in 10 years Treasury bond is calculated by dividing the total amount of investment in 10 years Treasury bond with the total number of </w:t>
      </w:r>
      <w:r w:rsidRPr="00AF3299">
        <w:rPr>
          <w:rFonts w:ascii="Times New Roman" w:hAnsi="Times New Roman"/>
          <w:sz w:val="24"/>
        </w:rPr>
        <w:lastRenderedPageBreak/>
        <w:t>investment in financial assets.</w:t>
      </w:r>
    </w:p>
    <w:p w:rsidR="00C44478" w:rsidRPr="00AF3299" w:rsidRDefault="003A2F2D" w:rsidP="00AF3299">
      <w:pPr>
        <w:rPr>
          <w:rFonts w:ascii="Times New Roman" w:hAnsi="Times New Roman"/>
        </w:rPr>
      </w:pPr>
      <w:r w:rsidRPr="00AF3299">
        <w:rPr>
          <w:rFonts w:ascii="Times New Roman" w:hAnsi="Times New Roman"/>
          <w:noProof/>
        </w:rPr>
        <w:drawing>
          <wp:anchor distT="6096" distB="6096" distL="120396" distR="120396" simplePos="0" relativeHeight="251688960" behindDoc="0" locked="0" layoutInCell="1" allowOverlap="1">
            <wp:simplePos x="0" y="0"/>
            <wp:positionH relativeFrom="margin">
              <wp:align>right</wp:align>
            </wp:positionH>
            <wp:positionV relativeFrom="paragraph">
              <wp:posOffset>1360170</wp:posOffset>
            </wp:positionV>
            <wp:extent cx="5743575" cy="2571750"/>
            <wp:effectExtent l="0" t="0" r="9525" b="0"/>
            <wp:wrapTopAndBottom/>
            <wp:docPr id="40" name="Chart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p>
    <w:p w:rsidR="00C44478" w:rsidRPr="00AF3299" w:rsidRDefault="003A2F2D" w:rsidP="00AF3299">
      <w:pPr>
        <w:rPr>
          <w:rFonts w:ascii="Times New Roman" w:hAnsi="Times New Roman"/>
        </w:rPr>
      </w:pPr>
      <w:r w:rsidRPr="00AF3299">
        <w:rPr>
          <w:rFonts w:ascii="Times New Roman" w:hAnsi="Times New Roman"/>
          <w:noProof/>
        </w:rPr>
        <w:drawing>
          <wp:anchor distT="6096" distB="6096" distL="120396" distR="120396" simplePos="0" relativeHeight="251689984" behindDoc="0" locked="0" layoutInCell="1" allowOverlap="1">
            <wp:simplePos x="0" y="0"/>
            <wp:positionH relativeFrom="margin">
              <wp:align>right</wp:align>
            </wp:positionH>
            <wp:positionV relativeFrom="paragraph">
              <wp:posOffset>2690495</wp:posOffset>
            </wp:positionV>
            <wp:extent cx="5724525" cy="2505075"/>
            <wp:effectExtent l="0" t="0" r="9525" b="9525"/>
            <wp:wrapTopAndBottom/>
            <wp:docPr id="39" name="Chart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p>
    <w:p w:rsidR="003A2F2D" w:rsidRDefault="003A2F2D" w:rsidP="00AF3299">
      <w:pPr>
        <w:jc w:val="both"/>
        <w:rPr>
          <w:rFonts w:ascii="Times New Roman" w:hAnsi="Times New Roman"/>
          <w:sz w:val="24"/>
          <w:szCs w:val="24"/>
        </w:rPr>
      </w:pPr>
    </w:p>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Here, the percentage rate of investment of BBL in 10 years treasury bonds are 26.58%, 26.92%, 26.08%, 24.99%, and 9.53% from year 2013 to 2017. The highest investment rate is being showed in 2014. The growth rate of investment is being showed negative on 2015 and 2017. Other years’ investments are being showed positive and the highest growth rate is being showed on 2014. The growth rates of overall years are being showed on the given chart clearly.</w:t>
      </w:r>
    </w:p>
    <w:p w:rsidR="00C44478" w:rsidRPr="00AF3299" w:rsidRDefault="00C44478" w:rsidP="00AF3299">
      <w:pPr>
        <w:pStyle w:val="Heading4"/>
        <w:rPr>
          <w:rFonts w:ascii="Times New Roman" w:hAnsi="Times New Roman"/>
        </w:rPr>
      </w:pPr>
      <w:r w:rsidRPr="00AF3299">
        <w:rPr>
          <w:rFonts w:ascii="Times New Roman" w:hAnsi="Times New Roman"/>
        </w:rPr>
        <w:t>Treasury Bond (15 years)</w:t>
      </w:r>
    </w:p>
    <w:tbl>
      <w:tblPr>
        <w:tblpPr w:leftFromText="180" w:rightFromText="180" w:vertAnchor="text" w:horzAnchor="margin" w:tblpXSpec="center" w:tblpY="10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2"/>
        <w:gridCol w:w="1203"/>
        <w:gridCol w:w="1242"/>
        <w:gridCol w:w="1233"/>
        <w:gridCol w:w="1231"/>
        <w:gridCol w:w="1242"/>
      </w:tblGrid>
      <w:tr w:rsidR="0038242D" w:rsidRPr="00AF3299" w:rsidTr="003A2F2D">
        <w:tc>
          <w:tcPr>
            <w:tcW w:w="167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5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7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6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6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7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3A2F2D">
        <w:tc>
          <w:tcPr>
            <w:tcW w:w="1672"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5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7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14%</w:t>
            </w:r>
          </w:p>
        </w:tc>
        <w:tc>
          <w:tcPr>
            <w:tcW w:w="66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12%</w:t>
            </w:r>
          </w:p>
        </w:tc>
        <w:tc>
          <w:tcPr>
            <w:tcW w:w="66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40%</w:t>
            </w:r>
          </w:p>
        </w:tc>
        <w:tc>
          <w:tcPr>
            <w:tcW w:w="67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w:t>
            </w:r>
          </w:p>
        </w:tc>
      </w:tr>
      <w:tr w:rsidR="0038242D" w:rsidRPr="00AF3299" w:rsidTr="003A2F2D">
        <w:tc>
          <w:tcPr>
            <w:tcW w:w="167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5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9.07%</w:t>
            </w:r>
          </w:p>
        </w:tc>
        <w:tc>
          <w:tcPr>
            <w:tcW w:w="672"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9.02%</w:t>
            </w:r>
          </w:p>
        </w:tc>
        <w:tc>
          <w:tcPr>
            <w:tcW w:w="66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15.29%</w:t>
            </w:r>
          </w:p>
        </w:tc>
        <w:tc>
          <w:tcPr>
            <w:tcW w:w="66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13.64%</w:t>
            </w:r>
          </w:p>
        </w:tc>
        <w:tc>
          <w:tcPr>
            <w:tcW w:w="672"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12.29%</w:t>
            </w:r>
          </w:p>
        </w:tc>
      </w:tr>
      <w:tr w:rsidR="0038242D" w:rsidRPr="00AF3299" w:rsidTr="003A2F2D">
        <w:tc>
          <w:tcPr>
            <w:tcW w:w="1672"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65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8.77%</w:t>
            </w:r>
          </w:p>
        </w:tc>
        <w:tc>
          <w:tcPr>
            <w:tcW w:w="67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9.39%</w:t>
            </w:r>
          </w:p>
        </w:tc>
        <w:tc>
          <w:tcPr>
            <w:tcW w:w="66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14.39%</w:t>
            </w:r>
          </w:p>
        </w:tc>
        <w:tc>
          <w:tcPr>
            <w:tcW w:w="66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17.74%</w:t>
            </w:r>
          </w:p>
        </w:tc>
        <w:tc>
          <w:tcPr>
            <w:tcW w:w="67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15.98%</w:t>
            </w:r>
          </w:p>
        </w:tc>
      </w:tr>
      <w:tr w:rsidR="0038242D" w:rsidRPr="00AF3299" w:rsidTr="003A2F2D">
        <w:tc>
          <w:tcPr>
            <w:tcW w:w="167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Treasury Bond</w:t>
            </w:r>
          </w:p>
        </w:tc>
        <w:tc>
          <w:tcPr>
            <w:tcW w:w="650"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12.94%</w:t>
            </w:r>
          </w:p>
        </w:tc>
        <w:tc>
          <w:tcPr>
            <w:tcW w:w="672"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10.92%</w:t>
            </w:r>
          </w:p>
        </w:tc>
        <w:tc>
          <w:tcPr>
            <w:tcW w:w="667"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16.84%</w:t>
            </w:r>
          </w:p>
        </w:tc>
        <w:tc>
          <w:tcPr>
            <w:tcW w:w="666"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18.11%</w:t>
            </w:r>
          </w:p>
        </w:tc>
        <w:tc>
          <w:tcPr>
            <w:tcW w:w="672"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20.17%</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Here, the percentage rate of investment of BBL in 15 years Treasury bond is calculated by dividing the total amount of investment in 15 years Treasury bond with the total number of </w:t>
      </w:r>
      <w:r w:rsidRPr="00AF3299">
        <w:rPr>
          <w:rFonts w:ascii="Times New Roman" w:hAnsi="Times New Roman"/>
          <w:sz w:val="24"/>
        </w:rPr>
        <w:lastRenderedPageBreak/>
        <w:t>investment in financial assets.</w:t>
      </w:r>
    </w:p>
    <w:p w:rsidR="00C44478" w:rsidRPr="00AF3299" w:rsidRDefault="00F427B1" w:rsidP="00AF3299">
      <w:pPr>
        <w:tabs>
          <w:tab w:val="left" w:pos="1266"/>
        </w:tabs>
        <w:rPr>
          <w:rFonts w:ascii="Times New Roman" w:hAnsi="Times New Roman"/>
        </w:rPr>
      </w:pPr>
      <w:r w:rsidRPr="00AF3299">
        <w:rPr>
          <w:rFonts w:ascii="Times New Roman" w:hAnsi="Times New Roman"/>
          <w:noProof/>
        </w:rPr>
        <w:drawing>
          <wp:anchor distT="6096" distB="6096" distL="120396" distR="120396" simplePos="0" relativeHeight="251691008" behindDoc="0" locked="0" layoutInCell="1" allowOverlap="1">
            <wp:simplePos x="0" y="0"/>
            <wp:positionH relativeFrom="margin">
              <wp:align>right</wp:align>
            </wp:positionH>
            <wp:positionV relativeFrom="paragraph">
              <wp:posOffset>1483995</wp:posOffset>
            </wp:positionV>
            <wp:extent cx="5734050" cy="2343150"/>
            <wp:effectExtent l="0" t="0" r="0" b="0"/>
            <wp:wrapTopAndBottom/>
            <wp:docPr id="38"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p w:rsidR="00C44478" w:rsidRPr="00AF3299" w:rsidRDefault="003A2F2D" w:rsidP="00AF3299">
      <w:pPr>
        <w:rPr>
          <w:rFonts w:ascii="Times New Roman" w:hAnsi="Times New Roman"/>
        </w:rPr>
      </w:pPr>
      <w:r w:rsidRPr="00AF3299">
        <w:rPr>
          <w:rFonts w:ascii="Times New Roman" w:hAnsi="Times New Roman"/>
          <w:noProof/>
        </w:rPr>
        <w:drawing>
          <wp:anchor distT="6096" distB="6096" distL="120396" distR="120396" simplePos="0" relativeHeight="251692032" behindDoc="0" locked="0" layoutInCell="1" allowOverlap="1">
            <wp:simplePos x="0" y="0"/>
            <wp:positionH relativeFrom="margin">
              <wp:align>right</wp:align>
            </wp:positionH>
            <wp:positionV relativeFrom="paragraph">
              <wp:posOffset>2549525</wp:posOffset>
            </wp:positionV>
            <wp:extent cx="5724525" cy="2571750"/>
            <wp:effectExtent l="0" t="0" r="9525" b="0"/>
            <wp:wrapTopAndBottom/>
            <wp:docPr id="37"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p>
    <w:p w:rsidR="003A2F2D" w:rsidRDefault="003A2F2D" w:rsidP="00AF3299">
      <w:pPr>
        <w:jc w:val="both"/>
        <w:rPr>
          <w:rFonts w:ascii="Times New Roman" w:hAnsi="Times New Roman"/>
          <w:sz w:val="24"/>
        </w:rPr>
      </w:pPr>
    </w:p>
    <w:p w:rsidR="00C44478" w:rsidRPr="00AF3299" w:rsidRDefault="00C44478" w:rsidP="00AF3299">
      <w:pPr>
        <w:jc w:val="both"/>
        <w:rPr>
          <w:rFonts w:ascii="Times New Roman" w:hAnsi="Times New Roman"/>
          <w:sz w:val="24"/>
          <w:szCs w:val="24"/>
        </w:rPr>
      </w:pPr>
      <w:r w:rsidRPr="00AF3299">
        <w:rPr>
          <w:rFonts w:ascii="Times New Roman" w:hAnsi="Times New Roman"/>
          <w:sz w:val="24"/>
        </w:rPr>
        <w:t xml:space="preserve">Here, the percentage rate of investment of BBL in 15 years treasury bonds are 9.07%, 9.02%, 15.29%, 13.64% and 12.29% from 2013 to 2017. The highest number of investment has happened in 2017.The highest positive number of percentage growth rate has happened on 2016.There </w:t>
      </w:r>
      <w:r w:rsidRPr="00AF3299">
        <w:rPr>
          <w:rFonts w:ascii="Times New Roman" w:hAnsi="Times New Roman"/>
          <w:sz w:val="24"/>
          <w:szCs w:val="24"/>
        </w:rPr>
        <w:t>is no negative growth rate.The growth rate of investment in 15 years treasury bonds are being showed in the given chart.</w:t>
      </w:r>
    </w:p>
    <w:p w:rsidR="00C44478" w:rsidRPr="00AF3299" w:rsidRDefault="00C44478" w:rsidP="00AF3299">
      <w:pPr>
        <w:pStyle w:val="Heading4"/>
        <w:rPr>
          <w:rFonts w:ascii="Times New Roman" w:hAnsi="Times New Roman"/>
        </w:rPr>
      </w:pPr>
      <w:r w:rsidRPr="00AF3299">
        <w:rPr>
          <w:rFonts w:ascii="Times New Roman" w:hAnsi="Times New Roman"/>
        </w:rPr>
        <w:t>Treasury Bond (20 years)</w:t>
      </w:r>
    </w:p>
    <w:tbl>
      <w:tblPr>
        <w:tblpPr w:leftFromText="180" w:rightFromText="180" w:vertAnchor="text" w:horzAnchor="margin" w:tblpXSpec="center" w:tblpY="109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1227"/>
        <w:gridCol w:w="1268"/>
        <w:gridCol w:w="1257"/>
        <w:gridCol w:w="1257"/>
        <w:gridCol w:w="1270"/>
      </w:tblGrid>
      <w:tr w:rsidR="0038242D" w:rsidRPr="00AF3299" w:rsidTr="003A2F2D">
        <w:tc>
          <w:tcPr>
            <w:tcW w:w="160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8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8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3A2F2D">
        <w:tc>
          <w:tcPr>
            <w:tcW w:w="1603"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2.02%</w:t>
            </w:r>
          </w:p>
        </w:tc>
        <w:tc>
          <w:tcPr>
            <w:tcW w:w="68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9.38%</w:t>
            </w:r>
          </w:p>
        </w:tc>
        <w:tc>
          <w:tcPr>
            <w:tcW w:w="68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-0.01%</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16.37%</w:t>
            </w:r>
          </w:p>
        </w:tc>
      </w:tr>
      <w:tr w:rsidR="0038242D" w:rsidRPr="00AF3299" w:rsidTr="003A2F2D">
        <w:tc>
          <w:tcPr>
            <w:tcW w:w="160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6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16.99%</w:t>
            </w:r>
          </w:p>
        </w:tc>
        <w:tc>
          <w:tcPr>
            <w:tcW w:w="6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15.44%</w:t>
            </w:r>
          </w:p>
        </w:tc>
        <w:tc>
          <w:tcPr>
            <w:tcW w:w="68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20.41%</w:t>
            </w:r>
          </w:p>
        </w:tc>
        <w:tc>
          <w:tcPr>
            <w:tcW w:w="68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17.95%</w:t>
            </w:r>
          </w:p>
        </w:tc>
        <w:tc>
          <w:tcPr>
            <w:tcW w:w="68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18.81%</w:t>
            </w:r>
          </w:p>
        </w:tc>
      </w:tr>
      <w:tr w:rsidR="0038242D" w:rsidRPr="00AF3299" w:rsidTr="003A2F2D">
        <w:tc>
          <w:tcPr>
            <w:tcW w:w="1603"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66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18.68%</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17.95%</w:t>
            </w:r>
          </w:p>
        </w:tc>
        <w:tc>
          <w:tcPr>
            <w:tcW w:w="68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26.95%</w:t>
            </w:r>
          </w:p>
        </w:tc>
        <w:tc>
          <w:tcPr>
            <w:tcW w:w="68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23.68%</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24.47%</w:t>
            </w:r>
          </w:p>
        </w:tc>
      </w:tr>
      <w:tr w:rsidR="0038242D" w:rsidRPr="00AF3299" w:rsidTr="003A2F2D">
        <w:tc>
          <w:tcPr>
            <w:tcW w:w="160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Treasury Bond</w:t>
            </w:r>
          </w:p>
        </w:tc>
        <w:tc>
          <w:tcPr>
            <w:tcW w:w="664"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27.56%</w:t>
            </w:r>
          </w:p>
        </w:tc>
        <w:tc>
          <w:tcPr>
            <w:tcW w:w="686"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20.87%</w:t>
            </w:r>
          </w:p>
        </w:tc>
        <w:tc>
          <w:tcPr>
            <w:tcW w:w="680"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31.53%</w:t>
            </w:r>
          </w:p>
        </w:tc>
        <w:tc>
          <w:tcPr>
            <w:tcW w:w="680"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24.18%</w:t>
            </w:r>
          </w:p>
        </w:tc>
        <w:tc>
          <w:tcPr>
            <w:tcW w:w="687" w:type="pct"/>
            <w:shd w:val="clear" w:color="auto" w:fill="DBE5F1"/>
            <w:vAlign w:val="center"/>
          </w:tcPr>
          <w:p w:rsidR="00C44478" w:rsidRPr="00AF3299" w:rsidRDefault="00C44478" w:rsidP="00AF3299">
            <w:pPr>
              <w:spacing w:after="0"/>
              <w:jc w:val="both"/>
              <w:rPr>
                <w:rFonts w:ascii="Times New Roman" w:eastAsia="Times New Roman" w:hAnsi="Times New Roman"/>
                <w:color w:val="000000"/>
              </w:rPr>
            </w:pPr>
            <w:r w:rsidRPr="00AF3299">
              <w:rPr>
                <w:rFonts w:ascii="Times New Roman" w:eastAsia="Times New Roman" w:hAnsi="Times New Roman"/>
                <w:color w:val="000000"/>
              </w:rPr>
              <w:t>30.89%</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of BBL in 20 years Treasury bond is calculated by dividing the total amount of investment in 20 years Treasury bond with the total number of investment in financial assets.</w:t>
      </w:r>
    </w:p>
    <w:p w:rsidR="00C44478" w:rsidRPr="00AF3299" w:rsidRDefault="003A2F2D" w:rsidP="00AF3299">
      <w:pPr>
        <w:rPr>
          <w:rFonts w:ascii="Times New Roman" w:hAnsi="Times New Roman"/>
        </w:rPr>
      </w:pPr>
      <w:r w:rsidRPr="00AF3299">
        <w:rPr>
          <w:rFonts w:ascii="Times New Roman" w:hAnsi="Times New Roman"/>
          <w:noProof/>
        </w:rPr>
        <w:lastRenderedPageBreak/>
        <w:drawing>
          <wp:anchor distT="6096" distB="6096" distL="120396" distR="120396" simplePos="0" relativeHeight="251693056" behindDoc="0" locked="0" layoutInCell="1" allowOverlap="1">
            <wp:simplePos x="0" y="0"/>
            <wp:positionH relativeFrom="margin">
              <wp:align>right</wp:align>
            </wp:positionH>
            <wp:positionV relativeFrom="paragraph">
              <wp:posOffset>1703070</wp:posOffset>
            </wp:positionV>
            <wp:extent cx="5724525" cy="2238375"/>
            <wp:effectExtent l="0" t="0" r="9525" b="9525"/>
            <wp:wrapTopAndBottom/>
            <wp:docPr id="36" name="Chart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p>
    <w:p w:rsidR="00C44478" w:rsidRPr="00AF3299" w:rsidRDefault="003A2F2D" w:rsidP="00AF3299">
      <w:pPr>
        <w:rPr>
          <w:rFonts w:ascii="Times New Roman" w:hAnsi="Times New Roman"/>
        </w:rPr>
      </w:pPr>
      <w:r w:rsidRPr="00AF3299">
        <w:rPr>
          <w:rFonts w:ascii="Times New Roman" w:hAnsi="Times New Roman"/>
          <w:noProof/>
        </w:rPr>
        <w:drawing>
          <wp:anchor distT="6096" distB="6096" distL="120396" distR="120396" simplePos="0" relativeHeight="251694080" behindDoc="0" locked="0" layoutInCell="1" allowOverlap="1">
            <wp:simplePos x="0" y="0"/>
            <wp:positionH relativeFrom="margin">
              <wp:align>right</wp:align>
            </wp:positionH>
            <wp:positionV relativeFrom="paragraph">
              <wp:posOffset>2439035</wp:posOffset>
            </wp:positionV>
            <wp:extent cx="5734050" cy="2409825"/>
            <wp:effectExtent l="0" t="0" r="0" b="9525"/>
            <wp:wrapTopAndBottom/>
            <wp:docPr id="35" name="Chart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rsidR="003A2F2D" w:rsidRDefault="003A2F2D"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of BBL in 20 years treasury bonds are 16.99%, 15.44%, 20.41%, 17.95% and 18.81% from 2013 to 2017. The highest growth rate of investment in 20 years Treasury bill is in 2017. The growth rate of 2013 through 2016 is positive. In the given chart total growth rates are summarized year to year.</w:t>
      </w:r>
    </w:p>
    <w:p w:rsidR="00C44478" w:rsidRPr="00AF3299" w:rsidRDefault="00C44478" w:rsidP="00AF3299">
      <w:pPr>
        <w:pStyle w:val="Heading3"/>
      </w:pPr>
      <w:bookmarkStart w:id="52" w:name="_Toc523576010"/>
      <w:r w:rsidRPr="00AF3299">
        <w:t>Prize bond</w:t>
      </w:r>
      <w:bookmarkEnd w:id="52"/>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Prize Bond is a public savings scheme which was introduced by the government of Bangladesh in 1974. It is a non-interest bearing bond. But there is a system of regular prize draw with a certain period of intervals and on the basis of the results the prizes are given as per the rules set for bonds concerned. All the activities of prize bond are conducted by Bangladesh Bank.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prize bond is calculated by dividing the total amount of investment in prize bond with the total number of investment in financial asset.</w:t>
      </w:r>
    </w:p>
    <w:tbl>
      <w:tblPr>
        <w:tblpPr w:leftFromText="180" w:rightFromText="180" w:vertAnchor="text" w:horzAnchor="margin" w:tblpXSpec="center" w:tblpY="1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1096"/>
        <w:gridCol w:w="1269"/>
        <w:gridCol w:w="1260"/>
        <w:gridCol w:w="1258"/>
        <w:gridCol w:w="1272"/>
      </w:tblGrid>
      <w:tr w:rsidR="0038242D" w:rsidRPr="00AF3299" w:rsidTr="003A2F2D">
        <w:tc>
          <w:tcPr>
            <w:tcW w:w="167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59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8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8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3A2F2D">
        <w:tc>
          <w:tcPr>
            <w:tcW w:w="1671"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Prize Bond</w:t>
            </w:r>
          </w:p>
        </w:tc>
        <w:tc>
          <w:tcPr>
            <w:tcW w:w="59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1,462,300</w:t>
            </w:r>
          </w:p>
        </w:tc>
        <w:tc>
          <w:tcPr>
            <w:tcW w:w="687"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3,053,500</w:t>
            </w:r>
          </w:p>
        </w:tc>
        <w:tc>
          <w:tcPr>
            <w:tcW w:w="682"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1,776,000</w:t>
            </w:r>
          </w:p>
        </w:tc>
        <w:tc>
          <w:tcPr>
            <w:tcW w:w="68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1,806,200</w:t>
            </w:r>
          </w:p>
        </w:tc>
        <w:tc>
          <w:tcPr>
            <w:tcW w:w="688"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1,945,200</w:t>
            </w:r>
          </w:p>
        </w:tc>
      </w:tr>
      <w:tr w:rsidR="0038242D" w:rsidRPr="00AF3299" w:rsidTr="003A2F2D">
        <w:tc>
          <w:tcPr>
            <w:tcW w:w="1671"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9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108.81%</w:t>
            </w:r>
          </w:p>
        </w:tc>
        <w:tc>
          <w:tcPr>
            <w:tcW w:w="68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-41.84%</w:t>
            </w:r>
          </w:p>
        </w:tc>
        <w:tc>
          <w:tcPr>
            <w:tcW w:w="68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1.70%</w:t>
            </w:r>
          </w:p>
        </w:tc>
        <w:tc>
          <w:tcPr>
            <w:tcW w:w="68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7.70%</w:t>
            </w:r>
          </w:p>
        </w:tc>
      </w:tr>
      <w:tr w:rsidR="0038242D" w:rsidRPr="00AF3299" w:rsidTr="003A2F2D">
        <w:tc>
          <w:tcPr>
            <w:tcW w:w="1671"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59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2"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r>
      <w:tr w:rsidR="0038242D" w:rsidRPr="00AF3299" w:rsidTr="003A2F2D">
        <w:tc>
          <w:tcPr>
            <w:tcW w:w="1671"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Government Securities</w:t>
            </w:r>
          </w:p>
        </w:tc>
        <w:tc>
          <w:tcPr>
            <w:tcW w:w="59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2"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c>
          <w:tcPr>
            <w:tcW w:w="68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0.01%</w:t>
            </w:r>
          </w:p>
        </w:tc>
      </w:tr>
    </w:tbl>
    <w:p w:rsidR="00C44478" w:rsidRPr="00AF3299" w:rsidRDefault="003A2F2D" w:rsidP="00AF3299">
      <w:pPr>
        <w:rPr>
          <w:rFonts w:ascii="Times New Roman" w:hAnsi="Times New Roman"/>
        </w:rPr>
      </w:pPr>
      <w:r w:rsidRPr="00AF3299">
        <w:rPr>
          <w:rFonts w:ascii="Times New Roman" w:hAnsi="Times New Roman"/>
          <w:noProof/>
        </w:rPr>
        <w:lastRenderedPageBreak/>
        <w:drawing>
          <wp:anchor distT="6096" distB="6350" distL="120396" distR="118364" simplePos="0" relativeHeight="251695104" behindDoc="0" locked="0" layoutInCell="1" allowOverlap="1">
            <wp:simplePos x="0" y="0"/>
            <wp:positionH relativeFrom="margin">
              <wp:align>right</wp:align>
            </wp:positionH>
            <wp:positionV relativeFrom="paragraph">
              <wp:posOffset>1640205</wp:posOffset>
            </wp:positionV>
            <wp:extent cx="5715000" cy="2114550"/>
            <wp:effectExtent l="0" t="0" r="0" b="0"/>
            <wp:wrapTopAndBottom/>
            <wp:docPr id="34" name="Chart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margin">
              <wp14:pctWidth>0</wp14:pctWidth>
            </wp14:sizeRelH>
            <wp14:sizeRelV relativeFrom="margin">
              <wp14:pctHeight>0</wp14:pctHeight>
            </wp14:sizeRelV>
          </wp:anchor>
        </w:drawing>
      </w:r>
    </w:p>
    <w:p w:rsidR="00C44478" w:rsidRPr="00AF3299" w:rsidRDefault="00074AAE" w:rsidP="00AF3299">
      <w:pPr>
        <w:rPr>
          <w:rFonts w:ascii="Times New Roman" w:hAnsi="Times New Roman"/>
        </w:rPr>
      </w:pPr>
      <w:r w:rsidRPr="00AF3299">
        <w:rPr>
          <w:rFonts w:ascii="Times New Roman" w:hAnsi="Times New Roman"/>
          <w:noProof/>
        </w:rPr>
        <w:drawing>
          <wp:anchor distT="6096" distB="3429" distL="120396" distR="120015" simplePos="0" relativeHeight="251696128" behindDoc="0" locked="0" layoutInCell="1" allowOverlap="1">
            <wp:simplePos x="0" y="0"/>
            <wp:positionH relativeFrom="margin">
              <wp:align>right</wp:align>
            </wp:positionH>
            <wp:positionV relativeFrom="paragraph">
              <wp:posOffset>2228850</wp:posOffset>
            </wp:positionV>
            <wp:extent cx="5734050" cy="2457450"/>
            <wp:effectExtent l="0" t="0" r="0" b="0"/>
            <wp:wrapTopAndBottom/>
            <wp:docPr id="33" name="Chart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in prize bond is .01% from 2013 through 2017. Here the annual growth rate is positive all the year except 2015. So it is indicating that the lowest number of investment in prize bond of BBL in 2015. The highest investment is done in 2014. It is also clearly showing in the given chart.</w:t>
      </w:r>
    </w:p>
    <w:p w:rsidR="00C44478" w:rsidRPr="00AF3299" w:rsidRDefault="00C44478" w:rsidP="00AF3299">
      <w:pPr>
        <w:pStyle w:val="Heading2"/>
        <w:spacing w:line="276" w:lineRule="auto"/>
      </w:pPr>
      <w:bookmarkStart w:id="53" w:name="_Toc523576011"/>
      <w:r w:rsidRPr="00AF3299">
        <w:t>Other Investment</w:t>
      </w:r>
      <w:bookmarkEnd w:id="53"/>
    </w:p>
    <w:p w:rsidR="00C44478" w:rsidRPr="00AF3299" w:rsidRDefault="00C44478" w:rsidP="00AF3299">
      <w:pPr>
        <w:jc w:val="both"/>
        <w:rPr>
          <w:rFonts w:ascii="Times New Roman" w:hAnsi="Times New Roman"/>
          <w:sz w:val="24"/>
        </w:rPr>
      </w:pPr>
      <w:r w:rsidRPr="00AF3299">
        <w:rPr>
          <w:rFonts w:ascii="Times New Roman" w:hAnsi="Times New Roman"/>
          <w:sz w:val="24"/>
        </w:rPr>
        <w:t>The investment in other sectors includes almost 7 sectors. They are</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Ordinary Shares</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Preference Shares</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Commercial Paper</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Bond</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Investment in secondary market</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Private placement and IPO</w:t>
      </w:r>
    </w:p>
    <w:p w:rsidR="00C44478" w:rsidRPr="00AF3299" w:rsidRDefault="00C44478" w:rsidP="00AF3299">
      <w:pPr>
        <w:pStyle w:val="ListParagraph"/>
        <w:numPr>
          <w:ilvl w:val="0"/>
          <w:numId w:val="14"/>
        </w:numPr>
        <w:spacing w:after="160"/>
        <w:jc w:val="both"/>
        <w:rPr>
          <w:rFonts w:ascii="Times New Roman" w:hAnsi="Times New Roman"/>
          <w:sz w:val="24"/>
        </w:rPr>
      </w:pPr>
      <w:r w:rsidRPr="00AF3299">
        <w:rPr>
          <w:rFonts w:ascii="Times New Roman" w:hAnsi="Times New Roman"/>
          <w:sz w:val="24"/>
        </w:rPr>
        <w:t>Capital Market Investment</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CBL in others is calculated by dividing the total amount of investment in other with the total number of investment in the financial assets.</w:t>
      </w:r>
    </w:p>
    <w:tbl>
      <w:tblPr>
        <w:tblpPr w:leftFromText="180" w:rightFromText="180" w:vertAnchor="text" w:horzAnchor="margin" w:tblpXSpec="center" w:tblpY="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518"/>
        <w:gridCol w:w="1518"/>
        <w:gridCol w:w="1518"/>
        <w:gridCol w:w="1518"/>
        <w:gridCol w:w="1518"/>
      </w:tblGrid>
      <w:tr w:rsidR="0038242D" w:rsidRPr="00AF3299" w:rsidTr="00515D1D">
        <w:tc>
          <w:tcPr>
            <w:tcW w:w="89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515D1D">
        <w:tc>
          <w:tcPr>
            <w:tcW w:w="894"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Other Investment</w:t>
            </w:r>
          </w:p>
        </w:tc>
        <w:tc>
          <w:tcPr>
            <w:tcW w:w="82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1,933,501,044</w:t>
            </w:r>
          </w:p>
        </w:tc>
        <w:tc>
          <w:tcPr>
            <w:tcW w:w="82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3,339,291,388</w:t>
            </w:r>
          </w:p>
        </w:tc>
        <w:tc>
          <w:tcPr>
            <w:tcW w:w="82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4,799,796,076</w:t>
            </w:r>
          </w:p>
        </w:tc>
        <w:tc>
          <w:tcPr>
            <w:tcW w:w="82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5,442,555,467</w:t>
            </w:r>
          </w:p>
        </w:tc>
        <w:tc>
          <w:tcPr>
            <w:tcW w:w="82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5,773,231,812</w:t>
            </w:r>
          </w:p>
        </w:tc>
      </w:tr>
      <w:tr w:rsidR="0038242D" w:rsidRPr="00AF3299" w:rsidTr="00515D1D">
        <w:tc>
          <w:tcPr>
            <w:tcW w:w="894"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72.71%</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43.74%</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13.39%</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6.08%</w:t>
            </w:r>
          </w:p>
        </w:tc>
      </w:tr>
      <w:tr w:rsidR="0038242D" w:rsidRPr="00AF3299" w:rsidTr="00515D1D">
        <w:tc>
          <w:tcPr>
            <w:tcW w:w="894"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w:t>
            </w:r>
            <w:r w:rsidRPr="00AF3299">
              <w:rPr>
                <w:rFonts w:ascii="Times New Roman" w:hAnsi="Times New Roman"/>
                <w:b/>
                <w:bCs/>
              </w:rPr>
              <w:lastRenderedPageBreak/>
              <w:t xml:space="preserve">Total Investment </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lastRenderedPageBreak/>
              <w:t>9.08%</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13.97%</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24.27%</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24.20%</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23.12%</w:t>
            </w:r>
          </w:p>
        </w:tc>
      </w:tr>
    </w:tbl>
    <w:p w:rsidR="00C44478" w:rsidRPr="00AF3299" w:rsidRDefault="00515D1D" w:rsidP="00AF3299">
      <w:pPr>
        <w:rPr>
          <w:rFonts w:ascii="Times New Roman" w:hAnsi="Times New Roman"/>
        </w:rPr>
      </w:pPr>
      <w:r w:rsidRPr="00AF3299">
        <w:rPr>
          <w:rFonts w:ascii="Times New Roman" w:hAnsi="Times New Roman"/>
          <w:noProof/>
        </w:rPr>
        <w:lastRenderedPageBreak/>
        <w:drawing>
          <wp:anchor distT="6096" distB="4191" distL="120396" distR="119253" simplePos="0" relativeHeight="251698176" behindDoc="0" locked="0" layoutInCell="1" allowOverlap="1">
            <wp:simplePos x="0" y="0"/>
            <wp:positionH relativeFrom="margin">
              <wp:align>right</wp:align>
            </wp:positionH>
            <wp:positionV relativeFrom="paragraph">
              <wp:posOffset>1753870</wp:posOffset>
            </wp:positionV>
            <wp:extent cx="5724525" cy="2114550"/>
            <wp:effectExtent l="0" t="0" r="9525" b="0"/>
            <wp:wrapTopAndBottom/>
            <wp:docPr id="32"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p>
    <w:p w:rsidR="00C44478" w:rsidRPr="00AF3299" w:rsidRDefault="00515D1D" w:rsidP="00AF3299">
      <w:pPr>
        <w:rPr>
          <w:rFonts w:ascii="Times New Roman" w:hAnsi="Times New Roman"/>
        </w:rPr>
      </w:pPr>
      <w:r w:rsidRPr="00AF3299">
        <w:rPr>
          <w:rFonts w:ascii="Times New Roman" w:hAnsi="Times New Roman"/>
          <w:noProof/>
        </w:rPr>
        <w:drawing>
          <wp:anchor distT="6096" distB="8636" distL="120396" distR="118110" simplePos="0" relativeHeight="251697152" behindDoc="0" locked="0" layoutInCell="1" allowOverlap="1">
            <wp:simplePos x="0" y="0"/>
            <wp:positionH relativeFrom="margin">
              <wp:align>right</wp:align>
            </wp:positionH>
            <wp:positionV relativeFrom="paragraph">
              <wp:posOffset>2243455</wp:posOffset>
            </wp:positionV>
            <wp:extent cx="5731510" cy="2095500"/>
            <wp:effectExtent l="0" t="0" r="2540" b="0"/>
            <wp:wrapTopAndBottom/>
            <wp:docPr id="31" name="Chart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p>
    <w:p w:rsidR="00515D1D" w:rsidRDefault="00515D1D"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in others is 9.08%, 13.97%, 24.27%, 24.20% and 23.12%. Here it is seeing that the highest number of investment has happened in 2017. There is no negative growth rate of investment. The positive growth rate are seeing in 2013 through 2017. All growth rate are showed clearly in the given chart.</w:t>
      </w:r>
    </w:p>
    <w:p w:rsidR="00C44478" w:rsidRPr="00AF3299" w:rsidRDefault="00C44478" w:rsidP="00AF3299">
      <w:pPr>
        <w:pStyle w:val="Heading3"/>
      </w:pPr>
      <w:bookmarkStart w:id="54" w:name="_Toc523576012"/>
      <w:r w:rsidRPr="00AF3299">
        <w:t>Investment in Ordinary Shares</w:t>
      </w:r>
      <w:bookmarkEnd w:id="54"/>
    </w:p>
    <w:p w:rsidR="00C44478" w:rsidRPr="00AF3299" w:rsidRDefault="00C44478" w:rsidP="00AF3299">
      <w:pPr>
        <w:jc w:val="both"/>
        <w:rPr>
          <w:rFonts w:ascii="Times New Roman" w:hAnsi="Times New Roman"/>
          <w:sz w:val="24"/>
        </w:rPr>
      </w:pPr>
      <w:r w:rsidRPr="00AF3299">
        <w:rPr>
          <w:rFonts w:ascii="Times New Roman" w:hAnsi="Times New Roman"/>
          <w:sz w:val="24"/>
        </w:rPr>
        <w:t>Here, the total number of investment in Ordinary Shares of BBL has calculated below by dividing the total amount of investment of BBL in ordinary shares with the total amount of investment in financial assets.</w:t>
      </w:r>
    </w:p>
    <w:tbl>
      <w:tblPr>
        <w:tblpPr w:leftFromText="180" w:rightFromText="180" w:vertAnchor="text" w:horzAnchor="margin" w:tblpXSpec="center"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1206"/>
        <w:gridCol w:w="1206"/>
        <w:gridCol w:w="1206"/>
        <w:gridCol w:w="1316"/>
        <w:gridCol w:w="1316"/>
      </w:tblGrid>
      <w:tr w:rsidR="0038242D" w:rsidRPr="00AF3299" w:rsidTr="00515D1D">
        <w:tc>
          <w:tcPr>
            <w:tcW w:w="0" w:type="auto"/>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0" w:type="auto"/>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0" w:type="auto"/>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0" w:type="auto"/>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0" w:type="auto"/>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0" w:type="auto"/>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515D1D">
        <w:tc>
          <w:tcPr>
            <w:tcW w:w="0" w:type="auto"/>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Investment in Ordinary Shares</w:t>
            </w:r>
          </w:p>
        </w:tc>
        <w:tc>
          <w:tcPr>
            <w:tcW w:w="0" w:type="auto"/>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48,459,190</w:t>
            </w:r>
          </w:p>
        </w:tc>
        <w:tc>
          <w:tcPr>
            <w:tcW w:w="0" w:type="auto"/>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48,459,190</w:t>
            </w:r>
          </w:p>
        </w:tc>
        <w:tc>
          <w:tcPr>
            <w:tcW w:w="0" w:type="auto"/>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48,459,190</w:t>
            </w:r>
          </w:p>
        </w:tc>
        <w:tc>
          <w:tcPr>
            <w:tcW w:w="0" w:type="auto"/>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160,959,190</w:t>
            </w:r>
          </w:p>
        </w:tc>
        <w:tc>
          <w:tcPr>
            <w:tcW w:w="0" w:type="auto"/>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492,359,190</w:t>
            </w:r>
          </w:p>
        </w:tc>
      </w:tr>
      <w:tr w:rsidR="0038242D" w:rsidRPr="00AF3299" w:rsidTr="00515D1D">
        <w:tc>
          <w:tcPr>
            <w:tcW w:w="0" w:type="auto"/>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232.15%</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205.89%</w:t>
            </w:r>
          </w:p>
        </w:tc>
      </w:tr>
      <w:tr w:rsidR="0038242D" w:rsidRPr="00AF3299" w:rsidTr="00515D1D">
        <w:tc>
          <w:tcPr>
            <w:tcW w:w="0" w:type="auto"/>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0" w:type="auto"/>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0.23%</w:t>
            </w:r>
          </w:p>
        </w:tc>
        <w:tc>
          <w:tcPr>
            <w:tcW w:w="0" w:type="auto"/>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0.20%</w:t>
            </w:r>
          </w:p>
        </w:tc>
        <w:tc>
          <w:tcPr>
            <w:tcW w:w="0" w:type="auto"/>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0.25%</w:t>
            </w:r>
          </w:p>
        </w:tc>
        <w:tc>
          <w:tcPr>
            <w:tcW w:w="0" w:type="auto"/>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0.72%</w:t>
            </w:r>
          </w:p>
        </w:tc>
        <w:tc>
          <w:tcPr>
            <w:tcW w:w="0" w:type="auto"/>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1.97%</w:t>
            </w:r>
          </w:p>
        </w:tc>
      </w:tr>
      <w:tr w:rsidR="0038242D" w:rsidRPr="00AF3299" w:rsidTr="00515D1D">
        <w:tc>
          <w:tcPr>
            <w:tcW w:w="0" w:type="auto"/>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Other Securities</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2.51%</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1.45%</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1.01%</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2.96%</w:t>
            </w:r>
          </w:p>
        </w:tc>
        <w:tc>
          <w:tcPr>
            <w:tcW w:w="0" w:type="auto"/>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8.53%</w:t>
            </w:r>
          </w:p>
        </w:tc>
      </w:tr>
    </w:tbl>
    <w:p w:rsidR="00C44478" w:rsidRPr="00AF3299" w:rsidRDefault="00515D1D" w:rsidP="00AF3299">
      <w:pPr>
        <w:rPr>
          <w:rFonts w:ascii="Times New Roman" w:hAnsi="Times New Roman"/>
        </w:rPr>
      </w:pPr>
      <w:r w:rsidRPr="00AF3299">
        <w:rPr>
          <w:rFonts w:ascii="Times New Roman" w:hAnsi="Times New Roman"/>
          <w:noProof/>
        </w:rPr>
        <w:lastRenderedPageBreak/>
        <w:drawing>
          <wp:anchor distT="6096" distB="6096" distL="120396" distR="120396" simplePos="0" relativeHeight="251699200" behindDoc="0" locked="0" layoutInCell="1" allowOverlap="1">
            <wp:simplePos x="0" y="0"/>
            <wp:positionH relativeFrom="margin">
              <wp:align>right</wp:align>
            </wp:positionH>
            <wp:positionV relativeFrom="paragraph">
              <wp:posOffset>1972310</wp:posOffset>
            </wp:positionV>
            <wp:extent cx="5734050" cy="2171700"/>
            <wp:effectExtent l="0" t="0" r="0" b="0"/>
            <wp:wrapTopAndBottom/>
            <wp:docPr id="30"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p>
    <w:p w:rsidR="00C44478" w:rsidRPr="00AF3299" w:rsidRDefault="00515D1D" w:rsidP="00AF3299">
      <w:pPr>
        <w:rPr>
          <w:rFonts w:ascii="Times New Roman" w:hAnsi="Times New Roman"/>
        </w:rPr>
      </w:pPr>
      <w:r w:rsidRPr="00AF3299">
        <w:rPr>
          <w:rFonts w:ascii="Times New Roman" w:hAnsi="Times New Roman"/>
          <w:noProof/>
        </w:rPr>
        <w:drawing>
          <wp:anchor distT="6096" distB="6096" distL="120396" distR="120396" simplePos="0" relativeHeight="251700224" behindDoc="0" locked="0" layoutInCell="1" allowOverlap="1">
            <wp:simplePos x="0" y="0"/>
            <wp:positionH relativeFrom="margin">
              <wp:align>right</wp:align>
            </wp:positionH>
            <wp:positionV relativeFrom="paragraph">
              <wp:posOffset>2305050</wp:posOffset>
            </wp:positionV>
            <wp:extent cx="5715000" cy="2476500"/>
            <wp:effectExtent l="0" t="0" r="0" b="0"/>
            <wp:wrapTopAndBottom/>
            <wp:docPr id="29"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515D1D" w:rsidRDefault="00C44478" w:rsidP="00515D1D">
      <w:pPr>
        <w:jc w:val="both"/>
        <w:rPr>
          <w:rFonts w:ascii="Times New Roman" w:hAnsi="Times New Roman"/>
          <w:sz w:val="24"/>
        </w:rPr>
      </w:pPr>
      <w:r w:rsidRPr="00AF3299">
        <w:rPr>
          <w:rFonts w:ascii="Times New Roman" w:hAnsi="Times New Roman"/>
          <w:sz w:val="24"/>
        </w:rPr>
        <w:t xml:space="preserve">The percentage rates of investment of BBL in shares are 0.23%, 0.20%, 0.25%, 0.72% and 1.97% from 2013 to 2017. There are positive growths in 2016 and 2017, the growth was 0 from 2013 through 2015. All the growth rate has been shown </w:t>
      </w:r>
      <w:r w:rsidR="00515D1D">
        <w:rPr>
          <w:rFonts w:ascii="Times New Roman" w:hAnsi="Times New Roman"/>
          <w:sz w:val="24"/>
        </w:rPr>
        <w:t>in the given chart graphically.</w:t>
      </w:r>
    </w:p>
    <w:p w:rsidR="00C44478" w:rsidRPr="00AF3299" w:rsidRDefault="00C44478" w:rsidP="00AF3299">
      <w:pPr>
        <w:pStyle w:val="Heading3"/>
      </w:pPr>
      <w:bookmarkStart w:id="55" w:name="_Toc523576013"/>
      <w:r w:rsidRPr="00AF3299">
        <w:t>Investment in Secondary Market</w:t>
      </w:r>
      <w:bookmarkEnd w:id="55"/>
    </w:p>
    <w:tbl>
      <w:tblPr>
        <w:tblpPr w:leftFromText="180" w:rightFromText="180" w:vertAnchor="text" w:horzAnchor="margin" w:tblpXSpec="center" w:tblpY="12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518"/>
        <w:gridCol w:w="1518"/>
        <w:gridCol w:w="1518"/>
        <w:gridCol w:w="1518"/>
        <w:gridCol w:w="1518"/>
      </w:tblGrid>
      <w:tr w:rsidR="0038242D" w:rsidRPr="00AF3299" w:rsidTr="00C96EBA">
        <w:tc>
          <w:tcPr>
            <w:tcW w:w="89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96EBA">
        <w:tc>
          <w:tcPr>
            <w:tcW w:w="894"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0.61%</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-3.00%</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10.38%</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47.66%</w:t>
            </w:r>
          </w:p>
        </w:tc>
      </w:tr>
      <w:tr w:rsidR="0038242D" w:rsidRPr="00AF3299" w:rsidTr="00C96EBA">
        <w:tc>
          <w:tcPr>
            <w:tcW w:w="894"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6.16%</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5.52%</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6.47%</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6.28%</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8.36%</w:t>
            </w:r>
          </w:p>
        </w:tc>
      </w:tr>
      <w:tr w:rsidR="0038242D" w:rsidRPr="00AF3299" w:rsidTr="00C96EBA">
        <w:tc>
          <w:tcPr>
            <w:tcW w:w="894"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Other Securities</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67.85%</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39.53%</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26.67%</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25.97%</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36.15%</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Here, the total number of investment in Secondary Market has calculated below by dividing the total amount of investment of BBL in secondary market with the total amount of investment in financial assets.</w:t>
      </w:r>
    </w:p>
    <w:p w:rsidR="00C44478" w:rsidRPr="00AF3299" w:rsidRDefault="00C96EBA" w:rsidP="00AF3299">
      <w:pPr>
        <w:jc w:val="both"/>
        <w:rPr>
          <w:rFonts w:ascii="Times New Roman" w:hAnsi="Times New Roman"/>
          <w:sz w:val="24"/>
        </w:rPr>
      </w:pPr>
      <w:r w:rsidRPr="00AF3299">
        <w:rPr>
          <w:rFonts w:ascii="Times New Roman" w:hAnsi="Times New Roman"/>
          <w:noProof/>
        </w:rPr>
        <w:drawing>
          <wp:anchor distT="6096" distB="6096" distL="120396" distR="120396" simplePos="0" relativeHeight="251701248" behindDoc="0" locked="0" layoutInCell="1" allowOverlap="1">
            <wp:simplePos x="0" y="0"/>
            <wp:positionH relativeFrom="margin">
              <wp:align>right</wp:align>
            </wp:positionH>
            <wp:positionV relativeFrom="paragraph">
              <wp:posOffset>1848742</wp:posOffset>
            </wp:positionV>
            <wp:extent cx="5724525" cy="2171700"/>
            <wp:effectExtent l="0" t="0" r="9525" b="0"/>
            <wp:wrapTopAndBottom/>
            <wp:docPr id="28" name="Chart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p>
    <w:p w:rsidR="00C44478" w:rsidRPr="00AF3299" w:rsidRDefault="00C96EBA" w:rsidP="00AF3299">
      <w:pPr>
        <w:rPr>
          <w:rFonts w:ascii="Times New Roman" w:hAnsi="Times New Roman"/>
        </w:rPr>
      </w:pPr>
      <w:r w:rsidRPr="00AF3299">
        <w:rPr>
          <w:rFonts w:ascii="Times New Roman" w:hAnsi="Times New Roman"/>
          <w:noProof/>
        </w:rPr>
        <w:drawing>
          <wp:anchor distT="6096" distB="6096" distL="120396" distR="120396" simplePos="0" relativeHeight="251702272" behindDoc="0" locked="0" layoutInCell="1" allowOverlap="1">
            <wp:simplePos x="0" y="0"/>
            <wp:positionH relativeFrom="margin">
              <wp:align>left</wp:align>
            </wp:positionH>
            <wp:positionV relativeFrom="paragraph">
              <wp:posOffset>2451735</wp:posOffset>
            </wp:positionV>
            <wp:extent cx="5736590" cy="2409190"/>
            <wp:effectExtent l="0" t="0" r="16510" b="10160"/>
            <wp:wrapTopAndBottom/>
            <wp:docPr id="27" name="Chart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C96EBA" w:rsidRDefault="00C44478" w:rsidP="00C96EBA">
      <w:pPr>
        <w:jc w:val="both"/>
        <w:rPr>
          <w:rFonts w:ascii="Times New Roman" w:hAnsi="Times New Roman"/>
          <w:sz w:val="24"/>
        </w:rPr>
      </w:pPr>
      <w:r w:rsidRPr="00AF3299">
        <w:rPr>
          <w:rFonts w:ascii="Times New Roman" w:hAnsi="Times New Roman"/>
          <w:sz w:val="24"/>
        </w:rPr>
        <w:t>The percentage rates of investment of BBL in shares are 6.16%, 5.52%, 6.47%, 6.28% and 8.36% from 2013 to 2017. There are positive growths all years except 2015, the highest growth rate is in 2017. All the growth rate has been shown in the given chart graphically.</w:t>
      </w:r>
    </w:p>
    <w:p w:rsidR="00C44478" w:rsidRPr="00AF3299" w:rsidRDefault="00C44478" w:rsidP="00AF3299">
      <w:pPr>
        <w:pStyle w:val="Heading3"/>
      </w:pPr>
      <w:bookmarkStart w:id="56" w:name="_Toc523576014"/>
      <w:r w:rsidRPr="00AF3299">
        <w:lastRenderedPageBreak/>
        <w:t>Preference Share</w:t>
      </w:r>
      <w:bookmarkEnd w:id="56"/>
    </w:p>
    <w:p w:rsidR="00C44478" w:rsidRPr="00AF3299" w:rsidRDefault="00C44478" w:rsidP="00AF3299">
      <w:pPr>
        <w:jc w:val="both"/>
        <w:rPr>
          <w:rFonts w:ascii="Times New Roman" w:hAnsi="Times New Roman"/>
          <w:sz w:val="24"/>
        </w:rPr>
      </w:pPr>
      <w:r w:rsidRPr="00AF3299">
        <w:rPr>
          <w:rFonts w:ascii="Times New Roman" w:hAnsi="Times New Roman"/>
          <w:sz w:val="24"/>
        </w:rPr>
        <w:t>Here, the total number of investment in Preference Share has calculated below by dividing the total amount of investment of BBL in preference shares with the total amount of investment in financial assets.</w:t>
      </w:r>
    </w:p>
    <w:tbl>
      <w:tblPr>
        <w:tblpPr w:leftFromText="180" w:rightFromText="180" w:vertAnchor="text" w:horzAnchor="margin" w:tblpXSpec="center" w:tblpY="13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1316"/>
        <w:gridCol w:w="1223"/>
        <w:gridCol w:w="1223"/>
        <w:gridCol w:w="1223"/>
        <w:gridCol w:w="1225"/>
      </w:tblGrid>
      <w:tr w:rsidR="0038242D" w:rsidRPr="00AF3299" w:rsidTr="00C96EBA">
        <w:tc>
          <w:tcPr>
            <w:tcW w:w="1665"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59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96EBA">
        <w:tc>
          <w:tcPr>
            <w:tcW w:w="1665"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Preference Share</w:t>
            </w:r>
          </w:p>
        </w:tc>
        <w:tc>
          <w:tcPr>
            <w:tcW w:w="590" w:type="pct"/>
            <w:shd w:val="clear" w:color="auto" w:fill="DBE5F1"/>
            <w:vAlign w:val="center"/>
          </w:tcPr>
          <w:p w:rsidR="00C44478" w:rsidRPr="00AF3299" w:rsidRDefault="00C44478" w:rsidP="00AF3299">
            <w:pPr>
              <w:spacing w:after="0"/>
              <w:jc w:val="both"/>
              <w:rPr>
                <w:rFonts w:ascii="Times New Roman" w:hAnsi="Times New Roman"/>
                <w:bCs/>
                <w:color w:val="000000"/>
              </w:rPr>
            </w:pPr>
            <w:r w:rsidRPr="00AF3299">
              <w:rPr>
                <w:rFonts w:ascii="Times New Roman" w:hAnsi="Times New Roman"/>
                <w:bCs/>
                <w:color w:val="000000"/>
              </w:rPr>
              <w:t>143,115,200</w:t>
            </w:r>
          </w:p>
        </w:tc>
        <w:tc>
          <w:tcPr>
            <w:tcW w:w="686"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89,447,300</w:t>
            </w:r>
          </w:p>
        </w:tc>
        <w:tc>
          <w:tcPr>
            <w:tcW w:w="686"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85,779,400</w:t>
            </w:r>
          </w:p>
        </w:tc>
        <w:tc>
          <w:tcPr>
            <w:tcW w:w="686"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40,000,000</w:t>
            </w:r>
          </w:p>
        </w:tc>
        <w:tc>
          <w:tcPr>
            <w:tcW w:w="687"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30,000,000</w:t>
            </w:r>
          </w:p>
        </w:tc>
      </w:tr>
      <w:tr w:rsidR="0038242D" w:rsidRPr="00AF3299" w:rsidTr="00C96EBA">
        <w:tc>
          <w:tcPr>
            <w:tcW w:w="1665"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-37.50%</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-4.10%</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-53.37%</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-25.00%</w:t>
            </w:r>
          </w:p>
        </w:tc>
      </w:tr>
      <w:tr w:rsidR="0038242D" w:rsidRPr="00AF3299" w:rsidTr="00C96EBA">
        <w:tc>
          <w:tcPr>
            <w:tcW w:w="1665"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59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0.67%</w:t>
            </w:r>
          </w:p>
        </w:tc>
        <w:tc>
          <w:tcPr>
            <w:tcW w:w="6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0.37%</w:t>
            </w:r>
          </w:p>
        </w:tc>
        <w:tc>
          <w:tcPr>
            <w:tcW w:w="6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0.43%</w:t>
            </w:r>
          </w:p>
        </w:tc>
        <w:tc>
          <w:tcPr>
            <w:tcW w:w="6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0.18%</w:t>
            </w:r>
          </w:p>
        </w:tc>
        <w:tc>
          <w:tcPr>
            <w:tcW w:w="68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0.12%</w:t>
            </w:r>
          </w:p>
        </w:tc>
      </w:tr>
      <w:tr w:rsidR="0038242D" w:rsidRPr="00AF3299" w:rsidTr="00C96EBA">
        <w:tc>
          <w:tcPr>
            <w:tcW w:w="1665"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Other Securities</w:t>
            </w:r>
          </w:p>
        </w:tc>
        <w:tc>
          <w:tcPr>
            <w:tcW w:w="5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7.40%</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2.68%</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1.79%</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0.73%</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0.52%</w:t>
            </w:r>
          </w:p>
        </w:tc>
      </w:tr>
    </w:tbl>
    <w:p w:rsidR="00C44478" w:rsidRPr="00AF3299" w:rsidRDefault="00C96EBA" w:rsidP="00AF3299">
      <w:pPr>
        <w:rPr>
          <w:rFonts w:ascii="Times New Roman" w:hAnsi="Times New Roman"/>
        </w:rPr>
      </w:pPr>
      <w:r w:rsidRPr="00AF3299">
        <w:rPr>
          <w:rFonts w:ascii="Times New Roman" w:hAnsi="Times New Roman"/>
          <w:noProof/>
        </w:rPr>
        <w:drawing>
          <wp:anchor distT="6096" distB="6096" distL="120396" distR="120396" simplePos="0" relativeHeight="251703296" behindDoc="0" locked="0" layoutInCell="1" allowOverlap="1">
            <wp:simplePos x="0" y="0"/>
            <wp:positionH relativeFrom="margin">
              <wp:align>right</wp:align>
            </wp:positionH>
            <wp:positionV relativeFrom="paragraph">
              <wp:posOffset>1836420</wp:posOffset>
            </wp:positionV>
            <wp:extent cx="5744845" cy="2273300"/>
            <wp:effectExtent l="0" t="0" r="8255" b="12700"/>
            <wp:wrapTopAndBottom/>
            <wp:docPr id="26" name="Chart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rsidR="00C44478" w:rsidRPr="00AF3299" w:rsidRDefault="00C96EBA" w:rsidP="00AF3299">
      <w:pPr>
        <w:rPr>
          <w:rFonts w:ascii="Times New Roman" w:hAnsi="Times New Roman"/>
        </w:rPr>
      </w:pPr>
      <w:r w:rsidRPr="00AF3299">
        <w:rPr>
          <w:rFonts w:ascii="Times New Roman" w:hAnsi="Times New Roman"/>
          <w:noProof/>
        </w:rPr>
        <w:drawing>
          <wp:anchor distT="6096" distB="6096" distL="120396" distR="120396" simplePos="0" relativeHeight="251704320" behindDoc="0" locked="0" layoutInCell="1" allowOverlap="1">
            <wp:simplePos x="0" y="0"/>
            <wp:positionH relativeFrom="margin">
              <wp:align>right</wp:align>
            </wp:positionH>
            <wp:positionV relativeFrom="paragraph">
              <wp:posOffset>2453657</wp:posOffset>
            </wp:positionV>
            <wp:extent cx="5708015" cy="2298065"/>
            <wp:effectExtent l="0" t="0" r="6985" b="6985"/>
            <wp:wrapTopAndBottom/>
            <wp:docPr id="25"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rates of investment of BBL in shares are 0.67%, 0.37%, 0.43%, 0.18% and 0.12% from 2013 to 2017. There are negative growth throughout 2013 to 2017. All the growth rate has been shown in the given chart graphically.</w:t>
      </w:r>
    </w:p>
    <w:p w:rsidR="00C44478" w:rsidRPr="00AF3299" w:rsidRDefault="00C44478" w:rsidP="00AF3299">
      <w:pPr>
        <w:rPr>
          <w:rFonts w:ascii="Times New Roman" w:hAnsi="Times New Roman"/>
        </w:rPr>
      </w:pPr>
    </w:p>
    <w:p w:rsidR="00C44478" w:rsidRPr="00AF3299" w:rsidRDefault="00C44478" w:rsidP="00AF3299">
      <w:pPr>
        <w:rPr>
          <w:rFonts w:ascii="Times New Roman" w:hAnsi="Times New Roman"/>
        </w:rPr>
      </w:pPr>
    </w:p>
    <w:p w:rsidR="00C44478" w:rsidRPr="00AF3299" w:rsidRDefault="00C44478" w:rsidP="00AF3299">
      <w:pPr>
        <w:pStyle w:val="Heading3"/>
      </w:pPr>
      <w:bookmarkStart w:id="57" w:name="_Toc523576015"/>
      <w:r w:rsidRPr="00AF3299">
        <w:lastRenderedPageBreak/>
        <w:t>Bond</w:t>
      </w:r>
      <w:bookmarkEnd w:id="57"/>
    </w:p>
    <w:p w:rsidR="00C44478" w:rsidRPr="00AF3299" w:rsidRDefault="00C44478" w:rsidP="00AF3299">
      <w:pPr>
        <w:jc w:val="both"/>
        <w:rPr>
          <w:rFonts w:ascii="Times New Roman" w:hAnsi="Times New Roman"/>
          <w:sz w:val="24"/>
        </w:rPr>
      </w:pPr>
      <w:r w:rsidRPr="00AF3299">
        <w:rPr>
          <w:rFonts w:ascii="Times New Roman" w:hAnsi="Times New Roman"/>
          <w:sz w:val="24"/>
        </w:rPr>
        <w:t>Here, the total number of investment in Bond has calculated below by dividing the total amount of investment of BBL in bond with the total amount of investment in financial assets.</w:t>
      </w:r>
    </w:p>
    <w:tbl>
      <w:tblPr>
        <w:tblpPr w:leftFromText="180" w:rightFromText="180" w:vertAnchor="text" w:horzAnchor="margin" w:tblpXSpec="center" w:tblpY="15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1316"/>
        <w:gridCol w:w="1481"/>
        <w:gridCol w:w="1481"/>
        <w:gridCol w:w="1481"/>
        <w:gridCol w:w="1481"/>
      </w:tblGrid>
      <w:tr w:rsidR="0038242D" w:rsidRPr="00AF3299" w:rsidTr="00C96EBA">
        <w:tc>
          <w:tcPr>
            <w:tcW w:w="165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59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9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8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9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9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96EBA">
        <w:tc>
          <w:tcPr>
            <w:tcW w:w="1651"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Bond</w:t>
            </w:r>
          </w:p>
        </w:tc>
        <w:tc>
          <w:tcPr>
            <w:tcW w:w="590" w:type="pct"/>
            <w:shd w:val="clear" w:color="auto" w:fill="DBE5F1"/>
            <w:vAlign w:val="center"/>
          </w:tcPr>
          <w:p w:rsidR="00C44478" w:rsidRPr="00AF3299" w:rsidRDefault="00C44478" w:rsidP="00AF3299">
            <w:pPr>
              <w:spacing w:after="0"/>
              <w:jc w:val="both"/>
              <w:rPr>
                <w:rFonts w:ascii="Times New Roman" w:hAnsi="Times New Roman"/>
                <w:bCs/>
                <w:color w:val="000000"/>
              </w:rPr>
            </w:pPr>
            <w:r w:rsidRPr="00AF3299">
              <w:rPr>
                <w:rFonts w:ascii="Times New Roman" w:hAnsi="Times New Roman"/>
                <w:bCs/>
                <w:color w:val="000000"/>
              </w:rPr>
              <w:t>430,000,000</w:t>
            </w:r>
          </w:p>
        </w:tc>
        <w:tc>
          <w:tcPr>
            <w:tcW w:w="690"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1,872,000,000</w:t>
            </w:r>
          </w:p>
        </w:tc>
        <w:tc>
          <w:tcPr>
            <w:tcW w:w="689"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2,946,000,000</w:t>
            </w:r>
          </w:p>
        </w:tc>
        <w:tc>
          <w:tcPr>
            <w:tcW w:w="690"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2,920,000,000</w:t>
            </w:r>
          </w:p>
        </w:tc>
        <w:tc>
          <w:tcPr>
            <w:tcW w:w="690"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2,987,000,000</w:t>
            </w:r>
          </w:p>
        </w:tc>
      </w:tr>
      <w:tr w:rsidR="0038242D" w:rsidRPr="00AF3299" w:rsidTr="00C96EBA">
        <w:tc>
          <w:tcPr>
            <w:tcW w:w="1651"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5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335.35%</w:t>
            </w:r>
          </w:p>
        </w:tc>
        <w:tc>
          <w:tcPr>
            <w:tcW w:w="68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57.37%</w:t>
            </w:r>
          </w:p>
        </w:tc>
        <w:tc>
          <w:tcPr>
            <w:tcW w:w="6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-0.88%</w:t>
            </w:r>
          </w:p>
        </w:tc>
        <w:tc>
          <w:tcPr>
            <w:tcW w:w="6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2.29%</w:t>
            </w:r>
          </w:p>
        </w:tc>
      </w:tr>
      <w:tr w:rsidR="0038242D" w:rsidRPr="00AF3299" w:rsidTr="00C96EBA">
        <w:tc>
          <w:tcPr>
            <w:tcW w:w="1651"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59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2.02%</w:t>
            </w:r>
          </w:p>
        </w:tc>
        <w:tc>
          <w:tcPr>
            <w:tcW w:w="69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7.83%</w:t>
            </w:r>
          </w:p>
        </w:tc>
        <w:tc>
          <w:tcPr>
            <w:tcW w:w="68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14.89%</w:t>
            </w:r>
          </w:p>
        </w:tc>
        <w:tc>
          <w:tcPr>
            <w:tcW w:w="69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12.98%</w:t>
            </w:r>
          </w:p>
        </w:tc>
        <w:tc>
          <w:tcPr>
            <w:tcW w:w="69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11.96%</w:t>
            </w:r>
          </w:p>
        </w:tc>
      </w:tr>
      <w:tr w:rsidR="0038242D" w:rsidRPr="00AF3299" w:rsidTr="00C96EBA">
        <w:tc>
          <w:tcPr>
            <w:tcW w:w="1651"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Percentage of Other Securities</w:t>
            </w:r>
          </w:p>
        </w:tc>
        <w:tc>
          <w:tcPr>
            <w:tcW w:w="5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22.24%</w:t>
            </w:r>
          </w:p>
        </w:tc>
        <w:tc>
          <w:tcPr>
            <w:tcW w:w="6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56.06%</w:t>
            </w:r>
          </w:p>
        </w:tc>
        <w:tc>
          <w:tcPr>
            <w:tcW w:w="68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61.38%</w:t>
            </w:r>
          </w:p>
        </w:tc>
        <w:tc>
          <w:tcPr>
            <w:tcW w:w="6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53.65%</w:t>
            </w:r>
          </w:p>
        </w:tc>
        <w:tc>
          <w:tcPr>
            <w:tcW w:w="69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51.74%</w:t>
            </w:r>
          </w:p>
        </w:tc>
      </w:tr>
    </w:tbl>
    <w:p w:rsidR="00C44478" w:rsidRPr="00AF3299" w:rsidRDefault="00C96EBA" w:rsidP="00AF3299">
      <w:pPr>
        <w:rPr>
          <w:rFonts w:ascii="Times New Roman" w:hAnsi="Times New Roman"/>
        </w:rPr>
      </w:pPr>
      <w:r w:rsidRPr="00AF3299">
        <w:rPr>
          <w:rFonts w:ascii="Times New Roman" w:hAnsi="Times New Roman"/>
          <w:noProof/>
        </w:rPr>
        <w:drawing>
          <wp:anchor distT="6096" distB="5969" distL="120396" distR="119761" simplePos="0" relativeHeight="251705344" behindDoc="0" locked="0" layoutInCell="1" allowOverlap="1">
            <wp:simplePos x="0" y="0"/>
            <wp:positionH relativeFrom="margin">
              <wp:align>right</wp:align>
            </wp:positionH>
            <wp:positionV relativeFrom="paragraph">
              <wp:posOffset>2037715</wp:posOffset>
            </wp:positionV>
            <wp:extent cx="5720715" cy="2334895"/>
            <wp:effectExtent l="0" t="0" r="13335" b="8255"/>
            <wp:wrapTopAndBottom/>
            <wp:docPr id="24" name="Chart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p>
    <w:p w:rsidR="00C44478" w:rsidRPr="00AF3299" w:rsidRDefault="00C96EBA" w:rsidP="00AF3299">
      <w:pPr>
        <w:rPr>
          <w:rFonts w:ascii="Times New Roman" w:hAnsi="Times New Roman"/>
        </w:rPr>
      </w:pPr>
      <w:r w:rsidRPr="00AF3299">
        <w:rPr>
          <w:rFonts w:ascii="Times New Roman" w:hAnsi="Times New Roman"/>
          <w:noProof/>
        </w:rPr>
        <w:drawing>
          <wp:anchor distT="6096" distB="6096" distL="120396" distR="120396" simplePos="0" relativeHeight="251706368" behindDoc="0" locked="0" layoutInCell="1" allowOverlap="1">
            <wp:simplePos x="0" y="0"/>
            <wp:positionH relativeFrom="margin">
              <wp:align>right</wp:align>
            </wp:positionH>
            <wp:positionV relativeFrom="paragraph">
              <wp:posOffset>2570051</wp:posOffset>
            </wp:positionV>
            <wp:extent cx="5708015" cy="2557780"/>
            <wp:effectExtent l="0" t="0" r="6985" b="13970"/>
            <wp:wrapTopAndBottom/>
            <wp:docPr id="23" name="Char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rates of investment of BBL in shares are 2.02%, 7.83%, 14.89%, 12.98% and 11.96% from 2013 to 2017. There are positive growths all years except 2016, the highest growth rate is in 2014. All the growth rate has been shown in the given chart graphically.</w:t>
      </w:r>
    </w:p>
    <w:p w:rsidR="00C44478" w:rsidRPr="00AF3299" w:rsidRDefault="00C44478" w:rsidP="00AF3299">
      <w:pPr>
        <w:rPr>
          <w:rFonts w:ascii="Times New Roman" w:hAnsi="Times New Roman"/>
        </w:rPr>
      </w:pPr>
    </w:p>
    <w:p w:rsidR="00C44478" w:rsidRPr="00AF3299" w:rsidRDefault="00C44478" w:rsidP="00C46B08">
      <w:pPr>
        <w:pStyle w:val="Heading2"/>
        <w:numPr>
          <w:ilvl w:val="2"/>
          <w:numId w:val="18"/>
        </w:numPr>
        <w:spacing w:line="276" w:lineRule="auto"/>
      </w:pPr>
      <w:bookmarkStart w:id="58" w:name="_Toc523576016"/>
      <w:r w:rsidRPr="00AF3299">
        <w:t>Maturitywise Classification</w:t>
      </w:r>
      <w:bookmarkEnd w:id="58"/>
    </w:p>
    <w:p w:rsidR="00C44478" w:rsidRPr="00AF3299" w:rsidRDefault="00C44478" w:rsidP="00AF3299">
      <w:pPr>
        <w:rPr>
          <w:rFonts w:ascii="Times New Roman" w:hAnsi="Times New Roman"/>
        </w:rPr>
      </w:pPr>
      <w:r w:rsidRPr="00AF3299">
        <w:rPr>
          <w:rFonts w:ascii="Times New Roman" w:hAnsi="Times New Roman"/>
        </w:rPr>
        <w:t>The Classification of Maturity grouping are-</w:t>
      </w:r>
    </w:p>
    <w:p w:rsidR="00C44478" w:rsidRPr="00AF3299" w:rsidRDefault="00F427B1" w:rsidP="00AF3299">
      <w:pPr>
        <w:rPr>
          <w:rFonts w:ascii="Times New Roman" w:hAnsi="Times New Roman"/>
        </w:rPr>
      </w:pPr>
      <w:r w:rsidRPr="00AF3299">
        <w:rPr>
          <w:rFonts w:ascii="Times New Roman" w:hAnsi="Times New Roman"/>
          <w:noProof/>
        </w:rPr>
        <w:drawing>
          <wp:inline distT="0" distB="0" distL="0" distR="0">
            <wp:extent cx="5490210" cy="1655359"/>
            <wp:effectExtent l="0" t="0" r="15240" b="2540"/>
            <wp:docPr id="2" name="Diagram 6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C44478" w:rsidRPr="00AF3299" w:rsidRDefault="00C44478" w:rsidP="00C46B08">
      <w:pPr>
        <w:pStyle w:val="Heading3"/>
        <w:numPr>
          <w:ilvl w:val="3"/>
          <w:numId w:val="18"/>
        </w:numPr>
      </w:pPr>
      <w:bookmarkStart w:id="59" w:name="_Toc523576017"/>
      <w:r w:rsidRPr="00AF3299">
        <w:t>Upto 1 month</w:t>
      </w:r>
      <w:bookmarkEnd w:id="59"/>
    </w:p>
    <w:tbl>
      <w:tblPr>
        <w:tblpPr w:leftFromText="180" w:rightFromText="180" w:vertAnchor="text" w:horzAnchor="margin" w:tblpXSpec="center" w:tblpY="10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81"/>
        <w:gridCol w:w="1481"/>
        <w:gridCol w:w="1481"/>
        <w:gridCol w:w="1481"/>
        <w:gridCol w:w="1481"/>
      </w:tblGrid>
      <w:tr w:rsidR="0038242D" w:rsidRPr="00AF3299" w:rsidTr="00C96EBA">
        <w:tc>
          <w:tcPr>
            <w:tcW w:w="1603"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86"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8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8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96EBA">
        <w:tc>
          <w:tcPr>
            <w:tcW w:w="160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Total amount of Investment upto 1 month </w:t>
            </w:r>
          </w:p>
        </w:tc>
        <w:tc>
          <w:tcPr>
            <w:tcW w:w="664"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4,224,694,328</w:t>
            </w:r>
          </w:p>
        </w:tc>
        <w:tc>
          <w:tcPr>
            <w:tcW w:w="686"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3,897,877,724</w:t>
            </w:r>
          </w:p>
        </w:tc>
        <w:tc>
          <w:tcPr>
            <w:tcW w:w="681"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3,458,371,846</w:t>
            </w:r>
          </w:p>
        </w:tc>
        <w:tc>
          <w:tcPr>
            <w:tcW w:w="680"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4,997,037,558</w:t>
            </w:r>
          </w:p>
        </w:tc>
        <w:tc>
          <w:tcPr>
            <w:tcW w:w="687"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5,306,615,616</w:t>
            </w:r>
          </w:p>
        </w:tc>
      </w:tr>
      <w:tr w:rsidR="0038242D" w:rsidRPr="00AF3299" w:rsidTr="00C96EBA">
        <w:tc>
          <w:tcPr>
            <w:tcW w:w="1603"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-56.13%</w:t>
            </w:r>
          </w:p>
        </w:tc>
        <w:tc>
          <w:tcPr>
            <w:tcW w:w="686"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-7.74%</w:t>
            </w:r>
          </w:p>
        </w:tc>
        <w:tc>
          <w:tcPr>
            <w:tcW w:w="68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-11.28%</w:t>
            </w:r>
          </w:p>
        </w:tc>
        <w:tc>
          <w:tcPr>
            <w:tcW w:w="68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44.49%</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6.20%</w:t>
            </w:r>
          </w:p>
        </w:tc>
      </w:tr>
      <w:tr w:rsidR="0038242D" w:rsidRPr="00AF3299" w:rsidTr="00C96EBA">
        <w:tc>
          <w:tcPr>
            <w:tcW w:w="1603"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6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19.84%</w:t>
            </w:r>
          </w:p>
        </w:tc>
        <w:tc>
          <w:tcPr>
            <w:tcW w:w="686"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16.31%</w:t>
            </w:r>
          </w:p>
        </w:tc>
        <w:tc>
          <w:tcPr>
            <w:tcW w:w="68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17.48%</w:t>
            </w:r>
          </w:p>
        </w:tc>
        <w:tc>
          <w:tcPr>
            <w:tcW w:w="68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22.22%</w:t>
            </w:r>
          </w:p>
        </w:tc>
        <w:tc>
          <w:tcPr>
            <w:tcW w:w="68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21.26%</w:t>
            </w:r>
          </w:p>
        </w:tc>
      </w:tr>
    </w:tbl>
    <w:p w:rsidR="00C44478" w:rsidRPr="00AF3299" w:rsidRDefault="00C96EBA" w:rsidP="00AF3299">
      <w:pPr>
        <w:jc w:val="both"/>
        <w:rPr>
          <w:rFonts w:ascii="Times New Roman" w:hAnsi="Times New Roman"/>
          <w:sz w:val="24"/>
        </w:rPr>
      </w:pPr>
      <w:r w:rsidRPr="00AF3299">
        <w:rPr>
          <w:rFonts w:ascii="Times New Roman" w:hAnsi="Times New Roman"/>
          <w:noProof/>
        </w:rPr>
        <w:drawing>
          <wp:anchor distT="6096" distB="6096" distL="120396" distR="120396" simplePos="0" relativeHeight="251707392" behindDoc="0" locked="0" layoutInCell="1" allowOverlap="1">
            <wp:simplePos x="0" y="0"/>
            <wp:positionH relativeFrom="margin">
              <wp:align>right</wp:align>
            </wp:positionH>
            <wp:positionV relativeFrom="paragraph">
              <wp:posOffset>2329815</wp:posOffset>
            </wp:positionV>
            <wp:extent cx="5732780" cy="2162175"/>
            <wp:effectExtent l="0" t="0" r="1270" b="9525"/>
            <wp:wrapTopAndBottom/>
            <wp:docPr id="22"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page">
              <wp14:pctWidth>0</wp14:pctWidth>
            </wp14:sizeRelH>
            <wp14:sizeRelV relativeFrom="page">
              <wp14:pctHeight>0</wp14:pctHeight>
            </wp14:sizeRelV>
          </wp:anchor>
        </w:drawing>
      </w:r>
      <w:r w:rsidR="00C44478" w:rsidRPr="00AF3299">
        <w:rPr>
          <w:rFonts w:ascii="Times New Roman" w:hAnsi="Times New Roman"/>
          <w:sz w:val="24"/>
        </w:rPr>
        <w:t>The percentage rate of investment of BBL in on demand is calculated by dividing the total amount of investment in upto 1 month with total amount of investment in the financial assets.</w:t>
      </w:r>
    </w:p>
    <w:p w:rsidR="00C44478" w:rsidRPr="00AF3299" w:rsidRDefault="00C44478" w:rsidP="00AF3299">
      <w:pPr>
        <w:rPr>
          <w:rFonts w:ascii="Times New Roman" w:hAnsi="Times New Roman"/>
        </w:rPr>
      </w:pPr>
    </w:p>
    <w:p w:rsidR="00C44478" w:rsidRDefault="00C44478" w:rsidP="00AF3299">
      <w:pPr>
        <w:jc w:val="both"/>
        <w:rPr>
          <w:rFonts w:ascii="Times New Roman" w:hAnsi="Times New Roman"/>
          <w:sz w:val="24"/>
        </w:rPr>
      </w:pPr>
      <w:r w:rsidRPr="00AF3299">
        <w:rPr>
          <w:rFonts w:ascii="Times New Roman" w:hAnsi="Times New Roman"/>
          <w:sz w:val="24"/>
        </w:rPr>
        <w:t>The percentage rates of investment of BBL in shares are 19.84%, 16.31%, 17.48%, 22.22% and 21.26% from 2013 to 2017. There are positive growths in 2016 and 2017, the highest growth rate is in 2016. All the growth rate has been shown in the given chart graphically.</w:t>
      </w:r>
    </w:p>
    <w:p w:rsidR="00C96EBA" w:rsidRPr="00AF3299" w:rsidRDefault="00C96EBA" w:rsidP="00AF3299">
      <w:pPr>
        <w:jc w:val="both"/>
        <w:rPr>
          <w:rFonts w:ascii="Times New Roman" w:hAnsi="Times New Roman"/>
          <w:sz w:val="24"/>
        </w:rPr>
      </w:pPr>
    </w:p>
    <w:tbl>
      <w:tblPr>
        <w:tblpPr w:leftFromText="180" w:rightFromText="180" w:vertAnchor="text" w:horzAnchor="margin" w:tblpXSpec="center" w:tblpY="138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481"/>
        <w:gridCol w:w="1206"/>
        <w:gridCol w:w="1044"/>
        <w:gridCol w:w="1316"/>
        <w:gridCol w:w="1316"/>
      </w:tblGrid>
      <w:tr w:rsidR="0038242D" w:rsidRPr="00AF3299" w:rsidTr="00C96EBA">
        <w:tc>
          <w:tcPr>
            <w:tcW w:w="1622"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80"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65"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8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5"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96EBA">
        <w:tc>
          <w:tcPr>
            <w:tcW w:w="162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lastRenderedPageBreak/>
              <w:t>Total amount of  Investment upto more than 1 to 3 months</w:t>
            </w:r>
          </w:p>
        </w:tc>
        <w:tc>
          <w:tcPr>
            <w:tcW w:w="664"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1,163,587,594</w:t>
            </w:r>
          </w:p>
        </w:tc>
        <w:tc>
          <w:tcPr>
            <w:tcW w:w="680"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68,239,970</w:t>
            </w:r>
          </w:p>
        </w:tc>
        <w:tc>
          <w:tcPr>
            <w:tcW w:w="665"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84"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643,976,348</w:t>
            </w:r>
          </w:p>
        </w:tc>
        <w:tc>
          <w:tcPr>
            <w:tcW w:w="685"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859,342,692</w:t>
            </w:r>
          </w:p>
        </w:tc>
      </w:tr>
      <w:tr w:rsidR="0038242D" w:rsidRPr="00AF3299" w:rsidTr="00C96EBA">
        <w:tc>
          <w:tcPr>
            <w:tcW w:w="1622"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-12.57%</w:t>
            </w:r>
          </w:p>
        </w:tc>
        <w:tc>
          <w:tcPr>
            <w:tcW w:w="680"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-94.14%</w:t>
            </w:r>
          </w:p>
        </w:tc>
        <w:tc>
          <w:tcPr>
            <w:tcW w:w="665"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-100%</w:t>
            </w:r>
          </w:p>
        </w:tc>
        <w:tc>
          <w:tcPr>
            <w:tcW w:w="68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0%</w:t>
            </w:r>
          </w:p>
        </w:tc>
        <w:tc>
          <w:tcPr>
            <w:tcW w:w="685"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33.44%</w:t>
            </w:r>
          </w:p>
        </w:tc>
      </w:tr>
      <w:tr w:rsidR="0038242D" w:rsidRPr="00AF3299" w:rsidTr="00C96EBA">
        <w:tc>
          <w:tcPr>
            <w:tcW w:w="1622"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6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5.46%</w:t>
            </w:r>
          </w:p>
        </w:tc>
        <w:tc>
          <w:tcPr>
            <w:tcW w:w="680"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0.29%</w:t>
            </w:r>
          </w:p>
        </w:tc>
        <w:tc>
          <w:tcPr>
            <w:tcW w:w="665"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0%</w:t>
            </w:r>
          </w:p>
        </w:tc>
        <w:tc>
          <w:tcPr>
            <w:tcW w:w="68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2.86%</w:t>
            </w:r>
          </w:p>
        </w:tc>
        <w:tc>
          <w:tcPr>
            <w:tcW w:w="685"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3.44%</w:t>
            </w:r>
          </w:p>
        </w:tc>
      </w:tr>
    </w:tbl>
    <w:p w:rsidR="00C44478" w:rsidRPr="00AF3299" w:rsidRDefault="00C44478" w:rsidP="00C46B08">
      <w:pPr>
        <w:pStyle w:val="Heading3"/>
        <w:numPr>
          <w:ilvl w:val="3"/>
          <w:numId w:val="18"/>
        </w:numPr>
      </w:pPr>
      <w:bookmarkStart w:id="60" w:name="_Toc523576018"/>
      <w:r w:rsidRPr="00AF3299">
        <w:t>More than 1 to 3 months</w:t>
      </w:r>
      <w:bookmarkEnd w:id="60"/>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over 1 month but not more than 3 months is calculated by dividing the total amount of investment in over 1 month but not more than 3 months with the total amount of investment in the financial assets.</w:t>
      </w:r>
    </w:p>
    <w:p w:rsidR="00C44478" w:rsidRPr="00AF3299" w:rsidRDefault="00C46B08" w:rsidP="00AF3299">
      <w:pPr>
        <w:rPr>
          <w:rFonts w:ascii="Times New Roman" w:hAnsi="Times New Roman"/>
        </w:rPr>
      </w:pPr>
      <w:r w:rsidRPr="00AF3299">
        <w:rPr>
          <w:rFonts w:ascii="Times New Roman" w:hAnsi="Times New Roman"/>
          <w:noProof/>
        </w:rPr>
        <w:drawing>
          <wp:anchor distT="6096" distB="6096" distL="120396" distR="120396" simplePos="0" relativeHeight="251708416" behindDoc="0" locked="0" layoutInCell="1" allowOverlap="1">
            <wp:simplePos x="0" y="0"/>
            <wp:positionH relativeFrom="margin">
              <wp:align>right</wp:align>
            </wp:positionH>
            <wp:positionV relativeFrom="paragraph">
              <wp:posOffset>1453515</wp:posOffset>
            </wp:positionV>
            <wp:extent cx="5733415" cy="2286000"/>
            <wp:effectExtent l="0" t="0" r="635" b="0"/>
            <wp:wrapTopAndBottom/>
            <wp:docPr id="21" name="Chart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page">
              <wp14:pctWidth>0</wp14:pctWidth>
            </wp14:sizeRelH>
            <wp14:sizeRelV relativeFrom="page">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rate of investment of BBL in over 1 month but not more than 3 months are 5.46%, 0.29%, 0%, 2.86% and 3.44% from 2013 to 2017. The highest growth rates of investment are showing in 2017. The positive growth rate are only in 2017 and there was no investment in 2015. </w:t>
      </w:r>
    </w:p>
    <w:tbl>
      <w:tblPr>
        <w:tblpPr w:leftFromText="180" w:rightFromText="180" w:vertAnchor="text" w:horzAnchor="margin" w:tblpXSpec="center" w:tblpY="18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81"/>
        <w:gridCol w:w="1481"/>
        <w:gridCol w:w="1481"/>
        <w:gridCol w:w="1481"/>
        <w:gridCol w:w="1481"/>
      </w:tblGrid>
      <w:tr w:rsidR="0038242D" w:rsidRPr="00AF3299" w:rsidTr="00C46B08">
        <w:tc>
          <w:tcPr>
            <w:tcW w:w="158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68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6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688"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46B08">
        <w:tc>
          <w:tcPr>
            <w:tcW w:w="1584"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Total amount of  Investment upto more than 3 months to 1 year</w:t>
            </w:r>
          </w:p>
        </w:tc>
        <w:tc>
          <w:tcPr>
            <w:tcW w:w="664"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3,138,850,542</w:t>
            </w:r>
          </w:p>
        </w:tc>
        <w:tc>
          <w:tcPr>
            <w:tcW w:w="688"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2,220,670,147</w:t>
            </w:r>
          </w:p>
        </w:tc>
        <w:tc>
          <w:tcPr>
            <w:tcW w:w="687"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1,991,615,091</w:t>
            </w:r>
          </w:p>
        </w:tc>
        <w:tc>
          <w:tcPr>
            <w:tcW w:w="688"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1,149,710,654</w:t>
            </w:r>
          </w:p>
        </w:tc>
        <w:tc>
          <w:tcPr>
            <w:tcW w:w="689" w:type="pct"/>
            <w:shd w:val="clear" w:color="auto" w:fill="DBE5F1"/>
            <w:vAlign w:val="center"/>
          </w:tcPr>
          <w:p w:rsidR="00C44478" w:rsidRPr="00AF3299" w:rsidRDefault="00C44478" w:rsidP="00AF3299">
            <w:pPr>
              <w:spacing w:after="0"/>
              <w:jc w:val="both"/>
              <w:rPr>
                <w:rFonts w:ascii="Times New Roman" w:hAnsi="Times New Roman"/>
                <w:color w:val="000000"/>
              </w:rPr>
            </w:pPr>
            <w:r w:rsidRPr="00AF3299">
              <w:rPr>
                <w:rFonts w:ascii="Times New Roman" w:hAnsi="Times New Roman"/>
                <w:color w:val="000000"/>
              </w:rPr>
              <w:t>1,135,574,723</w:t>
            </w:r>
          </w:p>
        </w:tc>
      </w:tr>
      <w:tr w:rsidR="0038242D" w:rsidRPr="00AF3299" w:rsidTr="00C46B08">
        <w:tc>
          <w:tcPr>
            <w:tcW w:w="1584"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-15.45%</w:t>
            </w:r>
          </w:p>
        </w:tc>
        <w:tc>
          <w:tcPr>
            <w:tcW w:w="68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-29.25%</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-10.31%</w:t>
            </w:r>
          </w:p>
        </w:tc>
        <w:tc>
          <w:tcPr>
            <w:tcW w:w="688"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-42.27%</w:t>
            </w:r>
          </w:p>
        </w:tc>
        <w:tc>
          <w:tcPr>
            <w:tcW w:w="689"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-1.23%</w:t>
            </w:r>
          </w:p>
        </w:tc>
      </w:tr>
      <w:tr w:rsidR="0038242D" w:rsidRPr="00AF3299" w:rsidTr="00C46B08">
        <w:tc>
          <w:tcPr>
            <w:tcW w:w="1584"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6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14.74%</w:t>
            </w:r>
          </w:p>
        </w:tc>
        <w:tc>
          <w:tcPr>
            <w:tcW w:w="68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9.29%</w:t>
            </w:r>
          </w:p>
        </w:tc>
        <w:tc>
          <w:tcPr>
            <w:tcW w:w="68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10.07%</w:t>
            </w:r>
          </w:p>
        </w:tc>
        <w:tc>
          <w:tcPr>
            <w:tcW w:w="688"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5.11%</w:t>
            </w:r>
          </w:p>
        </w:tc>
        <w:tc>
          <w:tcPr>
            <w:tcW w:w="689"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4.55%</w:t>
            </w:r>
          </w:p>
        </w:tc>
      </w:tr>
    </w:tbl>
    <w:p w:rsidR="00C44478" w:rsidRPr="00AF3299" w:rsidRDefault="00C44478" w:rsidP="005D6608">
      <w:pPr>
        <w:pStyle w:val="Heading3"/>
        <w:numPr>
          <w:ilvl w:val="3"/>
          <w:numId w:val="18"/>
        </w:numPr>
      </w:pPr>
      <w:bookmarkStart w:id="61" w:name="_Toc523576019"/>
      <w:r w:rsidRPr="00AF3299">
        <w:t>More than 3 months to 1 year</w:t>
      </w:r>
      <w:bookmarkEnd w:id="61"/>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over 3 month but not more than 1 year is calculated by dividing the total amount of investment in over 3 month but not more than 1 year with the total amount of investment in the financial assets.</w:t>
      </w:r>
    </w:p>
    <w:p w:rsidR="00C44478" w:rsidRPr="00AF3299" w:rsidRDefault="00F427B1" w:rsidP="00AF3299">
      <w:pPr>
        <w:jc w:val="both"/>
        <w:rPr>
          <w:rFonts w:ascii="Times New Roman" w:hAnsi="Times New Roman"/>
          <w:sz w:val="24"/>
        </w:rPr>
      </w:pPr>
      <w:r w:rsidRPr="00AF3299">
        <w:rPr>
          <w:rFonts w:ascii="Times New Roman" w:hAnsi="Times New Roman"/>
          <w:noProof/>
        </w:rPr>
        <w:lastRenderedPageBreak/>
        <w:drawing>
          <wp:anchor distT="6096" distB="6096" distL="120396" distR="120396" simplePos="0" relativeHeight="251709440" behindDoc="0" locked="0" layoutInCell="1" allowOverlap="1">
            <wp:simplePos x="0" y="0"/>
            <wp:positionH relativeFrom="margin">
              <wp:align>right</wp:align>
            </wp:positionH>
            <wp:positionV relativeFrom="paragraph">
              <wp:posOffset>1270</wp:posOffset>
            </wp:positionV>
            <wp:extent cx="5720715" cy="2372360"/>
            <wp:effectExtent l="0" t="0" r="13335" b="8890"/>
            <wp:wrapTopAndBottom/>
            <wp:docPr id="20" name="Chart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rates of investment of BBL in over 3 month but not more than 1 year are 14.74%, 9.29%, 10.07%, 5.11% and 4.55% from 2013 to 2017. There were negative growth rates throught 2013 to 2017. The year to Year growth rates are shown in the given chart clearly.</w:t>
      </w:r>
    </w:p>
    <w:p w:rsidR="00C44478" w:rsidRPr="00AF3299" w:rsidRDefault="00C44478" w:rsidP="005D6608">
      <w:pPr>
        <w:pStyle w:val="Heading3"/>
        <w:numPr>
          <w:ilvl w:val="3"/>
          <w:numId w:val="18"/>
        </w:numPr>
      </w:pPr>
      <w:bookmarkStart w:id="62" w:name="_Toc523576020"/>
      <w:r w:rsidRPr="00AF3299">
        <w:t>1 year to 5 years</w:t>
      </w:r>
      <w:bookmarkEnd w:id="62"/>
    </w:p>
    <w:tbl>
      <w:tblPr>
        <w:tblpPr w:leftFromText="180" w:rightFromText="180" w:vertAnchor="text" w:horzAnchor="margin" w:tblpXSpec="center" w:tblpY="129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518"/>
        <w:gridCol w:w="1518"/>
        <w:gridCol w:w="1518"/>
        <w:gridCol w:w="1518"/>
        <w:gridCol w:w="1518"/>
      </w:tblGrid>
      <w:tr w:rsidR="0038242D" w:rsidRPr="00AF3299" w:rsidTr="00C46B08">
        <w:tc>
          <w:tcPr>
            <w:tcW w:w="89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821"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46B08">
        <w:tc>
          <w:tcPr>
            <w:tcW w:w="894"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31.50%</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21.41%</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-53.80%</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61.79%</w:t>
            </w:r>
          </w:p>
        </w:tc>
        <w:tc>
          <w:tcPr>
            <w:tcW w:w="821"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51.92%</w:t>
            </w:r>
          </w:p>
        </w:tc>
      </w:tr>
      <w:tr w:rsidR="0038242D" w:rsidRPr="00AF3299" w:rsidTr="00C46B08">
        <w:tc>
          <w:tcPr>
            <w:tcW w:w="894"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27.95%</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30.24%</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16.88%</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24.02%</w:t>
            </w:r>
          </w:p>
        </w:tc>
        <w:tc>
          <w:tcPr>
            <w:tcW w:w="821"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32.87%</w:t>
            </w:r>
          </w:p>
        </w:tc>
      </w:tr>
    </w:tbl>
    <w:p w:rsidR="00C44478" w:rsidRPr="00AF3299" w:rsidRDefault="00C44478" w:rsidP="00AF3299">
      <w:pPr>
        <w:rPr>
          <w:rFonts w:ascii="Times New Roman" w:hAnsi="Times New Roman"/>
          <w:sz w:val="24"/>
        </w:rPr>
      </w:pPr>
      <w:r w:rsidRPr="00AF3299">
        <w:rPr>
          <w:rFonts w:ascii="Times New Roman" w:hAnsi="Times New Roman"/>
          <w:sz w:val="24"/>
        </w:rPr>
        <w:t>The percentage rate of investment of BBL in over 1 year but not more than 5 years is calculated by dividing the total amount of investment in over 1 year but not more than 5 years with the total amount of investment in the financial assets.</w:t>
      </w:r>
    </w:p>
    <w:p w:rsidR="00C44478" w:rsidRPr="00AF3299" w:rsidRDefault="00C46B08" w:rsidP="00AF3299">
      <w:pPr>
        <w:rPr>
          <w:rFonts w:ascii="Times New Roman" w:hAnsi="Times New Roman"/>
        </w:rPr>
      </w:pPr>
      <w:r w:rsidRPr="00AF3299">
        <w:rPr>
          <w:rFonts w:ascii="Times New Roman" w:hAnsi="Times New Roman"/>
          <w:noProof/>
        </w:rPr>
        <w:drawing>
          <wp:anchor distT="6096" distB="8763" distL="120396" distR="123190" simplePos="0" relativeHeight="251710464" behindDoc="0" locked="0" layoutInCell="1" allowOverlap="1">
            <wp:simplePos x="0" y="0"/>
            <wp:positionH relativeFrom="margin">
              <wp:align>right</wp:align>
            </wp:positionH>
            <wp:positionV relativeFrom="paragraph">
              <wp:posOffset>1253490</wp:posOffset>
            </wp:positionV>
            <wp:extent cx="5720715" cy="2298065"/>
            <wp:effectExtent l="0" t="0" r="13335" b="6985"/>
            <wp:wrapTopAndBottom/>
            <wp:docPr id="19" name="Chart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p>
    <w:p w:rsidR="00C46B08" w:rsidRDefault="00C46B08"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rates of investment of BBL in over 1 year but not more than 5 years are 27.95%, 30.24%, 16.88%, 24.02% and 32.87% from 2013 to 2017. The highest positive </w:t>
      </w:r>
      <w:r w:rsidRPr="00AF3299">
        <w:rPr>
          <w:rFonts w:ascii="Times New Roman" w:hAnsi="Times New Roman"/>
          <w:sz w:val="24"/>
        </w:rPr>
        <w:lastRenderedPageBreak/>
        <w:t>investment growth has happened in 2017 but negative growth rate in 2015.The year to Year growth rates are shown in the given chart clearly.</w:t>
      </w:r>
    </w:p>
    <w:p w:rsidR="00C44478" w:rsidRPr="00AF3299" w:rsidRDefault="00C44478" w:rsidP="005D6608">
      <w:pPr>
        <w:pStyle w:val="Heading3"/>
        <w:numPr>
          <w:ilvl w:val="3"/>
          <w:numId w:val="18"/>
        </w:numPr>
      </w:pPr>
      <w:bookmarkStart w:id="63" w:name="_Toc523576021"/>
      <w:r w:rsidRPr="00AF3299">
        <w:t>More than 5 years</w:t>
      </w:r>
      <w:bookmarkEnd w:id="63"/>
    </w:p>
    <w:tbl>
      <w:tblPr>
        <w:tblpPr w:leftFromText="180" w:rightFromText="180" w:vertAnchor="text" w:horzAnchor="margin" w:tblpXSpec="center" w:tblpY="97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227"/>
        <w:gridCol w:w="1320"/>
        <w:gridCol w:w="1320"/>
        <w:gridCol w:w="1320"/>
        <w:gridCol w:w="1266"/>
      </w:tblGrid>
      <w:tr w:rsidR="0038242D" w:rsidRPr="00AF3299" w:rsidTr="00C46B08">
        <w:tc>
          <w:tcPr>
            <w:tcW w:w="1509"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2013</w:t>
            </w:r>
          </w:p>
        </w:tc>
        <w:tc>
          <w:tcPr>
            <w:tcW w:w="71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2014</w:t>
            </w:r>
          </w:p>
        </w:tc>
        <w:tc>
          <w:tcPr>
            <w:tcW w:w="71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2015</w:t>
            </w:r>
          </w:p>
        </w:tc>
        <w:tc>
          <w:tcPr>
            <w:tcW w:w="714"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2016</w:t>
            </w:r>
          </w:p>
        </w:tc>
        <w:tc>
          <w:tcPr>
            <w:tcW w:w="687" w:type="pct"/>
            <w:tcBorders>
              <w:bottom w:val="single" w:sz="4" w:space="0" w:color="95B3D7"/>
            </w:tcBorders>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2017</w:t>
            </w:r>
          </w:p>
        </w:tc>
      </w:tr>
      <w:tr w:rsidR="0038242D" w:rsidRPr="00AF3299" w:rsidTr="00C46B08">
        <w:tc>
          <w:tcPr>
            <w:tcW w:w="1509" w:type="pct"/>
            <w:shd w:val="clear" w:color="auto" w:fill="auto"/>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10.47%</w:t>
            </w:r>
          </w:p>
        </w:tc>
        <w:tc>
          <w:tcPr>
            <w:tcW w:w="71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53.76%</w:t>
            </w:r>
          </w:p>
        </w:tc>
        <w:tc>
          <w:tcPr>
            <w:tcW w:w="71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4.82%</w:t>
            </w:r>
          </w:p>
        </w:tc>
        <w:tc>
          <w:tcPr>
            <w:tcW w:w="714"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-6.33%</w:t>
            </w:r>
          </w:p>
        </w:tc>
        <w:tc>
          <w:tcPr>
            <w:tcW w:w="687" w:type="pct"/>
            <w:shd w:val="clear" w:color="auto" w:fill="auto"/>
            <w:vAlign w:val="center"/>
          </w:tcPr>
          <w:p w:rsidR="00C44478" w:rsidRPr="00AF3299" w:rsidRDefault="00C44478" w:rsidP="00AF3299">
            <w:pPr>
              <w:spacing w:after="0"/>
              <w:jc w:val="both"/>
              <w:rPr>
                <w:rFonts w:ascii="Times New Roman" w:hAnsi="Times New Roman"/>
              </w:rPr>
            </w:pPr>
            <w:r w:rsidRPr="00AF3299">
              <w:rPr>
                <w:rFonts w:ascii="Times New Roman" w:hAnsi="Times New Roman"/>
              </w:rPr>
              <w:t>-8.13%</w:t>
            </w:r>
          </w:p>
        </w:tc>
      </w:tr>
      <w:tr w:rsidR="0038242D" w:rsidRPr="00AF3299" w:rsidTr="00C46B08">
        <w:tc>
          <w:tcPr>
            <w:tcW w:w="1509" w:type="pct"/>
            <w:shd w:val="clear" w:color="auto" w:fill="DBE5F1"/>
            <w:vAlign w:val="center"/>
          </w:tcPr>
          <w:p w:rsidR="00C44478" w:rsidRPr="00AF3299" w:rsidRDefault="00C44478" w:rsidP="00AF3299">
            <w:pPr>
              <w:spacing w:after="0"/>
              <w:jc w:val="both"/>
              <w:rPr>
                <w:rFonts w:ascii="Times New Roman" w:hAnsi="Times New Roman"/>
                <w:b/>
                <w:bCs/>
              </w:rPr>
            </w:pPr>
            <w:r w:rsidRPr="00AF3299">
              <w:rPr>
                <w:rFonts w:ascii="Times New Roman" w:hAnsi="Times New Roman"/>
                <w:b/>
                <w:bCs/>
              </w:rPr>
              <w:t xml:space="preserve">Percentage of Total Investment </w:t>
            </w:r>
          </w:p>
        </w:tc>
        <w:tc>
          <w:tcPr>
            <w:tcW w:w="66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32.02%</w:t>
            </w:r>
          </w:p>
        </w:tc>
        <w:tc>
          <w:tcPr>
            <w:tcW w:w="71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43.87%</w:t>
            </w:r>
          </w:p>
        </w:tc>
        <w:tc>
          <w:tcPr>
            <w:tcW w:w="71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55.56%</w:t>
            </w:r>
          </w:p>
        </w:tc>
        <w:tc>
          <w:tcPr>
            <w:tcW w:w="714"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45.78%</w:t>
            </w:r>
          </w:p>
        </w:tc>
        <w:tc>
          <w:tcPr>
            <w:tcW w:w="687" w:type="pct"/>
            <w:shd w:val="clear" w:color="auto" w:fill="DBE5F1"/>
            <w:vAlign w:val="center"/>
          </w:tcPr>
          <w:p w:rsidR="00C44478" w:rsidRPr="00AF3299" w:rsidRDefault="00C44478" w:rsidP="00AF3299">
            <w:pPr>
              <w:spacing w:after="0"/>
              <w:jc w:val="both"/>
              <w:rPr>
                <w:rFonts w:ascii="Times New Roman" w:hAnsi="Times New Roman"/>
              </w:rPr>
            </w:pPr>
            <w:r w:rsidRPr="00AF3299">
              <w:rPr>
                <w:rFonts w:ascii="Times New Roman" w:eastAsia="Times New Roman" w:hAnsi="Times New Roman"/>
                <w:color w:val="000000"/>
              </w:rPr>
              <w:t>37.88%</w:t>
            </w:r>
          </w:p>
        </w:tc>
      </w:tr>
    </w:tbl>
    <w:p w:rsidR="00C44478" w:rsidRPr="00AF3299" w:rsidRDefault="00C44478" w:rsidP="00AF3299">
      <w:pPr>
        <w:rPr>
          <w:rFonts w:ascii="Times New Roman" w:hAnsi="Times New Roman"/>
        </w:rPr>
      </w:pPr>
      <w:r w:rsidRPr="00AF3299">
        <w:rPr>
          <w:rFonts w:ascii="Times New Roman" w:hAnsi="Times New Roman"/>
        </w:rPr>
        <w:t>The percentage rate of investment of BBL in over 5 years is calculated by dividing the total amount of investment in over 5 years with the total amount of investment in the financial assets.</w:t>
      </w:r>
    </w:p>
    <w:p w:rsidR="00C44478" w:rsidRPr="00AF3299" w:rsidRDefault="00F427B1" w:rsidP="00AF3299">
      <w:pPr>
        <w:rPr>
          <w:rFonts w:ascii="Times New Roman" w:hAnsi="Times New Roman"/>
        </w:rPr>
      </w:pPr>
      <w:r w:rsidRPr="00AF3299">
        <w:rPr>
          <w:rFonts w:ascii="Times New Roman" w:hAnsi="Times New Roman"/>
          <w:noProof/>
        </w:rPr>
        <w:drawing>
          <wp:anchor distT="6096" distB="6096" distL="120396" distR="120396" simplePos="0" relativeHeight="251711488" behindDoc="0" locked="0" layoutInCell="1" allowOverlap="1">
            <wp:simplePos x="0" y="0"/>
            <wp:positionH relativeFrom="margin">
              <wp:align>right</wp:align>
            </wp:positionH>
            <wp:positionV relativeFrom="paragraph">
              <wp:posOffset>1082675</wp:posOffset>
            </wp:positionV>
            <wp:extent cx="5733415" cy="2186940"/>
            <wp:effectExtent l="0" t="0" r="635" b="3810"/>
            <wp:wrapTopAndBottom/>
            <wp:docPr id="18" name="Chart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rates of investment of BBL in over 5 years are 32.02%, 43.87%, 55.56%, 45.78% and 37.88% from 2013 to 2017. The highest positive investment growth has happened in 2014 but negative growth rate in 2016 and 2017. The year to Year growth rates are shown in the given chart clearly.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From the above analytical discussion and its interpretation, it is clarified how much percentage of investment in which year among the 5 years of investment activities of BBL in financial assets. The year to year growth rate in each sector of investment already has shown with the Graphical chart. For this reason the overall investment amount of BBL in percent in each investment sector with different classification in all the five year have identified clearly. The year to year growth rate has added an exceptional situation to identify the growth rate of investment of BBL in the financial assets.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Now it is trying to show that with the overall classification of investment of BBL in financial assets in which sector the growth rate of investment of BBL increasing or decreasing year to year from the given discussion which is our main focus of this report. </w:t>
      </w:r>
    </w:p>
    <w:p w:rsidR="00C44478" w:rsidRPr="00AF3299" w:rsidRDefault="00C44478" w:rsidP="005D6608">
      <w:pPr>
        <w:pStyle w:val="Heading2"/>
        <w:numPr>
          <w:ilvl w:val="2"/>
          <w:numId w:val="18"/>
        </w:numPr>
        <w:spacing w:line="276" w:lineRule="auto"/>
      </w:pPr>
      <w:bookmarkStart w:id="64" w:name="_Toc523576022"/>
      <w:r w:rsidRPr="00AF3299">
        <w:t>Invesment in Subsidiary</w:t>
      </w:r>
      <w:bookmarkEnd w:id="64"/>
    </w:p>
    <w:p w:rsidR="00C44478" w:rsidRPr="00AF3299" w:rsidRDefault="00F427B1" w:rsidP="00AF3299">
      <w:pPr>
        <w:rPr>
          <w:rFonts w:ascii="Times New Roman" w:hAnsi="Times New Roman"/>
          <w:sz w:val="28"/>
        </w:rPr>
      </w:pPr>
      <w:r w:rsidRPr="00AF3299">
        <w:rPr>
          <w:rFonts w:ascii="Times New Roman" w:hAnsi="Times New Roman"/>
          <w:noProof/>
        </w:rPr>
        <w:lastRenderedPageBreak/>
        <w:drawing>
          <wp:anchor distT="12192" distB="9525" distL="114300" distR="114300" simplePos="0" relativeHeight="251726848" behindDoc="0" locked="0" layoutInCell="1" allowOverlap="1">
            <wp:simplePos x="0" y="0"/>
            <wp:positionH relativeFrom="margin">
              <wp:align>left</wp:align>
            </wp:positionH>
            <wp:positionV relativeFrom="paragraph">
              <wp:posOffset>338582</wp:posOffset>
            </wp:positionV>
            <wp:extent cx="5115560" cy="4196080"/>
            <wp:effectExtent l="0" t="0" r="0" b="13970"/>
            <wp:wrapTopAndBottom/>
            <wp:docPr id="17" name="Diagram 6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14:sizeRelH relativeFrom="margin">
              <wp14:pctWidth>0</wp14:pctWidth>
            </wp14:sizeRelH>
            <wp14:sizeRelV relativeFrom="margin">
              <wp14:pctHeight>0</wp14:pctHeight>
            </wp14:sizeRelV>
          </wp:anchor>
        </w:drawing>
      </w:r>
      <w:r w:rsidR="00C44478" w:rsidRPr="00AF3299">
        <w:rPr>
          <w:rFonts w:ascii="Times New Roman" w:hAnsi="Times New Roman"/>
          <w:sz w:val="24"/>
        </w:rPr>
        <w:t>BRAC Bank limited has invested in their following subsidiaries-</w:t>
      </w:r>
    </w:p>
    <w:p w:rsidR="00C44478" w:rsidRPr="00AF3299" w:rsidRDefault="00C44478" w:rsidP="00AF3299">
      <w:pPr>
        <w:jc w:val="both"/>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its subsidiary is calculated by dividing the total amount of investment in subsidiaries with the total amount of investment in financial assets.</w:t>
      </w:r>
    </w:p>
    <w:tbl>
      <w:tblPr>
        <w:tblpPr w:leftFromText="180" w:rightFromText="180" w:vertAnchor="text" w:horzAnchor="margin" w:tblpXSpec="center" w:tblpY="21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1518"/>
        <w:gridCol w:w="1518"/>
        <w:gridCol w:w="1518"/>
        <w:gridCol w:w="1349"/>
        <w:gridCol w:w="1349"/>
      </w:tblGrid>
      <w:tr w:rsidR="0038242D" w:rsidRPr="00AF3299" w:rsidTr="005D6608">
        <w:tc>
          <w:tcPr>
            <w:tcW w:w="107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82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82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82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73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73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5D6608">
        <w:tc>
          <w:tcPr>
            <w:tcW w:w="1077"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82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8.54%</w:t>
            </w:r>
          </w:p>
        </w:tc>
        <w:tc>
          <w:tcPr>
            <w:tcW w:w="82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82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73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84.88%</w:t>
            </w:r>
          </w:p>
        </w:tc>
        <w:tc>
          <w:tcPr>
            <w:tcW w:w="73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2.41%</w:t>
            </w:r>
          </w:p>
        </w:tc>
      </w:tr>
      <w:tr w:rsidR="0038242D" w:rsidRPr="00AF3299" w:rsidTr="005D6608">
        <w:tc>
          <w:tcPr>
            <w:tcW w:w="1077"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82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11.06%</w:t>
            </w:r>
          </w:p>
        </w:tc>
        <w:tc>
          <w:tcPr>
            <w:tcW w:w="82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9.86%</w:t>
            </w:r>
          </w:p>
        </w:tc>
        <w:tc>
          <w:tcPr>
            <w:tcW w:w="82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11.91%</w:t>
            </w:r>
          </w:p>
        </w:tc>
        <w:tc>
          <w:tcPr>
            <w:tcW w:w="73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19.37%</w:t>
            </w:r>
          </w:p>
        </w:tc>
        <w:tc>
          <w:tcPr>
            <w:tcW w:w="73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17.87%</w:t>
            </w:r>
          </w:p>
        </w:tc>
      </w:tr>
    </w:tbl>
    <w:p w:rsidR="00C44478" w:rsidRPr="00AF3299" w:rsidRDefault="005D6608" w:rsidP="00AF3299">
      <w:pPr>
        <w:rPr>
          <w:rFonts w:ascii="Times New Roman" w:hAnsi="Times New Roman"/>
        </w:rPr>
      </w:pPr>
      <w:r w:rsidRPr="00AF3299">
        <w:rPr>
          <w:rFonts w:ascii="Times New Roman" w:hAnsi="Times New Roman"/>
          <w:noProof/>
        </w:rPr>
        <w:drawing>
          <wp:anchor distT="6096" distB="6350" distL="120396" distR="122428" simplePos="0" relativeHeight="251712512" behindDoc="0" locked="0" layoutInCell="1" allowOverlap="1">
            <wp:simplePos x="0" y="0"/>
            <wp:positionH relativeFrom="margin">
              <wp:align>right</wp:align>
            </wp:positionH>
            <wp:positionV relativeFrom="paragraph">
              <wp:posOffset>1130300</wp:posOffset>
            </wp:positionV>
            <wp:extent cx="5720715" cy="1593850"/>
            <wp:effectExtent l="0" t="0" r="13335" b="6350"/>
            <wp:wrapTopAndBottom/>
            <wp:docPr id="16" name="Chart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p>
    <w:p w:rsidR="005D6608" w:rsidRDefault="005D6608"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lastRenderedPageBreak/>
        <w:t>The percentage rate of investment in subsidiaries are 11.06%, 9.86%, 11.91%, 19.37% and 17.87% from 2013 to 2017. There is highest positive growth rate of investment in 2016. The overall growth rate year to year are shown in the given chart.</w:t>
      </w:r>
    </w:p>
    <w:p w:rsidR="00C44478" w:rsidRPr="00AF3299" w:rsidRDefault="00C44478" w:rsidP="005D6608">
      <w:pPr>
        <w:pStyle w:val="Heading3"/>
        <w:numPr>
          <w:ilvl w:val="3"/>
          <w:numId w:val="18"/>
        </w:numPr>
      </w:pPr>
      <w:bookmarkStart w:id="65" w:name="_Toc523576023"/>
      <w:r w:rsidRPr="00AF3299">
        <w:t>BRAC EPL Investment Ltd.</w:t>
      </w:r>
      <w:bookmarkEnd w:id="65"/>
    </w:p>
    <w:p w:rsidR="00C44478" w:rsidRPr="00AF3299" w:rsidRDefault="00C44478" w:rsidP="00AF3299">
      <w:pPr>
        <w:jc w:val="both"/>
        <w:rPr>
          <w:rFonts w:ascii="Times New Roman" w:hAnsi="Times New Roman"/>
        </w:rPr>
      </w:pPr>
      <w:r w:rsidRPr="00AF3299">
        <w:rPr>
          <w:rFonts w:ascii="Times New Roman" w:hAnsi="Times New Roman"/>
          <w:sz w:val="24"/>
        </w:rPr>
        <w:t>BRAC EPL Investments Ltd. (BEIL) is a subsidiary of BRAC organization. It was founded by top class fund managers and brokers from Bangkok, Hongkong, London and Dhaka.</w:t>
      </w:r>
      <w:r w:rsidRPr="00AF3299">
        <w:rPr>
          <w:rFonts w:ascii="Times New Roman" w:hAnsi="Times New Roman"/>
        </w:rPr>
        <w:t xml:space="preserve"> They started their official operation from October 01, 2009.  Within a short period of time they have become one of the top sustainable investment bank in Bangladesh. They provide traditional merchant banking services as well as wide range of investment services to clients.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BEIL is calculated by dividing the total amount of investment in BEIL with the total amount of investment in financial assets.</w:t>
      </w:r>
    </w:p>
    <w:tbl>
      <w:tblPr>
        <w:tblpPr w:leftFromText="180" w:rightFromText="180" w:vertAnchor="text" w:horzAnchor="margin" w:tblpXSpec="center" w:tblpY="1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091"/>
        <w:gridCol w:w="1270"/>
        <w:gridCol w:w="1270"/>
        <w:gridCol w:w="1276"/>
        <w:gridCol w:w="1276"/>
      </w:tblGrid>
      <w:tr w:rsidR="0038242D" w:rsidRPr="00AF3299" w:rsidTr="005D6608">
        <w:tc>
          <w:tcPr>
            <w:tcW w:w="165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59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8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68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69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69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5D6608">
        <w:tc>
          <w:tcPr>
            <w:tcW w:w="1656"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59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7"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7"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9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265.70%</w:t>
            </w:r>
          </w:p>
        </w:tc>
        <w:tc>
          <w:tcPr>
            <w:tcW w:w="69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4.96%</w:t>
            </w:r>
          </w:p>
        </w:tc>
      </w:tr>
      <w:tr w:rsidR="0038242D" w:rsidRPr="00AF3299" w:rsidTr="005D6608">
        <w:tc>
          <w:tcPr>
            <w:tcW w:w="1656"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59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3.53%</w:t>
            </w:r>
          </w:p>
        </w:tc>
        <w:tc>
          <w:tcPr>
            <w:tcW w:w="68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3.15%</w:t>
            </w:r>
          </w:p>
        </w:tc>
        <w:tc>
          <w:tcPr>
            <w:tcW w:w="68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3.81%</w:t>
            </w:r>
          </w:p>
        </w:tc>
        <w:tc>
          <w:tcPr>
            <w:tcW w:w="69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12.24%</w:t>
            </w:r>
          </w:p>
        </w:tc>
        <w:tc>
          <w:tcPr>
            <w:tcW w:w="69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11.57%</w:t>
            </w:r>
          </w:p>
        </w:tc>
      </w:tr>
    </w:tbl>
    <w:p w:rsidR="00C44478" w:rsidRPr="00AF3299" w:rsidRDefault="00F427B1" w:rsidP="00AF3299">
      <w:pPr>
        <w:jc w:val="both"/>
        <w:rPr>
          <w:rFonts w:ascii="Times New Roman" w:hAnsi="Times New Roman"/>
        </w:rPr>
      </w:pPr>
      <w:r w:rsidRPr="00AF3299">
        <w:rPr>
          <w:rFonts w:ascii="Times New Roman" w:hAnsi="Times New Roman"/>
          <w:noProof/>
        </w:rPr>
        <w:drawing>
          <wp:anchor distT="6096" distB="6223" distL="120396" distR="122428" simplePos="0" relativeHeight="251713536" behindDoc="0" locked="0" layoutInCell="1" allowOverlap="1">
            <wp:simplePos x="0" y="0"/>
            <wp:positionH relativeFrom="margin">
              <wp:align>right</wp:align>
            </wp:positionH>
            <wp:positionV relativeFrom="paragraph">
              <wp:posOffset>1064260</wp:posOffset>
            </wp:positionV>
            <wp:extent cx="5732780" cy="2273300"/>
            <wp:effectExtent l="0" t="0" r="1270" b="12700"/>
            <wp:wrapTopAndBottom/>
            <wp:docPr id="15" name="Chart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in subsidiaries are 3.53%, 3.15%, 3.81%, 12.24% and 11.57% from 2013 to 2017. There is highest positive growth rate of investment in 2016. The overall growth rate year to year are shown in the given chart.</w:t>
      </w:r>
    </w:p>
    <w:p w:rsidR="00C44478" w:rsidRPr="00AF3299" w:rsidRDefault="00C44478" w:rsidP="00706314">
      <w:pPr>
        <w:pStyle w:val="Heading3"/>
        <w:numPr>
          <w:ilvl w:val="3"/>
          <w:numId w:val="18"/>
        </w:numPr>
      </w:pPr>
      <w:bookmarkStart w:id="66" w:name="_Toc523576024"/>
      <w:r w:rsidRPr="00AF3299">
        <w:t>BRAC EPL Stock Brokerage Ltd.</w:t>
      </w:r>
      <w:bookmarkEnd w:id="66"/>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BRAC EPL Stock Brokerage Ltd. Previously known as Equity Partners Securities Ltd. (EPSL) started its journey on 2000. When BRAC Bank acquired 51% of its equity, they renamed it to BRAC EPL Stock Brokerage Ltd. They have membership in both exchanges of our country. They provide brokerage services to international institution, domestic institution, retail clients and non-resident Bangladeshis.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BRAC EPL Stock Brokerage Ltd.  is calculated by dividing the total amount of investment in BRAC EPL Stock Brokerage Ltd. with the total amount of investmen</w:t>
      </w:r>
      <w:r w:rsidR="005D6608">
        <w:rPr>
          <w:rFonts w:ascii="Times New Roman" w:hAnsi="Times New Roman"/>
          <w:sz w:val="24"/>
        </w:rPr>
        <w:t>t in financial assets.</w:t>
      </w:r>
    </w:p>
    <w:tbl>
      <w:tblPr>
        <w:tblpPr w:leftFromText="180" w:rightFromText="180" w:vertAnchor="text" w:horzAnchor="margin" w:tblpXSpec="center" w:tblpY="1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1227"/>
        <w:gridCol w:w="1268"/>
        <w:gridCol w:w="1259"/>
        <w:gridCol w:w="1257"/>
        <w:gridCol w:w="1268"/>
      </w:tblGrid>
      <w:tr w:rsidR="0038242D" w:rsidRPr="00AF3299" w:rsidTr="005D6608">
        <w:tc>
          <w:tcPr>
            <w:tcW w:w="1603"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lastRenderedPageBreak/>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8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68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68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68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5D6608">
        <w:tc>
          <w:tcPr>
            <w:tcW w:w="1603"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7"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r>
      <w:tr w:rsidR="0038242D" w:rsidRPr="00AF3299" w:rsidTr="005D6608">
        <w:tc>
          <w:tcPr>
            <w:tcW w:w="1603"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66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6.31%</w:t>
            </w:r>
          </w:p>
        </w:tc>
        <w:tc>
          <w:tcPr>
            <w:tcW w:w="68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5.62%</w:t>
            </w:r>
          </w:p>
        </w:tc>
        <w:tc>
          <w:tcPr>
            <w:tcW w:w="68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6.80%</w:t>
            </w:r>
          </w:p>
        </w:tc>
        <w:tc>
          <w:tcPr>
            <w:tcW w:w="68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5.98%</w:t>
            </w:r>
          </w:p>
        </w:tc>
        <w:tc>
          <w:tcPr>
            <w:tcW w:w="68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5.38%</w:t>
            </w:r>
          </w:p>
        </w:tc>
      </w:tr>
    </w:tbl>
    <w:p w:rsidR="00C44478" w:rsidRPr="00AF3299" w:rsidRDefault="005D6608" w:rsidP="005D6608">
      <w:pPr>
        <w:ind w:firstLine="720"/>
        <w:rPr>
          <w:rFonts w:ascii="Times New Roman" w:hAnsi="Times New Roman"/>
        </w:rPr>
      </w:pPr>
      <w:r w:rsidRPr="00AF3299">
        <w:rPr>
          <w:rFonts w:ascii="Times New Roman" w:hAnsi="Times New Roman"/>
          <w:noProof/>
        </w:rPr>
        <w:drawing>
          <wp:anchor distT="6096" distB="6096" distL="120396" distR="120396" simplePos="0" relativeHeight="251714560" behindDoc="0" locked="0" layoutInCell="1" allowOverlap="1">
            <wp:simplePos x="0" y="0"/>
            <wp:positionH relativeFrom="margin">
              <wp:align>right</wp:align>
            </wp:positionH>
            <wp:positionV relativeFrom="paragraph">
              <wp:posOffset>137160</wp:posOffset>
            </wp:positionV>
            <wp:extent cx="5745480" cy="2372360"/>
            <wp:effectExtent l="0" t="0" r="7620" b="8890"/>
            <wp:wrapTopAndBottom/>
            <wp:docPr id="14" name="Chart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margin">
              <wp14:pctWidth>0</wp14:pctWidth>
            </wp14:sizeRelH>
            <wp14:sizeRelV relativeFrom="margin">
              <wp14:pctHeight>0</wp14:pctHeight>
            </wp14:sizeRelV>
          </wp:anchor>
        </w:drawing>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rate of investment in subsidiaries are 6.31%, 5.62%, 6.80%, 5.98% and 5.38% from 2013 to 2017. BRAC Bank invested the same amount in this subsidiary so there is no growth. The overall chart is clearly given. </w:t>
      </w:r>
    </w:p>
    <w:p w:rsidR="00C44478" w:rsidRPr="00AF3299" w:rsidRDefault="00C44478" w:rsidP="00706314">
      <w:pPr>
        <w:pStyle w:val="Heading3"/>
        <w:numPr>
          <w:ilvl w:val="3"/>
          <w:numId w:val="18"/>
        </w:numPr>
      </w:pPr>
      <w:bookmarkStart w:id="67" w:name="_Toc523576025"/>
      <w:r w:rsidRPr="00AF3299">
        <w:t>B-kash Ltd.</w:t>
      </w:r>
      <w:bookmarkEnd w:id="67"/>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Bkash Ltd. is a joint venture between BRAC Bank Ltd, Bangladesh and Money in Motion LLC, USA. They started their journey on 2011 with their revolutionary idea to make the banking services at the palm of our hands. Recently they have launched their app for mobile phone to make it easier to send money or payment. In 2013, Bill and Melinda Gates Foundation became an investor of this project.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B-kash Ltd. is calculated by dividing the total amount of investment in B-kash Ltd. with the total amount of investment in financial assets.</w:t>
      </w:r>
    </w:p>
    <w:tbl>
      <w:tblPr>
        <w:tblpPr w:leftFromText="180" w:rightFromText="180" w:vertAnchor="text" w:horzAnchor="margin" w:tblpXSpec="center" w:tblpY="1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1320"/>
        <w:gridCol w:w="1320"/>
        <w:gridCol w:w="1320"/>
        <w:gridCol w:w="1320"/>
        <w:gridCol w:w="1316"/>
      </w:tblGrid>
      <w:tr w:rsidR="0038242D" w:rsidRPr="00AF3299" w:rsidTr="005D6608">
        <w:tc>
          <w:tcPr>
            <w:tcW w:w="1432"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71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71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71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71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71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5D6608">
        <w:tc>
          <w:tcPr>
            <w:tcW w:w="1432"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71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1038.57%</w:t>
            </w:r>
          </w:p>
        </w:tc>
        <w:tc>
          <w:tcPr>
            <w:tcW w:w="71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71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71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71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r>
      <w:tr w:rsidR="0038242D" w:rsidRPr="00AF3299" w:rsidTr="005D6608">
        <w:tc>
          <w:tcPr>
            <w:tcW w:w="1432"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71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0.79%</w:t>
            </w:r>
          </w:p>
        </w:tc>
        <w:tc>
          <w:tcPr>
            <w:tcW w:w="71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0.71%</w:t>
            </w:r>
          </w:p>
        </w:tc>
        <w:tc>
          <w:tcPr>
            <w:tcW w:w="71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0.85%</w:t>
            </w:r>
          </w:p>
        </w:tc>
        <w:tc>
          <w:tcPr>
            <w:tcW w:w="71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0.75%</w:t>
            </w:r>
          </w:p>
        </w:tc>
        <w:tc>
          <w:tcPr>
            <w:tcW w:w="71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0.68%</w:t>
            </w:r>
          </w:p>
        </w:tc>
      </w:tr>
    </w:tbl>
    <w:p w:rsidR="00C44478" w:rsidRPr="00AF3299" w:rsidRDefault="005D6608" w:rsidP="00AF3299">
      <w:pPr>
        <w:rPr>
          <w:rFonts w:ascii="Times New Roman" w:hAnsi="Times New Roman"/>
          <w:sz w:val="24"/>
        </w:rPr>
      </w:pPr>
      <w:r w:rsidRPr="00AF3299">
        <w:rPr>
          <w:rFonts w:ascii="Times New Roman" w:hAnsi="Times New Roman"/>
          <w:noProof/>
        </w:rPr>
        <w:drawing>
          <wp:anchor distT="6096" distB="6096" distL="120396" distR="120396" simplePos="0" relativeHeight="251715584" behindDoc="0" locked="0" layoutInCell="1" allowOverlap="1">
            <wp:simplePos x="0" y="0"/>
            <wp:positionH relativeFrom="margin">
              <wp:align>right</wp:align>
            </wp:positionH>
            <wp:positionV relativeFrom="paragraph">
              <wp:posOffset>1004536</wp:posOffset>
            </wp:positionV>
            <wp:extent cx="5732780" cy="1976755"/>
            <wp:effectExtent l="0" t="0" r="1270" b="4445"/>
            <wp:wrapTopAndBottom/>
            <wp:docPr id="13" name="Chart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lastRenderedPageBreak/>
        <w:t xml:space="preserve">The percentage rate of investment in subsidiaries are 0.79%, 0.71%, 0.85%, 0.75% and 0.68% from 2013 to 2017. BRAC Bank invested the same amount in this subsidiary so there is no growth throughout 2014 to 2017 but the growth in 2013 is 1038.57%. The overall chart is clearly given. </w:t>
      </w:r>
    </w:p>
    <w:p w:rsidR="00C44478" w:rsidRPr="00AF3299" w:rsidRDefault="00C44478" w:rsidP="00706314">
      <w:pPr>
        <w:pStyle w:val="Heading3"/>
        <w:numPr>
          <w:ilvl w:val="3"/>
          <w:numId w:val="18"/>
        </w:numPr>
      </w:pPr>
      <w:bookmarkStart w:id="68" w:name="_Toc523576026"/>
      <w:r w:rsidRPr="00AF3299">
        <w:t>BRAC Saajan Ltd.</w:t>
      </w:r>
      <w:bookmarkEnd w:id="68"/>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BRAC Saajan Limited is one of the subsidiary of BRAC Bank incorporated in England and Wales. It is an exchange service from where people can send money from Bangladesh to Europe. In other words, they provide remittence service to large communities living outside of Bangladesh.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B-kash Ltd. is calculated by dividing the total amount of investment in B-kash Ltd. with the total amount of investment in financial assets.</w:t>
      </w:r>
    </w:p>
    <w:tbl>
      <w:tblPr>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1227"/>
        <w:gridCol w:w="1268"/>
        <w:gridCol w:w="1259"/>
        <w:gridCol w:w="1257"/>
        <w:gridCol w:w="1270"/>
      </w:tblGrid>
      <w:tr w:rsidR="0038242D" w:rsidRPr="00AF3299" w:rsidTr="00706314">
        <w:tc>
          <w:tcPr>
            <w:tcW w:w="1602"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8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68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68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68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06314">
        <w:tc>
          <w:tcPr>
            <w:tcW w:w="1602"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7"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r>
      <w:tr w:rsidR="0038242D" w:rsidRPr="00AF3299" w:rsidTr="00706314">
        <w:tc>
          <w:tcPr>
            <w:tcW w:w="1602"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66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0.28%</w:t>
            </w:r>
          </w:p>
        </w:tc>
        <w:tc>
          <w:tcPr>
            <w:tcW w:w="68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0.25%</w:t>
            </w:r>
          </w:p>
        </w:tc>
        <w:tc>
          <w:tcPr>
            <w:tcW w:w="68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0.30%</w:t>
            </w:r>
          </w:p>
        </w:tc>
        <w:tc>
          <w:tcPr>
            <w:tcW w:w="68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0.26%</w:t>
            </w:r>
          </w:p>
        </w:tc>
        <w:tc>
          <w:tcPr>
            <w:tcW w:w="68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0.24%</w:t>
            </w:r>
          </w:p>
        </w:tc>
      </w:tr>
    </w:tbl>
    <w:p w:rsidR="00C44478" w:rsidRPr="00AF3299" w:rsidRDefault="00706314" w:rsidP="00AF3299">
      <w:pPr>
        <w:rPr>
          <w:rFonts w:ascii="Times New Roman" w:hAnsi="Times New Roman"/>
        </w:rPr>
      </w:pPr>
      <w:r w:rsidRPr="00AF3299">
        <w:rPr>
          <w:rFonts w:ascii="Times New Roman" w:hAnsi="Times New Roman"/>
          <w:noProof/>
        </w:rPr>
        <w:drawing>
          <wp:anchor distT="6096" distB="6096" distL="120396" distR="120396" simplePos="0" relativeHeight="251716608" behindDoc="0" locked="0" layoutInCell="1" allowOverlap="1">
            <wp:simplePos x="0" y="0"/>
            <wp:positionH relativeFrom="margin">
              <wp:align>right</wp:align>
            </wp:positionH>
            <wp:positionV relativeFrom="paragraph">
              <wp:posOffset>1043940</wp:posOffset>
            </wp:positionV>
            <wp:extent cx="5720715" cy="1927225"/>
            <wp:effectExtent l="0" t="0" r="13335" b="15875"/>
            <wp:wrapTopAndBottom/>
            <wp:docPr id="12" name="Chart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margin">
              <wp14:pctWidth>0</wp14:pctWidth>
            </wp14:sizeRelH>
            <wp14:sizeRelV relativeFrom="margin">
              <wp14:pctHeight>0</wp14:pctHeight>
            </wp14:sizeRelV>
          </wp:anchor>
        </w:drawing>
      </w:r>
    </w:p>
    <w:p w:rsidR="00706314" w:rsidRDefault="00706314"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rate of investment in subsidiaries are 0.28%, 0.25%, 0.30%, 0.26% and 0.24% from 2013 to 2017. BRAC Bank invested the same amount in this subsidiary so there is no growth throughout 2013 to 2017. The overall chart is clearly given. </w:t>
      </w:r>
    </w:p>
    <w:p w:rsidR="00C44478" w:rsidRPr="00AF3299" w:rsidRDefault="00C44478" w:rsidP="00706314">
      <w:pPr>
        <w:pStyle w:val="Heading3"/>
        <w:numPr>
          <w:ilvl w:val="3"/>
          <w:numId w:val="18"/>
        </w:numPr>
      </w:pPr>
      <w:bookmarkStart w:id="69" w:name="_Toc523576027"/>
      <w:r w:rsidRPr="00AF3299">
        <w:t>BRAC IT Services Ltd.</w:t>
      </w:r>
      <w:bookmarkEnd w:id="69"/>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BRAC IT Services ltd. is one of the largest service providing organization in IT industry of Bangladesh. It was owned by BRAC Bank Ltd. in 1999. By 2013, BRAC Bank acquired 51% of its equity and merged it with their IT services and renamed BRAC IT Services Ltd. on October 2017 BRAC Bank Ltd. acquired most of the equity and became its subsidiary. </w:t>
      </w:r>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investment of BBL in B-kash Ltd. is calculated by dividing the total amount of investment in B-kash Ltd. with the total amount of investment in financial assets.</w:t>
      </w:r>
    </w:p>
    <w:tbl>
      <w:tblPr>
        <w:tblpPr w:leftFromText="180" w:rightFromText="180" w:vertAnchor="text" w:horzAnchor="margin" w:tblpXSpec="center" w:tblpY="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1228"/>
        <w:gridCol w:w="1269"/>
        <w:gridCol w:w="1259"/>
        <w:gridCol w:w="1257"/>
        <w:gridCol w:w="1240"/>
      </w:tblGrid>
      <w:tr w:rsidR="0038242D" w:rsidRPr="00AF3299" w:rsidTr="00706314">
        <w:tc>
          <w:tcPr>
            <w:tcW w:w="161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66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8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68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68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67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06314">
        <w:tc>
          <w:tcPr>
            <w:tcW w:w="1617"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66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6"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8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w:t>
            </w:r>
          </w:p>
        </w:tc>
        <w:tc>
          <w:tcPr>
            <w:tcW w:w="67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-100%</w:t>
            </w:r>
          </w:p>
        </w:tc>
      </w:tr>
      <w:tr w:rsidR="0038242D" w:rsidRPr="00AF3299" w:rsidTr="00706314">
        <w:tc>
          <w:tcPr>
            <w:tcW w:w="1617"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 xml:space="preserve">Percentage of Total </w:t>
            </w:r>
            <w:r w:rsidRPr="00AF3299">
              <w:rPr>
                <w:rFonts w:ascii="Times New Roman" w:hAnsi="Times New Roman"/>
                <w:b/>
                <w:bCs/>
              </w:rPr>
              <w:lastRenderedPageBreak/>
              <w:t>Investment</w:t>
            </w:r>
          </w:p>
        </w:tc>
        <w:tc>
          <w:tcPr>
            <w:tcW w:w="66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lastRenderedPageBreak/>
              <w:t>0.15%</w:t>
            </w:r>
          </w:p>
        </w:tc>
        <w:tc>
          <w:tcPr>
            <w:tcW w:w="686"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0.13%</w:t>
            </w:r>
          </w:p>
        </w:tc>
        <w:tc>
          <w:tcPr>
            <w:tcW w:w="68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0.16%</w:t>
            </w:r>
          </w:p>
        </w:tc>
        <w:tc>
          <w:tcPr>
            <w:tcW w:w="68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0.14%</w:t>
            </w:r>
          </w:p>
        </w:tc>
        <w:tc>
          <w:tcPr>
            <w:tcW w:w="67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0.00%</w:t>
            </w:r>
          </w:p>
        </w:tc>
      </w:tr>
    </w:tbl>
    <w:p w:rsidR="00C44478" w:rsidRPr="00AF3299" w:rsidRDefault="00706314" w:rsidP="00AF3299">
      <w:pPr>
        <w:rPr>
          <w:rFonts w:ascii="Times New Roman" w:hAnsi="Times New Roman"/>
        </w:rPr>
      </w:pPr>
      <w:r w:rsidRPr="00AF3299">
        <w:rPr>
          <w:rFonts w:ascii="Times New Roman" w:hAnsi="Times New Roman"/>
          <w:noProof/>
        </w:rPr>
        <w:lastRenderedPageBreak/>
        <w:drawing>
          <wp:anchor distT="6096" distB="6096" distL="120396" distR="120396" simplePos="0" relativeHeight="251717632" behindDoc="0" locked="0" layoutInCell="1" allowOverlap="1">
            <wp:simplePos x="0" y="0"/>
            <wp:positionH relativeFrom="margin">
              <wp:align>right</wp:align>
            </wp:positionH>
            <wp:positionV relativeFrom="paragraph">
              <wp:posOffset>1270</wp:posOffset>
            </wp:positionV>
            <wp:extent cx="5720715" cy="2199005"/>
            <wp:effectExtent l="0" t="0" r="13335" b="10795"/>
            <wp:wrapTopAndBottom/>
            <wp:docPr id="11" name="Chart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margin">
              <wp14:pctWidth>0</wp14:pctWidth>
            </wp14:sizeRelH>
            <wp14:sizeRelV relativeFrom="margin">
              <wp14:pctHeight>0</wp14:pctHeight>
            </wp14:sizeRelV>
          </wp:anchor>
        </w:drawing>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percentage rate of investment in subsidiaries are 0.15%, 0.13%, 0.16%, 0.14% and 0.00% from 2013 to 2017. BRAC Bank invested the same amount in this subsidiary so there is no growth throughout 2013 to 2016. They didn't invest in BRAC IT Services Ltd. in 2017. The overall chart is clearly given. </w:t>
      </w:r>
    </w:p>
    <w:p w:rsidR="00C44478" w:rsidRPr="00AF3299" w:rsidRDefault="00C44478" w:rsidP="007C57FE">
      <w:pPr>
        <w:pStyle w:val="Heading1"/>
        <w:numPr>
          <w:ilvl w:val="1"/>
          <w:numId w:val="18"/>
        </w:numPr>
      </w:pPr>
      <w:bookmarkStart w:id="70" w:name="_Toc523576028"/>
      <w:r w:rsidRPr="00AF3299">
        <w:t>Comparison among Investment as per Classification</w:t>
      </w:r>
      <w:bookmarkEnd w:id="70"/>
    </w:p>
    <w:p w:rsidR="00C44478" w:rsidRPr="00AF3299" w:rsidRDefault="00C44478" w:rsidP="00706314">
      <w:pPr>
        <w:pStyle w:val="Heading3"/>
        <w:numPr>
          <w:ilvl w:val="2"/>
          <w:numId w:val="18"/>
        </w:numPr>
      </w:pPr>
      <w:bookmarkStart w:id="71" w:name="_Toc523576029"/>
      <w:r w:rsidRPr="00AF3299">
        <w:t>General Investment Classification</w:t>
      </w:r>
      <w:bookmarkEnd w:id="71"/>
    </w:p>
    <w:p w:rsidR="00C44478" w:rsidRPr="00AF3299" w:rsidRDefault="00C44478" w:rsidP="00AF3299">
      <w:pPr>
        <w:jc w:val="both"/>
        <w:rPr>
          <w:rFonts w:ascii="Times New Roman" w:hAnsi="Times New Roman"/>
          <w:sz w:val="24"/>
        </w:rPr>
      </w:pPr>
      <w:r w:rsidRPr="00AF3299">
        <w:rPr>
          <w:rFonts w:ascii="Times New Roman" w:hAnsi="Times New Roman"/>
          <w:sz w:val="24"/>
        </w:rPr>
        <w:t>With the ordinary investment classification, the growth rates of investment of BBL in each sector are charted below.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1116"/>
        <w:gridCol w:w="1116"/>
        <w:gridCol w:w="1116"/>
        <w:gridCol w:w="1116"/>
        <w:gridCol w:w="1117"/>
      </w:tblGrid>
      <w:tr w:rsidR="00C44478" w:rsidRPr="00AF3299" w:rsidTr="00706314">
        <w:trPr>
          <w:trHeight w:val="300"/>
          <w:jc w:val="center"/>
        </w:trPr>
        <w:tc>
          <w:tcPr>
            <w:tcW w:w="990"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sz w:val="24"/>
                <w:szCs w:val="24"/>
              </w:rPr>
            </w:pPr>
          </w:p>
        </w:tc>
        <w:tc>
          <w:tcPr>
            <w:tcW w:w="802"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bCs/>
                <w:color w:val="000000"/>
              </w:rPr>
            </w:pPr>
            <w:r w:rsidRPr="00AF3299">
              <w:rPr>
                <w:rFonts w:ascii="Times New Roman" w:eastAsia="Times New Roman" w:hAnsi="Times New Roman"/>
                <w:b/>
                <w:bCs/>
                <w:color w:val="000000"/>
              </w:rPr>
              <w:t>2013</w:t>
            </w:r>
          </w:p>
        </w:tc>
        <w:tc>
          <w:tcPr>
            <w:tcW w:w="802"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2014</w:t>
            </w:r>
          </w:p>
        </w:tc>
        <w:tc>
          <w:tcPr>
            <w:tcW w:w="802"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2015</w:t>
            </w:r>
          </w:p>
        </w:tc>
        <w:tc>
          <w:tcPr>
            <w:tcW w:w="802"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2016</w:t>
            </w:r>
          </w:p>
        </w:tc>
        <w:tc>
          <w:tcPr>
            <w:tcW w:w="802"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2017</w:t>
            </w:r>
          </w:p>
        </w:tc>
      </w:tr>
      <w:tr w:rsidR="00C44478" w:rsidRPr="00AF3299" w:rsidTr="00706314">
        <w:trPr>
          <w:trHeight w:val="300"/>
          <w:jc w:val="center"/>
        </w:trPr>
        <w:tc>
          <w:tcPr>
            <w:tcW w:w="990" w:type="pct"/>
            <w:shd w:val="clear" w:color="auto" w:fill="auto"/>
            <w:noWrap/>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Growth Rate of Government Securities</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eastAsia="Times New Roman" w:hAnsi="Times New Roman"/>
                <w:color w:val="000000"/>
              </w:rPr>
              <w:t>-11%</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eastAsia="Times New Roman" w:hAnsi="Times New Roman"/>
                <w:color w:val="000000"/>
              </w:rPr>
              <w:t>6%</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eastAsia="Times New Roman" w:hAnsi="Times New Roman"/>
                <w:color w:val="000000"/>
              </w:rPr>
              <w:t>-27%</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eastAsia="Times New Roman" w:hAnsi="Times New Roman"/>
                <w:color w:val="000000"/>
              </w:rPr>
              <w:t>14%</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eastAsia="Times New Roman" w:hAnsi="Times New Roman"/>
                <w:color w:val="000000"/>
              </w:rPr>
              <w:t>13%</w:t>
            </w:r>
          </w:p>
        </w:tc>
      </w:tr>
      <w:tr w:rsidR="00C44478" w:rsidRPr="00AF3299" w:rsidTr="00706314">
        <w:trPr>
          <w:trHeight w:val="300"/>
          <w:jc w:val="center"/>
        </w:trPr>
        <w:tc>
          <w:tcPr>
            <w:tcW w:w="990" w:type="pct"/>
            <w:shd w:val="clear" w:color="auto" w:fill="auto"/>
            <w:noWrap/>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Growth Rate of Other Investment</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-44.98%</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72.71%</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43.74%</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13.39%</w:t>
            </w:r>
          </w:p>
        </w:tc>
        <w:tc>
          <w:tcPr>
            <w:tcW w:w="802"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6.08%</w:t>
            </w:r>
          </w:p>
        </w:tc>
      </w:tr>
    </w:tbl>
    <w:p w:rsidR="00C44478" w:rsidRPr="00AF3299" w:rsidRDefault="00706314" w:rsidP="00AF3299">
      <w:pPr>
        <w:jc w:val="both"/>
        <w:rPr>
          <w:rFonts w:ascii="Times New Roman" w:hAnsi="Times New Roman"/>
          <w:sz w:val="24"/>
        </w:rPr>
      </w:pPr>
      <w:r w:rsidRPr="00AF3299">
        <w:rPr>
          <w:rFonts w:ascii="Times New Roman" w:hAnsi="Times New Roman"/>
          <w:noProof/>
        </w:rPr>
        <w:drawing>
          <wp:anchor distT="6096" distB="6096" distL="120396" distR="120396" simplePos="0" relativeHeight="251724800" behindDoc="0" locked="0" layoutInCell="1" allowOverlap="1">
            <wp:simplePos x="0" y="0"/>
            <wp:positionH relativeFrom="margin">
              <wp:align>right</wp:align>
            </wp:positionH>
            <wp:positionV relativeFrom="paragraph">
              <wp:posOffset>260985</wp:posOffset>
            </wp:positionV>
            <wp:extent cx="5744845" cy="2100580"/>
            <wp:effectExtent l="0" t="0" r="8255" b="13970"/>
            <wp:wrapTopAndBottom/>
            <wp:docPr id="10" name="Chart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14:sizeRelH relativeFrom="page">
              <wp14:pctWidth>0</wp14:pctWidth>
            </wp14:sizeRelH>
            <wp14:sizeRelV relativeFrom="margin">
              <wp14:pctHeight>0</wp14:pctHeight>
            </wp14:sizeRelV>
          </wp:anchor>
        </w:drawing>
      </w:r>
    </w:p>
    <w:p w:rsidR="00706314" w:rsidRDefault="00706314" w:rsidP="00AF3299">
      <w:pPr>
        <w:jc w:val="both"/>
        <w:rPr>
          <w:rFonts w:ascii="Times New Roman" w:hAnsi="Times New Roman"/>
          <w:sz w:val="24"/>
        </w:rPr>
      </w:pPr>
    </w:p>
    <w:p w:rsidR="00C44478" w:rsidRPr="00706314" w:rsidRDefault="00C44478" w:rsidP="00706314">
      <w:pPr>
        <w:jc w:val="both"/>
        <w:rPr>
          <w:rFonts w:ascii="Times New Roman" w:hAnsi="Times New Roman"/>
          <w:sz w:val="24"/>
        </w:rPr>
      </w:pPr>
      <w:r w:rsidRPr="00AF3299">
        <w:rPr>
          <w:rFonts w:ascii="Times New Roman" w:hAnsi="Times New Roman"/>
          <w:sz w:val="24"/>
        </w:rPr>
        <w:t xml:space="preserve">From chart it is being showed that there is positive growth rate of investment of BBL in government securities except 2013 and 2015. At the same year there is positive growth rate of investment in other sector but has negative growth rate in 2013. So from the interpretation it is clarified that BBL invest more in government securities than investment in others because </w:t>
      </w:r>
      <w:r w:rsidRPr="00AF3299">
        <w:rPr>
          <w:rFonts w:ascii="Times New Roman" w:hAnsi="Times New Roman"/>
          <w:sz w:val="24"/>
        </w:rPr>
        <w:lastRenderedPageBreak/>
        <w:t xml:space="preserve">government securities are low- risk or risk-free investment and they are backed by the taxing power of government. </w:t>
      </w:r>
    </w:p>
    <w:p w:rsidR="00C44478" w:rsidRPr="00706314" w:rsidRDefault="00C44478" w:rsidP="00706314">
      <w:pPr>
        <w:jc w:val="both"/>
        <w:rPr>
          <w:rFonts w:ascii="Times New Roman" w:hAnsi="Times New Roman"/>
          <w:sz w:val="24"/>
        </w:rPr>
      </w:pPr>
      <w:r w:rsidRPr="00AF3299">
        <w:rPr>
          <w:rFonts w:ascii="Times New Roman" w:hAnsi="Times New Roman"/>
          <w:sz w:val="24"/>
        </w:rPr>
        <w:t>On the other hand, there is negative growth rate of investment of BBL in other securities in 2013. In 2014 to 2017 there is positive growth rate. It may be happened for some political reason that has attracted BBL to invest in other sectored more than invest in government securities. But in a word it can be said that BBL normally invest more in government securities than invest in other securities for the low risk of investment.</w:t>
      </w:r>
      <w:r w:rsidR="00706314">
        <w:rPr>
          <w:rFonts w:ascii="Times New Roman" w:hAnsi="Times New Roman"/>
          <w:sz w:val="24"/>
        </w:rPr>
        <w:t xml:space="preserve"> </w:t>
      </w:r>
    </w:p>
    <w:p w:rsidR="00C44478" w:rsidRPr="00AF3299" w:rsidRDefault="00C44478" w:rsidP="00706314">
      <w:pPr>
        <w:pStyle w:val="Heading3"/>
        <w:numPr>
          <w:ilvl w:val="2"/>
          <w:numId w:val="18"/>
        </w:numPr>
      </w:pPr>
      <w:bookmarkStart w:id="72" w:name="_Toc523576030"/>
      <w:r w:rsidRPr="00AF3299">
        <w:t>Classification as Maturity Grouping Investment</w:t>
      </w:r>
      <w:bookmarkEnd w:id="72"/>
    </w:p>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Depending on maturity grouping investment, there are five types of investments of BBL.</w:t>
      </w:r>
    </w:p>
    <w:p w:rsidR="00C44478" w:rsidRPr="00AF3299" w:rsidRDefault="00F427B1" w:rsidP="00AF3299">
      <w:pPr>
        <w:jc w:val="both"/>
        <w:rPr>
          <w:rFonts w:ascii="Times New Roman" w:hAnsi="Times New Roman"/>
          <w:sz w:val="24"/>
          <w:szCs w:val="24"/>
        </w:rPr>
      </w:pPr>
      <w:r w:rsidRPr="00AF3299">
        <w:rPr>
          <w:rFonts w:ascii="Times New Roman" w:hAnsi="Times New Roman"/>
          <w:noProof/>
          <w:sz w:val="24"/>
          <w:szCs w:val="24"/>
        </w:rPr>
        <w:drawing>
          <wp:inline distT="0" distB="0" distL="0" distR="0">
            <wp:extent cx="5911215" cy="1943100"/>
            <wp:effectExtent l="0" t="0" r="13335" b="0"/>
            <wp:docPr id="1" name="Diagram 6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tbl>
      <w:tblPr>
        <w:tblpPr w:leftFromText="180" w:rightFromText="180" w:vertAnchor="text" w:horzAnchor="margin" w:tblpXSpec="center" w:tblpY="5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8"/>
        <w:gridCol w:w="1010"/>
        <w:gridCol w:w="984"/>
        <w:gridCol w:w="1035"/>
        <w:gridCol w:w="1035"/>
        <w:gridCol w:w="961"/>
      </w:tblGrid>
      <w:tr w:rsidR="00C44478" w:rsidRPr="00AF3299" w:rsidTr="00706314">
        <w:trPr>
          <w:trHeight w:val="300"/>
        </w:trPr>
        <w:tc>
          <w:tcPr>
            <w:tcW w:w="2115"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sz w:val="24"/>
                <w:szCs w:val="24"/>
              </w:rPr>
            </w:pPr>
          </w:p>
        </w:tc>
        <w:tc>
          <w:tcPr>
            <w:tcW w:w="580"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bCs/>
                <w:color w:val="000000"/>
              </w:rPr>
            </w:pPr>
            <w:r w:rsidRPr="00AF3299">
              <w:rPr>
                <w:rFonts w:ascii="Times New Roman" w:eastAsia="Times New Roman" w:hAnsi="Times New Roman"/>
                <w:b/>
                <w:bCs/>
                <w:color w:val="000000"/>
              </w:rPr>
              <w:t>2013</w:t>
            </w:r>
          </w:p>
        </w:tc>
        <w:tc>
          <w:tcPr>
            <w:tcW w:w="566"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2014</w:t>
            </w:r>
          </w:p>
        </w:tc>
        <w:tc>
          <w:tcPr>
            <w:tcW w:w="593"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2015</w:t>
            </w:r>
          </w:p>
        </w:tc>
        <w:tc>
          <w:tcPr>
            <w:tcW w:w="593"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2016</w:t>
            </w:r>
          </w:p>
        </w:tc>
        <w:tc>
          <w:tcPr>
            <w:tcW w:w="554" w:type="pct"/>
            <w:shd w:val="clear" w:color="auto" w:fill="auto"/>
            <w:noWrap/>
            <w:vAlign w:val="center"/>
            <w:hideMark/>
          </w:tcPr>
          <w:p w:rsidR="00C44478" w:rsidRPr="00AF3299" w:rsidRDefault="00C44478" w:rsidP="00AF3299">
            <w:pPr>
              <w:spacing w:after="0"/>
              <w:jc w:val="center"/>
              <w:rPr>
                <w:rFonts w:ascii="Times New Roman" w:eastAsia="Times New Roman" w:hAnsi="Times New Roman"/>
                <w:b/>
                <w:color w:val="000000"/>
              </w:rPr>
            </w:pPr>
            <w:r w:rsidRPr="00AF3299">
              <w:rPr>
                <w:rFonts w:ascii="Times New Roman" w:eastAsia="Times New Roman" w:hAnsi="Times New Roman"/>
                <w:b/>
                <w:color w:val="000000"/>
              </w:rPr>
              <w:t>2017</w:t>
            </w:r>
          </w:p>
        </w:tc>
      </w:tr>
      <w:tr w:rsidR="00C44478" w:rsidRPr="00AF3299" w:rsidTr="00706314">
        <w:trPr>
          <w:trHeight w:val="300"/>
        </w:trPr>
        <w:tc>
          <w:tcPr>
            <w:tcW w:w="2115"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Growth Rate of upto 1 month</w:t>
            </w:r>
          </w:p>
        </w:tc>
        <w:tc>
          <w:tcPr>
            <w:tcW w:w="580"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-56.13%</w:t>
            </w:r>
          </w:p>
        </w:tc>
        <w:tc>
          <w:tcPr>
            <w:tcW w:w="566"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-7.74%</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-11.28%</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44.49%</w:t>
            </w:r>
          </w:p>
        </w:tc>
        <w:tc>
          <w:tcPr>
            <w:tcW w:w="554"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6.20%</w:t>
            </w:r>
          </w:p>
        </w:tc>
      </w:tr>
      <w:tr w:rsidR="00C44478" w:rsidRPr="00AF3299" w:rsidTr="00706314">
        <w:trPr>
          <w:trHeight w:val="300"/>
        </w:trPr>
        <w:tc>
          <w:tcPr>
            <w:tcW w:w="2115"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Growth Rate of more 1 month to 3 months</w:t>
            </w:r>
          </w:p>
        </w:tc>
        <w:tc>
          <w:tcPr>
            <w:tcW w:w="580"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-12.57%</w:t>
            </w:r>
          </w:p>
        </w:tc>
        <w:tc>
          <w:tcPr>
            <w:tcW w:w="566"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-94.14%</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-100%</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0%</w:t>
            </w:r>
          </w:p>
        </w:tc>
        <w:tc>
          <w:tcPr>
            <w:tcW w:w="554"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33.44%</w:t>
            </w:r>
          </w:p>
        </w:tc>
      </w:tr>
      <w:tr w:rsidR="00C44478" w:rsidRPr="00AF3299" w:rsidTr="00706314">
        <w:trPr>
          <w:trHeight w:val="300"/>
        </w:trPr>
        <w:tc>
          <w:tcPr>
            <w:tcW w:w="2115"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Growth Rate of more than 3 months to 1 year</w:t>
            </w:r>
          </w:p>
        </w:tc>
        <w:tc>
          <w:tcPr>
            <w:tcW w:w="580"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-15.45%</w:t>
            </w:r>
          </w:p>
        </w:tc>
        <w:tc>
          <w:tcPr>
            <w:tcW w:w="566"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-29.25%</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-10.31%</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-42.27%</w:t>
            </w:r>
          </w:p>
        </w:tc>
        <w:tc>
          <w:tcPr>
            <w:tcW w:w="554"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-1.23%</w:t>
            </w:r>
          </w:p>
        </w:tc>
      </w:tr>
      <w:tr w:rsidR="00C44478" w:rsidRPr="00AF3299" w:rsidTr="00706314">
        <w:trPr>
          <w:trHeight w:val="300"/>
        </w:trPr>
        <w:tc>
          <w:tcPr>
            <w:tcW w:w="2115"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Growth Rate of more than 1 year to 5 years</w:t>
            </w:r>
          </w:p>
        </w:tc>
        <w:tc>
          <w:tcPr>
            <w:tcW w:w="580"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31.50%</w:t>
            </w:r>
          </w:p>
        </w:tc>
        <w:tc>
          <w:tcPr>
            <w:tcW w:w="566"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21.41%</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-53.80%</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61.79%</w:t>
            </w:r>
          </w:p>
        </w:tc>
        <w:tc>
          <w:tcPr>
            <w:tcW w:w="554"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51.92%</w:t>
            </w:r>
          </w:p>
        </w:tc>
      </w:tr>
      <w:tr w:rsidR="00C44478" w:rsidRPr="00AF3299" w:rsidTr="00706314">
        <w:trPr>
          <w:trHeight w:val="300"/>
        </w:trPr>
        <w:tc>
          <w:tcPr>
            <w:tcW w:w="2115"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Growth Rate of more than 5 years</w:t>
            </w:r>
          </w:p>
        </w:tc>
        <w:tc>
          <w:tcPr>
            <w:tcW w:w="580"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10.47%</w:t>
            </w:r>
          </w:p>
        </w:tc>
        <w:tc>
          <w:tcPr>
            <w:tcW w:w="566"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53.76%</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4.82%</w:t>
            </w:r>
          </w:p>
        </w:tc>
        <w:tc>
          <w:tcPr>
            <w:tcW w:w="593"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-6.33%</w:t>
            </w:r>
          </w:p>
        </w:tc>
        <w:tc>
          <w:tcPr>
            <w:tcW w:w="554" w:type="pct"/>
            <w:shd w:val="clear" w:color="auto" w:fill="auto"/>
            <w:noWrap/>
            <w:vAlign w:val="center"/>
          </w:tcPr>
          <w:p w:rsidR="00C44478" w:rsidRPr="00AF3299" w:rsidRDefault="00C44478" w:rsidP="00AF3299">
            <w:pPr>
              <w:jc w:val="center"/>
              <w:rPr>
                <w:rFonts w:ascii="Times New Roman" w:hAnsi="Times New Roman"/>
              </w:rPr>
            </w:pPr>
            <w:r w:rsidRPr="00AF3299">
              <w:rPr>
                <w:rFonts w:ascii="Times New Roman" w:hAnsi="Times New Roman"/>
              </w:rPr>
              <w:t>-8.13%</w:t>
            </w:r>
          </w:p>
        </w:tc>
      </w:tr>
    </w:tbl>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 xml:space="preserve">The following is the chart for growth rate for different maturity segment- </w:t>
      </w:r>
    </w:p>
    <w:p w:rsidR="00C44478" w:rsidRPr="00AF3299" w:rsidRDefault="00706314" w:rsidP="00AF3299">
      <w:pPr>
        <w:jc w:val="both"/>
        <w:rPr>
          <w:rFonts w:ascii="Times New Roman" w:hAnsi="Times New Roman"/>
          <w:sz w:val="24"/>
          <w:szCs w:val="24"/>
        </w:rPr>
      </w:pPr>
      <w:r w:rsidRPr="00AF3299">
        <w:rPr>
          <w:rFonts w:ascii="Times New Roman" w:hAnsi="Times New Roman"/>
          <w:noProof/>
        </w:rPr>
        <w:lastRenderedPageBreak/>
        <w:drawing>
          <wp:anchor distT="6096" distB="7620" distL="120396" distR="121158" simplePos="0" relativeHeight="251725824" behindDoc="0" locked="0" layoutInCell="1" allowOverlap="1">
            <wp:simplePos x="0" y="0"/>
            <wp:positionH relativeFrom="margin">
              <wp:align>right</wp:align>
            </wp:positionH>
            <wp:positionV relativeFrom="paragraph">
              <wp:posOffset>2065655</wp:posOffset>
            </wp:positionV>
            <wp:extent cx="5720715" cy="2693670"/>
            <wp:effectExtent l="0" t="0" r="13335" b="11430"/>
            <wp:wrapTopAndBottom/>
            <wp:docPr id="9" name="Chart 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margin">
              <wp14:pctWidth>0</wp14:pctWidth>
            </wp14:sizeRelH>
            <wp14:sizeRelV relativeFrom="margin">
              <wp14:pctHeight>0</wp14:pctHeight>
            </wp14:sizeRelV>
          </wp:anchor>
        </w:drawing>
      </w:r>
    </w:p>
    <w:p w:rsidR="00C44478" w:rsidRPr="00AF3299" w:rsidRDefault="00C44478" w:rsidP="00AF3299">
      <w:pPr>
        <w:jc w:val="both"/>
        <w:rPr>
          <w:rFonts w:ascii="Times New Roman" w:hAnsi="Times New Roman"/>
          <w:sz w:val="24"/>
          <w:szCs w:val="24"/>
        </w:rPr>
      </w:pPr>
    </w:p>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 xml:space="preserve">In 2013, there is highest positive growth rate at investment in more than 1 year to 5 years. There is a positive growth rate of investment in more than 5 years investment. The chart is showing negative growth rates in other maturity wise investment. </w:t>
      </w:r>
    </w:p>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 xml:space="preserve">In 2014, the highest positive growth rate is in more than 5 years maturity wise investment. There is also significant positive growth in more than 1 year to 5 years investment. From upto 1 month through more than 3 months to 1 year we can observe that there are negative growth rates. </w:t>
      </w:r>
    </w:p>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 xml:space="preserve">In 2015, the highest positive growth rate is being shown at investment in more than 5 years but in 2016 and 2017 the highest positive growth rate is being shown at investment in more than 1 year to 5 years. </w:t>
      </w:r>
    </w:p>
    <w:p w:rsidR="00C44478" w:rsidRPr="00AF3299" w:rsidRDefault="00C44478" w:rsidP="00AF3299">
      <w:pPr>
        <w:jc w:val="both"/>
        <w:rPr>
          <w:rFonts w:ascii="Times New Roman" w:hAnsi="Times New Roman"/>
          <w:sz w:val="24"/>
          <w:szCs w:val="24"/>
        </w:rPr>
      </w:pPr>
      <w:r w:rsidRPr="00AF3299">
        <w:rPr>
          <w:rFonts w:ascii="Times New Roman" w:hAnsi="Times New Roman"/>
          <w:sz w:val="24"/>
          <w:szCs w:val="24"/>
        </w:rPr>
        <w:t>So it can be said that BBL has invested significantly in more than 1 year to 5 years and more than 5 years segment in different year from 2013 to 2017. But the investment amount in financial assets over maturity grouping is average than investment in other sector. For this reason year to year there is lots of negative growing rate of investment in different sectors.</w:t>
      </w:r>
    </w:p>
    <w:p w:rsidR="00C44478" w:rsidRPr="00AF3299" w:rsidRDefault="00C44478" w:rsidP="007F4731">
      <w:pPr>
        <w:pStyle w:val="Heading1"/>
        <w:numPr>
          <w:ilvl w:val="1"/>
          <w:numId w:val="18"/>
        </w:numPr>
        <w:spacing w:line="276" w:lineRule="auto"/>
        <w:rPr>
          <w:rFonts w:ascii="Times New Roman" w:hAnsi="Times New Roman"/>
        </w:rPr>
      </w:pPr>
      <w:bookmarkStart w:id="73" w:name="_Toc523576031"/>
      <w:r w:rsidRPr="00AF3299">
        <w:rPr>
          <w:rFonts w:ascii="Times New Roman" w:hAnsi="Times New Roman"/>
        </w:rPr>
        <w:t>Proportion of Investment and Investment Income</w:t>
      </w:r>
      <w:bookmarkEnd w:id="73"/>
    </w:p>
    <w:p w:rsidR="00C44478" w:rsidRPr="00AF3299" w:rsidRDefault="00C44478" w:rsidP="00AF3299">
      <w:pPr>
        <w:pStyle w:val="Heading2"/>
        <w:spacing w:line="276" w:lineRule="auto"/>
      </w:pPr>
      <w:bookmarkStart w:id="74" w:name="_Toc523576032"/>
      <w:r w:rsidRPr="00AF3299">
        <w:t>Investment Income on treasury bills and bonds</w:t>
      </w:r>
      <w:bookmarkEnd w:id="74"/>
    </w:p>
    <w:tbl>
      <w:tblPr>
        <w:tblpPr w:leftFromText="180" w:rightFromText="180" w:vertAnchor="text" w:horzAnchor="margin" w:tblpXSpec="center" w:tblpY="108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457"/>
        <w:gridCol w:w="1457"/>
        <w:gridCol w:w="1457"/>
        <w:gridCol w:w="1457"/>
        <w:gridCol w:w="1455"/>
      </w:tblGrid>
      <w:tr w:rsidR="0038242D" w:rsidRPr="00AF3299" w:rsidTr="007F4731">
        <w:tc>
          <w:tcPr>
            <w:tcW w:w="106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78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78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78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78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78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F4731">
        <w:tc>
          <w:tcPr>
            <w:tcW w:w="1061"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78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0.00%</w:t>
            </w:r>
          </w:p>
        </w:tc>
        <w:tc>
          <w:tcPr>
            <w:tcW w:w="78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7.29%</w:t>
            </w:r>
          </w:p>
        </w:tc>
        <w:tc>
          <w:tcPr>
            <w:tcW w:w="78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16.33%</w:t>
            </w:r>
          </w:p>
        </w:tc>
        <w:tc>
          <w:tcPr>
            <w:tcW w:w="78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-34.51%</w:t>
            </w:r>
          </w:p>
        </w:tc>
        <w:tc>
          <w:tcPr>
            <w:tcW w:w="78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-8.30%</w:t>
            </w:r>
          </w:p>
        </w:tc>
      </w:tr>
      <w:tr w:rsidR="0038242D" w:rsidRPr="00AF3299" w:rsidTr="007F4731">
        <w:tc>
          <w:tcPr>
            <w:tcW w:w="1061"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78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10.12%</w:t>
            </w:r>
          </w:p>
        </w:tc>
        <w:tc>
          <w:tcPr>
            <w:tcW w:w="78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9.67%</w:t>
            </w:r>
          </w:p>
        </w:tc>
        <w:tc>
          <w:tcPr>
            <w:tcW w:w="78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13.60%</w:t>
            </w:r>
          </w:p>
        </w:tc>
        <w:tc>
          <w:tcPr>
            <w:tcW w:w="78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7.83%</w:t>
            </w:r>
          </w:p>
        </w:tc>
        <w:tc>
          <w:tcPr>
            <w:tcW w:w="78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6.47%</w:t>
            </w:r>
          </w:p>
        </w:tc>
      </w:tr>
    </w:tbl>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 of income on Treasury bills and Bonds among the total investment incomes are calculated by dividing the investment income on treasury bills and Bonds with the total investment income of BBL.</w:t>
      </w:r>
    </w:p>
    <w:p w:rsidR="00C44478" w:rsidRPr="00AF3299" w:rsidRDefault="007F4731" w:rsidP="00AF3299">
      <w:pPr>
        <w:rPr>
          <w:rFonts w:ascii="Times New Roman" w:hAnsi="Times New Roman"/>
        </w:rPr>
      </w:pPr>
      <w:r w:rsidRPr="00AF3299">
        <w:rPr>
          <w:rFonts w:ascii="Times New Roman" w:hAnsi="Times New Roman"/>
          <w:noProof/>
        </w:rPr>
        <w:lastRenderedPageBreak/>
        <w:drawing>
          <wp:anchor distT="6096" distB="4191" distL="120396" distR="119253" simplePos="0" relativeHeight="251718656" behindDoc="0" locked="0" layoutInCell="1" allowOverlap="1">
            <wp:simplePos x="0" y="0"/>
            <wp:positionH relativeFrom="margin">
              <wp:align>right</wp:align>
            </wp:positionH>
            <wp:positionV relativeFrom="paragraph">
              <wp:posOffset>925830</wp:posOffset>
            </wp:positionV>
            <wp:extent cx="5720715" cy="2149475"/>
            <wp:effectExtent l="0" t="0" r="13335" b="3175"/>
            <wp:wrapTopAndBottom/>
            <wp:docPr id="8" name="Chart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14:sizeRelH relativeFrom="margin">
              <wp14:pctWidth>0</wp14:pctWidth>
            </wp14:sizeRelH>
            <wp14:sizeRelV relativeFrom="margin">
              <wp14:pctHeight>0</wp14:pctHeight>
            </wp14:sizeRelV>
          </wp:anchor>
        </w:drawing>
      </w:r>
    </w:p>
    <w:p w:rsidR="007F4731" w:rsidRDefault="007F4731"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 of investment income on treasury bills and Bonds are 10.12%, 9.67%, 13.60%, 7.83%, and 6.47% from 2013 to 2017. The highest growth rate of income is showing in 2015 which is 16.33% among total investment income. There is also a positive growth rate of income in 2014 but negative income growth from 2016 to 2017. Here, the investment income is not very significant for BBL.</w:t>
      </w:r>
    </w:p>
    <w:p w:rsidR="00C44478" w:rsidRPr="00AF3299" w:rsidRDefault="00C44478" w:rsidP="00AF3299">
      <w:pPr>
        <w:rPr>
          <w:rFonts w:ascii="Times New Roman" w:hAnsi="Times New Roman"/>
        </w:rPr>
      </w:pPr>
    </w:p>
    <w:p w:rsidR="00C44478" w:rsidRPr="00AF3299" w:rsidRDefault="00C44478" w:rsidP="00AF3299">
      <w:pPr>
        <w:pStyle w:val="Heading2"/>
        <w:spacing w:line="276" w:lineRule="auto"/>
      </w:pPr>
      <w:bookmarkStart w:id="75" w:name="_Toc523576033"/>
      <w:r w:rsidRPr="00AF3299">
        <w:t>Dividend on Ordinary Shares</w:t>
      </w:r>
      <w:bookmarkEnd w:id="75"/>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rates of dividend income on ordinary shares have been calculated here by dividing the dividend income on shares with the total investment income.</w:t>
      </w:r>
    </w:p>
    <w:tbl>
      <w:tblPr>
        <w:tblpPr w:leftFromText="180" w:rightFromText="180" w:vertAnchor="text" w:horzAnchor="margin" w:tblpXSpec="center"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1080"/>
        <w:gridCol w:w="1166"/>
        <w:gridCol w:w="1080"/>
        <w:gridCol w:w="1035"/>
        <w:gridCol w:w="1078"/>
      </w:tblGrid>
      <w:tr w:rsidR="0038242D" w:rsidRPr="00AF3299" w:rsidTr="007F4731">
        <w:tc>
          <w:tcPr>
            <w:tcW w:w="205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58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31"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58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56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584"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F4731">
        <w:tc>
          <w:tcPr>
            <w:tcW w:w="2058"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58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19.67%</w:t>
            </w:r>
          </w:p>
        </w:tc>
        <w:tc>
          <w:tcPr>
            <w:tcW w:w="631"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-29.24%</w:t>
            </w:r>
          </w:p>
        </w:tc>
        <w:tc>
          <w:tcPr>
            <w:tcW w:w="58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22.60%</w:t>
            </w:r>
          </w:p>
        </w:tc>
        <w:tc>
          <w:tcPr>
            <w:tcW w:w="56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-2.98%</w:t>
            </w:r>
          </w:p>
        </w:tc>
        <w:tc>
          <w:tcPr>
            <w:tcW w:w="584"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98.24%</w:t>
            </w:r>
          </w:p>
        </w:tc>
      </w:tr>
      <w:tr w:rsidR="0038242D" w:rsidRPr="00AF3299" w:rsidTr="007F4731">
        <w:tc>
          <w:tcPr>
            <w:tcW w:w="205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b/>
                <w:bCs/>
              </w:rPr>
              <w:t>Percentage of Total Investment</w:t>
            </w:r>
          </w:p>
          <w:p w:rsidR="00C44478" w:rsidRPr="00AF3299" w:rsidRDefault="00C44478" w:rsidP="00AF3299">
            <w:pPr>
              <w:spacing w:after="0"/>
              <w:jc w:val="center"/>
              <w:rPr>
                <w:rFonts w:ascii="Times New Roman" w:hAnsi="Times New Roman"/>
                <w:b/>
                <w:bCs/>
              </w:rPr>
            </w:pPr>
          </w:p>
        </w:tc>
        <w:tc>
          <w:tcPr>
            <w:tcW w:w="58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0.27%</w:t>
            </w:r>
          </w:p>
        </w:tc>
        <w:tc>
          <w:tcPr>
            <w:tcW w:w="631"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0.17%</w:t>
            </w:r>
          </w:p>
        </w:tc>
        <w:tc>
          <w:tcPr>
            <w:tcW w:w="58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0.25%</w:t>
            </w:r>
          </w:p>
        </w:tc>
        <w:tc>
          <w:tcPr>
            <w:tcW w:w="56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0.22%</w:t>
            </w:r>
          </w:p>
        </w:tc>
        <w:tc>
          <w:tcPr>
            <w:tcW w:w="584"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0.39%</w:t>
            </w:r>
          </w:p>
        </w:tc>
      </w:tr>
    </w:tbl>
    <w:p w:rsidR="00C44478" w:rsidRPr="00AF3299" w:rsidRDefault="007F4731" w:rsidP="00AF3299">
      <w:pPr>
        <w:rPr>
          <w:rFonts w:ascii="Times New Roman" w:hAnsi="Times New Roman"/>
        </w:rPr>
      </w:pPr>
      <w:r w:rsidRPr="00AF3299">
        <w:rPr>
          <w:rFonts w:ascii="Times New Roman" w:hAnsi="Times New Roman"/>
          <w:noProof/>
        </w:rPr>
        <w:drawing>
          <wp:anchor distT="6096" distB="3429" distL="120396" distR="120015" simplePos="0" relativeHeight="251720704" behindDoc="0" locked="0" layoutInCell="1" allowOverlap="1">
            <wp:simplePos x="0" y="0"/>
            <wp:positionH relativeFrom="margin">
              <wp:align>right</wp:align>
            </wp:positionH>
            <wp:positionV relativeFrom="paragraph">
              <wp:posOffset>1106170</wp:posOffset>
            </wp:positionV>
            <wp:extent cx="5720715" cy="2100580"/>
            <wp:effectExtent l="0" t="0" r="13335" b="13970"/>
            <wp:wrapTopAndBottom/>
            <wp:docPr id="7" name="Chart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14:sizeRelH relativeFrom="margin">
              <wp14:pctWidth>0</wp14:pctWidth>
            </wp14:sizeRelH>
            <wp14:sizeRelV relativeFrom="margin">
              <wp14:pctHeight>0</wp14:pctHeight>
            </wp14:sizeRelV>
          </wp:anchor>
        </w:drawing>
      </w:r>
    </w:p>
    <w:p w:rsidR="007F4731" w:rsidRDefault="007F4731"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lastRenderedPageBreak/>
        <w:t>Here, the percentage rates of dividend income on ordinary shares are 0.27%, 0.17%, 0.25%, 0.22% and 0.39% from 2013 to 2017. Though the growth rate of investment income on shares are showing negative in 2014 and 2016, there are positive growth rate of dividend income from 2013, 2015 and 2017. The significant growing rate on dividend income on ordinary shares in 2017 notifying here.</w:t>
      </w:r>
    </w:p>
    <w:p w:rsidR="00C44478" w:rsidRPr="00AF3299" w:rsidRDefault="00C44478" w:rsidP="00AF3299">
      <w:pPr>
        <w:pStyle w:val="Heading2"/>
        <w:spacing w:line="276" w:lineRule="auto"/>
      </w:pPr>
      <w:bookmarkStart w:id="76" w:name="_Toc523576034"/>
      <w:r w:rsidRPr="00AF3299">
        <w:t>Dividend on Preference Share</w:t>
      </w:r>
      <w:bookmarkEnd w:id="76"/>
    </w:p>
    <w:p w:rsidR="00C44478" w:rsidRPr="00AF3299" w:rsidRDefault="00C44478" w:rsidP="00AF3299">
      <w:pPr>
        <w:jc w:val="both"/>
        <w:rPr>
          <w:rFonts w:ascii="Times New Roman" w:hAnsi="Times New Roman"/>
          <w:sz w:val="24"/>
        </w:rPr>
      </w:pPr>
      <w:r w:rsidRPr="00AF3299">
        <w:rPr>
          <w:rFonts w:ascii="Times New Roman" w:hAnsi="Times New Roman"/>
          <w:sz w:val="24"/>
        </w:rPr>
        <w:t>The percentage rates of dividend income on preference shares have been calculated here by dividing the dividend income on preference shares with the total investment income.</w:t>
      </w:r>
    </w:p>
    <w:tbl>
      <w:tblPr>
        <w:tblpPr w:leftFromText="180" w:rightFromText="180" w:vertAnchor="text" w:horzAnchor="margin" w:tblpXSpec="center" w:tblpY="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7"/>
        <w:gridCol w:w="1161"/>
        <w:gridCol w:w="1161"/>
        <w:gridCol w:w="1030"/>
        <w:gridCol w:w="1161"/>
        <w:gridCol w:w="943"/>
      </w:tblGrid>
      <w:tr w:rsidR="0038242D" w:rsidRPr="00AF3299" w:rsidTr="007F4731">
        <w:tc>
          <w:tcPr>
            <w:tcW w:w="204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62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62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557"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628"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510"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F4731">
        <w:tc>
          <w:tcPr>
            <w:tcW w:w="2048"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62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-23.49%</w:t>
            </w:r>
          </w:p>
        </w:tc>
        <w:tc>
          <w:tcPr>
            <w:tcW w:w="62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-27.27%</w:t>
            </w:r>
          </w:p>
        </w:tc>
        <w:tc>
          <w:tcPr>
            <w:tcW w:w="557"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-4.99%</w:t>
            </w:r>
          </w:p>
        </w:tc>
        <w:tc>
          <w:tcPr>
            <w:tcW w:w="628"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-41.70%</w:t>
            </w:r>
          </w:p>
        </w:tc>
        <w:tc>
          <w:tcPr>
            <w:tcW w:w="510"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hAnsi="Times New Roman"/>
              </w:rPr>
              <w:t>-49.55</w:t>
            </w:r>
          </w:p>
        </w:tc>
      </w:tr>
      <w:tr w:rsidR="0038242D" w:rsidRPr="00AF3299" w:rsidTr="007F4731">
        <w:tc>
          <w:tcPr>
            <w:tcW w:w="2048"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62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0.09%</w:t>
            </w:r>
          </w:p>
        </w:tc>
        <w:tc>
          <w:tcPr>
            <w:tcW w:w="62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0.06%</w:t>
            </w:r>
          </w:p>
        </w:tc>
        <w:tc>
          <w:tcPr>
            <w:tcW w:w="557"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0.07%</w:t>
            </w:r>
          </w:p>
        </w:tc>
        <w:tc>
          <w:tcPr>
            <w:tcW w:w="628"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0.04%</w:t>
            </w:r>
          </w:p>
        </w:tc>
        <w:tc>
          <w:tcPr>
            <w:tcW w:w="510" w:type="pct"/>
            <w:shd w:val="clear" w:color="auto" w:fill="DBE5F1"/>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0.02%</w:t>
            </w:r>
          </w:p>
        </w:tc>
      </w:tr>
    </w:tbl>
    <w:p w:rsidR="00C44478" w:rsidRPr="00AF3299" w:rsidRDefault="007F4731" w:rsidP="00AF3299">
      <w:pPr>
        <w:rPr>
          <w:rFonts w:ascii="Times New Roman" w:hAnsi="Times New Roman"/>
        </w:rPr>
      </w:pPr>
      <w:r w:rsidRPr="00AF3299">
        <w:rPr>
          <w:rFonts w:ascii="Times New Roman" w:hAnsi="Times New Roman"/>
          <w:noProof/>
        </w:rPr>
        <w:drawing>
          <wp:anchor distT="6096" distB="6096" distL="120396" distR="120396" simplePos="0" relativeHeight="251719680" behindDoc="0" locked="0" layoutInCell="1" allowOverlap="1">
            <wp:simplePos x="0" y="0"/>
            <wp:positionH relativeFrom="margin">
              <wp:align>right</wp:align>
            </wp:positionH>
            <wp:positionV relativeFrom="paragraph">
              <wp:posOffset>1007453</wp:posOffset>
            </wp:positionV>
            <wp:extent cx="5720080" cy="2099945"/>
            <wp:effectExtent l="0" t="0" r="13970" b="14605"/>
            <wp:wrapTopAndBottom/>
            <wp:docPr id="6" name="Chart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14:sizeRelH relativeFrom="margin">
              <wp14:pctWidth>0</wp14:pctWidth>
            </wp14:sizeRelH>
            <wp14:sizeRelV relativeFrom="margin">
              <wp14:pctHeight>0</wp14:pctHeight>
            </wp14:sizeRelV>
          </wp:anchor>
        </w:drawing>
      </w:r>
    </w:p>
    <w:p w:rsidR="00C44478" w:rsidRPr="00AF3299" w:rsidRDefault="00C44478" w:rsidP="00AF3299">
      <w:pPr>
        <w:jc w:val="both"/>
        <w:rPr>
          <w:rFonts w:ascii="Times New Roman" w:hAnsi="Times New Roman"/>
          <w:sz w:val="24"/>
        </w:rPr>
      </w:pPr>
      <w:r w:rsidRPr="00AF3299">
        <w:rPr>
          <w:rFonts w:ascii="Times New Roman" w:hAnsi="Times New Roman"/>
          <w:sz w:val="24"/>
        </w:rPr>
        <w:t>Here, the percentage rates of dividend income on shares are 0.09%, 0.06%, 0.07%, 0.04% and 0.02% from 2013 to 2017. The growth rate of investment income on preference shares are showing negative from 2013 and 2017. The significant decrease in growing rate on dividend income on preference shares in 2017 notifying here.</w:t>
      </w:r>
    </w:p>
    <w:p w:rsidR="00C44478" w:rsidRPr="00AF3299" w:rsidRDefault="00C44478" w:rsidP="00AF3299">
      <w:pPr>
        <w:pStyle w:val="Heading2"/>
        <w:spacing w:line="276" w:lineRule="auto"/>
      </w:pPr>
      <w:bookmarkStart w:id="77" w:name="_Toc523576035"/>
      <w:r w:rsidRPr="00AF3299">
        <w:t>Proportion of Investment in terms of Total Assets</w:t>
      </w:r>
      <w:bookmarkEnd w:id="77"/>
    </w:p>
    <w:p w:rsidR="00C44478" w:rsidRPr="00AF3299" w:rsidRDefault="00C44478" w:rsidP="00AF3299">
      <w:pPr>
        <w:jc w:val="both"/>
        <w:rPr>
          <w:rFonts w:ascii="Times New Roman" w:hAnsi="Times New Roman"/>
          <w:sz w:val="24"/>
        </w:rPr>
      </w:pPr>
      <w:r w:rsidRPr="00AF3299">
        <w:rPr>
          <w:rFonts w:ascii="Times New Roman" w:hAnsi="Times New Roman"/>
          <w:sz w:val="24"/>
        </w:rPr>
        <w:t>Total assets of BBL refer to the total amount of assets owned by BBL. From the total investment of BBL in total assets, the proportion of investment of BBL in financial assets has been calculated by dividing the total investment in financial assets with the total investment in total assets</w:t>
      </w:r>
    </w:p>
    <w:tbl>
      <w:tblPr>
        <w:tblpPr w:leftFromText="180" w:rightFromText="180" w:vertAnchor="text" w:horzAnchor="margin" w:tblpXSpec="center" w:tblpY="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686"/>
        <w:gridCol w:w="1451"/>
        <w:gridCol w:w="1686"/>
        <w:gridCol w:w="1686"/>
        <w:gridCol w:w="1447"/>
      </w:tblGrid>
      <w:tr w:rsidR="0038242D" w:rsidRPr="00AF3299" w:rsidTr="007F4731">
        <w:tc>
          <w:tcPr>
            <w:tcW w:w="696"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912"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785"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912"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912"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785" w:type="pct"/>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F4731">
        <w:tc>
          <w:tcPr>
            <w:tcW w:w="696" w:type="pct"/>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912" w:type="pct"/>
            <w:shd w:val="clear" w:color="auto" w:fill="DBE5F1"/>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0.00%</w:t>
            </w:r>
          </w:p>
        </w:tc>
        <w:tc>
          <w:tcPr>
            <w:tcW w:w="785" w:type="pct"/>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-5.72%</w:t>
            </w:r>
          </w:p>
        </w:tc>
        <w:tc>
          <w:tcPr>
            <w:tcW w:w="912" w:type="pct"/>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-24.57%</w:t>
            </w:r>
          </w:p>
        </w:tc>
        <w:tc>
          <w:tcPr>
            <w:tcW w:w="912" w:type="pct"/>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-4.88%</w:t>
            </w:r>
          </w:p>
        </w:tc>
        <w:tc>
          <w:tcPr>
            <w:tcW w:w="785" w:type="pct"/>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2.90%</w:t>
            </w:r>
          </w:p>
        </w:tc>
      </w:tr>
      <w:tr w:rsidR="0038242D" w:rsidRPr="00AF3299" w:rsidTr="007F4731">
        <w:tc>
          <w:tcPr>
            <w:tcW w:w="696" w:type="pct"/>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Assets</w:t>
            </w:r>
          </w:p>
        </w:tc>
        <w:tc>
          <w:tcPr>
            <w:tcW w:w="912"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12.39%</w:t>
            </w:r>
          </w:p>
        </w:tc>
        <w:tc>
          <w:tcPr>
            <w:tcW w:w="785"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11.68%</w:t>
            </w:r>
          </w:p>
        </w:tc>
        <w:tc>
          <w:tcPr>
            <w:tcW w:w="912"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8.81%</w:t>
            </w:r>
          </w:p>
        </w:tc>
        <w:tc>
          <w:tcPr>
            <w:tcW w:w="912"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8.38%</w:t>
            </w:r>
          </w:p>
        </w:tc>
        <w:tc>
          <w:tcPr>
            <w:tcW w:w="785" w:type="pct"/>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8.62%</w:t>
            </w:r>
          </w:p>
        </w:tc>
      </w:tr>
    </w:tbl>
    <w:p w:rsidR="00C44478" w:rsidRPr="00AF3299" w:rsidRDefault="007F4731" w:rsidP="00AF3299">
      <w:pPr>
        <w:rPr>
          <w:rFonts w:ascii="Times New Roman" w:hAnsi="Times New Roman"/>
        </w:rPr>
      </w:pPr>
      <w:r w:rsidRPr="00AF3299">
        <w:rPr>
          <w:rFonts w:ascii="Times New Roman" w:hAnsi="Times New Roman"/>
          <w:noProof/>
        </w:rPr>
        <w:lastRenderedPageBreak/>
        <w:drawing>
          <wp:anchor distT="6096" distB="3048" distL="120396" distR="117348" simplePos="0" relativeHeight="251721728" behindDoc="0" locked="0" layoutInCell="1" allowOverlap="1">
            <wp:simplePos x="0" y="0"/>
            <wp:positionH relativeFrom="margin">
              <wp:align>right</wp:align>
            </wp:positionH>
            <wp:positionV relativeFrom="paragraph">
              <wp:posOffset>1413510</wp:posOffset>
            </wp:positionV>
            <wp:extent cx="5732780" cy="2063115"/>
            <wp:effectExtent l="0" t="0" r="1270" b="13335"/>
            <wp:wrapTopAndBottom/>
            <wp:docPr id="5" name="Chart 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margin">
              <wp14:pctWidth>0</wp14:pctWidth>
            </wp14:sizeRelH>
            <wp14:sizeRelV relativeFrom="margin">
              <wp14:pctHeight>0</wp14:pctHeight>
            </wp14:sizeRelV>
          </wp:anchor>
        </w:drawing>
      </w:r>
    </w:p>
    <w:p w:rsidR="007F4731" w:rsidRDefault="007F4731" w:rsidP="00AF3299">
      <w:pPr>
        <w:jc w:val="both"/>
        <w:rPr>
          <w:rFonts w:ascii="Times New Roman" w:hAnsi="Times New Roman"/>
          <w:sz w:val="24"/>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proportions of investment in financial assets among total assets are 12.39%, 11.68%, 8.81%, 8.38% and 8.62%. Among the total assets the highest proportion of investment in financial assets are showing in 2013. The growth rate are showing that the highest positive growth rate is in 2017. There is negative growth rate from 2014 to 2016. So the proportions of investment in financial assets among total assets are negatively growing year to year.</w:t>
      </w:r>
    </w:p>
    <w:p w:rsidR="00C44478" w:rsidRPr="00AF3299" w:rsidRDefault="00C44478" w:rsidP="00AF3299">
      <w:pPr>
        <w:pStyle w:val="Heading2"/>
        <w:spacing w:line="276" w:lineRule="auto"/>
      </w:pPr>
      <w:bookmarkStart w:id="78" w:name="_Toc523576036"/>
      <w:r w:rsidRPr="00AF3299">
        <w:t>Investment in terms of Total Liabilities</w:t>
      </w:r>
      <w:bookmarkEnd w:id="78"/>
    </w:p>
    <w:p w:rsidR="00C44478" w:rsidRPr="00AF3299" w:rsidRDefault="00C44478" w:rsidP="00AF3299">
      <w:pPr>
        <w:jc w:val="both"/>
        <w:rPr>
          <w:rFonts w:ascii="Times New Roman" w:hAnsi="Times New Roman"/>
          <w:sz w:val="24"/>
        </w:rPr>
      </w:pPr>
      <w:r w:rsidRPr="00AF3299">
        <w:rPr>
          <w:rFonts w:ascii="Times New Roman" w:hAnsi="Times New Roman"/>
          <w:sz w:val="24"/>
        </w:rPr>
        <w:t>The aggregate debt and financial obligation of BBL are the total liabilities of BBL. The proportions of investment in financial assets against the total liabilities are calculated by dividing the total investment in financial assets with the total amount of liabilities of BBL.</w:t>
      </w:r>
    </w:p>
    <w:tbl>
      <w:tblPr>
        <w:tblpPr w:leftFromText="180" w:rightFromText="180" w:vertAnchor="text" w:horzAnchor="margin" w:tblpXSpec="center"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1719"/>
        <w:gridCol w:w="1485"/>
        <w:gridCol w:w="1720"/>
        <w:gridCol w:w="1720"/>
        <w:gridCol w:w="1485"/>
      </w:tblGrid>
      <w:tr w:rsidR="0038242D" w:rsidRPr="00AF3299" w:rsidTr="007F4731">
        <w:tc>
          <w:tcPr>
            <w:tcW w:w="0" w:type="auto"/>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Year</w:t>
            </w:r>
          </w:p>
        </w:tc>
        <w:tc>
          <w:tcPr>
            <w:tcW w:w="0" w:type="auto"/>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2013</w:t>
            </w:r>
          </w:p>
        </w:tc>
        <w:tc>
          <w:tcPr>
            <w:tcW w:w="0" w:type="auto"/>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2014</w:t>
            </w:r>
          </w:p>
        </w:tc>
        <w:tc>
          <w:tcPr>
            <w:tcW w:w="0" w:type="auto"/>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2015</w:t>
            </w:r>
          </w:p>
        </w:tc>
        <w:tc>
          <w:tcPr>
            <w:tcW w:w="0" w:type="auto"/>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2016</w:t>
            </w:r>
          </w:p>
        </w:tc>
        <w:tc>
          <w:tcPr>
            <w:tcW w:w="0" w:type="auto"/>
            <w:tcBorders>
              <w:bottom w:val="single" w:sz="4" w:space="0" w:color="95B3D7"/>
            </w:tcBorders>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2017</w:t>
            </w:r>
          </w:p>
        </w:tc>
      </w:tr>
      <w:tr w:rsidR="0038242D" w:rsidRPr="00AF3299" w:rsidTr="007F4731">
        <w:tc>
          <w:tcPr>
            <w:tcW w:w="0" w:type="auto"/>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Total amount of Investment</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21,298,625,661</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23,898,595,008</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19,779,252,144</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22,487,996,910</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24,966,255,428</w:t>
            </w:r>
          </w:p>
        </w:tc>
      </w:tr>
      <w:tr w:rsidR="0038242D" w:rsidRPr="00AF3299" w:rsidTr="007F4731">
        <w:tc>
          <w:tcPr>
            <w:tcW w:w="0" w:type="auto"/>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Total Liabilities</w:t>
            </w:r>
          </w:p>
        </w:tc>
        <w:tc>
          <w:tcPr>
            <w:tcW w:w="0" w:type="auto"/>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 xml:space="preserve">   160,314,216,168.00 </w:t>
            </w:r>
          </w:p>
          <w:p w:rsidR="00C44478" w:rsidRPr="00AF3299" w:rsidRDefault="00C44478" w:rsidP="00AF3299">
            <w:pPr>
              <w:spacing w:after="0"/>
              <w:jc w:val="center"/>
              <w:rPr>
                <w:rFonts w:ascii="Times New Roman" w:hAnsi="Times New Roman"/>
              </w:rPr>
            </w:pPr>
          </w:p>
        </w:tc>
        <w:tc>
          <w:tcPr>
            <w:tcW w:w="0" w:type="auto"/>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186,836,675,628</w:t>
            </w:r>
          </w:p>
        </w:tc>
        <w:tc>
          <w:tcPr>
            <w:tcW w:w="0" w:type="auto"/>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 xml:space="preserve">    205,678,846,693.00 </w:t>
            </w:r>
          </w:p>
          <w:p w:rsidR="00C44478" w:rsidRPr="00AF3299" w:rsidRDefault="00C44478" w:rsidP="00AF3299">
            <w:pPr>
              <w:spacing w:after="0"/>
              <w:jc w:val="center"/>
              <w:rPr>
                <w:rFonts w:ascii="Times New Roman" w:hAnsi="Times New Roman"/>
              </w:rPr>
            </w:pPr>
          </w:p>
        </w:tc>
        <w:tc>
          <w:tcPr>
            <w:tcW w:w="0" w:type="auto"/>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 xml:space="preserve">    246,059,911,627.00 </w:t>
            </w:r>
          </w:p>
          <w:p w:rsidR="00C44478" w:rsidRPr="00AF3299" w:rsidRDefault="00C44478" w:rsidP="00AF3299">
            <w:pPr>
              <w:spacing w:after="0"/>
              <w:jc w:val="center"/>
              <w:rPr>
                <w:rFonts w:ascii="Times New Roman" w:hAnsi="Times New Roman"/>
              </w:rPr>
            </w:pPr>
          </w:p>
        </w:tc>
        <w:tc>
          <w:tcPr>
            <w:tcW w:w="0" w:type="auto"/>
            <w:shd w:val="clear" w:color="auto" w:fill="auto"/>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263,510,610,952</w:t>
            </w:r>
          </w:p>
        </w:tc>
      </w:tr>
      <w:tr w:rsidR="0038242D" w:rsidRPr="00AF3299" w:rsidTr="007F4731">
        <w:tc>
          <w:tcPr>
            <w:tcW w:w="0" w:type="auto"/>
            <w:shd w:val="clear" w:color="auto" w:fill="DBE5F1"/>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Growth Rate</w:t>
            </w:r>
          </w:p>
        </w:tc>
        <w:tc>
          <w:tcPr>
            <w:tcW w:w="0" w:type="auto"/>
            <w:shd w:val="clear" w:color="auto" w:fill="DBE5F1"/>
            <w:vAlign w:val="center"/>
          </w:tcPr>
          <w:p w:rsidR="00C44478" w:rsidRPr="00AF3299" w:rsidRDefault="00C44478" w:rsidP="00AF3299">
            <w:pPr>
              <w:spacing w:after="0"/>
              <w:jc w:val="center"/>
              <w:rPr>
                <w:rFonts w:ascii="Times New Roman" w:eastAsia="Times New Roman" w:hAnsi="Times New Roman"/>
                <w:color w:val="000000"/>
              </w:rPr>
            </w:pPr>
            <w:r w:rsidRPr="00AF3299">
              <w:rPr>
                <w:rFonts w:ascii="Times New Roman" w:eastAsia="Times New Roman" w:hAnsi="Times New Roman"/>
                <w:color w:val="000000"/>
              </w:rPr>
              <w:t>0.00%</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-3.72%</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-24.82%</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-4.96%</w:t>
            </w:r>
          </w:p>
        </w:tc>
        <w:tc>
          <w:tcPr>
            <w:tcW w:w="0" w:type="auto"/>
            <w:shd w:val="clear" w:color="auto" w:fill="DBE5F1"/>
            <w:vAlign w:val="center"/>
          </w:tcPr>
          <w:p w:rsidR="00C44478" w:rsidRPr="00AF3299" w:rsidRDefault="00C44478" w:rsidP="00AF3299">
            <w:pPr>
              <w:spacing w:after="0"/>
              <w:jc w:val="center"/>
              <w:rPr>
                <w:rFonts w:ascii="Times New Roman" w:hAnsi="Times New Roman"/>
                <w:color w:val="000000"/>
              </w:rPr>
            </w:pPr>
            <w:r w:rsidRPr="00AF3299">
              <w:rPr>
                <w:rFonts w:ascii="Times New Roman" w:hAnsi="Times New Roman"/>
                <w:color w:val="000000"/>
              </w:rPr>
              <w:t>3.67%</w:t>
            </w:r>
          </w:p>
        </w:tc>
      </w:tr>
      <w:tr w:rsidR="0038242D" w:rsidRPr="00AF3299" w:rsidTr="007F4731">
        <w:tc>
          <w:tcPr>
            <w:tcW w:w="0" w:type="auto"/>
            <w:shd w:val="clear" w:color="auto" w:fill="auto"/>
            <w:vAlign w:val="center"/>
          </w:tcPr>
          <w:p w:rsidR="00C44478" w:rsidRPr="00AF3299" w:rsidRDefault="00C44478" w:rsidP="00AF3299">
            <w:pPr>
              <w:spacing w:after="0"/>
              <w:jc w:val="center"/>
              <w:rPr>
                <w:rFonts w:ascii="Times New Roman" w:hAnsi="Times New Roman"/>
                <w:b/>
                <w:bCs/>
              </w:rPr>
            </w:pPr>
            <w:r w:rsidRPr="00AF3299">
              <w:rPr>
                <w:rFonts w:ascii="Times New Roman" w:hAnsi="Times New Roman"/>
                <w:b/>
                <w:bCs/>
              </w:rPr>
              <w:t>Percentage of Total Investment</w:t>
            </w:r>
          </w:p>
        </w:tc>
        <w:tc>
          <w:tcPr>
            <w:tcW w:w="0" w:type="auto"/>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13.29%</w:t>
            </w:r>
          </w:p>
        </w:tc>
        <w:tc>
          <w:tcPr>
            <w:tcW w:w="0" w:type="auto"/>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12.79%</w:t>
            </w:r>
          </w:p>
        </w:tc>
        <w:tc>
          <w:tcPr>
            <w:tcW w:w="0" w:type="auto"/>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9.62%</w:t>
            </w:r>
          </w:p>
        </w:tc>
        <w:tc>
          <w:tcPr>
            <w:tcW w:w="0" w:type="auto"/>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9.14%</w:t>
            </w:r>
          </w:p>
        </w:tc>
        <w:tc>
          <w:tcPr>
            <w:tcW w:w="0" w:type="auto"/>
            <w:shd w:val="clear" w:color="auto" w:fill="auto"/>
            <w:vAlign w:val="center"/>
          </w:tcPr>
          <w:p w:rsidR="00C44478" w:rsidRPr="00AF3299" w:rsidRDefault="00C44478" w:rsidP="00AF3299">
            <w:pPr>
              <w:spacing w:after="0"/>
              <w:jc w:val="center"/>
              <w:rPr>
                <w:rFonts w:ascii="Times New Roman" w:hAnsi="Times New Roman"/>
              </w:rPr>
            </w:pPr>
            <w:r w:rsidRPr="00AF3299">
              <w:rPr>
                <w:rFonts w:ascii="Times New Roman" w:eastAsia="Times New Roman" w:hAnsi="Times New Roman"/>
                <w:color w:val="000000"/>
              </w:rPr>
              <w:t>9.47%</w:t>
            </w:r>
          </w:p>
        </w:tc>
      </w:tr>
    </w:tbl>
    <w:p w:rsidR="00C44478" w:rsidRPr="00AF3299" w:rsidRDefault="007F4731" w:rsidP="00AF3299">
      <w:pPr>
        <w:ind w:firstLine="720"/>
        <w:rPr>
          <w:rFonts w:ascii="Times New Roman" w:hAnsi="Times New Roman"/>
        </w:rPr>
      </w:pPr>
      <w:r w:rsidRPr="00AF3299">
        <w:rPr>
          <w:rFonts w:ascii="Times New Roman" w:hAnsi="Times New Roman"/>
          <w:noProof/>
        </w:rPr>
        <w:lastRenderedPageBreak/>
        <w:drawing>
          <wp:anchor distT="6096" distB="6096" distL="120396" distR="120396" simplePos="0" relativeHeight="251722752" behindDoc="0" locked="0" layoutInCell="1" allowOverlap="1">
            <wp:simplePos x="0" y="0"/>
            <wp:positionH relativeFrom="margin">
              <wp:align>right</wp:align>
            </wp:positionH>
            <wp:positionV relativeFrom="paragraph">
              <wp:posOffset>2336165</wp:posOffset>
            </wp:positionV>
            <wp:extent cx="5735320" cy="2742565"/>
            <wp:effectExtent l="0" t="0" r="17780" b="635"/>
            <wp:wrapTopAndBottom/>
            <wp:docPr id="4" name="Chart 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margin">
              <wp14:pctWidth>0</wp14:pctWidth>
            </wp14:sizeRelH>
            <wp14:sizeRelV relativeFrom="margin">
              <wp14:pctHeight>0</wp14:pctHeight>
            </wp14:sizeRelV>
          </wp:anchor>
        </w:drawing>
      </w:r>
    </w:p>
    <w:p w:rsidR="00C44478" w:rsidRPr="00AF3299" w:rsidRDefault="00C44478" w:rsidP="00AF3299">
      <w:pPr>
        <w:rPr>
          <w:rFonts w:ascii="Times New Roman" w:hAnsi="Times New Roman"/>
        </w:rPr>
      </w:pPr>
    </w:p>
    <w:p w:rsidR="00C44478" w:rsidRPr="00AF3299" w:rsidRDefault="00C44478" w:rsidP="00AF3299">
      <w:pPr>
        <w:jc w:val="both"/>
        <w:rPr>
          <w:rFonts w:ascii="Times New Roman" w:hAnsi="Times New Roman"/>
          <w:sz w:val="24"/>
        </w:rPr>
      </w:pPr>
      <w:r w:rsidRPr="00AF3299">
        <w:rPr>
          <w:rFonts w:ascii="Times New Roman" w:hAnsi="Times New Roman"/>
          <w:sz w:val="24"/>
        </w:rPr>
        <w:t>Here, the proportions of investment in financial assets against total liabilities are 13.29%, 12.79%, 9.62%, 9.14%, and 9.47%. Here the growth rates of investment in financial assets are positive in 2017 but negative in 2014 to 2016. The growths rates of investment in financial assets against total liability are not very significant in BBL.</w:t>
      </w:r>
    </w:p>
    <w:p w:rsidR="0038242D" w:rsidRPr="00AF3299" w:rsidRDefault="0038242D" w:rsidP="00AF3299">
      <w:pPr>
        <w:pStyle w:val="Heading1"/>
        <w:spacing w:line="276" w:lineRule="auto"/>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r w:rsidRPr="00AF3299">
        <w:rPr>
          <w:rFonts w:ascii="Times New Roman" w:hAnsi="Times New Roman"/>
        </w:rPr>
        <w:br w:type="page"/>
      </w: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38242D" w:rsidRPr="00AF3299" w:rsidRDefault="0038242D" w:rsidP="00AF3299">
      <w:pPr>
        <w:pStyle w:val="Heading1"/>
        <w:spacing w:line="276" w:lineRule="auto"/>
        <w:jc w:val="center"/>
        <w:rPr>
          <w:rFonts w:ascii="Times New Roman" w:hAnsi="Times New Roman"/>
        </w:rPr>
      </w:pPr>
    </w:p>
    <w:p w:rsidR="00C44478" w:rsidRPr="00AF3299" w:rsidRDefault="007F4731" w:rsidP="00AF3299">
      <w:pPr>
        <w:pStyle w:val="Heading1"/>
        <w:spacing w:line="276" w:lineRule="auto"/>
        <w:jc w:val="center"/>
        <w:rPr>
          <w:rFonts w:ascii="Times New Roman" w:hAnsi="Times New Roman"/>
          <w:sz w:val="52"/>
        </w:rPr>
        <w:sectPr w:rsidR="00C44478" w:rsidRPr="00AF3299" w:rsidSect="00C44478">
          <w:pgSz w:w="11907" w:h="16839" w:code="9"/>
          <w:pgMar w:top="990" w:right="1440" w:bottom="1170" w:left="1440" w:header="720" w:footer="720" w:gutter="0"/>
          <w:cols w:space="720"/>
          <w:docGrid w:linePitch="360"/>
        </w:sectPr>
      </w:pPr>
      <w:bookmarkStart w:id="79" w:name="_Toc523576037"/>
      <w:r>
        <w:rPr>
          <w:rFonts w:ascii="Times New Roman" w:hAnsi="Times New Roman"/>
          <w:sz w:val="52"/>
        </w:rPr>
        <w:t>Chapter 6</w:t>
      </w:r>
      <w:r w:rsidR="0038242D" w:rsidRPr="00AF3299">
        <w:rPr>
          <w:rFonts w:ascii="Times New Roman" w:hAnsi="Times New Roman"/>
          <w:sz w:val="52"/>
        </w:rPr>
        <w:t>: Findings and Conclusion</w:t>
      </w:r>
      <w:bookmarkEnd w:id="79"/>
    </w:p>
    <w:p w:rsidR="00C44478" w:rsidRPr="00AF3299" w:rsidRDefault="00C44478" w:rsidP="00942A13">
      <w:pPr>
        <w:pStyle w:val="Heading1"/>
        <w:numPr>
          <w:ilvl w:val="1"/>
          <w:numId w:val="19"/>
        </w:numPr>
        <w:spacing w:line="276" w:lineRule="auto"/>
        <w:rPr>
          <w:rFonts w:ascii="Times New Roman" w:hAnsi="Times New Roman"/>
        </w:rPr>
      </w:pPr>
      <w:bookmarkStart w:id="80" w:name="_Toc523576038"/>
      <w:r w:rsidRPr="00AF3299">
        <w:rPr>
          <w:rFonts w:ascii="Times New Roman" w:hAnsi="Times New Roman"/>
        </w:rPr>
        <w:lastRenderedPageBreak/>
        <w:t>Findings &amp; Recommendation</w:t>
      </w:r>
      <w:bookmarkEnd w:id="80"/>
      <w:r w:rsidRPr="00AF3299">
        <w:rPr>
          <w:rFonts w:ascii="Times New Roman" w:hAnsi="Times New Roman"/>
        </w:rPr>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Banking sector is a type of economic sector where banks hold financial assets for others and invests those financial assets at an interest rate for creating more wealth. This process is the main earning source for any bank. BBL also invests in financial assets for this reason. From the overall discussions and calculation it has tried to show the overall investment of BBL in financial assets with different classification and the percentage of investment earning from these investments with the yearly growing rate.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A finding is necessary for going a better conclusion for any successful report. For this reason here I have tried to accumulate all the matters through I have described in this report. </w:t>
      </w:r>
    </w:p>
    <w:p w:rsidR="00C44478" w:rsidRPr="00AF3299" w:rsidRDefault="00C44478" w:rsidP="00AF3299">
      <w:pPr>
        <w:jc w:val="both"/>
        <w:rPr>
          <w:rFonts w:ascii="Times New Roman" w:hAnsi="Times New Roman"/>
          <w:sz w:val="24"/>
        </w:rPr>
      </w:pPr>
      <w:r w:rsidRPr="00AF3299">
        <w:rPr>
          <w:rFonts w:ascii="Segoe UI Symbol" w:hAnsi="Segoe UI Symbol" w:cs="Segoe UI Symbol"/>
          <w:sz w:val="24"/>
        </w:rPr>
        <w:t>➢</w:t>
      </w:r>
      <w:r w:rsidRPr="00AF3299">
        <w:rPr>
          <w:rFonts w:ascii="Times New Roman" w:hAnsi="Times New Roman"/>
          <w:sz w:val="24"/>
        </w:rPr>
        <w:t xml:space="preserve"> From the classification as per Bangladesh Bank circular, it has identified that the highest positive investment growth rates in 2014 are only shown at investment in held for trading. There is also 2 years including where no growth rate and negative growth rate also happened at investment in held for trading as well as held to maturity. Investment in other categories as per Bangladesh Bank classification has been notified very insignificant and negative growth rate of investment of BBL. </w:t>
      </w:r>
    </w:p>
    <w:p w:rsidR="00C44478" w:rsidRPr="00AF3299" w:rsidRDefault="00C44478" w:rsidP="00AF3299">
      <w:pPr>
        <w:jc w:val="both"/>
        <w:rPr>
          <w:rFonts w:ascii="Times New Roman" w:hAnsi="Times New Roman"/>
          <w:sz w:val="24"/>
        </w:rPr>
      </w:pPr>
      <w:r w:rsidRPr="00AF3299">
        <w:rPr>
          <w:rFonts w:ascii="Segoe UI Symbol" w:hAnsi="Segoe UI Symbol" w:cs="Segoe UI Symbol"/>
          <w:sz w:val="24"/>
        </w:rPr>
        <w:t>➢</w:t>
      </w:r>
      <w:r w:rsidRPr="00AF3299">
        <w:rPr>
          <w:rFonts w:ascii="Times New Roman" w:hAnsi="Times New Roman"/>
          <w:sz w:val="24"/>
        </w:rPr>
        <w:t xml:space="preserve"> From the ordinary classification it has found that though BBL has some positive investment growth rate at investment in Government securities for the risk free investment facilities, it is very significant. The investments in other securities are lower than government securities and growth rates of investment are positive except 2013.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rPr>
        <w:t>➢</w:t>
      </w:r>
      <w:r w:rsidRPr="00AF3299">
        <w:rPr>
          <w:rFonts w:ascii="Times New Roman" w:hAnsi="Times New Roman"/>
          <w:sz w:val="24"/>
        </w:rPr>
        <w:t xml:space="preserve"> From the maturity grouping classification it has also found that there is some positive significant investment growth in different matured investment sector for different years. But no positive investment growth has found in the all sector at same year. So it has identified that when there is some positive investment growth for 1 year </w:t>
      </w:r>
      <w:r w:rsidRPr="00AF3299">
        <w:rPr>
          <w:rFonts w:ascii="Times New Roman" w:hAnsi="Times New Roman"/>
          <w:sz w:val="24"/>
          <w:szCs w:val="24"/>
        </w:rPr>
        <w:t xml:space="preserve">in one sector there is some negative investment growth rate for other sectors. From that it has cleared that there is no very much significant investment for financial assets in which BBL has invested more in financial assets among the total amount of investment.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szCs w:val="24"/>
        </w:rPr>
        <w:t>➢</w:t>
      </w:r>
      <w:r w:rsidRPr="00AF3299">
        <w:rPr>
          <w:rFonts w:ascii="Times New Roman" w:hAnsi="Times New Roman"/>
          <w:sz w:val="24"/>
          <w:szCs w:val="24"/>
        </w:rPr>
        <w:t xml:space="preserve">  Growing rate of  Total amount of financial assets of BBL has grown negatively from year to year among total assets of BBL. So it can say that the investment rates in financial assets are decreasing year to year among total assets. So liquidity of investments is also decreasing year to year.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szCs w:val="24"/>
        </w:rPr>
        <w:t>➢</w:t>
      </w:r>
      <w:r w:rsidRPr="00AF3299">
        <w:rPr>
          <w:rFonts w:ascii="Times New Roman" w:hAnsi="Times New Roman"/>
          <w:sz w:val="24"/>
          <w:szCs w:val="24"/>
        </w:rPr>
        <w:t xml:space="preserve"> Against the total liabilities, the growing rates of financial assets of BBL have also decreased year to year. It is the sign that the liquidation capabilities of BBL have been also decreasing year to year to fulfill its liabilities.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szCs w:val="24"/>
        </w:rPr>
        <w:lastRenderedPageBreak/>
        <w:t>➢</w:t>
      </w:r>
      <w:r w:rsidRPr="00AF3299">
        <w:rPr>
          <w:rFonts w:ascii="Times New Roman" w:hAnsi="Times New Roman"/>
          <w:sz w:val="24"/>
          <w:szCs w:val="24"/>
        </w:rPr>
        <w:t xml:space="preserve"> From the discussion of the percentage rate and growth rate of investment income, it has found that there is rarely significant investment income without gain on sales on ordinary share and preference share. It is not very significant earning among total earning of BBL.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szCs w:val="24"/>
        </w:rPr>
        <w:t>➢</w:t>
      </w:r>
      <w:r w:rsidRPr="00AF3299">
        <w:rPr>
          <w:rFonts w:ascii="Times New Roman" w:hAnsi="Times New Roman"/>
          <w:sz w:val="24"/>
          <w:szCs w:val="24"/>
        </w:rPr>
        <w:t xml:space="preserve"> Before take any investment decision in financial assets, BBL should draw a personal financial roadmap for figuring out a successful financial investment source that will be highly liquid and profitable for BBL.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szCs w:val="24"/>
        </w:rPr>
        <w:t>➢</w:t>
      </w:r>
      <w:r w:rsidRPr="00AF3299">
        <w:rPr>
          <w:rFonts w:ascii="Times New Roman" w:hAnsi="Times New Roman"/>
          <w:sz w:val="24"/>
          <w:szCs w:val="24"/>
        </w:rPr>
        <w:t xml:space="preserve"> BBL should invest in other securities positively as well as the investment in government securities. Because if there is no big risk there is no big gain in the investment sector.  </w:t>
      </w:r>
    </w:p>
    <w:p w:rsidR="00C44478" w:rsidRPr="00AF3299" w:rsidRDefault="00C44478" w:rsidP="00AF3299">
      <w:pPr>
        <w:jc w:val="both"/>
        <w:rPr>
          <w:rFonts w:ascii="Times New Roman" w:hAnsi="Times New Roman"/>
          <w:sz w:val="24"/>
          <w:szCs w:val="24"/>
        </w:rPr>
      </w:pPr>
      <w:r w:rsidRPr="00AF3299">
        <w:rPr>
          <w:rFonts w:ascii="Segoe UI Symbol" w:hAnsi="Segoe UI Symbol" w:cs="Segoe UI Symbol"/>
          <w:sz w:val="24"/>
          <w:szCs w:val="24"/>
        </w:rPr>
        <w:t>➢</w:t>
      </w:r>
      <w:r w:rsidRPr="00AF3299">
        <w:rPr>
          <w:rFonts w:ascii="Times New Roman" w:hAnsi="Times New Roman"/>
          <w:sz w:val="24"/>
          <w:szCs w:val="24"/>
        </w:rPr>
        <w:t xml:space="preserve"> For increasing liquidity rate in investment BBL should invest more in financial assets among total assets. Because liquid assets are easy to use against liabilities. </w:t>
      </w:r>
    </w:p>
    <w:p w:rsidR="00C44478" w:rsidRPr="00AF3299" w:rsidRDefault="00C44478" w:rsidP="00942A13">
      <w:pPr>
        <w:pStyle w:val="Heading1"/>
        <w:numPr>
          <w:ilvl w:val="1"/>
          <w:numId w:val="19"/>
        </w:numPr>
        <w:spacing w:line="276" w:lineRule="auto"/>
        <w:jc w:val="both"/>
        <w:rPr>
          <w:rFonts w:ascii="Times New Roman" w:hAnsi="Times New Roman"/>
        </w:rPr>
      </w:pPr>
      <w:bookmarkStart w:id="81" w:name="_Toc523576039"/>
      <w:r w:rsidRPr="00AF3299">
        <w:rPr>
          <w:rFonts w:ascii="Times New Roman" w:hAnsi="Times New Roman"/>
        </w:rPr>
        <w:t>Conclusion</w:t>
      </w:r>
      <w:bookmarkEnd w:id="81"/>
      <w:r w:rsidRPr="00AF3299">
        <w:rPr>
          <w:rFonts w:ascii="Times New Roman" w:hAnsi="Times New Roman"/>
        </w:rPr>
        <w:t xml:space="preserve"> </w:t>
      </w:r>
    </w:p>
    <w:p w:rsidR="00C44478" w:rsidRPr="00AF3299" w:rsidRDefault="00C44478" w:rsidP="00AF3299">
      <w:pPr>
        <w:jc w:val="both"/>
        <w:rPr>
          <w:rFonts w:ascii="Times New Roman" w:hAnsi="Times New Roman"/>
          <w:sz w:val="24"/>
        </w:rPr>
      </w:pPr>
      <w:r w:rsidRPr="00AF3299">
        <w:rPr>
          <w:rFonts w:ascii="Times New Roman" w:hAnsi="Times New Roman"/>
          <w:sz w:val="24"/>
        </w:rPr>
        <w:t xml:space="preserve">The BRAC Bank Ltd (BBL) is one of the leading private commercial bank among different commercial Banks in Bangladesh. Many commercial banks has been established in last few years and made banking sector very competitive. For that reason banks have to organize their operation and investment according to the need of the market profitably. The major task for banks, to survive in this competitive environment is by managing its assets and liabilities in an efficient way. Private Banks are doing an outstanding business by investing in financial assets. BRAC Bank is the most promising bank in Bangladesh. The main principles of financial asset management’s are safety, liquidity and profitability. BRAC Bank also invests its deposit and money in the financial assets which are more risk free and profitable. But year to year the decreasing rates of investment in financial assets are being observed which the indication of decreasing rate of liquid assets. It is not a good sign for any commercial bank. Because decreasing rate of liquidation of assets can be hindrance in payment in liabilities. From the decreasing rate in financial assets the investment income is also decreasing among the total interest income. </w:t>
      </w:r>
    </w:p>
    <w:p w:rsidR="008C6A6A" w:rsidRDefault="00C44478" w:rsidP="00AF3299">
      <w:pPr>
        <w:jc w:val="both"/>
        <w:rPr>
          <w:rFonts w:ascii="Times New Roman" w:hAnsi="Times New Roman"/>
          <w:sz w:val="24"/>
        </w:rPr>
        <w:sectPr w:rsidR="008C6A6A" w:rsidSect="00513EB0">
          <w:pgSz w:w="12240" w:h="15840"/>
          <w:pgMar w:top="1890" w:right="1440" w:bottom="1440" w:left="1440" w:header="720" w:footer="720" w:gutter="0"/>
          <w:cols w:space="720"/>
          <w:docGrid w:linePitch="360"/>
        </w:sectPr>
      </w:pPr>
      <w:r w:rsidRPr="00AF3299">
        <w:rPr>
          <w:rFonts w:ascii="Times New Roman" w:hAnsi="Times New Roman"/>
          <w:sz w:val="24"/>
        </w:rPr>
        <w:t>This project concentrated mostly on the investment in financial assets of BBL and identified some valuable information that could make the investments more attractive and also enhance the banks operations among the branches. With the current investment decisions of the Bank and with little improvement here and there will certainly make BRAC Bank one of the best Private profitable Bank in Bangladesh in the near future.</w:t>
      </w:r>
    </w:p>
    <w:p w:rsidR="00C44478" w:rsidRDefault="00D74DA8" w:rsidP="00D74DA8">
      <w:pPr>
        <w:pStyle w:val="Heading1"/>
      </w:pPr>
      <w:bookmarkStart w:id="82" w:name="_Toc523576040"/>
      <w:r>
        <w:lastRenderedPageBreak/>
        <w:t>Reference</w:t>
      </w:r>
      <w:bookmarkEnd w:id="82"/>
    </w:p>
    <w:p w:rsidR="00D74DA8" w:rsidRDefault="00D74DA8" w:rsidP="00D74DA8"/>
    <w:p w:rsidR="00D74DA8" w:rsidRPr="000E696F" w:rsidRDefault="00120B0C" w:rsidP="00120B0C">
      <w:pPr>
        <w:pStyle w:val="ListParagraph"/>
        <w:numPr>
          <w:ilvl w:val="0"/>
          <w:numId w:val="20"/>
        </w:numPr>
        <w:rPr>
          <w:sz w:val="24"/>
        </w:rPr>
      </w:pPr>
      <w:r w:rsidRPr="000E696F">
        <w:rPr>
          <w:sz w:val="24"/>
        </w:rPr>
        <w:t xml:space="preserve">Treasury Bill, Retrived from: </w:t>
      </w:r>
      <w:hyperlink r:id="rId98" w:history="1">
        <w:r w:rsidRPr="000E696F">
          <w:rPr>
            <w:rStyle w:val="Hyperlink"/>
            <w:sz w:val="24"/>
          </w:rPr>
          <w:t>https://www.investopedia.com/terms/t/treasurybill.asp</w:t>
        </w:r>
      </w:hyperlink>
    </w:p>
    <w:p w:rsidR="00120B0C" w:rsidRPr="000E696F" w:rsidRDefault="00120B0C" w:rsidP="00120B0C">
      <w:pPr>
        <w:pStyle w:val="ListParagraph"/>
        <w:numPr>
          <w:ilvl w:val="0"/>
          <w:numId w:val="20"/>
        </w:numPr>
        <w:rPr>
          <w:sz w:val="24"/>
        </w:rPr>
      </w:pPr>
      <w:r w:rsidRPr="000E696F">
        <w:rPr>
          <w:sz w:val="24"/>
        </w:rPr>
        <w:t xml:space="preserve">Bond Market, Retrived from: </w:t>
      </w:r>
      <w:hyperlink r:id="rId99" w:history="1">
        <w:r w:rsidRPr="000E696F">
          <w:rPr>
            <w:rStyle w:val="Hyperlink"/>
            <w:sz w:val="24"/>
          </w:rPr>
          <w:t>http://en.banglapedia.org/index.php?title=Bond_Market</w:t>
        </w:r>
      </w:hyperlink>
    </w:p>
    <w:p w:rsidR="00120B0C" w:rsidRPr="000E696F" w:rsidRDefault="00AF6DF8" w:rsidP="00AF6DF8">
      <w:pPr>
        <w:pStyle w:val="ListParagraph"/>
        <w:numPr>
          <w:ilvl w:val="0"/>
          <w:numId w:val="20"/>
        </w:numPr>
        <w:rPr>
          <w:sz w:val="24"/>
        </w:rPr>
      </w:pPr>
      <w:r w:rsidRPr="000E696F">
        <w:rPr>
          <w:sz w:val="24"/>
        </w:rPr>
        <w:t xml:space="preserve">Ordinary Shares, Retrived from: </w:t>
      </w:r>
      <w:hyperlink r:id="rId100" w:history="1">
        <w:r w:rsidRPr="000E696F">
          <w:rPr>
            <w:rStyle w:val="Hyperlink"/>
            <w:sz w:val="24"/>
          </w:rPr>
          <w:t>https://www.investopedia.com/terms/o/ordinaryshares.asp</w:t>
        </w:r>
      </w:hyperlink>
    </w:p>
    <w:p w:rsidR="00AF6DF8" w:rsidRPr="000E696F" w:rsidRDefault="00F976F4" w:rsidP="00F976F4">
      <w:pPr>
        <w:pStyle w:val="ListParagraph"/>
        <w:numPr>
          <w:ilvl w:val="0"/>
          <w:numId w:val="20"/>
        </w:numPr>
        <w:rPr>
          <w:sz w:val="24"/>
        </w:rPr>
      </w:pPr>
      <w:r w:rsidRPr="000E696F">
        <w:rPr>
          <w:sz w:val="24"/>
        </w:rPr>
        <w:t xml:space="preserve">Commercial Paper, Retrived from: </w:t>
      </w:r>
      <w:hyperlink r:id="rId101" w:history="1">
        <w:r w:rsidRPr="000E696F">
          <w:rPr>
            <w:rStyle w:val="Hyperlink"/>
            <w:sz w:val="24"/>
          </w:rPr>
          <w:t>https://www.investopedia.com/terms/c/commercialpaper.asp</w:t>
        </w:r>
      </w:hyperlink>
    </w:p>
    <w:p w:rsidR="00F976F4" w:rsidRPr="000E696F" w:rsidRDefault="00F976F4" w:rsidP="00F976F4">
      <w:pPr>
        <w:pStyle w:val="ListParagraph"/>
        <w:numPr>
          <w:ilvl w:val="0"/>
          <w:numId w:val="20"/>
        </w:numPr>
        <w:rPr>
          <w:sz w:val="24"/>
        </w:rPr>
      </w:pPr>
      <w:r w:rsidRPr="000E696F">
        <w:rPr>
          <w:sz w:val="24"/>
        </w:rPr>
        <w:t xml:space="preserve">Secondary Market, Retrived from: </w:t>
      </w:r>
      <w:hyperlink r:id="rId102" w:history="1">
        <w:r w:rsidRPr="000E696F">
          <w:rPr>
            <w:rStyle w:val="Hyperlink"/>
            <w:sz w:val="24"/>
          </w:rPr>
          <w:t>https://www.investopedia.com/terms/s/secondarymarket.asp</w:t>
        </w:r>
      </w:hyperlink>
    </w:p>
    <w:p w:rsidR="00C44478" w:rsidRPr="000E696F" w:rsidRDefault="00F976F4" w:rsidP="00471D36">
      <w:pPr>
        <w:pStyle w:val="ListParagraph"/>
        <w:numPr>
          <w:ilvl w:val="0"/>
          <w:numId w:val="20"/>
        </w:numPr>
        <w:rPr>
          <w:sz w:val="24"/>
        </w:rPr>
      </w:pPr>
      <w:r w:rsidRPr="000E696F">
        <w:rPr>
          <w:sz w:val="24"/>
        </w:rPr>
        <w:t>Annual Report of BRAC Bank Ltd. 2013-2017</w:t>
      </w:r>
    </w:p>
    <w:p w:rsidR="003D6521" w:rsidRDefault="003D6521" w:rsidP="003D6521"/>
    <w:p w:rsidR="003D6521" w:rsidRDefault="003D6521" w:rsidP="003D6521">
      <w:pPr>
        <w:pStyle w:val="Heading1"/>
      </w:pPr>
      <w:bookmarkStart w:id="83" w:name="_Toc523576041"/>
      <w:r>
        <w:t>Appendix and Notes</w:t>
      </w:r>
      <w:bookmarkEnd w:id="83"/>
    </w:p>
    <w:p w:rsidR="003D6521" w:rsidRPr="000E696F" w:rsidRDefault="003D6521" w:rsidP="003D6521">
      <w:pPr>
        <w:rPr>
          <w:sz w:val="24"/>
        </w:rPr>
      </w:pPr>
    </w:p>
    <w:p w:rsidR="000E696F" w:rsidRPr="000E696F" w:rsidRDefault="000E696F" w:rsidP="000E696F">
      <w:pPr>
        <w:pStyle w:val="ListParagraph"/>
        <w:numPr>
          <w:ilvl w:val="0"/>
          <w:numId w:val="21"/>
        </w:numPr>
        <w:rPr>
          <w:sz w:val="24"/>
        </w:rPr>
      </w:pPr>
      <w:r w:rsidRPr="000E696F">
        <w:rPr>
          <w:sz w:val="24"/>
        </w:rPr>
        <w:t>BBL: The BRAC Bank Ltd</w:t>
      </w:r>
    </w:p>
    <w:p w:rsidR="000E696F" w:rsidRPr="000E696F" w:rsidRDefault="000E696F" w:rsidP="000E696F">
      <w:pPr>
        <w:pStyle w:val="ListParagraph"/>
        <w:numPr>
          <w:ilvl w:val="0"/>
          <w:numId w:val="21"/>
        </w:numPr>
        <w:rPr>
          <w:sz w:val="24"/>
        </w:rPr>
      </w:pPr>
      <w:r w:rsidRPr="000E696F">
        <w:rPr>
          <w:sz w:val="24"/>
        </w:rPr>
        <w:t>HFT: Held for trading</w:t>
      </w:r>
    </w:p>
    <w:p w:rsidR="003D6521" w:rsidRPr="000E696F" w:rsidRDefault="000E696F" w:rsidP="000E696F">
      <w:pPr>
        <w:pStyle w:val="ListParagraph"/>
        <w:numPr>
          <w:ilvl w:val="0"/>
          <w:numId w:val="21"/>
        </w:numPr>
        <w:rPr>
          <w:sz w:val="24"/>
        </w:rPr>
      </w:pPr>
      <w:r w:rsidRPr="000E696F">
        <w:rPr>
          <w:sz w:val="24"/>
        </w:rPr>
        <w:t>HTM: Held to maturity</w:t>
      </w:r>
    </w:p>
    <w:sectPr w:rsidR="003D6521" w:rsidRPr="000E696F" w:rsidSect="00513EB0">
      <w:pgSz w:w="12240" w:h="15840"/>
      <w:pgMar w:top="18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5AA" w:rsidRDefault="006A45AA" w:rsidP="008E7A11">
      <w:pPr>
        <w:spacing w:after="0" w:line="240" w:lineRule="auto"/>
      </w:pPr>
      <w:r>
        <w:separator/>
      </w:r>
    </w:p>
  </w:endnote>
  <w:endnote w:type="continuationSeparator" w:id="0">
    <w:p w:rsidR="006A45AA" w:rsidRDefault="006A45AA" w:rsidP="008E7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4159111"/>
      <w:docPartObj>
        <w:docPartGallery w:val="Page Numbers (Bottom of Page)"/>
        <w:docPartUnique/>
      </w:docPartObj>
    </w:sdtPr>
    <w:sdtEndPr>
      <w:rPr>
        <w:color w:val="7F7F7F" w:themeColor="background1" w:themeShade="7F"/>
        <w:spacing w:val="60"/>
      </w:rPr>
    </w:sdtEndPr>
    <w:sdtContent>
      <w:p w:rsidR="006F4F0E" w:rsidRDefault="006F4F0E">
        <w:pPr>
          <w:pStyle w:val="Footer"/>
          <w:pBdr>
            <w:top w:val="single" w:sz="4" w:space="1" w:color="D9D9D9" w:themeColor="background1" w:themeShade="D9"/>
          </w:pBdr>
          <w:jc w:val="right"/>
        </w:pPr>
        <w:r>
          <w:fldChar w:fldCharType="begin"/>
        </w:r>
        <w:r>
          <w:instrText xml:space="preserve"> PAGE   \* MERGEFORMAT </w:instrText>
        </w:r>
        <w:r>
          <w:fldChar w:fldCharType="separate"/>
        </w:r>
        <w:r w:rsidR="00E61EFB">
          <w:rPr>
            <w:noProof/>
          </w:rPr>
          <w:t>56</w:t>
        </w:r>
        <w:r>
          <w:rPr>
            <w:noProof/>
          </w:rPr>
          <w:fldChar w:fldCharType="end"/>
        </w:r>
        <w:r>
          <w:t xml:space="preserve"> | </w:t>
        </w:r>
        <w:r>
          <w:rPr>
            <w:color w:val="7F7F7F" w:themeColor="background1" w:themeShade="7F"/>
            <w:spacing w:val="60"/>
          </w:rPr>
          <w:t>Page</w:t>
        </w:r>
      </w:p>
    </w:sdtContent>
  </w:sdt>
  <w:p w:rsidR="006F4F0E" w:rsidRDefault="006F4F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5AA" w:rsidRDefault="006A45AA" w:rsidP="008E7A11">
      <w:pPr>
        <w:spacing w:after="0" w:line="240" w:lineRule="auto"/>
      </w:pPr>
      <w:r>
        <w:separator/>
      </w:r>
    </w:p>
  </w:footnote>
  <w:footnote w:type="continuationSeparator" w:id="0">
    <w:p w:rsidR="006A45AA" w:rsidRDefault="006A45AA" w:rsidP="008E7A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66B82"/>
    <w:multiLevelType w:val="multilevel"/>
    <w:tmpl w:val="4454ADA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3803DF0"/>
    <w:multiLevelType w:val="hybridMultilevel"/>
    <w:tmpl w:val="C0B2E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7553DDE"/>
    <w:multiLevelType w:val="multilevel"/>
    <w:tmpl w:val="6ADE331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A131261"/>
    <w:multiLevelType w:val="hybridMultilevel"/>
    <w:tmpl w:val="4828B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A433772"/>
    <w:multiLevelType w:val="multilevel"/>
    <w:tmpl w:val="5EDC9768"/>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314F51C6"/>
    <w:multiLevelType w:val="hybridMultilevel"/>
    <w:tmpl w:val="CDAE2A10"/>
    <w:lvl w:ilvl="0" w:tplc="D12E63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10117E"/>
    <w:multiLevelType w:val="hybridMultilevel"/>
    <w:tmpl w:val="72AA76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nsid w:val="3D8C5AA1"/>
    <w:multiLevelType w:val="hybridMultilevel"/>
    <w:tmpl w:val="45765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3402B0"/>
    <w:multiLevelType w:val="multilevel"/>
    <w:tmpl w:val="7940F5D0"/>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5E619B4"/>
    <w:multiLevelType w:val="hybridMultilevel"/>
    <w:tmpl w:val="7B002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A6F25F4"/>
    <w:multiLevelType w:val="hybridMultilevel"/>
    <w:tmpl w:val="3012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0D4797"/>
    <w:multiLevelType w:val="hybridMultilevel"/>
    <w:tmpl w:val="389E9666"/>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12">
    <w:nsid w:val="6308083A"/>
    <w:multiLevelType w:val="hybridMultilevel"/>
    <w:tmpl w:val="FB105F4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3">
    <w:nsid w:val="6CF0782A"/>
    <w:multiLevelType w:val="hybridMultilevel"/>
    <w:tmpl w:val="78AA9B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3234736"/>
    <w:multiLevelType w:val="multilevel"/>
    <w:tmpl w:val="5EDC9768"/>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nsid w:val="74AA69C3"/>
    <w:multiLevelType w:val="hybridMultilevel"/>
    <w:tmpl w:val="73A2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A506CC"/>
    <w:multiLevelType w:val="hybridMultilevel"/>
    <w:tmpl w:val="BEB6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3C79A8"/>
    <w:multiLevelType w:val="hybridMultilevel"/>
    <w:tmpl w:val="E8E89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B11EDA"/>
    <w:multiLevelType w:val="hybridMultilevel"/>
    <w:tmpl w:val="A5B802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nsid w:val="7BE978BB"/>
    <w:multiLevelType w:val="hybridMultilevel"/>
    <w:tmpl w:val="99BC3064"/>
    <w:lvl w:ilvl="0" w:tplc="04090001">
      <w:start w:val="1"/>
      <w:numFmt w:val="bullet"/>
      <w:lvlText w:val=""/>
      <w:lvlJc w:val="left"/>
      <w:pPr>
        <w:ind w:left="962" w:hanging="360"/>
      </w:pPr>
      <w:rPr>
        <w:rFonts w:ascii="Symbol" w:hAnsi="Symbol"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20">
    <w:nsid w:val="7D916815"/>
    <w:multiLevelType w:val="multilevel"/>
    <w:tmpl w:val="D868AD58"/>
    <w:lvl w:ilvl="0">
      <w:start w:val="1"/>
      <w:numFmt w:val="lowerLetter"/>
      <w:lvlText w:val="%1)"/>
      <w:lvlJc w:val="left"/>
      <w:pPr>
        <w:ind w:left="720" w:hanging="360"/>
      </w:pPr>
      <w:rPr>
        <w:rFonts w:hint="default"/>
      </w:rPr>
    </w:lvl>
    <w:lvl w:ilvl="1">
      <w:start w:val="4"/>
      <w:numFmt w:val="decimal"/>
      <w:isLgl/>
      <w:lvlText w:val="%1.%2"/>
      <w:lvlJc w:val="left"/>
      <w:pPr>
        <w:ind w:left="720" w:hanging="360"/>
      </w:pPr>
      <w:rPr>
        <w:rFonts w:hint="default"/>
        <w:sz w:val="26"/>
      </w:rPr>
    </w:lvl>
    <w:lvl w:ilvl="2">
      <w:start w:val="1"/>
      <w:numFmt w:val="decimal"/>
      <w:isLgl/>
      <w:lvlText w:val="%1.%2.%3"/>
      <w:lvlJc w:val="left"/>
      <w:pPr>
        <w:ind w:left="1080" w:hanging="720"/>
      </w:pPr>
      <w:rPr>
        <w:rFonts w:hint="default"/>
        <w:sz w:val="26"/>
      </w:rPr>
    </w:lvl>
    <w:lvl w:ilvl="3">
      <w:start w:val="1"/>
      <w:numFmt w:val="decimal"/>
      <w:isLgl/>
      <w:lvlText w:val="%1.%2.%3.%4"/>
      <w:lvlJc w:val="left"/>
      <w:pPr>
        <w:ind w:left="1080" w:hanging="720"/>
      </w:pPr>
      <w:rPr>
        <w:rFonts w:hint="default"/>
        <w:sz w:val="26"/>
      </w:rPr>
    </w:lvl>
    <w:lvl w:ilvl="4">
      <w:start w:val="1"/>
      <w:numFmt w:val="decimal"/>
      <w:isLgl/>
      <w:lvlText w:val="%1.%2.%3.%4.%5"/>
      <w:lvlJc w:val="left"/>
      <w:pPr>
        <w:ind w:left="1440" w:hanging="1080"/>
      </w:pPr>
      <w:rPr>
        <w:rFonts w:hint="default"/>
        <w:sz w:val="26"/>
      </w:rPr>
    </w:lvl>
    <w:lvl w:ilvl="5">
      <w:start w:val="1"/>
      <w:numFmt w:val="decimal"/>
      <w:isLgl/>
      <w:lvlText w:val="%1.%2.%3.%4.%5.%6"/>
      <w:lvlJc w:val="left"/>
      <w:pPr>
        <w:ind w:left="1440" w:hanging="1080"/>
      </w:pPr>
      <w:rPr>
        <w:rFonts w:hint="default"/>
        <w:sz w:val="26"/>
      </w:rPr>
    </w:lvl>
    <w:lvl w:ilvl="6">
      <w:start w:val="1"/>
      <w:numFmt w:val="decimal"/>
      <w:isLgl/>
      <w:lvlText w:val="%1.%2.%3.%4.%5.%6.%7"/>
      <w:lvlJc w:val="left"/>
      <w:pPr>
        <w:ind w:left="1800" w:hanging="1440"/>
      </w:pPr>
      <w:rPr>
        <w:rFonts w:hint="default"/>
        <w:sz w:val="26"/>
      </w:rPr>
    </w:lvl>
    <w:lvl w:ilvl="7">
      <w:start w:val="1"/>
      <w:numFmt w:val="decimal"/>
      <w:isLgl/>
      <w:lvlText w:val="%1.%2.%3.%4.%5.%6.%7.%8"/>
      <w:lvlJc w:val="left"/>
      <w:pPr>
        <w:ind w:left="1800" w:hanging="1440"/>
      </w:pPr>
      <w:rPr>
        <w:rFonts w:hint="default"/>
        <w:sz w:val="26"/>
      </w:rPr>
    </w:lvl>
    <w:lvl w:ilvl="8">
      <w:start w:val="1"/>
      <w:numFmt w:val="decimal"/>
      <w:isLgl/>
      <w:lvlText w:val="%1.%2.%3.%4.%5.%6.%7.%8.%9"/>
      <w:lvlJc w:val="left"/>
      <w:pPr>
        <w:ind w:left="2160" w:hanging="1800"/>
      </w:pPr>
      <w:rPr>
        <w:rFonts w:hint="default"/>
        <w:sz w:val="26"/>
      </w:rPr>
    </w:lvl>
  </w:abstractNum>
  <w:num w:numId="1">
    <w:abstractNumId w:val="12"/>
  </w:num>
  <w:num w:numId="2">
    <w:abstractNumId w:val="10"/>
  </w:num>
  <w:num w:numId="3">
    <w:abstractNumId w:val="0"/>
  </w:num>
  <w:num w:numId="4">
    <w:abstractNumId w:val="11"/>
  </w:num>
  <w:num w:numId="5">
    <w:abstractNumId w:val="19"/>
  </w:num>
  <w:num w:numId="6">
    <w:abstractNumId w:val="3"/>
  </w:num>
  <w:num w:numId="7">
    <w:abstractNumId w:val="9"/>
  </w:num>
  <w:num w:numId="8">
    <w:abstractNumId w:val="6"/>
  </w:num>
  <w:num w:numId="9">
    <w:abstractNumId w:val="18"/>
  </w:num>
  <w:num w:numId="10">
    <w:abstractNumId w:val="13"/>
  </w:num>
  <w:num w:numId="11">
    <w:abstractNumId w:val="1"/>
  </w:num>
  <w:num w:numId="12">
    <w:abstractNumId w:val="20"/>
  </w:num>
  <w:num w:numId="13">
    <w:abstractNumId w:val="7"/>
  </w:num>
  <w:num w:numId="14">
    <w:abstractNumId w:val="17"/>
  </w:num>
  <w:num w:numId="15">
    <w:abstractNumId w:val="2"/>
  </w:num>
  <w:num w:numId="16">
    <w:abstractNumId w:val="8"/>
  </w:num>
  <w:num w:numId="17">
    <w:abstractNumId w:val="5"/>
  </w:num>
  <w:num w:numId="18">
    <w:abstractNumId w:val="14"/>
  </w:num>
  <w:num w:numId="19">
    <w:abstractNumId w:val="4"/>
  </w:num>
  <w:num w:numId="20">
    <w:abstractNumId w:val="15"/>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BEC"/>
    <w:rsid w:val="0004497F"/>
    <w:rsid w:val="00074AAE"/>
    <w:rsid w:val="000B25A9"/>
    <w:rsid w:val="000E696F"/>
    <w:rsid w:val="00120B0C"/>
    <w:rsid w:val="00123165"/>
    <w:rsid w:val="001406CC"/>
    <w:rsid w:val="001B3EB1"/>
    <w:rsid w:val="00201247"/>
    <w:rsid w:val="00230017"/>
    <w:rsid w:val="00264866"/>
    <w:rsid w:val="0038242D"/>
    <w:rsid w:val="00396650"/>
    <w:rsid w:val="003A2F2D"/>
    <w:rsid w:val="003B7D4B"/>
    <w:rsid w:val="003C1FD8"/>
    <w:rsid w:val="003D6521"/>
    <w:rsid w:val="00446754"/>
    <w:rsid w:val="00471D36"/>
    <w:rsid w:val="004D1CC9"/>
    <w:rsid w:val="004F50BC"/>
    <w:rsid w:val="00513EB0"/>
    <w:rsid w:val="00515D1D"/>
    <w:rsid w:val="005B1241"/>
    <w:rsid w:val="005D6608"/>
    <w:rsid w:val="005E6093"/>
    <w:rsid w:val="005F283B"/>
    <w:rsid w:val="006448E9"/>
    <w:rsid w:val="00656BEC"/>
    <w:rsid w:val="006851B7"/>
    <w:rsid w:val="00685350"/>
    <w:rsid w:val="006A45AA"/>
    <w:rsid w:val="006E4E08"/>
    <w:rsid w:val="006F4F0E"/>
    <w:rsid w:val="00706314"/>
    <w:rsid w:val="00735322"/>
    <w:rsid w:val="00754BD2"/>
    <w:rsid w:val="007659CD"/>
    <w:rsid w:val="007C57FE"/>
    <w:rsid w:val="007F4731"/>
    <w:rsid w:val="0087693B"/>
    <w:rsid w:val="008A4F2A"/>
    <w:rsid w:val="008B53D9"/>
    <w:rsid w:val="008C6A6A"/>
    <w:rsid w:val="008E7A11"/>
    <w:rsid w:val="00910A27"/>
    <w:rsid w:val="00937384"/>
    <w:rsid w:val="00942A13"/>
    <w:rsid w:val="0095215B"/>
    <w:rsid w:val="009A1E54"/>
    <w:rsid w:val="00A121CD"/>
    <w:rsid w:val="00A62C81"/>
    <w:rsid w:val="00AD6091"/>
    <w:rsid w:val="00AF3299"/>
    <w:rsid w:val="00AF6DF8"/>
    <w:rsid w:val="00B55D08"/>
    <w:rsid w:val="00BE1592"/>
    <w:rsid w:val="00C44478"/>
    <w:rsid w:val="00C46B08"/>
    <w:rsid w:val="00C96EBA"/>
    <w:rsid w:val="00CB3330"/>
    <w:rsid w:val="00CB3EF9"/>
    <w:rsid w:val="00CF3771"/>
    <w:rsid w:val="00D17F25"/>
    <w:rsid w:val="00D66873"/>
    <w:rsid w:val="00D74DA8"/>
    <w:rsid w:val="00D83541"/>
    <w:rsid w:val="00DB48A7"/>
    <w:rsid w:val="00DD68D8"/>
    <w:rsid w:val="00E55D48"/>
    <w:rsid w:val="00E61EFB"/>
    <w:rsid w:val="00E93EEB"/>
    <w:rsid w:val="00F2298A"/>
    <w:rsid w:val="00F32A5B"/>
    <w:rsid w:val="00F427B1"/>
    <w:rsid w:val="00F46C63"/>
    <w:rsid w:val="00F976F4"/>
    <w:rsid w:val="00FC7688"/>
    <w:rsid w:val="00FE6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C44478"/>
    <w:pPr>
      <w:keepNext/>
      <w:keepLines/>
      <w:spacing w:before="240" w:after="0" w:line="259" w:lineRule="auto"/>
      <w:outlineLvl w:val="0"/>
    </w:pPr>
    <w:rPr>
      <w:rFonts w:ascii="Cambria" w:eastAsia="Times New Roman" w:hAnsi="Cambria"/>
      <w:color w:val="365F91"/>
      <w:sz w:val="32"/>
      <w:szCs w:val="32"/>
    </w:rPr>
  </w:style>
  <w:style w:type="paragraph" w:styleId="Heading2">
    <w:name w:val="heading 2"/>
    <w:basedOn w:val="Normal"/>
    <w:next w:val="Normal"/>
    <w:link w:val="Heading2Char"/>
    <w:uiPriority w:val="9"/>
    <w:unhideWhenUsed/>
    <w:qFormat/>
    <w:rsid w:val="00396650"/>
    <w:pPr>
      <w:keepNext/>
      <w:keepLines/>
      <w:spacing w:before="40" w:after="0" w:line="256" w:lineRule="auto"/>
      <w:outlineLvl w:val="1"/>
    </w:pPr>
    <w:rPr>
      <w:rFonts w:ascii="Times New Roman" w:eastAsia="Times New Roman" w:hAnsi="Times New Roman"/>
      <w:color w:val="365F91"/>
      <w:sz w:val="26"/>
      <w:szCs w:val="26"/>
    </w:rPr>
  </w:style>
  <w:style w:type="paragraph" w:styleId="Heading3">
    <w:name w:val="heading 3"/>
    <w:basedOn w:val="Normal"/>
    <w:next w:val="Normal"/>
    <w:link w:val="Heading3Char"/>
    <w:uiPriority w:val="9"/>
    <w:unhideWhenUsed/>
    <w:qFormat/>
    <w:rsid w:val="007659CD"/>
    <w:pPr>
      <w:keepNext/>
      <w:keepLines/>
      <w:spacing w:before="40" w:after="0"/>
      <w:outlineLvl w:val="2"/>
    </w:pPr>
    <w:rPr>
      <w:rFonts w:ascii="Times New Roman" w:eastAsia="Times New Roman" w:hAnsi="Times New Roman"/>
      <w:color w:val="243F60"/>
      <w:sz w:val="24"/>
      <w:szCs w:val="24"/>
    </w:rPr>
  </w:style>
  <w:style w:type="paragraph" w:styleId="Heading4">
    <w:name w:val="heading 4"/>
    <w:basedOn w:val="Normal"/>
    <w:next w:val="Normal"/>
    <w:link w:val="Heading4Char"/>
    <w:uiPriority w:val="9"/>
    <w:unhideWhenUsed/>
    <w:qFormat/>
    <w:rsid w:val="00C44478"/>
    <w:pPr>
      <w:keepNext/>
      <w:keepLines/>
      <w:spacing w:before="40" w:after="0"/>
      <w:outlineLvl w:val="3"/>
    </w:pPr>
    <w:rPr>
      <w:rFonts w:ascii="Cambria" w:eastAsia="Times New Roma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3F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63FA"/>
    <w:rPr>
      <w:rFonts w:ascii="Tahoma" w:hAnsi="Tahoma" w:cs="Tahoma"/>
      <w:sz w:val="16"/>
      <w:szCs w:val="16"/>
    </w:rPr>
  </w:style>
  <w:style w:type="paragraph" w:customStyle="1" w:styleId="Default">
    <w:name w:val="Default"/>
    <w:rsid w:val="005B1241"/>
    <w:pPr>
      <w:autoSpaceDE w:val="0"/>
      <w:autoSpaceDN w:val="0"/>
      <w:adjustRightInd w:val="0"/>
    </w:pPr>
    <w:rPr>
      <w:rFonts w:ascii="Times New Roman" w:hAnsi="Times New Roman"/>
      <w:color w:val="000000"/>
      <w:sz w:val="24"/>
      <w:szCs w:val="24"/>
    </w:rPr>
  </w:style>
  <w:style w:type="paragraph" w:styleId="ListParagraph">
    <w:name w:val="List Paragraph"/>
    <w:basedOn w:val="Normal"/>
    <w:link w:val="ListParagraphChar"/>
    <w:uiPriority w:val="34"/>
    <w:qFormat/>
    <w:rsid w:val="008B53D9"/>
    <w:pPr>
      <w:ind w:left="720"/>
      <w:contextualSpacing/>
    </w:pPr>
  </w:style>
  <w:style w:type="character" w:customStyle="1" w:styleId="Heading2Char">
    <w:name w:val="Heading 2 Char"/>
    <w:link w:val="Heading2"/>
    <w:uiPriority w:val="9"/>
    <w:rsid w:val="00396650"/>
    <w:rPr>
      <w:rFonts w:ascii="Times New Roman" w:eastAsia="Times New Roman" w:hAnsi="Times New Roman"/>
      <w:color w:val="365F91"/>
      <w:sz w:val="26"/>
      <w:szCs w:val="26"/>
    </w:rPr>
  </w:style>
  <w:style w:type="character" w:customStyle="1" w:styleId="ListParagraphChar">
    <w:name w:val="List Paragraph Char"/>
    <w:link w:val="ListParagraph"/>
    <w:uiPriority w:val="34"/>
    <w:locked/>
    <w:rsid w:val="008B53D9"/>
  </w:style>
  <w:style w:type="table" w:styleId="TableGrid">
    <w:name w:val="Table Grid"/>
    <w:basedOn w:val="TableNormal"/>
    <w:uiPriority w:val="39"/>
    <w:rsid w:val="008B53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7659CD"/>
    <w:rPr>
      <w:rFonts w:ascii="Times New Roman" w:eastAsia="Times New Roman" w:hAnsi="Times New Roman"/>
      <w:color w:val="243F60"/>
      <w:sz w:val="24"/>
      <w:szCs w:val="24"/>
    </w:rPr>
  </w:style>
  <w:style w:type="character" w:customStyle="1" w:styleId="Heading4Char">
    <w:name w:val="Heading 4 Char"/>
    <w:link w:val="Heading4"/>
    <w:uiPriority w:val="9"/>
    <w:rsid w:val="00C44478"/>
    <w:rPr>
      <w:rFonts w:ascii="Cambria" w:eastAsia="Times New Roman" w:hAnsi="Cambria" w:cs="Times New Roman"/>
      <w:i/>
      <w:iCs/>
      <w:color w:val="365F91"/>
    </w:rPr>
  </w:style>
  <w:style w:type="paragraph" w:customStyle="1" w:styleId="uiqtextpara">
    <w:name w:val="ui_qtext_para"/>
    <w:basedOn w:val="Normal"/>
    <w:rsid w:val="00C44478"/>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link w:val="Heading1"/>
    <w:uiPriority w:val="9"/>
    <w:rsid w:val="00C44478"/>
    <w:rPr>
      <w:rFonts w:ascii="Cambria" w:eastAsia="Times New Roman" w:hAnsi="Cambria" w:cs="Times New Roman"/>
      <w:color w:val="365F91"/>
      <w:sz w:val="32"/>
      <w:szCs w:val="32"/>
    </w:rPr>
  </w:style>
  <w:style w:type="table" w:customStyle="1" w:styleId="ListTable1LightAccent1">
    <w:name w:val="List Table 1 Light Accent 1"/>
    <w:basedOn w:val="TableNormal"/>
    <w:uiPriority w:val="46"/>
    <w:rsid w:val="00C44478"/>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Header">
    <w:name w:val="header"/>
    <w:basedOn w:val="Normal"/>
    <w:link w:val="HeaderChar"/>
    <w:uiPriority w:val="99"/>
    <w:unhideWhenUsed/>
    <w:rsid w:val="00C44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78"/>
  </w:style>
  <w:style w:type="paragraph" w:styleId="Footer">
    <w:name w:val="footer"/>
    <w:basedOn w:val="Normal"/>
    <w:link w:val="FooterChar"/>
    <w:uiPriority w:val="99"/>
    <w:unhideWhenUsed/>
    <w:rsid w:val="00C44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78"/>
  </w:style>
  <w:style w:type="paragraph" w:styleId="TOCHeading">
    <w:name w:val="TOC Heading"/>
    <w:basedOn w:val="Heading1"/>
    <w:next w:val="Normal"/>
    <w:uiPriority w:val="39"/>
    <w:unhideWhenUsed/>
    <w:qFormat/>
    <w:rsid w:val="00AF3299"/>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AF3299"/>
    <w:pPr>
      <w:spacing w:after="100"/>
    </w:pPr>
  </w:style>
  <w:style w:type="paragraph" w:styleId="TOC2">
    <w:name w:val="toc 2"/>
    <w:basedOn w:val="Normal"/>
    <w:next w:val="Normal"/>
    <w:autoRedefine/>
    <w:uiPriority w:val="39"/>
    <w:unhideWhenUsed/>
    <w:rsid w:val="00AF3299"/>
    <w:pPr>
      <w:spacing w:after="100"/>
      <w:ind w:left="220"/>
    </w:pPr>
  </w:style>
  <w:style w:type="paragraph" w:styleId="TOC3">
    <w:name w:val="toc 3"/>
    <w:basedOn w:val="Normal"/>
    <w:next w:val="Normal"/>
    <w:autoRedefine/>
    <w:uiPriority w:val="39"/>
    <w:unhideWhenUsed/>
    <w:rsid w:val="00AF3299"/>
    <w:pPr>
      <w:spacing w:after="100"/>
      <w:ind w:left="440"/>
    </w:pPr>
  </w:style>
  <w:style w:type="character" w:styleId="Hyperlink">
    <w:name w:val="Hyperlink"/>
    <w:basedOn w:val="DefaultParagraphFont"/>
    <w:uiPriority w:val="99"/>
    <w:unhideWhenUsed/>
    <w:rsid w:val="00AF32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C44478"/>
    <w:pPr>
      <w:keepNext/>
      <w:keepLines/>
      <w:spacing w:before="240" w:after="0" w:line="259" w:lineRule="auto"/>
      <w:outlineLvl w:val="0"/>
    </w:pPr>
    <w:rPr>
      <w:rFonts w:ascii="Cambria" w:eastAsia="Times New Roman" w:hAnsi="Cambria"/>
      <w:color w:val="365F91"/>
      <w:sz w:val="32"/>
      <w:szCs w:val="32"/>
    </w:rPr>
  </w:style>
  <w:style w:type="paragraph" w:styleId="Heading2">
    <w:name w:val="heading 2"/>
    <w:basedOn w:val="Normal"/>
    <w:next w:val="Normal"/>
    <w:link w:val="Heading2Char"/>
    <w:uiPriority w:val="9"/>
    <w:unhideWhenUsed/>
    <w:qFormat/>
    <w:rsid w:val="00396650"/>
    <w:pPr>
      <w:keepNext/>
      <w:keepLines/>
      <w:spacing w:before="40" w:after="0" w:line="256" w:lineRule="auto"/>
      <w:outlineLvl w:val="1"/>
    </w:pPr>
    <w:rPr>
      <w:rFonts w:ascii="Times New Roman" w:eastAsia="Times New Roman" w:hAnsi="Times New Roman"/>
      <w:color w:val="365F91"/>
      <w:sz w:val="26"/>
      <w:szCs w:val="26"/>
    </w:rPr>
  </w:style>
  <w:style w:type="paragraph" w:styleId="Heading3">
    <w:name w:val="heading 3"/>
    <w:basedOn w:val="Normal"/>
    <w:next w:val="Normal"/>
    <w:link w:val="Heading3Char"/>
    <w:uiPriority w:val="9"/>
    <w:unhideWhenUsed/>
    <w:qFormat/>
    <w:rsid w:val="007659CD"/>
    <w:pPr>
      <w:keepNext/>
      <w:keepLines/>
      <w:spacing w:before="40" w:after="0"/>
      <w:outlineLvl w:val="2"/>
    </w:pPr>
    <w:rPr>
      <w:rFonts w:ascii="Times New Roman" w:eastAsia="Times New Roman" w:hAnsi="Times New Roman"/>
      <w:color w:val="243F60"/>
      <w:sz w:val="24"/>
      <w:szCs w:val="24"/>
    </w:rPr>
  </w:style>
  <w:style w:type="paragraph" w:styleId="Heading4">
    <w:name w:val="heading 4"/>
    <w:basedOn w:val="Normal"/>
    <w:next w:val="Normal"/>
    <w:link w:val="Heading4Char"/>
    <w:uiPriority w:val="9"/>
    <w:unhideWhenUsed/>
    <w:qFormat/>
    <w:rsid w:val="00C44478"/>
    <w:pPr>
      <w:keepNext/>
      <w:keepLines/>
      <w:spacing w:before="40" w:after="0"/>
      <w:outlineLvl w:val="3"/>
    </w:pPr>
    <w:rPr>
      <w:rFonts w:ascii="Cambria" w:eastAsia="Times New Roma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3F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63FA"/>
    <w:rPr>
      <w:rFonts w:ascii="Tahoma" w:hAnsi="Tahoma" w:cs="Tahoma"/>
      <w:sz w:val="16"/>
      <w:szCs w:val="16"/>
    </w:rPr>
  </w:style>
  <w:style w:type="paragraph" w:customStyle="1" w:styleId="Default">
    <w:name w:val="Default"/>
    <w:rsid w:val="005B1241"/>
    <w:pPr>
      <w:autoSpaceDE w:val="0"/>
      <w:autoSpaceDN w:val="0"/>
      <w:adjustRightInd w:val="0"/>
    </w:pPr>
    <w:rPr>
      <w:rFonts w:ascii="Times New Roman" w:hAnsi="Times New Roman"/>
      <w:color w:val="000000"/>
      <w:sz w:val="24"/>
      <w:szCs w:val="24"/>
    </w:rPr>
  </w:style>
  <w:style w:type="paragraph" w:styleId="ListParagraph">
    <w:name w:val="List Paragraph"/>
    <w:basedOn w:val="Normal"/>
    <w:link w:val="ListParagraphChar"/>
    <w:uiPriority w:val="34"/>
    <w:qFormat/>
    <w:rsid w:val="008B53D9"/>
    <w:pPr>
      <w:ind w:left="720"/>
      <w:contextualSpacing/>
    </w:pPr>
  </w:style>
  <w:style w:type="character" w:customStyle="1" w:styleId="Heading2Char">
    <w:name w:val="Heading 2 Char"/>
    <w:link w:val="Heading2"/>
    <w:uiPriority w:val="9"/>
    <w:rsid w:val="00396650"/>
    <w:rPr>
      <w:rFonts w:ascii="Times New Roman" w:eastAsia="Times New Roman" w:hAnsi="Times New Roman"/>
      <w:color w:val="365F91"/>
      <w:sz w:val="26"/>
      <w:szCs w:val="26"/>
    </w:rPr>
  </w:style>
  <w:style w:type="character" w:customStyle="1" w:styleId="ListParagraphChar">
    <w:name w:val="List Paragraph Char"/>
    <w:link w:val="ListParagraph"/>
    <w:uiPriority w:val="34"/>
    <w:locked/>
    <w:rsid w:val="008B53D9"/>
  </w:style>
  <w:style w:type="table" w:styleId="TableGrid">
    <w:name w:val="Table Grid"/>
    <w:basedOn w:val="TableNormal"/>
    <w:uiPriority w:val="39"/>
    <w:rsid w:val="008B53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7659CD"/>
    <w:rPr>
      <w:rFonts w:ascii="Times New Roman" w:eastAsia="Times New Roman" w:hAnsi="Times New Roman"/>
      <w:color w:val="243F60"/>
      <w:sz w:val="24"/>
      <w:szCs w:val="24"/>
    </w:rPr>
  </w:style>
  <w:style w:type="character" w:customStyle="1" w:styleId="Heading4Char">
    <w:name w:val="Heading 4 Char"/>
    <w:link w:val="Heading4"/>
    <w:uiPriority w:val="9"/>
    <w:rsid w:val="00C44478"/>
    <w:rPr>
      <w:rFonts w:ascii="Cambria" w:eastAsia="Times New Roman" w:hAnsi="Cambria" w:cs="Times New Roman"/>
      <w:i/>
      <w:iCs/>
      <w:color w:val="365F91"/>
    </w:rPr>
  </w:style>
  <w:style w:type="paragraph" w:customStyle="1" w:styleId="uiqtextpara">
    <w:name w:val="ui_qtext_para"/>
    <w:basedOn w:val="Normal"/>
    <w:rsid w:val="00C44478"/>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link w:val="Heading1"/>
    <w:uiPriority w:val="9"/>
    <w:rsid w:val="00C44478"/>
    <w:rPr>
      <w:rFonts w:ascii="Cambria" w:eastAsia="Times New Roman" w:hAnsi="Cambria" w:cs="Times New Roman"/>
      <w:color w:val="365F91"/>
      <w:sz w:val="32"/>
      <w:szCs w:val="32"/>
    </w:rPr>
  </w:style>
  <w:style w:type="table" w:customStyle="1" w:styleId="ListTable1LightAccent1">
    <w:name w:val="List Table 1 Light Accent 1"/>
    <w:basedOn w:val="TableNormal"/>
    <w:uiPriority w:val="46"/>
    <w:rsid w:val="00C44478"/>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Header">
    <w:name w:val="header"/>
    <w:basedOn w:val="Normal"/>
    <w:link w:val="HeaderChar"/>
    <w:uiPriority w:val="99"/>
    <w:unhideWhenUsed/>
    <w:rsid w:val="00C44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78"/>
  </w:style>
  <w:style w:type="paragraph" w:styleId="Footer">
    <w:name w:val="footer"/>
    <w:basedOn w:val="Normal"/>
    <w:link w:val="FooterChar"/>
    <w:uiPriority w:val="99"/>
    <w:unhideWhenUsed/>
    <w:rsid w:val="00C44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78"/>
  </w:style>
  <w:style w:type="paragraph" w:styleId="TOCHeading">
    <w:name w:val="TOC Heading"/>
    <w:basedOn w:val="Heading1"/>
    <w:next w:val="Normal"/>
    <w:uiPriority w:val="39"/>
    <w:unhideWhenUsed/>
    <w:qFormat/>
    <w:rsid w:val="00AF3299"/>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AF3299"/>
    <w:pPr>
      <w:spacing w:after="100"/>
    </w:pPr>
  </w:style>
  <w:style w:type="paragraph" w:styleId="TOC2">
    <w:name w:val="toc 2"/>
    <w:basedOn w:val="Normal"/>
    <w:next w:val="Normal"/>
    <w:autoRedefine/>
    <w:uiPriority w:val="39"/>
    <w:unhideWhenUsed/>
    <w:rsid w:val="00AF3299"/>
    <w:pPr>
      <w:spacing w:after="100"/>
      <w:ind w:left="220"/>
    </w:pPr>
  </w:style>
  <w:style w:type="paragraph" w:styleId="TOC3">
    <w:name w:val="toc 3"/>
    <w:basedOn w:val="Normal"/>
    <w:next w:val="Normal"/>
    <w:autoRedefine/>
    <w:uiPriority w:val="39"/>
    <w:unhideWhenUsed/>
    <w:rsid w:val="00AF3299"/>
    <w:pPr>
      <w:spacing w:after="100"/>
      <w:ind w:left="440"/>
    </w:pPr>
  </w:style>
  <w:style w:type="character" w:styleId="Hyperlink">
    <w:name w:val="Hyperlink"/>
    <w:basedOn w:val="DefaultParagraphFont"/>
    <w:uiPriority w:val="99"/>
    <w:unhideWhenUsed/>
    <w:rsid w:val="00AF32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3.xml"/><Relationship Id="rId21" Type="http://schemas.openxmlformats.org/officeDocument/2006/relationships/diagramQuickStyle" Target="diagrams/quickStyle2.xml"/><Relationship Id="rId42" Type="http://schemas.openxmlformats.org/officeDocument/2006/relationships/chart" Target="charts/chart17.xml"/><Relationship Id="rId47" Type="http://schemas.openxmlformats.org/officeDocument/2006/relationships/chart" Target="charts/chart22.xml"/><Relationship Id="rId63" Type="http://schemas.openxmlformats.org/officeDocument/2006/relationships/chart" Target="charts/chart38.xml"/><Relationship Id="rId68" Type="http://schemas.openxmlformats.org/officeDocument/2006/relationships/diagramColors" Target="diagrams/colors4.xml"/><Relationship Id="rId84" Type="http://schemas.openxmlformats.org/officeDocument/2006/relationships/chart" Target="charts/chart49.xml"/><Relationship Id="rId89" Type="http://schemas.openxmlformats.org/officeDocument/2006/relationships/diagramQuickStyle" Target="diagrams/quickStyle6.xml"/><Relationship Id="rId7" Type="http://schemas.openxmlformats.org/officeDocument/2006/relationships/footnotes" Target="footnotes.xml"/><Relationship Id="rId71" Type="http://schemas.openxmlformats.org/officeDocument/2006/relationships/chart" Target="charts/chart41.xml"/><Relationship Id="rId92" Type="http://schemas.openxmlformats.org/officeDocument/2006/relationships/chart" Target="charts/chart52.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4.xml"/><Relationship Id="rId11" Type="http://schemas.openxmlformats.org/officeDocument/2006/relationships/diagramData" Target="diagrams/data1.xml"/><Relationship Id="rId24" Type="http://schemas.openxmlformats.org/officeDocument/2006/relationships/diagramData" Target="diagrams/data3.xml"/><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chart" Target="charts/chart28.xml"/><Relationship Id="rId58" Type="http://schemas.openxmlformats.org/officeDocument/2006/relationships/chart" Target="charts/chart33.xml"/><Relationship Id="rId66" Type="http://schemas.openxmlformats.org/officeDocument/2006/relationships/diagramLayout" Target="diagrams/layout4.xml"/><Relationship Id="rId74" Type="http://schemas.openxmlformats.org/officeDocument/2006/relationships/chart" Target="charts/chart44.xml"/><Relationship Id="rId79" Type="http://schemas.microsoft.com/office/2007/relationships/diagramDrawing" Target="diagrams/drawing5.xml"/><Relationship Id="rId87" Type="http://schemas.openxmlformats.org/officeDocument/2006/relationships/diagramData" Target="diagrams/data6.xml"/><Relationship Id="rId102" Type="http://schemas.openxmlformats.org/officeDocument/2006/relationships/hyperlink" Target="https://www.investopedia.com/terms/s/secondarymarket.asp" TargetMode="External"/><Relationship Id="rId5" Type="http://schemas.openxmlformats.org/officeDocument/2006/relationships/settings" Target="settings.xml"/><Relationship Id="rId61" Type="http://schemas.openxmlformats.org/officeDocument/2006/relationships/chart" Target="charts/chart36.xml"/><Relationship Id="rId82" Type="http://schemas.openxmlformats.org/officeDocument/2006/relationships/chart" Target="charts/chart47.xml"/><Relationship Id="rId90" Type="http://schemas.openxmlformats.org/officeDocument/2006/relationships/diagramColors" Target="diagrams/colors6.xml"/><Relationship Id="rId95" Type="http://schemas.openxmlformats.org/officeDocument/2006/relationships/chart" Target="charts/chart55.xml"/><Relationship Id="rId19" Type="http://schemas.openxmlformats.org/officeDocument/2006/relationships/diagramData" Target="diagrams/data2.xml"/><Relationship Id="rId14" Type="http://schemas.openxmlformats.org/officeDocument/2006/relationships/diagramColors" Target="diagrams/colors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chart" Target="charts/chart23.xml"/><Relationship Id="rId56" Type="http://schemas.openxmlformats.org/officeDocument/2006/relationships/chart" Target="charts/chart31.xml"/><Relationship Id="rId64" Type="http://schemas.openxmlformats.org/officeDocument/2006/relationships/chart" Target="charts/chart39.xml"/><Relationship Id="rId69" Type="http://schemas.microsoft.com/office/2007/relationships/diagramDrawing" Target="diagrams/drawing4.xml"/><Relationship Id="rId77" Type="http://schemas.openxmlformats.org/officeDocument/2006/relationships/diagramQuickStyle" Target="diagrams/quickStyle5.xml"/><Relationship Id="rId100" Type="http://schemas.openxmlformats.org/officeDocument/2006/relationships/hyperlink" Target="https://www.investopedia.com/terms/o/ordinaryshares.asp" TargetMode="External"/><Relationship Id="rId8" Type="http://schemas.openxmlformats.org/officeDocument/2006/relationships/endnotes" Target="endnotes.xml"/><Relationship Id="rId51" Type="http://schemas.openxmlformats.org/officeDocument/2006/relationships/chart" Target="charts/chart26.xml"/><Relationship Id="rId72" Type="http://schemas.openxmlformats.org/officeDocument/2006/relationships/chart" Target="charts/chart42.xml"/><Relationship Id="rId80" Type="http://schemas.openxmlformats.org/officeDocument/2006/relationships/chart" Target="charts/chart45.xml"/><Relationship Id="rId85" Type="http://schemas.openxmlformats.org/officeDocument/2006/relationships/chart" Target="charts/chart50.xml"/><Relationship Id="rId93" Type="http://schemas.openxmlformats.org/officeDocument/2006/relationships/chart" Target="charts/chart53.xml"/><Relationship Id="rId98" Type="http://schemas.openxmlformats.org/officeDocument/2006/relationships/hyperlink" Target="https://www.investopedia.com/terms/t/treasurybill.asp" TargetMode="Externa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diagramLayout" Target="diagrams/layout3.xml"/><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1.xml"/><Relationship Id="rId59" Type="http://schemas.openxmlformats.org/officeDocument/2006/relationships/chart" Target="charts/chart34.xml"/><Relationship Id="rId67" Type="http://schemas.openxmlformats.org/officeDocument/2006/relationships/diagramQuickStyle" Target="diagrams/quickStyle4.xml"/><Relationship Id="rId103" Type="http://schemas.openxmlformats.org/officeDocument/2006/relationships/fontTable" Target="fontTable.xml"/><Relationship Id="rId20" Type="http://schemas.openxmlformats.org/officeDocument/2006/relationships/diagramLayout" Target="diagrams/layout2.xml"/><Relationship Id="rId41" Type="http://schemas.openxmlformats.org/officeDocument/2006/relationships/chart" Target="charts/chart16.xml"/><Relationship Id="rId54" Type="http://schemas.openxmlformats.org/officeDocument/2006/relationships/chart" Target="charts/chart29.xml"/><Relationship Id="rId62" Type="http://schemas.openxmlformats.org/officeDocument/2006/relationships/chart" Target="charts/chart37.xml"/><Relationship Id="rId70" Type="http://schemas.openxmlformats.org/officeDocument/2006/relationships/chart" Target="charts/chart40.xml"/><Relationship Id="rId75" Type="http://schemas.openxmlformats.org/officeDocument/2006/relationships/diagramData" Target="diagrams/data5.xml"/><Relationship Id="rId83" Type="http://schemas.openxmlformats.org/officeDocument/2006/relationships/chart" Target="charts/chart48.xml"/><Relationship Id="rId88" Type="http://schemas.openxmlformats.org/officeDocument/2006/relationships/diagramLayout" Target="diagrams/layout6.xml"/><Relationship Id="rId91" Type="http://schemas.microsoft.com/office/2007/relationships/diagramDrawing" Target="diagrams/drawing6.xml"/><Relationship Id="rId96" Type="http://schemas.openxmlformats.org/officeDocument/2006/relationships/chart" Target="charts/chart56.xm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chart" Target="charts/chart11.xml"/><Relationship Id="rId49" Type="http://schemas.openxmlformats.org/officeDocument/2006/relationships/chart" Target="charts/chart24.xml"/><Relationship Id="rId57" Type="http://schemas.openxmlformats.org/officeDocument/2006/relationships/chart" Target="charts/chart32.xml"/><Relationship Id="rId10" Type="http://schemas.openxmlformats.org/officeDocument/2006/relationships/footer" Target="footer1.xml"/><Relationship Id="rId31" Type="http://schemas.openxmlformats.org/officeDocument/2006/relationships/chart" Target="charts/chart6.xml"/><Relationship Id="rId44" Type="http://schemas.openxmlformats.org/officeDocument/2006/relationships/chart" Target="charts/chart19.xml"/><Relationship Id="rId52" Type="http://schemas.openxmlformats.org/officeDocument/2006/relationships/chart" Target="charts/chart27.xml"/><Relationship Id="rId60" Type="http://schemas.openxmlformats.org/officeDocument/2006/relationships/chart" Target="charts/chart35.xml"/><Relationship Id="rId65" Type="http://schemas.openxmlformats.org/officeDocument/2006/relationships/diagramData" Target="diagrams/data4.xml"/><Relationship Id="rId73" Type="http://schemas.openxmlformats.org/officeDocument/2006/relationships/chart" Target="charts/chart43.xml"/><Relationship Id="rId78" Type="http://schemas.openxmlformats.org/officeDocument/2006/relationships/diagramColors" Target="diagrams/colors5.xml"/><Relationship Id="rId81" Type="http://schemas.openxmlformats.org/officeDocument/2006/relationships/chart" Target="charts/chart46.xml"/><Relationship Id="rId86" Type="http://schemas.openxmlformats.org/officeDocument/2006/relationships/chart" Target="charts/chart51.xml"/><Relationship Id="rId94" Type="http://schemas.openxmlformats.org/officeDocument/2006/relationships/chart" Target="charts/chart54.xml"/><Relationship Id="rId99" Type="http://schemas.openxmlformats.org/officeDocument/2006/relationships/hyperlink" Target="http://en.banglapedia.org/index.php?title=Bond_Market" TargetMode="External"/><Relationship Id="rId101" Type="http://schemas.openxmlformats.org/officeDocument/2006/relationships/hyperlink" Target="https://www.investopedia.com/terms/c/commercialpaper.asp"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chart" Target="charts/chart3.xml"/><Relationship Id="rId39" Type="http://schemas.openxmlformats.org/officeDocument/2006/relationships/chart" Target="charts/chart14.xml"/><Relationship Id="rId34" Type="http://schemas.openxmlformats.org/officeDocument/2006/relationships/chart" Target="charts/chart9.xml"/><Relationship Id="rId50" Type="http://schemas.openxmlformats.org/officeDocument/2006/relationships/chart" Target="charts/chart25.xml"/><Relationship Id="rId55" Type="http://schemas.openxmlformats.org/officeDocument/2006/relationships/chart" Target="charts/chart30.xml"/><Relationship Id="rId76" Type="http://schemas.openxmlformats.org/officeDocument/2006/relationships/diagramLayout" Target="diagrams/layout5.xml"/><Relationship Id="rId97" Type="http://schemas.openxmlformats.org/officeDocument/2006/relationships/chart" Target="charts/chart57.xml"/><Relationship Id="rId10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Notes\Internship\Analysis_BRAC%20Bank.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F:\Notes\Internship\Analysis_BRAC%20Bank.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5.xml"/></Relationships>
</file>

<file path=word/charts/_rels/chart36.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6.xml"/></Relationships>
</file>

<file path=word/charts/_rels/chart37.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7.xml"/></Relationships>
</file>

<file path=word/charts/_rels/chart38.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8.xml"/></Relationships>
</file>

<file path=word/charts/_rels/chart39.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39.xml"/></Relationships>
</file>

<file path=word/charts/_rels/chart40.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0.xml"/></Relationships>
</file>

<file path=word/charts/_rels/chart41.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1.xml"/></Relationships>
</file>

<file path=word/charts/_rels/chart42.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2.xml"/></Relationships>
</file>

<file path=word/charts/_rels/chart43.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3.xml"/></Relationships>
</file>

<file path=word/charts/_rels/chart44.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4.xml"/></Relationships>
</file>

<file path=word/charts/_rels/chart45.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5.xml"/></Relationships>
</file>

<file path=word/charts/_rels/chart46.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6.xml"/></Relationships>
</file>

<file path=word/charts/_rels/chart47.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7.xml"/></Relationships>
</file>

<file path=word/charts/_rels/chart48.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8.xml"/></Relationships>
</file>

<file path=word/charts/_rels/chart49.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49.xml"/></Relationships>
</file>

<file path=word/charts/_rels/chart50.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0.xml"/></Relationships>
</file>

<file path=word/charts/_rels/chart51.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1.xml"/></Relationships>
</file>

<file path=word/charts/_rels/chart52.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2.xml"/></Relationships>
</file>

<file path=word/charts/_rels/chart53.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3.xml"/></Relationships>
</file>

<file path=word/charts/_rels/chart54.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4.xml"/></Relationships>
</file>

<file path=word/charts/_rels/chart55.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5.xml"/></Relationships>
</file>

<file path=word/charts/_rels/chart56.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6.xml"/></Relationships>
</file>

<file path=word/charts/_rels/chart57.xml.rels><?xml version="1.0" encoding="UTF-8" standalone="yes"?>
<Relationships xmlns="http://schemas.openxmlformats.org/package/2006/relationships"><Relationship Id="rId2" Type="http://schemas.openxmlformats.org/officeDocument/2006/relationships/oleObject" Target="file:///F:\Notes\Internship\Analysis_BRAC%20Bank_2.xlsx" TargetMode="External"/><Relationship Id="rId1" Type="http://schemas.openxmlformats.org/officeDocument/2006/relationships/themeOverride" Target="../theme/themeOverride5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a:t>
            </a:r>
            <a:r>
              <a:rPr lang="en-US" baseline="0"/>
              <a:t> Rate of HFT</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Sheet1!$A$4:$A$8</c:f>
              <c:numCache>
                <c:formatCode>General</c:formatCode>
                <c:ptCount val="5"/>
                <c:pt idx="0">
                  <c:v>2013</c:v>
                </c:pt>
                <c:pt idx="1">
                  <c:v>2014</c:v>
                </c:pt>
                <c:pt idx="2">
                  <c:v>2015</c:v>
                </c:pt>
                <c:pt idx="3">
                  <c:v>2016</c:v>
                </c:pt>
                <c:pt idx="4">
                  <c:v>2017</c:v>
                </c:pt>
              </c:numCache>
            </c:numRef>
          </c:cat>
          <c:val>
            <c:numRef>
              <c:f>Sheet1!$B$4:$B$8</c:f>
              <c:numCache>
                <c:formatCode>0%</c:formatCode>
                <c:ptCount val="5"/>
                <c:pt idx="0" formatCode="0.00%">
                  <c:v>-0.50087815142860581</c:v>
                </c:pt>
                <c:pt idx="1">
                  <c:v>0.44232007979869103</c:v>
                </c:pt>
                <c:pt idx="2">
                  <c:v>-0.67262915626731945</c:v>
                </c:pt>
                <c:pt idx="3">
                  <c:v>0</c:v>
                </c:pt>
                <c:pt idx="4">
                  <c:v>0</c:v>
                </c:pt>
              </c:numCache>
            </c:numRef>
          </c:val>
          <c:smooth val="0"/>
        </c:ser>
        <c:dLbls>
          <c:showLegendKey val="0"/>
          <c:showVal val="0"/>
          <c:showCatName val="0"/>
          <c:showSerName val="0"/>
          <c:showPercent val="0"/>
          <c:showBubbleSize val="0"/>
        </c:dLbls>
        <c:marker val="1"/>
        <c:smooth val="0"/>
        <c:axId val="106867328"/>
        <c:axId val="106873216"/>
      </c:lineChart>
      <c:catAx>
        <c:axId val="10686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73216"/>
        <c:crosses val="autoZero"/>
        <c:auto val="1"/>
        <c:lblAlgn val="ctr"/>
        <c:lblOffset val="100"/>
        <c:noMultiLvlLbl val="0"/>
      </c:catAx>
      <c:valAx>
        <c:axId val="1068732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67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a:t>
            </a:r>
            <a:r>
              <a:rPr lang="en-US" baseline="0"/>
              <a:t> of HTM</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Sheet1!$A$13:$A$17</c:f>
              <c:numCache>
                <c:formatCode>General</c:formatCode>
                <c:ptCount val="5"/>
                <c:pt idx="0">
                  <c:v>2013</c:v>
                </c:pt>
                <c:pt idx="1">
                  <c:v>2014</c:v>
                </c:pt>
                <c:pt idx="2">
                  <c:v>2015</c:v>
                </c:pt>
                <c:pt idx="3">
                  <c:v>2016</c:v>
                </c:pt>
                <c:pt idx="4">
                  <c:v>2017</c:v>
                </c:pt>
              </c:numCache>
            </c:numRef>
          </c:cat>
          <c:val>
            <c:numRef>
              <c:f>Sheet1!$B$13:$B$17</c:f>
              <c:numCache>
                <c:formatCode>0%</c:formatCode>
                <c:ptCount val="5"/>
                <c:pt idx="0">
                  <c:v>0.35788568692073897</c:v>
                </c:pt>
                <c:pt idx="1">
                  <c:v>-0.10913928257263883</c:v>
                </c:pt>
                <c:pt idx="2">
                  <c:v>1.9927118981953127E-2</c:v>
                </c:pt>
                <c:pt idx="3">
                  <c:v>-1</c:v>
                </c:pt>
                <c:pt idx="4">
                  <c:v>0</c:v>
                </c:pt>
              </c:numCache>
            </c:numRef>
          </c:val>
          <c:smooth val="0"/>
        </c:ser>
        <c:dLbls>
          <c:showLegendKey val="0"/>
          <c:showVal val="0"/>
          <c:showCatName val="0"/>
          <c:showSerName val="0"/>
          <c:showPercent val="0"/>
          <c:showBubbleSize val="0"/>
        </c:dLbls>
        <c:marker val="1"/>
        <c:smooth val="0"/>
        <c:axId val="100417536"/>
        <c:axId val="100419456"/>
      </c:lineChart>
      <c:catAx>
        <c:axId val="1004175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19456"/>
        <c:crosses val="autoZero"/>
        <c:auto val="1"/>
        <c:lblAlgn val="ctr"/>
        <c:lblOffset val="100"/>
        <c:noMultiLvlLbl val="0"/>
      </c:catAx>
      <c:valAx>
        <c:axId val="100419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17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and Percentage of total investment of Other Investment </a:t>
            </a:r>
          </a:p>
        </c:rich>
      </c:tx>
      <c:overlay val="0"/>
      <c:spPr>
        <a:noFill/>
        <a:ln>
          <a:noFill/>
        </a:ln>
        <a:effectLst/>
      </c:spPr>
    </c:title>
    <c:autoTitleDeleted val="0"/>
    <c:plotArea>
      <c:layout/>
      <c:scatterChart>
        <c:scatterStyle val="lineMarker"/>
        <c:varyColors val="0"/>
        <c:ser>
          <c:idx val="0"/>
          <c:order val="0"/>
          <c:tx>
            <c:v>Growth Rate</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Sheet1!$A$19:$A$23</c:f>
              <c:numCache>
                <c:formatCode>General</c:formatCode>
                <c:ptCount val="5"/>
                <c:pt idx="0">
                  <c:v>2013</c:v>
                </c:pt>
                <c:pt idx="1">
                  <c:v>2014</c:v>
                </c:pt>
                <c:pt idx="2">
                  <c:v>2015</c:v>
                </c:pt>
                <c:pt idx="3">
                  <c:v>2016</c:v>
                </c:pt>
                <c:pt idx="4">
                  <c:v>2017</c:v>
                </c:pt>
              </c:numCache>
            </c:numRef>
          </c:xVal>
          <c:yVal>
            <c:numRef>
              <c:f>Sheet1!$B$19:$B$23</c:f>
              <c:numCache>
                <c:formatCode>0%</c:formatCode>
                <c:ptCount val="5"/>
                <c:pt idx="0">
                  <c:v>0</c:v>
                </c:pt>
                <c:pt idx="1">
                  <c:v>0.72734274184782699</c:v>
                </c:pt>
                <c:pt idx="2">
                  <c:v>0.43658785580119341</c:v>
                </c:pt>
                <c:pt idx="3">
                  <c:v>0.13387065336640383</c:v>
                </c:pt>
                <c:pt idx="4">
                  <c:v>6.0762925983623858E-2</c:v>
                </c:pt>
              </c:numCache>
            </c:numRef>
          </c:yVal>
          <c:smooth val="0"/>
        </c:ser>
        <c:ser>
          <c:idx val="1"/>
          <c:order val="1"/>
          <c:tx>
            <c:v>Percentage of total investment</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Sheet1!$A$19:$A$23</c:f>
              <c:numCache>
                <c:formatCode>General</c:formatCode>
                <c:ptCount val="5"/>
                <c:pt idx="0">
                  <c:v>2013</c:v>
                </c:pt>
                <c:pt idx="1">
                  <c:v>2014</c:v>
                </c:pt>
                <c:pt idx="2">
                  <c:v>2015</c:v>
                </c:pt>
                <c:pt idx="3">
                  <c:v>2016</c:v>
                </c:pt>
                <c:pt idx="4">
                  <c:v>2017</c:v>
                </c:pt>
              </c:numCache>
            </c:numRef>
          </c:xVal>
          <c:yVal>
            <c:numRef>
              <c:f>Sheet1!$C$19:$C$23</c:f>
              <c:numCache>
                <c:formatCode>0.00%</c:formatCode>
                <c:ptCount val="5"/>
                <c:pt idx="0">
                  <c:v>9.0849211343392883E-2</c:v>
                </c:pt>
                <c:pt idx="1">
                  <c:v>0.13985528801509703</c:v>
                </c:pt>
                <c:pt idx="2">
                  <c:v>0.24275801941564046</c:v>
                </c:pt>
                <c:pt idx="3">
                  <c:v>0.24210078331071774</c:v>
                </c:pt>
                <c:pt idx="4">
                  <c:v>0.23131931132624156</c:v>
                </c:pt>
              </c:numCache>
            </c:numRef>
          </c:yVal>
          <c:smooth val="0"/>
        </c:ser>
        <c:dLbls>
          <c:showLegendKey val="0"/>
          <c:showVal val="0"/>
          <c:showCatName val="0"/>
          <c:showSerName val="0"/>
          <c:showPercent val="0"/>
          <c:showBubbleSize val="0"/>
        </c:dLbls>
        <c:axId val="100460800"/>
        <c:axId val="106824064"/>
      </c:scatterChart>
      <c:valAx>
        <c:axId val="1004608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24064"/>
        <c:crosses val="autoZero"/>
        <c:crossBetween val="midCat"/>
      </c:valAx>
      <c:valAx>
        <c:axId val="1068240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608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Growth Rate for</a:t>
            </a:r>
            <a:r>
              <a:rPr lang="en-US" baseline="0"/>
              <a:t> Government Securities</a:t>
            </a:r>
            <a:endParaRPr lang="en-US"/>
          </a:p>
        </c:rich>
      </c:tx>
      <c:overlay val="0"/>
      <c:spPr>
        <a:noFill/>
        <a:ln>
          <a:noFill/>
        </a:ln>
        <a:effectLst/>
      </c:spPr>
    </c:title>
    <c:autoTitleDeleted val="0"/>
    <c:plotArea>
      <c:layout>
        <c:manualLayout>
          <c:layoutTarget val="inner"/>
          <c:xMode val="edge"/>
          <c:yMode val="edge"/>
          <c:x val="0.11908862794059488"/>
          <c:y val="0.17903864354413884"/>
          <c:w val="0.82345846304095704"/>
          <c:h val="0.77003536935856098"/>
        </c:manualLayout>
      </c:layout>
      <c:scatterChart>
        <c:scatterStyle val="lineMarker"/>
        <c:varyColors val="0"/>
        <c:ser>
          <c:idx val="0"/>
          <c:order val="0"/>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xVal>
            <c:numRef>
              <c:f>Sheet1!$A$26:$A$30</c:f>
              <c:numCache>
                <c:formatCode>General</c:formatCode>
                <c:ptCount val="5"/>
                <c:pt idx="0">
                  <c:v>2013</c:v>
                </c:pt>
                <c:pt idx="1">
                  <c:v>2014</c:v>
                </c:pt>
                <c:pt idx="2">
                  <c:v>2015</c:v>
                </c:pt>
                <c:pt idx="3">
                  <c:v>2016</c:v>
                </c:pt>
                <c:pt idx="4">
                  <c:v>2017</c:v>
                </c:pt>
              </c:numCache>
            </c:numRef>
          </c:xVal>
          <c:yVal>
            <c:numRef>
              <c:f>Sheet1!$B$26:$B$30</c:f>
              <c:numCache>
                <c:formatCode>0%</c:formatCode>
                <c:ptCount val="5"/>
                <c:pt idx="0">
                  <c:v>0</c:v>
                </c:pt>
                <c:pt idx="1">
                  <c:v>6.1666476545762579E-2</c:v>
                </c:pt>
                <c:pt idx="2">
                  <c:v>-0.27140255599766272</c:v>
                </c:pt>
                <c:pt idx="3">
                  <c:v>0.13792125465847055</c:v>
                </c:pt>
                <c:pt idx="4">
                  <c:v>0.12599158432954174</c:v>
                </c:pt>
              </c:numCache>
            </c:numRef>
          </c:yVal>
          <c:smooth val="0"/>
        </c:ser>
        <c:dLbls>
          <c:showLegendKey val="0"/>
          <c:showVal val="0"/>
          <c:showCatName val="0"/>
          <c:showSerName val="0"/>
          <c:showPercent val="0"/>
          <c:showBubbleSize val="0"/>
        </c:dLbls>
        <c:axId val="106593280"/>
        <c:axId val="107214336"/>
      </c:scatterChart>
      <c:valAx>
        <c:axId val="106593280"/>
        <c:scaling>
          <c:orientation val="minMax"/>
          <c:max val="2017"/>
          <c:min val="2013"/>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14336"/>
        <c:crosses val="autoZero"/>
        <c:crossBetween val="midCat"/>
        <c:majorUnit val="1"/>
      </c:valAx>
      <c:valAx>
        <c:axId val="107214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Growth Rate</a:t>
                </a:r>
              </a:p>
            </c:rich>
          </c:tx>
          <c:overlay val="0"/>
          <c:spPr>
            <a:noFill/>
            <a:ln>
              <a:noFill/>
            </a:ln>
            <a:effectLst/>
          </c:sp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593280"/>
        <c:crosses val="autoZero"/>
        <c:crossBetween val="midCat"/>
        <c:majorUnit val="3.0000000000000006E-2"/>
      </c:valAx>
      <c:spPr>
        <a:noFill/>
        <a:ln>
          <a:solidFill>
            <a:schemeClr val="accent1">
              <a:alpha val="97000"/>
            </a:schemeClr>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Total Government Securities in Treasury</a:t>
            </a:r>
            <a:r>
              <a:rPr lang="en-US" baseline="0"/>
              <a:t> Bill</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Sheet1!$A$35:$A$39</c:f>
              <c:numCache>
                <c:formatCode>General</c:formatCode>
                <c:ptCount val="5"/>
                <c:pt idx="0">
                  <c:v>2013</c:v>
                </c:pt>
                <c:pt idx="1">
                  <c:v>2014</c:v>
                </c:pt>
                <c:pt idx="2">
                  <c:v>2015</c:v>
                </c:pt>
                <c:pt idx="3">
                  <c:v>2016</c:v>
                </c:pt>
                <c:pt idx="4">
                  <c:v>2017</c:v>
                </c:pt>
              </c:numCache>
            </c:numRef>
          </c:cat>
          <c:val>
            <c:numRef>
              <c:f>Sheet1!$D$35:$D$39</c:f>
              <c:numCache>
                <c:formatCode>0.00%</c:formatCode>
                <c:ptCount val="5"/>
                <c:pt idx="0">
                  <c:v>0.19072756075928535</c:v>
                </c:pt>
                <c:pt idx="1">
                  <c:v>4.7540231423461025E-2</c:v>
                </c:pt>
                <c:pt idx="2">
                  <c:v>0</c:v>
                </c:pt>
                <c:pt idx="3">
                  <c:v>2.0520084573323889E-2</c:v>
                </c:pt>
                <c:pt idx="4">
                  <c:v>7.7496766468835673E-2</c:v>
                </c:pt>
              </c:numCache>
            </c:numRef>
          </c:val>
          <c:smooth val="0"/>
        </c:ser>
        <c:dLbls>
          <c:showLegendKey val="0"/>
          <c:showVal val="0"/>
          <c:showCatName val="0"/>
          <c:showSerName val="0"/>
          <c:showPercent val="0"/>
          <c:showBubbleSize val="0"/>
        </c:dLbls>
        <c:marker val="1"/>
        <c:smooth val="0"/>
        <c:axId val="105408000"/>
        <c:axId val="105409920"/>
      </c:lineChart>
      <c:catAx>
        <c:axId val="1054080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09920"/>
        <c:crosses val="autoZero"/>
        <c:auto val="1"/>
        <c:lblAlgn val="ctr"/>
        <c:lblOffset val="100"/>
        <c:noMultiLvlLbl val="0"/>
      </c:catAx>
      <c:valAx>
        <c:axId val="105409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08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and Percentage of Total Investment in Treasury Bill </a:t>
            </a:r>
          </a:p>
        </c:rich>
      </c:tx>
      <c:overlay val="0"/>
      <c:spPr>
        <a:noFill/>
        <a:ln>
          <a:noFill/>
        </a:ln>
        <a:effectLst/>
      </c:spPr>
    </c:title>
    <c:autoTitleDeleted val="0"/>
    <c:plotArea>
      <c:layout/>
      <c:lineChart>
        <c:grouping val="standard"/>
        <c:varyColors val="0"/>
        <c:ser>
          <c:idx val="0"/>
          <c:order val="0"/>
          <c:tx>
            <c:v>Growth Rate</c:v>
          </c:tx>
          <c:spPr>
            <a:ln w="28575" cap="rnd">
              <a:solidFill>
                <a:schemeClr val="accent1"/>
              </a:solidFill>
              <a:round/>
            </a:ln>
            <a:effectLst/>
          </c:spPr>
          <c:marker>
            <c:symbol val="none"/>
          </c:marker>
          <c:cat>
            <c:numRef>
              <c:f>Sheet1!$A$35:$A$39</c:f>
              <c:numCache>
                <c:formatCode>General</c:formatCode>
                <c:ptCount val="5"/>
                <c:pt idx="0">
                  <c:v>2013</c:v>
                </c:pt>
                <c:pt idx="1">
                  <c:v>2014</c:v>
                </c:pt>
                <c:pt idx="2">
                  <c:v>2015</c:v>
                </c:pt>
                <c:pt idx="3">
                  <c:v>2016</c:v>
                </c:pt>
                <c:pt idx="4">
                  <c:v>2017</c:v>
                </c:pt>
              </c:numCache>
            </c:numRef>
          </c:cat>
          <c:val>
            <c:numRef>
              <c:f>Sheet1!$B$35:$B$39</c:f>
              <c:numCache>
                <c:formatCode>0%</c:formatCode>
                <c:ptCount val="5"/>
                <c:pt idx="0">
                  <c:v>0</c:v>
                </c:pt>
                <c:pt idx="1">
                  <c:v>-0.73537191065314433</c:v>
                </c:pt>
                <c:pt idx="2">
                  <c:v>-1</c:v>
                </c:pt>
                <c:pt idx="3">
                  <c:v>0</c:v>
                </c:pt>
                <c:pt idx="4">
                  <c:v>3.2524535678619815</c:v>
                </c:pt>
              </c:numCache>
            </c:numRef>
          </c:val>
          <c:smooth val="0"/>
        </c:ser>
        <c:ser>
          <c:idx val="1"/>
          <c:order val="1"/>
          <c:tx>
            <c:v>Percentage of Total Investment</c:v>
          </c:tx>
          <c:spPr>
            <a:ln w="28575" cap="rnd">
              <a:solidFill>
                <a:schemeClr val="accent2"/>
              </a:solidFill>
              <a:round/>
            </a:ln>
            <a:effectLst/>
          </c:spPr>
          <c:marker>
            <c:symbol val="none"/>
          </c:marker>
          <c:cat>
            <c:numRef>
              <c:f>Sheet1!$A$35:$A$39</c:f>
              <c:numCache>
                <c:formatCode>General</c:formatCode>
                <c:ptCount val="5"/>
                <c:pt idx="0">
                  <c:v>2013</c:v>
                </c:pt>
                <c:pt idx="1">
                  <c:v>2014</c:v>
                </c:pt>
                <c:pt idx="2">
                  <c:v>2015</c:v>
                </c:pt>
                <c:pt idx="3">
                  <c:v>2016</c:v>
                </c:pt>
                <c:pt idx="4">
                  <c:v>2017</c:v>
                </c:pt>
              </c:numCache>
            </c:numRef>
          </c:cat>
          <c:val>
            <c:numRef>
              <c:f>Sheet1!$C$35:$C$39</c:f>
              <c:numCache>
                <c:formatCode>0.00%</c:formatCode>
                <c:ptCount val="5"/>
                <c:pt idx="0">
                  <c:v>0.17341320706730459</c:v>
                </c:pt>
                <c:pt idx="1">
                  <c:v>4.0897552834081648E-2</c:v>
                </c:pt>
                <c:pt idx="2">
                  <c:v>0</c:v>
                </c:pt>
                <c:pt idx="3">
                  <c:v>1.5553804164943742E-2</c:v>
                </c:pt>
                <c:pt idx="4">
                  <c:v>5.9576305837673336E-2</c:v>
                </c:pt>
              </c:numCache>
            </c:numRef>
          </c:val>
          <c:smooth val="0"/>
        </c:ser>
        <c:dLbls>
          <c:showLegendKey val="0"/>
          <c:showVal val="0"/>
          <c:showCatName val="0"/>
          <c:showSerName val="0"/>
          <c:showPercent val="0"/>
          <c:showBubbleSize val="0"/>
        </c:dLbls>
        <c:marker val="1"/>
        <c:smooth val="0"/>
        <c:axId val="106709376"/>
        <c:axId val="106711296"/>
      </c:lineChart>
      <c:catAx>
        <c:axId val="106709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11296"/>
        <c:crosses val="autoZero"/>
        <c:auto val="1"/>
        <c:lblAlgn val="ctr"/>
        <c:lblOffset val="100"/>
        <c:noMultiLvlLbl val="0"/>
      </c:catAx>
      <c:valAx>
        <c:axId val="106711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0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a:t>
            </a:r>
            <a:r>
              <a:rPr lang="en-US" baseline="0"/>
              <a:t> of Total Investment for 91 days Treasury Bill</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Sheet1!$A$42:$A$46</c:f>
              <c:numCache>
                <c:formatCode>General</c:formatCode>
                <c:ptCount val="5"/>
                <c:pt idx="0">
                  <c:v>2013</c:v>
                </c:pt>
                <c:pt idx="1">
                  <c:v>2014</c:v>
                </c:pt>
                <c:pt idx="2">
                  <c:v>2015</c:v>
                </c:pt>
                <c:pt idx="3">
                  <c:v>2016</c:v>
                </c:pt>
                <c:pt idx="4">
                  <c:v>2017</c:v>
                </c:pt>
              </c:numCache>
            </c:numRef>
          </c:cat>
          <c:val>
            <c:numRef>
              <c:f>Sheet1!$C$42:$C$46</c:f>
              <c:numCache>
                <c:formatCode>0.00%</c:formatCode>
                <c:ptCount val="5"/>
                <c:pt idx="0">
                  <c:v>5.994131360023437E-3</c:v>
                </c:pt>
                <c:pt idx="1">
                  <c:v>2.5441261287388232E-4</c:v>
                </c:pt>
                <c:pt idx="2">
                  <c:v>0</c:v>
                </c:pt>
                <c:pt idx="3">
                  <c:v>0</c:v>
                </c:pt>
                <c:pt idx="4">
                  <c:v>5.410591403647318E-3</c:v>
                </c:pt>
              </c:numCache>
            </c:numRef>
          </c:val>
          <c:smooth val="0"/>
        </c:ser>
        <c:dLbls>
          <c:showLegendKey val="0"/>
          <c:showVal val="0"/>
          <c:showCatName val="0"/>
          <c:showSerName val="0"/>
          <c:showPercent val="0"/>
          <c:showBubbleSize val="0"/>
        </c:dLbls>
        <c:marker val="1"/>
        <c:smooth val="0"/>
        <c:axId val="105434112"/>
        <c:axId val="106964096"/>
      </c:lineChart>
      <c:catAx>
        <c:axId val="105434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964096"/>
        <c:crosses val="autoZero"/>
        <c:auto val="1"/>
        <c:lblAlgn val="ctr"/>
        <c:lblOffset val="100"/>
        <c:noMultiLvlLbl val="0"/>
      </c:catAx>
      <c:valAx>
        <c:axId val="106964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34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91</a:t>
            </a:r>
            <a:r>
              <a:rPr lang="en-US" baseline="0"/>
              <a:t> days Treasury Bill over </a:t>
            </a:r>
            <a:r>
              <a:rPr lang="en-US"/>
              <a:t>Total Government Securities and Total Treasury Bill </a:t>
            </a:r>
          </a:p>
        </c:rich>
      </c:tx>
      <c:overlay val="0"/>
      <c:spPr>
        <a:noFill/>
        <a:ln>
          <a:noFill/>
        </a:ln>
        <a:effectLst/>
      </c:spPr>
    </c:title>
    <c:autoTitleDeleted val="0"/>
    <c:plotArea>
      <c:layout/>
      <c:lineChart>
        <c:grouping val="standard"/>
        <c:varyColors val="0"/>
        <c:ser>
          <c:idx val="0"/>
          <c:order val="0"/>
          <c:tx>
            <c:v>Percentage of Total Treasury Bill</c:v>
          </c:tx>
          <c:spPr>
            <a:ln w="28575" cap="rnd">
              <a:solidFill>
                <a:schemeClr val="accent1"/>
              </a:solidFill>
              <a:round/>
            </a:ln>
            <a:effectLst/>
          </c:spPr>
          <c:marker>
            <c:symbol val="none"/>
          </c:marker>
          <c:cat>
            <c:numRef>
              <c:f>Sheet1!$A$42:$A$46</c:f>
              <c:numCache>
                <c:formatCode>General</c:formatCode>
                <c:ptCount val="5"/>
                <c:pt idx="0">
                  <c:v>2013</c:v>
                </c:pt>
                <c:pt idx="1">
                  <c:v>2014</c:v>
                </c:pt>
                <c:pt idx="2">
                  <c:v>2015</c:v>
                </c:pt>
                <c:pt idx="3">
                  <c:v>2016</c:v>
                </c:pt>
                <c:pt idx="4">
                  <c:v>2017</c:v>
                </c:pt>
              </c:numCache>
            </c:numRef>
          </c:cat>
          <c:val>
            <c:numRef>
              <c:f>Sheet1!$D$42:$D$46</c:f>
              <c:numCache>
                <c:formatCode>0.00%</c:formatCode>
                <c:ptCount val="5"/>
                <c:pt idx="0">
                  <c:v>6.5926123650103235E-3</c:v>
                </c:pt>
                <c:pt idx="1">
                  <c:v>2.9573491944957228E-4</c:v>
                </c:pt>
                <c:pt idx="2">
                  <c:v>0</c:v>
                </c:pt>
                <c:pt idx="3">
                  <c:v>0</c:v>
                </c:pt>
                <c:pt idx="4">
                  <c:v>7.0380889276554937E-3</c:v>
                </c:pt>
              </c:numCache>
            </c:numRef>
          </c:val>
          <c:smooth val="0"/>
        </c:ser>
        <c:ser>
          <c:idx val="1"/>
          <c:order val="1"/>
          <c:tx>
            <c:v>Percentage of Total Government Securities</c:v>
          </c:tx>
          <c:spPr>
            <a:ln w="28575" cap="rnd">
              <a:solidFill>
                <a:schemeClr val="accent2"/>
              </a:solidFill>
              <a:round/>
            </a:ln>
            <a:effectLst/>
          </c:spPr>
          <c:marker>
            <c:symbol val="none"/>
          </c:marker>
          <c:cat>
            <c:numRef>
              <c:f>Sheet1!$A$42:$A$46</c:f>
              <c:numCache>
                <c:formatCode>General</c:formatCode>
                <c:ptCount val="5"/>
                <c:pt idx="0">
                  <c:v>2013</c:v>
                </c:pt>
                <c:pt idx="1">
                  <c:v>2014</c:v>
                </c:pt>
                <c:pt idx="2">
                  <c:v>2015</c:v>
                </c:pt>
                <c:pt idx="3">
                  <c:v>2016</c:v>
                </c:pt>
                <c:pt idx="4">
                  <c:v>2017</c:v>
                </c:pt>
              </c:numCache>
            </c:numRef>
          </c:cat>
          <c:val>
            <c:numRef>
              <c:f>Sheet1!$E$42:$E$46</c:f>
              <c:numCache>
                <c:formatCode>0.00%</c:formatCode>
                <c:ptCount val="5"/>
                <c:pt idx="0">
                  <c:v>3.4565598903300444E-2</c:v>
                </c:pt>
                <c:pt idx="1">
                  <c:v>6.2207294873122473E-3</c:v>
                </c:pt>
                <c:pt idx="2">
                  <c:v>0</c:v>
                </c:pt>
                <c:pt idx="3">
                  <c:v>0</c:v>
                </c:pt>
                <c:pt idx="4">
                  <c:v>9.0817839870593442E-2</c:v>
                </c:pt>
              </c:numCache>
            </c:numRef>
          </c:val>
          <c:smooth val="0"/>
        </c:ser>
        <c:dLbls>
          <c:showLegendKey val="0"/>
          <c:showVal val="0"/>
          <c:showCatName val="0"/>
          <c:showSerName val="0"/>
          <c:showPercent val="0"/>
          <c:showBubbleSize val="0"/>
        </c:dLbls>
        <c:marker val="1"/>
        <c:smooth val="0"/>
        <c:axId val="107005824"/>
        <c:axId val="107016192"/>
      </c:lineChart>
      <c:catAx>
        <c:axId val="1070058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16192"/>
        <c:crosses val="autoZero"/>
        <c:auto val="1"/>
        <c:lblAlgn val="ctr"/>
        <c:lblOffset val="100"/>
        <c:noMultiLvlLbl val="0"/>
      </c:catAx>
      <c:valAx>
        <c:axId val="107016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0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182 days Treasury Bill over </a:t>
            </a:r>
            <a:r>
              <a:rPr lang="en-US"/>
              <a:t>Total Investment</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Sheet1!$A$49:$A$53</c:f>
              <c:numCache>
                <c:formatCode>General</c:formatCode>
                <c:ptCount val="5"/>
                <c:pt idx="0">
                  <c:v>2013</c:v>
                </c:pt>
                <c:pt idx="1">
                  <c:v>2014</c:v>
                </c:pt>
                <c:pt idx="2">
                  <c:v>2015</c:v>
                </c:pt>
                <c:pt idx="3">
                  <c:v>2016</c:v>
                </c:pt>
                <c:pt idx="4">
                  <c:v>2017</c:v>
                </c:pt>
              </c:numCache>
            </c:numRef>
          </c:cat>
          <c:val>
            <c:numRef>
              <c:f>Sheet1!$C$49:$C$53</c:f>
              <c:numCache>
                <c:formatCode>0.00%</c:formatCode>
                <c:ptCount val="5"/>
                <c:pt idx="0">
                  <c:v>5.2865366663622307E-2</c:v>
                </c:pt>
                <c:pt idx="1">
                  <c:v>2.5353475582860507E-2</c:v>
                </c:pt>
                <c:pt idx="2">
                  <c:v>0</c:v>
                </c:pt>
                <c:pt idx="3">
                  <c:v>1.5553804164943742E-2</c:v>
                </c:pt>
                <c:pt idx="4">
                  <c:v>2.8836532658100465E-2</c:v>
                </c:pt>
              </c:numCache>
            </c:numRef>
          </c:val>
          <c:smooth val="0"/>
        </c:ser>
        <c:dLbls>
          <c:showLegendKey val="0"/>
          <c:showVal val="0"/>
          <c:showCatName val="0"/>
          <c:showSerName val="0"/>
          <c:showPercent val="0"/>
          <c:showBubbleSize val="0"/>
        </c:dLbls>
        <c:marker val="1"/>
        <c:smooth val="0"/>
        <c:axId val="107110784"/>
        <c:axId val="107112704"/>
      </c:lineChart>
      <c:catAx>
        <c:axId val="107110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112704"/>
        <c:crosses val="autoZero"/>
        <c:auto val="1"/>
        <c:lblAlgn val="ctr"/>
        <c:lblOffset val="100"/>
        <c:noMultiLvlLbl val="0"/>
      </c:catAx>
      <c:valAx>
        <c:axId val="107112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110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182 days Treasury Bill over </a:t>
            </a:r>
            <a:r>
              <a:rPr lang="en-US"/>
              <a:t>Total Government and Total Treasury Bill</a:t>
            </a:r>
          </a:p>
        </c:rich>
      </c:tx>
      <c:overlay val="0"/>
      <c:spPr>
        <a:noFill/>
        <a:ln>
          <a:noFill/>
        </a:ln>
        <a:effectLst/>
      </c:spPr>
    </c:title>
    <c:autoTitleDeleted val="0"/>
    <c:plotArea>
      <c:layout/>
      <c:lineChart>
        <c:grouping val="standard"/>
        <c:varyColors val="0"/>
        <c:ser>
          <c:idx val="0"/>
          <c:order val="0"/>
          <c:tx>
            <c:v>Percentage of Total Government Securities</c:v>
          </c:tx>
          <c:spPr>
            <a:ln w="28575" cap="rnd">
              <a:solidFill>
                <a:schemeClr val="accent1"/>
              </a:solidFill>
              <a:round/>
            </a:ln>
            <a:effectLst/>
          </c:spPr>
          <c:marker>
            <c:symbol val="none"/>
          </c:marker>
          <c:cat>
            <c:numRef>
              <c:f>Sheet1!$A$49:$A$53</c:f>
              <c:numCache>
                <c:formatCode>General</c:formatCode>
                <c:ptCount val="5"/>
                <c:pt idx="0">
                  <c:v>2013</c:v>
                </c:pt>
                <c:pt idx="1">
                  <c:v>2014</c:v>
                </c:pt>
                <c:pt idx="2">
                  <c:v>2015</c:v>
                </c:pt>
                <c:pt idx="3">
                  <c:v>2016</c:v>
                </c:pt>
                <c:pt idx="4">
                  <c:v>2017</c:v>
                </c:pt>
              </c:numCache>
            </c:numRef>
          </c:cat>
          <c:val>
            <c:numRef>
              <c:f>Sheet1!$D$49:$D$53</c:f>
              <c:numCache>
                <c:formatCode>0.00%</c:formatCode>
                <c:ptCount val="5"/>
                <c:pt idx="0">
                  <c:v>5.8143682381034484E-2</c:v>
                </c:pt>
                <c:pt idx="1">
                  <c:v>2.9471447875820612E-2</c:v>
                </c:pt>
                <c:pt idx="2">
                  <c:v>0</c:v>
                </c:pt>
                <c:pt idx="3">
                  <c:v>2.0520084573323889E-2</c:v>
                </c:pt>
                <c:pt idx="4">
                  <c:v>3.7510517071412952E-2</c:v>
                </c:pt>
              </c:numCache>
            </c:numRef>
          </c:val>
          <c:smooth val="0"/>
        </c:ser>
        <c:ser>
          <c:idx val="1"/>
          <c:order val="1"/>
          <c:tx>
            <c:v>Percentage of Total Treasury Bill</c:v>
          </c:tx>
          <c:spPr>
            <a:ln w="28575" cap="rnd">
              <a:solidFill>
                <a:schemeClr val="accent2"/>
              </a:solidFill>
              <a:round/>
            </a:ln>
            <a:effectLst/>
          </c:spPr>
          <c:marker>
            <c:symbol val="none"/>
          </c:marker>
          <c:cat>
            <c:numRef>
              <c:f>Sheet1!$A$49:$A$53</c:f>
              <c:numCache>
                <c:formatCode>General</c:formatCode>
                <c:ptCount val="5"/>
                <c:pt idx="0">
                  <c:v>2013</c:v>
                </c:pt>
                <c:pt idx="1">
                  <c:v>2014</c:v>
                </c:pt>
                <c:pt idx="2">
                  <c:v>2015</c:v>
                </c:pt>
                <c:pt idx="3">
                  <c:v>2016</c:v>
                </c:pt>
                <c:pt idx="4">
                  <c:v>2017</c:v>
                </c:pt>
              </c:numCache>
            </c:numRef>
          </c:cat>
          <c:val>
            <c:numRef>
              <c:f>Sheet1!$E$49:$E$53</c:f>
              <c:numCache>
                <c:formatCode>0.00%</c:formatCode>
                <c:ptCount val="5"/>
                <c:pt idx="0">
                  <c:v>0.30485202112146143</c:v>
                </c:pt>
                <c:pt idx="1">
                  <c:v>0.61992647055724048</c:v>
                </c:pt>
                <c:pt idx="2">
                  <c:v>0</c:v>
                </c:pt>
                <c:pt idx="3">
                  <c:v>1</c:v>
                </c:pt>
                <c:pt idx="4">
                  <c:v>0.48402686693382652</c:v>
                </c:pt>
              </c:numCache>
            </c:numRef>
          </c:val>
          <c:smooth val="0"/>
        </c:ser>
        <c:dLbls>
          <c:showLegendKey val="0"/>
          <c:showVal val="0"/>
          <c:showCatName val="0"/>
          <c:showSerName val="0"/>
          <c:showPercent val="0"/>
          <c:showBubbleSize val="0"/>
        </c:dLbls>
        <c:marker val="1"/>
        <c:smooth val="0"/>
        <c:axId val="107240448"/>
        <c:axId val="107242624"/>
      </c:lineChart>
      <c:catAx>
        <c:axId val="1072404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42624"/>
        <c:crosses val="autoZero"/>
        <c:auto val="1"/>
        <c:lblAlgn val="ctr"/>
        <c:lblOffset val="100"/>
        <c:noMultiLvlLbl val="0"/>
      </c:catAx>
      <c:valAx>
        <c:axId val="107242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4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364 days Treasury Bill over Total Investment</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Sheet1!$A$56:$A$60</c:f>
              <c:numCache>
                <c:formatCode>General</c:formatCode>
                <c:ptCount val="5"/>
                <c:pt idx="0">
                  <c:v>2013</c:v>
                </c:pt>
                <c:pt idx="1">
                  <c:v>2014</c:v>
                </c:pt>
                <c:pt idx="2">
                  <c:v>2015</c:v>
                </c:pt>
                <c:pt idx="3">
                  <c:v>2016</c:v>
                </c:pt>
                <c:pt idx="4">
                  <c:v>2017</c:v>
                </c:pt>
              </c:numCache>
            </c:numRef>
          </c:cat>
          <c:val>
            <c:numRef>
              <c:f>Sheet1!$C$56:$C$60</c:f>
              <c:numCache>
                <c:formatCode>0.00%</c:formatCode>
                <c:ptCount val="5"/>
                <c:pt idx="0">
                  <c:v>0.11455370909061023</c:v>
                </c:pt>
                <c:pt idx="1">
                  <c:v>1.5289664638347262E-2</c:v>
                </c:pt>
                <c:pt idx="2">
                  <c:v>0</c:v>
                </c:pt>
                <c:pt idx="3">
                  <c:v>0</c:v>
                </c:pt>
                <c:pt idx="4">
                  <c:v>2.5329181815979616E-2</c:v>
                </c:pt>
              </c:numCache>
            </c:numRef>
          </c:val>
          <c:smooth val="0"/>
        </c:ser>
        <c:dLbls>
          <c:showLegendKey val="0"/>
          <c:showVal val="0"/>
          <c:showCatName val="0"/>
          <c:showSerName val="0"/>
          <c:showPercent val="0"/>
          <c:showBubbleSize val="0"/>
        </c:dLbls>
        <c:marker val="1"/>
        <c:smooth val="0"/>
        <c:axId val="107349504"/>
        <c:axId val="107351424"/>
      </c:lineChart>
      <c:catAx>
        <c:axId val="107349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351424"/>
        <c:crosses val="autoZero"/>
        <c:auto val="1"/>
        <c:lblAlgn val="ctr"/>
        <c:lblOffset val="100"/>
        <c:noMultiLvlLbl val="0"/>
      </c:catAx>
      <c:valAx>
        <c:axId val="107351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349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364 days Treasury Bill over </a:t>
            </a:r>
            <a:r>
              <a:rPr lang="en-US"/>
              <a:t> Goverment Securities and Total Treasury Bill</a:t>
            </a:r>
          </a:p>
        </c:rich>
      </c:tx>
      <c:overlay val="0"/>
      <c:spPr>
        <a:noFill/>
        <a:ln>
          <a:noFill/>
        </a:ln>
        <a:effectLst/>
      </c:spPr>
    </c:title>
    <c:autoTitleDeleted val="0"/>
    <c:plotArea>
      <c:layout/>
      <c:barChart>
        <c:barDir val="col"/>
        <c:grouping val="clustered"/>
        <c:varyColors val="0"/>
        <c:ser>
          <c:idx val="0"/>
          <c:order val="0"/>
          <c:tx>
            <c:v>Percentage on Total Government Securities</c:v>
          </c:tx>
          <c:spPr>
            <a:solidFill>
              <a:schemeClr val="accent2"/>
            </a:solidFill>
            <a:ln>
              <a:noFill/>
            </a:ln>
            <a:effectLst/>
          </c:spPr>
          <c:invertIfNegative val="0"/>
          <c:cat>
            <c:numRef>
              <c:f>Sheet1!$A$56:$A$60</c:f>
              <c:numCache>
                <c:formatCode>General</c:formatCode>
                <c:ptCount val="5"/>
                <c:pt idx="0">
                  <c:v>2013</c:v>
                </c:pt>
                <c:pt idx="1">
                  <c:v>2014</c:v>
                </c:pt>
                <c:pt idx="2">
                  <c:v>2015</c:v>
                </c:pt>
                <c:pt idx="3">
                  <c:v>2016</c:v>
                </c:pt>
                <c:pt idx="4">
                  <c:v>2017</c:v>
                </c:pt>
              </c:numCache>
            </c:numRef>
          </c:cat>
          <c:val>
            <c:numRef>
              <c:f>Sheet1!$D$56:$D$60</c:f>
              <c:numCache>
                <c:formatCode>0.00%</c:formatCode>
                <c:ptCount val="5"/>
                <c:pt idx="0">
                  <c:v>0.12599126606487976</c:v>
                </c:pt>
                <c:pt idx="1">
                  <c:v>1.7773048628190843E-2</c:v>
                </c:pt>
                <c:pt idx="2">
                  <c:v>0</c:v>
                </c:pt>
                <c:pt idx="3">
                  <c:v>0</c:v>
                </c:pt>
                <c:pt idx="4">
                  <c:v>3.2948160521869489E-2</c:v>
                </c:pt>
              </c:numCache>
            </c:numRef>
          </c:val>
        </c:ser>
        <c:ser>
          <c:idx val="1"/>
          <c:order val="1"/>
          <c:tx>
            <c:v>Percentage on Total Treasury Bill</c:v>
          </c:tx>
          <c:spPr>
            <a:solidFill>
              <a:schemeClr val="accent4"/>
            </a:solidFill>
            <a:ln>
              <a:noFill/>
            </a:ln>
            <a:effectLst/>
          </c:spPr>
          <c:invertIfNegative val="0"/>
          <c:cat>
            <c:numRef>
              <c:f>Sheet1!$A$56:$A$60</c:f>
              <c:numCache>
                <c:formatCode>General</c:formatCode>
                <c:ptCount val="5"/>
                <c:pt idx="0">
                  <c:v>2013</c:v>
                </c:pt>
                <c:pt idx="1">
                  <c:v>2014</c:v>
                </c:pt>
                <c:pt idx="2">
                  <c:v>2015</c:v>
                </c:pt>
                <c:pt idx="3">
                  <c:v>2016</c:v>
                </c:pt>
                <c:pt idx="4">
                  <c:v>2017</c:v>
                </c:pt>
              </c:numCache>
            </c:numRef>
          </c:cat>
          <c:val>
            <c:numRef>
              <c:f>Sheet1!$E$56:$E$60</c:f>
              <c:numCache>
                <c:formatCode>0.00%</c:formatCode>
                <c:ptCount val="5"/>
                <c:pt idx="0">
                  <c:v>0.6605823802459867</c:v>
                </c:pt>
                <c:pt idx="1">
                  <c:v>0.37385279995544723</c:v>
                </c:pt>
                <c:pt idx="2">
                  <c:v>0</c:v>
                </c:pt>
                <c:pt idx="3">
                  <c:v>0</c:v>
                </c:pt>
                <c:pt idx="4">
                  <c:v>0.42515529386789536</c:v>
                </c:pt>
              </c:numCache>
            </c:numRef>
          </c:val>
        </c:ser>
        <c:dLbls>
          <c:showLegendKey val="0"/>
          <c:showVal val="0"/>
          <c:showCatName val="0"/>
          <c:showSerName val="0"/>
          <c:showPercent val="0"/>
          <c:showBubbleSize val="0"/>
        </c:dLbls>
        <c:gapWidth val="219"/>
        <c:overlap val="-27"/>
        <c:axId val="107397504"/>
        <c:axId val="107399040"/>
      </c:barChart>
      <c:catAx>
        <c:axId val="10739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399040"/>
        <c:crosses val="autoZero"/>
        <c:auto val="1"/>
        <c:lblAlgn val="ctr"/>
        <c:lblOffset val="100"/>
        <c:noMultiLvlLbl val="0"/>
      </c:catAx>
      <c:valAx>
        <c:axId val="1073990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39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Bangladesh Bank Bill over </a:t>
            </a:r>
            <a:r>
              <a:rPr lang="en-US"/>
              <a:t>Total Investment and Government Securities</a:t>
            </a:r>
          </a:p>
        </c:rich>
      </c:tx>
      <c:overlay val="0"/>
      <c:spPr>
        <a:noFill/>
        <a:ln>
          <a:noFill/>
        </a:ln>
        <a:effectLst/>
      </c:spPr>
    </c:title>
    <c:autoTitleDeleted val="0"/>
    <c:plotArea>
      <c:layout/>
      <c:scatterChart>
        <c:scatterStyle val="lineMarker"/>
        <c:varyColors val="0"/>
        <c:ser>
          <c:idx val="0"/>
          <c:order val="0"/>
          <c:tx>
            <c:v>Percentage of Total Investment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Sheet1!$A$63:$A$67</c:f>
              <c:numCache>
                <c:formatCode>General</c:formatCode>
                <c:ptCount val="5"/>
                <c:pt idx="0">
                  <c:v>2013</c:v>
                </c:pt>
                <c:pt idx="1">
                  <c:v>2014</c:v>
                </c:pt>
                <c:pt idx="2">
                  <c:v>2015</c:v>
                </c:pt>
                <c:pt idx="3">
                  <c:v>2016</c:v>
                </c:pt>
                <c:pt idx="4">
                  <c:v>2017</c:v>
                </c:pt>
              </c:numCache>
            </c:numRef>
          </c:xVal>
          <c:yVal>
            <c:numRef>
              <c:f>Sheet1!$C$63:$C$67</c:f>
              <c:numCache>
                <c:formatCode>0.00%</c:formatCode>
                <c:ptCount val="5"/>
                <c:pt idx="0">
                  <c:v>9.6697331075741466E-2</c:v>
                </c:pt>
                <c:pt idx="1">
                  <c:v>0</c:v>
                </c:pt>
                <c:pt idx="2">
                  <c:v>0.11002897602780062</c:v>
                </c:pt>
                <c:pt idx="3">
                  <c:v>0</c:v>
                </c:pt>
                <c:pt idx="4">
                  <c:v>0.10005252118018985</c:v>
                </c:pt>
              </c:numCache>
            </c:numRef>
          </c:yVal>
          <c:smooth val="0"/>
        </c:ser>
        <c:ser>
          <c:idx val="1"/>
          <c:order val="1"/>
          <c:tx>
            <c:v>Percentage of Government Securities</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Sheet1!$A$63:$A$67</c:f>
              <c:numCache>
                <c:formatCode>General</c:formatCode>
                <c:ptCount val="5"/>
                <c:pt idx="0">
                  <c:v>2013</c:v>
                </c:pt>
                <c:pt idx="1">
                  <c:v>2014</c:v>
                </c:pt>
                <c:pt idx="2">
                  <c:v>2015</c:v>
                </c:pt>
                <c:pt idx="3">
                  <c:v>2016</c:v>
                </c:pt>
                <c:pt idx="4">
                  <c:v>2017</c:v>
                </c:pt>
              </c:numCache>
            </c:numRef>
          </c:xVal>
          <c:yVal>
            <c:numRef>
              <c:f>Sheet1!$D$63:$D$67</c:f>
              <c:numCache>
                <c:formatCode>0.00%</c:formatCode>
                <c:ptCount val="5"/>
                <c:pt idx="0">
                  <c:v>0.10635202704515599</c:v>
                </c:pt>
                <c:pt idx="1">
                  <c:v>0</c:v>
                </c:pt>
                <c:pt idx="2">
                  <c:v>0.14528503906421017</c:v>
                </c:pt>
                <c:pt idx="3">
                  <c:v>0</c:v>
                </c:pt>
                <c:pt idx="4">
                  <c:v>0.1301481647694962</c:v>
                </c:pt>
              </c:numCache>
            </c:numRef>
          </c:yVal>
          <c:smooth val="0"/>
        </c:ser>
        <c:dLbls>
          <c:showLegendKey val="0"/>
          <c:showVal val="0"/>
          <c:showCatName val="0"/>
          <c:showSerName val="0"/>
          <c:showPercent val="0"/>
          <c:showBubbleSize val="0"/>
        </c:dLbls>
        <c:axId val="107510016"/>
        <c:axId val="107516672"/>
      </c:scatterChart>
      <c:valAx>
        <c:axId val="107510016"/>
        <c:scaling>
          <c:orientation val="minMax"/>
          <c:max val="2017"/>
          <c:min val="201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16672"/>
        <c:crosses val="autoZero"/>
        <c:crossBetween val="midCat"/>
        <c:minorUnit val="1"/>
      </c:valAx>
      <c:valAx>
        <c:axId val="107516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10016"/>
        <c:crosses val="autoZero"/>
        <c:crossBetween val="midCat"/>
        <c:majorUnit val="2.5000000000000005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30 days BB Bill over </a:t>
            </a:r>
            <a:r>
              <a:rPr lang="en-US"/>
              <a:t>Total Investment and Government Securities</a:t>
            </a:r>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6"/>
            </a:solidFill>
            <a:ln>
              <a:noFill/>
            </a:ln>
            <a:effectLst/>
          </c:spPr>
          <c:invertIfNegative val="0"/>
          <c:cat>
            <c:numRef>
              <c:f>Sheet1!$A$70:$A$74</c:f>
              <c:numCache>
                <c:formatCode>General</c:formatCode>
                <c:ptCount val="5"/>
                <c:pt idx="0">
                  <c:v>2013</c:v>
                </c:pt>
                <c:pt idx="1">
                  <c:v>2014</c:v>
                </c:pt>
                <c:pt idx="2">
                  <c:v>2015</c:v>
                </c:pt>
                <c:pt idx="3">
                  <c:v>2016</c:v>
                </c:pt>
                <c:pt idx="4">
                  <c:v>2017</c:v>
                </c:pt>
              </c:numCache>
            </c:numRef>
          </c:cat>
          <c:val>
            <c:numRef>
              <c:f>Sheet1!$C$70:$C$74</c:f>
              <c:numCache>
                <c:formatCode>0.00%</c:formatCode>
                <c:ptCount val="5"/>
                <c:pt idx="0">
                  <c:v>9.6697331075741466E-2</c:v>
                </c:pt>
                <c:pt idx="1">
                  <c:v>0</c:v>
                </c:pt>
                <c:pt idx="2">
                  <c:v>0.11002897602780062</c:v>
                </c:pt>
                <c:pt idx="3">
                  <c:v>0</c:v>
                </c:pt>
                <c:pt idx="4">
                  <c:v>0</c:v>
                </c:pt>
              </c:numCache>
            </c:numRef>
          </c:val>
        </c:ser>
        <c:ser>
          <c:idx val="1"/>
          <c:order val="1"/>
          <c:tx>
            <c:v>Percentage of Government Securities</c:v>
          </c:tx>
          <c:spPr>
            <a:solidFill>
              <a:schemeClr val="accent5"/>
            </a:solidFill>
            <a:ln>
              <a:noFill/>
            </a:ln>
            <a:effectLst/>
          </c:spPr>
          <c:invertIfNegative val="0"/>
          <c:cat>
            <c:numRef>
              <c:f>Sheet1!$A$70:$A$74</c:f>
              <c:numCache>
                <c:formatCode>General</c:formatCode>
                <c:ptCount val="5"/>
                <c:pt idx="0">
                  <c:v>2013</c:v>
                </c:pt>
                <c:pt idx="1">
                  <c:v>2014</c:v>
                </c:pt>
                <c:pt idx="2">
                  <c:v>2015</c:v>
                </c:pt>
                <c:pt idx="3">
                  <c:v>2016</c:v>
                </c:pt>
                <c:pt idx="4">
                  <c:v>2017</c:v>
                </c:pt>
              </c:numCache>
            </c:numRef>
          </c:cat>
          <c:val>
            <c:numRef>
              <c:f>Sheet1!$D$70:$D$74</c:f>
              <c:numCache>
                <c:formatCode>0.00%</c:formatCode>
                <c:ptCount val="5"/>
                <c:pt idx="0">
                  <c:v>0.10635202704515599</c:v>
                </c:pt>
                <c:pt idx="1">
                  <c:v>0</c:v>
                </c:pt>
                <c:pt idx="2">
                  <c:v>0.14528503906421017</c:v>
                </c:pt>
                <c:pt idx="3">
                  <c:v>0</c:v>
                </c:pt>
                <c:pt idx="4">
                  <c:v>0</c:v>
                </c:pt>
              </c:numCache>
            </c:numRef>
          </c:val>
        </c:ser>
        <c:dLbls>
          <c:showLegendKey val="0"/>
          <c:showVal val="0"/>
          <c:showCatName val="0"/>
          <c:showSerName val="0"/>
          <c:showPercent val="0"/>
          <c:showBubbleSize val="0"/>
        </c:dLbls>
        <c:gapWidth val="219"/>
        <c:overlap val="-27"/>
        <c:axId val="107435904"/>
        <c:axId val="107437440"/>
      </c:barChart>
      <c:catAx>
        <c:axId val="10743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437440"/>
        <c:crosses val="autoZero"/>
        <c:auto val="1"/>
        <c:lblAlgn val="ctr"/>
        <c:lblOffset val="100"/>
        <c:noMultiLvlLbl val="0"/>
      </c:catAx>
      <c:valAx>
        <c:axId val="107437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435904"/>
        <c:crosses val="autoZero"/>
        <c:crossBetween val="between"/>
        <c:majorUnit val="2.5000000000000005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a:t>
            </a:r>
            <a:r>
              <a:rPr lang="en-US" baseline="0"/>
              <a:t> of </a:t>
            </a:r>
            <a:r>
              <a:rPr lang="en-US" sz="1400" b="0" i="0" u="none" strike="noStrike" baseline="0">
                <a:effectLst/>
              </a:rPr>
              <a:t>14 days BB Bill over </a:t>
            </a:r>
            <a:r>
              <a:rPr lang="en-US" baseline="0"/>
              <a:t>Total Investments and Government Securities</a:t>
            </a:r>
            <a:endParaRPr lang="en-US"/>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1"/>
            </a:solidFill>
            <a:ln>
              <a:noFill/>
            </a:ln>
            <a:effectLst/>
          </c:spPr>
          <c:invertIfNegative val="0"/>
          <c:cat>
            <c:numRef>
              <c:f>Sheet1!$A$77:$A$81</c:f>
              <c:numCache>
                <c:formatCode>General</c:formatCode>
                <c:ptCount val="5"/>
                <c:pt idx="0">
                  <c:v>2013</c:v>
                </c:pt>
                <c:pt idx="1">
                  <c:v>2014</c:v>
                </c:pt>
                <c:pt idx="2">
                  <c:v>2015</c:v>
                </c:pt>
                <c:pt idx="3">
                  <c:v>2016</c:v>
                </c:pt>
                <c:pt idx="4">
                  <c:v>2017</c:v>
                </c:pt>
              </c:numCache>
            </c:numRef>
          </c:cat>
          <c:val>
            <c:numRef>
              <c:f>Sheet1!$C$77:$C$81</c:f>
              <c:numCache>
                <c:formatCode>0.00%</c:formatCode>
                <c:ptCount val="5"/>
                <c:pt idx="0">
                  <c:v>0</c:v>
                </c:pt>
                <c:pt idx="1">
                  <c:v>0</c:v>
                </c:pt>
                <c:pt idx="2">
                  <c:v>0</c:v>
                </c:pt>
                <c:pt idx="3">
                  <c:v>0</c:v>
                </c:pt>
                <c:pt idx="4">
                  <c:v>0.10005252118018985</c:v>
                </c:pt>
              </c:numCache>
            </c:numRef>
          </c:val>
        </c:ser>
        <c:ser>
          <c:idx val="1"/>
          <c:order val="1"/>
          <c:tx>
            <c:v>Percentage of Government Securities</c:v>
          </c:tx>
          <c:spPr>
            <a:solidFill>
              <a:schemeClr val="accent3"/>
            </a:solidFill>
            <a:ln>
              <a:noFill/>
            </a:ln>
            <a:effectLst/>
          </c:spPr>
          <c:invertIfNegative val="0"/>
          <c:cat>
            <c:numRef>
              <c:f>Sheet1!$A$77:$A$81</c:f>
              <c:numCache>
                <c:formatCode>General</c:formatCode>
                <c:ptCount val="5"/>
                <c:pt idx="0">
                  <c:v>2013</c:v>
                </c:pt>
                <c:pt idx="1">
                  <c:v>2014</c:v>
                </c:pt>
                <c:pt idx="2">
                  <c:v>2015</c:v>
                </c:pt>
                <c:pt idx="3">
                  <c:v>2016</c:v>
                </c:pt>
                <c:pt idx="4">
                  <c:v>2017</c:v>
                </c:pt>
              </c:numCache>
            </c:numRef>
          </c:cat>
          <c:val>
            <c:numRef>
              <c:f>Sheet1!$D$77:$D$81</c:f>
              <c:numCache>
                <c:formatCode>0.00%</c:formatCode>
                <c:ptCount val="5"/>
                <c:pt idx="0">
                  <c:v>0</c:v>
                </c:pt>
                <c:pt idx="1">
                  <c:v>0</c:v>
                </c:pt>
                <c:pt idx="2">
                  <c:v>0</c:v>
                </c:pt>
                <c:pt idx="3">
                  <c:v>0</c:v>
                </c:pt>
                <c:pt idx="4">
                  <c:v>0.1301481647694962</c:v>
                </c:pt>
              </c:numCache>
            </c:numRef>
          </c:val>
        </c:ser>
        <c:dLbls>
          <c:showLegendKey val="0"/>
          <c:showVal val="0"/>
          <c:showCatName val="0"/>
          <c:showSerName val="0"/>
          <c:showPercent val="0"/>
          <c:showBubbleSize val="0"/>
        </c:dLbls>
        <c:gapWidth val="219"/>
        <c:overlap val="-27"/>
        <c:axId val="107610496"/>
        <c:axId val="107612416"/>
      </c:barChart>
      <c:catAx>
        <c:axId val="10761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12416"/>
        <c:crosses val="autoZero"/>
        <c:auto val="1"/>
        <c:lblAlgn val="ctr"/>
        <c:lblOffset val="100"/>
        <c:noMultiLvlLbl val="0"/>
      </c:catAx>
      <c:valAx>
        <c:axId val="10761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1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Treasury Bond</a:t>
            </a:r>
          </a:p>
        </c:rich>
      </c:tx>
      <c:overlay val="0"/>
      <c:spPr>
        <a:noFill/>
        <a:ln>
          <a:noFill/>
        </a:ln>
        <a:effectLst/>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Sheet1!$A$84:$A$88</c:f>
              <c:numCache>
                <c:formatCode>General</c:formatCode>
                <c:ptCount val="5"/>
                <c:pt idx="0">
                  <c:v>2013</c:v>
                </c:pt>
                <c:pt idx="1">
                  <c:v>2014</c:v>
                </c:pt>
                <c:pt idx="2">
                  <c:v>2015</c:v>
                </c:pt>
                <c:pt idx="3">
                  <c:v>2016</c:v>
                </c:pt>
                <c:pt idx="4">
                  <c:v>2017</c:v>
                </c:pt>
              </c:numCache>
            </c:numRef>
          </c:xVal>
          <c:yVal>
            <c:numRef>
              <c:f>Sheet1!$B$84:$B$88</c:f>
              <c:numCache>
                <c:formatCode>0%</c:formatCode>
                <c:ptCount val="5"/>
                <c:pt idx="0">
                  <c:v>0</c:v>
                </c:pt>
                <c:pt idx="1">
                  <c:v>0.34689603605568703</c:v>
                </c:pt>
                <c:pt idx="2">
                  <c:v>-0.27604436221923756</c:v>
                </c:pt>
                <c:pt idx="3">
                  <c:v>0.30406638465202424</c:v>
                </c:pt>
                <c:pt idx="4">
                  <c:v>-8.9141569192677586E-2</c:v>
                </c:pt>
              </c:numCache>
            </c:numRef>
          </c:yVal>
          <c:smooth val="0"/>
        </c:ser>
        <c:dLbls>
          <c:showLegendKey val="0"/>
          <c:showVal val="0"/>
          <c:showCatName val="0"/>
          <c:showSerName val="0"/>
          <c:showPercent val="0"/>
          <c:showBubbleSize val="0"/>
        </c:dLbls>
        <c:axId val="107645184"/>
        <c:axId val="107668224"/>
      </c:scatterChart>
      <c:valAx>
        <c:axId val="107645184"/>
        <c:scaling>
          <c:orientation val="minMax"/>
          <c:max val="2017"/>
          <c:min val="201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68224"/>
        <c:crosses val="autoZero"/>
        <c:crossBetween val="midCat"/>
        <c:majorUnit val="1"/>
      </c:valAx>
      <c:valAx>
        <c:axId val="107668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451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Treasury Bond over </a:t>
            </a:r>
            <a:r>
              <a:rPr lang="en-US"/>
              <a:t>Total Investment and Government Securities </a:t>
            </a:r>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1"/>
            </a:solidFill>
            <a:ln>
              <a:noFill/>
            </a:ln>
            <a:effectLst/>
          </c:spPr>
          <c:invertIfNegative val="0"/>
          <c:cat>
            <c:numRef>
              <c:f>Sheet1!$A$84:$A$88</c:f>
              <c:numCache>
                <c:formatCode>General</c:formatCode>
                <c:ptCount val="5"/>
                <c:pt idx="0">
                  <c:v>2013</c:v>
                </c:pt>
                <c:pt idx="1">
                  <c:v>2014</c:v>
                </c:pt>
                <c:pt idx="2">
                  <c:v>2015</c:v>
                </c:pt>
                <c:pt idx="3">
                  <c:v>2016</c:v>
                </c:pt>
                <c:pt idx="4">
                  <c:v>2017</c:v>
                </c:pt>
              </c:numCache>
            </c:numRef>
          </c:cat>
          <c:val>
            <c:numRef>
              <c:f>Sheet1!$C$84:$C$88</c:f>
              <c:numCache>
                <c:formatCode>0.00%</c:formatCode>
                <c:ptCount val="5"/>
                <c:pt idx="0">
                  <c:v>0.61639554617082293</c:v>
                </c:pt>
                <c:pt idx="1">
                  <c:v>0.739899574769178</c:v>
                </c:pt>
                <c:pt idx="2">
                  <c:v>0.64721300455655895</c:v>
                </c:pt>
                <c:pt idx="3">
                  <c:v>0.7423454125243385</c:v>
                </c:pt>
                <c:pt idx="4">
                  <c:v>0.60905186165589531</c:v>
                </c:pt>
              </c:numCache>
            </c:numRef>
          </c:val>
        </c:ser>
        <c:ser>
          <c:idx val="1"/>
          <c:order val="1"/>
          <c:tx>
            <c:v>Percentage of Government Securities</c:v>
          </c:tx>
          <c:spPr>
            <a:solidFill>
              <a:schemeClr val="accent2"/>
            </a:solidFill>
            <a:ln>
              <a:noFill/>
            </a:ln>
            <a:effectLst/>
          </c:spPr>
          <c:invertIfNegative val="0"/>
          <c:cat>
            <c:numRef>
              <c:f>Sheet1!$A$84:$A$88</c:f>
              <c:numCache>
                <c:formatCode>General</c:formatCode>
                <c:ptCount val="5"/>
                <c:pt idx="0">
                  <c:v>2013</c:v>
                </c:pt>
                <c:pt idx="1">
                  <c:v>2014</c:v>
                </c:pt>
                <c:pt idx="2">
                  <c:v>2015</c:v>
                </c:pt>
                <c:pt idx="3">
                  <c:v>2016</c:v>
                </c:pt>
                <c:pt idx="4">
                  <c:v>2017</c:v>
                </c:pt>
              </c:numCache>
            </c:numRef>
          </c:cat>
          <c:val>
            <c:numRef>
              <c:f>Sheet1!$D$84:$D$88</c:f>
              <c:numCache>
                <c:formatCode>0.00%</c:formatCode>
                <c:ptCount val="5"/>
                <c:pt idx="0">
                  <c:v>0.67793924679808326</c:v>
                </c:pt>
                <c:pt idx="1">
                  <c:v>0.86007583772431295</c:v>
                </c:pt>
                <c:pt idx="2">
                  <c:v>0.85459639855328828</c:v>
                </c:pt>
                <c:pt idx="3">
                  <c:v>0.97937395161189078</c:v>
                </c:pt>
                <c:pt idx="4">
                  <c:v>0.79225371943605283</c:v>
                </c:pt>
              </c:numCache>
            </c:numRef>
          </c:val>
        </c:ser>
        <c:dLbls>
          <c:showLegendKey val="0"/>
          <c:showVal val="0"/>
          <c:showCatName val="0"/>
          <c:showSerName val="0"/>
          <c:showPercent val="0"/>
          <c:showBubbleSize val="0"/>
        </c:dLbls>
        <c:gapWidth val="219"/>
        <c:overlap val="-27"/>
        <c:axId val="107709952"/>
        <c:axId val="107711488"/>
      </c:barChart>
      <c:catAx>
        <c:axId val="10770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11488"/>
        <c:crosses val="autoZero"/>
        <c:auto val="1"/>
        <c:lblAlgn val="ctr"/>
        <c:lblOffset val="100"/>
        <c:noMultiLvlLbl val="0"/>
      </c:catAx>
      <c:valAx>
        <c:axId val="107711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09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a:t>
            </a:r>
            <a:r>
              <a:rPr lang="en-US" baseline="0"/>
              <a:t> of </a:t>
            </a:r>
            <a:r>
              <a:rPr lang="en-US" sz="1400" b="0" i="0" u="none" strike="noStrike" baseline="0">
                <a:effectLst/>
              </a:rPr>
              <a:t>Treasury Bond (2 years) over </a:t>
            </a:r>
            <a:r>
              <a:rPr lang="en-US" baseline="0"/>
              <a:t>Government Securities and Total Treasury Bond </a:t>
            </a:r>
            <a:endParaRPr lang="en-US"/>
          </a:p>
        </c:rich>
      </c:tx>
      <c:overlay val="0"/>
      <c:spPr>
        <a:noFill/>
        <a:ln>
          <a:noFill/>
        </a:ln>
        <a:effectLst/>
      </c:spPr>
    </c:title>
    <c:autoTitleDeleted val="0"/>
    <c:plotArea>
      <c:layout/>
      <c:barChart>
        <c:barDir val="col"/>
        <c:grouping val="clustered"/>
        <c:varyColors val="0"/>
        <c:ser>
          <c:idx val="0"/>
          <c:order val="0"/>
          <c:tx>
            <c:v>Percentage of Government Securities</c:v>
          </c:tx>
          <c:spPr>
            <a:solidFill>
              <a:schemeClr val="accent1"/>
            </a:solidFill>
            <a:ln>
              <a:noFill/>
            </a:ln>
            <a:effectLst/>
          </c:spPr>
          <c:invertIfNegative val="0"/>
          <c:cat>
            <c:numRef>
              <c:f>Sheet1!$A$91:$A$95</c:f>
              <c:numCache>
                <c:formatCode>General</c:formatCode>
                <c:ptCount val="5"/>
                <c:pt idx="0">
                  <c:v>2013</c:v>
                </c:pt>
                <c:pt idx="1">
                  <c:v>2014</c:v>
                </c:pt>
                <c:pt idx="2">
                  <c:v>2015</c:v>
                </c:pt>
                <c:pt idx="3">
                  <c:v>2016</c:v>
                </c:pt>
                <c:pt idx="4">
                  <c:v>2017</c:v>
                </c:pt>
              </c:numCache>
            </c:numRef>
          </c:cat>
          <c:val>
            <c:numRef>
              <c:f>Sheet1!$D$91:$D$95</c:f>
              <c:numCache>
                <c:formatCode>0.00%</c:formatCode>
                <c:ptCount val="5"/>
                <c:pt idx="0">
                  <c:v>1.1785852532012137E-2</c:v>
                </c:pt>
                <c:pt idx="1">
                  <c:v>8.3804496341204376E-2</c:v>
                </c:pt>
                <c:pt idx="2">
                  <c:v>4.9029670814880223E-3</c:v>
                </c:pt>
                <c:pt idx="3">
                  <c:v>9.2271538127039867E-4</c:v>
                </c:pt>
                <c:pt idx="4">
                  <c:v>0.10376072263777285</c:v>
                </c:pt>
              </c:numCache>
            </c:numRef>
          </c:val>
        </c:ser>
        <c:ser>
          <c:idx val="1"/>
          <c:order val="1"/>
          <c:tx>
            <c:v>Percentage of Treasury Bond</c:v>
          </c:tx>
          <c:spPr>
            <a:solidFill>
              <a:schemeClr val="accent2"/>
            </a:solidFill>
            <a:ln>
              <a:noFill/>
            </a:ln>
            <a:effectLst/>
          </c:spPr>
          <c:invertIfNegative val="0"/>
          <c:cat>
            <c:numRef>
              <c:f>Sheet1!$A$91:$A$95</c:f>
              <c:numCache>
                <c:formatCode>General</c:formatCode>
                <c:ptCount val="5"/>
                <c:pt idx="0">
                  <c:v>2013</c:v>
                </c:pt>
                <c:pt idx="1">
                  <c:v>2014</c:v>
                </c:pt>
                <c:pt idx="2">
                  <c:v>2015</c:v>
                </c:pt>
                <c:pt idx="3">
                  <c:v>2016</c:v>
                </c:pt>
                <c:pt idx="4">
                  <c:v>2017</c:v>
                </c:pt>
              </c:numCache>
            </c:numRef>
          </c:cat>
          <c:val>
            <c:numRef>
              <c:f>Sheet1!$E$91:$E$95</c:f>
              <c:numCache>
                <c:formatCode>0.00%</c:formatCode>
                <c:ptCount val="5"/>
                <c:pt idx="0">
                  <c:v>1.7384821114394669E-2</c:v>
                </c:pt>
                <c:pt idx="1">
                  <c:v>9.7438496310911268E-2</c:v>
                </c:pt>
                <c:pt idx="2">
                  <c:v>5.7371726463954879E-3</c:v>
                </c:pt>
                <c:pt idx="3">
                  <c:v>9.4214817511917564E-4</c:v>
                </c:pt>
                <c:pt idx="4">
                  <c:v>0.13096905712431678</c:v>
                </c:pt>
              </c:numCache>
            </c:numRef>
          </c:val>
        </c:ser>
        <c:dLbls>
          <c:showLegendKey val="0"/>
          <c:showVal val="0"/>
          <c:showCatName val="0"/>
          <c:showSerName val="0"/>
          <c:showPercent val="0"/>
          <c:showBubbleSize val="0"/>
        </c:dLbls>
        <c:gapWidth val="219"/>
        <c:overlap val="-27"/>
        <c:axId val="108040192"/>
        <c:axId val="108042112"/>
      </c:barChart>
      <c:catAx>
        <c:axId val="1080401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042112"/>
        <c:crosses val="autoZero"/>
        <c:auto val="1"/>
        <c:lblAlgn val="ctr"/>
        <c:lblOffset val="100"/>
        <c:noMultiLvlLbl val="0"/>
      </c:catAx>
      <c:valAx>
        <c:axId val="108042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04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and Percentage of </a:t>
            </a:r>
            <a:r>
              <a:rPr lang="en-US" sz="1400" b="0" i="0" u="none" strike="noStrike" baseline="0">
                <a:effectLst/>
              </a:rPr>
              <a:t>Treasury Bond (2 years) over </a:t>
            </a:r>
            <a:r>
              <a:rPr lang="en-US"/>
              <a:t>Total Investment</a:t>
            </a:r>
          </a:p>
        </c:rich>
      </c:tx>
      <c:overlay val="0"/>
      <c:spPr>
        <a:noFill/>
        <a:ln>
          <a:noFill/>
        </a:ln>
        <a:effectLst/>
      </c:spPr>
    </c:title>
    <c:autoTitleDeleted val="0"/>
    <c:plotArea>
      <c:layout/>
      <c:lineChart>
        <c:grouping val="standard"/>
        <c:varyColors val="0"/>
        <c:ser>
          <c:idx val="0"/>
          <c:order val="0"/>
          <c:tx>
            <c:v>Growth Rate</c:v>
          </c:tx>
          <c:spPr>
            <a:ln w="28575" cap="rnd">
              <a:solidFill>
                <a:schemeClr val="accent1"/>
              </a:solidFill>
              <a:round/>
            </a:ln>
            <a:effectLst/>
          </c:spPr>
          <c:marker>
            <c:symbol val="none"/>
          </c:marker>
          <c:cat>
            <c:numRef>
              <c:f>Sheet1!$A$91:$A$95</c:f>
              <c:numCache>
                <c:formatCode>General</c:formatCode>
                <c:ptCount val="5"/>
                <c:pt idx="0">
                  <c:v>2013</c:v>
                </c:pt>
                <c:pt idx="1">
                  <c:v>2014</c:v>
                </c:pt>
                <c:pt idx="2">
                  <c:v>2015</c:v>
                </c:pt>
                <c:pt idx="3">
                  <c:v>2016</c:v>
                </c:pt>
                <c:pt idx="4">
                  <c:v>2017</c:v>
                </c:pt>
              </c:numCache>
            </c:numRef>
          </c:cat>
          <c:val>
            <c:numRef>
              <c:f>Sheet1!$B$91:$B$95</c:f>
              <c:numCache>
                <c:formatCode>0%</c:formatCode>
                <c:ptCount val="5"/>
                <c:pt idx="0">
                  <c:v>0</c:v>
                </c:pt>
                <c:pt idx="1">
                  <c:v>6.5490868486260378</c:v>
                </c:pt>
                <c:pt idx="2">
                  <c:v>-0.95737353674848857</c:v>
                </c:pt>
                <c:pt idx="3">
                  <c:v>-0.78584856335008901</c:v>
                </c:pt>
                <c:pt idx="4">
                  <c:v>125.61943525123297</c:v>
                </c:pt>
              </c:numCache>
            </c:numRef>
          </c:val>
          <c:smooth val="0"/>
        </c:ser>
        <c:ser>
          <c:idx val="1"/>
          <c:order val="1"/>
          <c:tx>
            <c:v>Percentage of Total Investment</c:v>
          </c:tx>
          <c:spPr>
            <a:ln w="28575" cap="rnd">
              <a:solidFill>
                <a:schemeClr val="accent2"/>
              </a:solidFill>
              <a:round/>
            </a:ln>
            <a:effectLst/>
          </c:spPr>
          <c:marker>
            <c:symbol val="none"/>
          </c:marker>
          <c:cat>
            <c:numRef>
              <c:f>Sheet1!$A$91:$A$95</c:f>
              <c:numCache>
                <c:formatCode>General</c:formatCode>
                <c:ptCount val="5"/>
                <c:pt idx="0">
                  <c:v>2013</c:v>
                </c:pt>
                <c:pt idx="1">
                  <c:v>2014</c:v>
                </c:pt>
                <c:pt idx="2">
                  <c:v>2015</c:v>
                </c:pt>
                <c:pt idx="3">
                  <c:v>2016</c:v>
                </c:pt>
                <c:pt idx="4">
                  <c:v>2017</c:v>
                </c:pt>
              </c:numCache>
            </c:numRef>
          </c:cat>
          <c:val>
            <c:numRef>
              <c:f>Sheet1!$C$91:$C$95</c:f>
              <c:numCache>
                <c:formatCode>0.00%</c:formatCode>
                <c:ptCount val="5"/>
                <c:pt idx="0">
                  <c:v>1.0715926305889358E-2</c:v>
                </c:pt>
                <c:pt idx="1">
                  <c:v>7.2094701986591361E-2</c:v>
                </c:pt>
                <c:pt idx="2">
                  <c:v>3.7131727461333281E-3</c:v>
                </c:pt>
                <c:pt idx="3">
                  <c:v>6.9939937571789719E-4</c:v>
                </c:pt>
                <c:pt idx="4">
                  <c:v>7.9766948060882428E-2</c:v>
                </c:pt>
              </c:numCache>
            </c:numRef>
          </c:val>
          <c:smooth val="0"/>
        </c:ser>
        <c:dLbls>
          <c:showLegendKey val="0"/>
          <c:showVal val="0"/>
          <c:showCatName val="0"/>
          <c:showSerName val="0"/>
          <c:showPercent val="0"/>
          <c:showBubbleSize val="0"/>
        </c:dLbls>
        <c:marker val="1"/>
        <c:smooth val="0"/>
        <c:axId val="107760640"/>
        <c:axId val="107771008"/>
      </c:lineChart>
      <c:catAx>
        <c:axId val="107760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71008"/>
        <c:crosses val="autoZero"/>
        <c:auto val="1"/>
        <c:lblAlgn val="ctr"/>
        <c:lblOffset val="100"/>
        <c:noMultiLvlLbl val="0"/>
      </c:catAx>
      <c:valAx>
        <c:axId val="107771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60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Treasury Bond (5 years)</a:t>
            </a:r>
            <a:r>
              <a:rPr lang="en-US" baseline="0"/>
              <a:t> </a:t>
            </a:r>
            <a:r>
              <a:rPr lang="en-US"/>
              <a:t>and Percentage </a:t>
            </a:r>
            <a:r>
              <a:rPr lang="en-US" sz="1400" b="0" i="0" u="none" strike="noStrike" baseline="0">
                <a:effectLst/>
              </a:rPr>
              <a:t>of Treasury Bill (5 years) over </a:t>
            </a:r>
            <a:r>
              <a:rPr lang="en-US"/>
              <a:t>Total Investment </a:t>
            </a:r>
          </a:p>
        </c:rich>
      </c:tx>
      <c:overlay val="0"/>
      <c:spPr>
        <a:noFill/>
        <a:ln>
          <a:noFill/>
        </a:ln>
        <a:effectLst/>
      </c:spPr>
    </c:title>
    <c:autoTitleDeleted val="0"/>
    <c:plotArea>
      <c:layout/>
      <c:lineChart>
        <c:grouping val="standard"/>
        <c:varyColors val="0"/>
        <c:ser>
          <c:idx val="0"/>
          <c:order val="0"/>
          <c:tx>
            <c:v>Growth Rate</c:v>
          </c:tx>
          <c:spPr>
            <a:ln w="28575" cap="rnd">
              <a:solidFill>
                <a:schemeClr val="accent1"/>
              </a:solidFill>
              <a:round/>
            </a:ln>
            <a:effectLst/>
          </c:spPr>
          <c:marker>
            <c:symbol val="none"/>
          </c:marker>
          <c:cat>
            <c:numRef>
              <c:f>Sheet1!$A$98:$A$102</c:f>
              <c:numCache>
                <c:formatCode>General</c:formatCode>
                <c:ptCount val="5"/>
                <c:pt idx="0">
                  <c:v>2013</c:v>
                </c:pt>
                <c:pt idx="1">
                  <c:v>2014</c:v>
                </c:pt>
                <c:pt idx="2">
                  <c:v>2015</c:v>
                </c:pt>
                <c:pt idx="3">
                  <c:v>2016</c:v>
                </c:pt>
                <c:pt idx="4">
                  <c:v>2017</c:v>
                </c:pt>
              </c:numCache>
            </c:numRef>
          </c:cat>
          <c:val>
            <c:numRef>
              <c:f>Sheet1!$B$98:$B$102</c:f>
              <c:numCache>
                <c:formatCode>0%</c:formatCode>
                <c:ptCount val="5"/>
                <c:pt idx="0">
                  <c:v>0</c:v>
                </c:pt>
                <c:pt idx="1">
                  <c:v>1.0303540316073101</c:v>
                </c:pt>
                <c:pt idx="2">
                  <c:v>-0.64749783302973318</c:v>
                </c:pt>
                <c:pt idx="3">
                  <c:v>1.6935035970355989</c:v>
                </c:pt>
                <c:pt idx="4">
                  <c:v>-0.17170435097441064</c:v>
                </c:pt>
              </c:numCache>
            </c:numRef>
          </c:val>
          <c:smooth val="0"/>
        </c:ser>
        <c:ser>
          <c:idx val="1"/>
          <c:order val="1"/>
          <c:tx>
            <c:v>Percentage of Total Investment</c:v>
          </c:tx>
          <c:spPr>
            <a:ln w="28575" cap="rnd">
              <a:solidFill>
                <a:schemeClr val="accent2"/>
              </a:solidFill>
              <a:round/>
            </a:ln>
            <a:effectLst/>
          </c:spPr>
          <c:marker>
            <c:symbol val="none"/>
          </c:marker>
          <c:cat>
            <c:numRef>
              <c:f>Sheet1!$A$98:$A$102</c:f>
              <c:numCache>
                <c:formatCode>General</c:formatCode>
                <c:ptCount val="5"/>
                <c:pt idx="0">
                  <c:v>2013</c:v>
                </c:pt>
                <c:pt idx="1">
                  <c:v>2014</c:v>
                </c:pt>
                <c:pt idx="2">
                  <c:v>2015</c:v>
                </c:pt>
                <c:pt idx="3">
                  <c:v>2016</c:v>
                </c:pt>
                <c:pt idx="4">
                  <c:v>2017</c:v>
                </c:pt>
              </c:numCache>
            </c:numRef>
          </c:cat>
          <c:val>
            <c:numRef>
              <c:f>Sheet1!$C$98:$C$102</c:f>
              <c:numCache>
                <c:formatCode>0.00%</c:formatCode>
                <c:ptCount val="5"/>
                <c:pt idx="0">
                  <c:v>9.0304985571059371E-2</c:v>
                </c:pt>
                <c:pt idx="1">
                  <c:v>0.16340401022289253</c:v>
                </c:pt>
                <c:pt idx="2">
                  <c:v>6.9596436709442461E-2</c:v>
                </c:pt>
                <c:pt idx="3">
                  <c:v>0.16487835976850462</c:v>
                </c:pt>
                <c:pt idx="4">
                  <c:v>0.12301169475962632</c:v>
                </c:pt>
              </c:numCache>
            </c:numRef>
          </c:val>
          <c:smooth val="0"/>
        </c:ser>
        <c:dLbls>
          <c:showLegendKey val="0"/>
          <c:showVal val="0"/>
          <c:showCatName val="0"/>
          <c:showSerName val="0"/>
          <c:showPercent val="0"/>
          <c:showBubbleSize val="0"/>
        </c:dLbls>
        <c:marker val="1"/>
        <c:smooth val="0"/>
        <c:axId val="107800832"/>
        <c:axId val="108016000"/>
      </c:lineChart>
      <c:catAx>
        <c:axId val="107800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016000"/>
        <c:crosses val="autoZero"/>
        <c:auto val="1"/>
        <c:lblAlgn val="ctr"/>
        <c:lblOffset val="100"/>
        <c:noMultiLvlLbl val="0"/>
      </c:catAx>
      <c:valAx>
        <c:axId val="108016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800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Treasury Bond (5 years) over </a:t>
            </a:r>
            <a:r>
              <a:rPr lang="en-US"/>
              <a:t>Government Securities and Treasury Bond</a:t>
            </a:r>
          </a:p>
        </c:rich>
      </c:tx>
      <c:overlay val="0"/>
      <c:spPr>
        <a:noFill/>
        <a:ln>
          <a:noFill/>
        </a:ln>
        <a:effectLst/>
      </c:spPr>
    </c:title>
    <c:autoTitleDeleted val="0"/>
    <c:plotArea>
      <c:layout/>
      <c:barChart>
        <c:barDir val="col"/>
        <c:grouping val="clustered"/>
        <c:varyColors val="0"/>
        <c:ser>
          <c:idx val="0"/>
          <c:order val="0"/>
          <c:tx>
            <c:v>Percentage of Government Securities</c:v>
          </c:tx>
          <c:spPr>
            <a:solidFill>
              <a:schemeClr val="accent1"/>
            </a:solidFill>
            <a:ln>
              <a:noFill/>
            </a:ln>
            <a:effectLst/>
          </c:spPr>
          <c:invertIfNegative val="0"/>
          <c:cat>
            <c:numRef>
              <c:f>Sheet1!$A$98:$A$102</c:f>
              <c:numCache>
                <c:formatCode>General</c:formatCode>
                <c:ptCount val="5"/>
                <c:pt idx="0">
                  <c:v>2013</c:v>
                </c:pt>
                <c:pt idx="1">
                  <c:v>2014</c:v>
                </c:pt>
                <c:pt idx="2">
                  <c:v>2015</c:v>
                </c:pt>
                <c:pt idx="3">
                  <c:v>2016</c:v>
                </c:pt>
                <c:pt idx="4">
                  <c:v>2017</c:v>
                </c:pt>
              </c:numCache>
            </c:numRef>
          </c:cat>
          <c:val>
            <c:numRef>
              <c:f>Sheet1!$D$98:$D$102</c:f>
              <c:numCache>
                <c:formatCode>0.00%</c:formatCode>
                <c:ptCount val="5"/>
                <c:pt idx="0">
                  <c:v>9.932144104621643E-2</c:v>
                </c:pt>
                <c:pt idx="1">
                  <c:v>0.1899444813491207</c:v>
                </c:pt>
                <c:pt idx="2">
                  <c:v>9.1896892901251637E-2</c:v>
                </c:pt>
                <c:pt idx="3">
                  <c:v>0.21752349784538227</c:v>
                </c:pt>
                <c:pt idx="4">
                  <c:v>0.16001342224368365</c:v>
                </c:pt>
              </c:numCache>
            </c:numRef>
          </c:val>
        </c:ser>
        <c:ser>
          <c:idx val="1"/>
          <c:order val="1"/>
          <c:tx>
            <c:v>Percentage of Treasury Bond</c:v>
          </c:tx>
          <c:spPr>
            <a:solidFill>
              <a:schemeClr val="accent2"/>
            </a:solidFill>
            <a:ln>
              <a:noFill/>
            </a:ln>
            <a:effectLst/>
          </c:spPr>
          <c:invertIfNegative val="0"/>
          <c:cat>
            <c:numRef>
              <c:f>Sheet1!$A$98:$A$102</c:f>
              <c:numCache>
                <c:formatCode>General</c:formatCode>
                <c:ptCount val="5"/>
                <c:pt idx="0">
                  <c:v>2013</c:v>
                </c:pt>
                <c:pt idx="1">
                  <c:v>2014</c:v>
                </c:pt>
                <c:pt idx="2">
                  <c:v>2015</c:v>
                </c:pt>
                <c:pt idx="3">
                  <c:v>2016</c:v>
                </c:pt>
                <c:pt idx="4">
                  <c:v>2017</c:v>
                </c:pt>
              </c:numCache>
            </c:numRef>
          </c:cat>
          <c:val>
            <c:numRef>
              <c:f>Sheet1!$E$98:$E$102</c:f>
              <c:numCache>
                <c:formatCode>0.00%</c:formatCode>
                <c:ptCount val="5"/>
                <c:pt idx="0">
                  <c:v>0.14650492874592083</c:v>
                </c:pt>
                <c:pt idx="1">
                  <c:v>0.22084620101838642</c:v>
                </c:pt>
                <c:pt idx="2">
                  <c:v>0.107532506639181</c:v>
                </c:pt>
                <c:pt idx="3">
                  <c:v>0.22210463887402135</c:v>
                </c:pt>
                <c:pt idx="4">
                  <c:v>0.20197244685400206</c:v>
                </c:pt>
              </c:numCache>
            </c:numRef>
          </c:val>
        </c:ser>
        <c:dLbls>
          <c:showLegendKey val="0"/>
          <c:showVal val="0"/>
          <c:showCatName val="0"/>
          <c:showSerName val="0"/>
          <c:showPercent val="0"/>
          <c:showBubbleSize val="0"/>
        </c:dLbls>
        <c:gapWidth val="219"/>
        <c:overlap val="-27"/>
        <c:axId val="107869696"/>
        <c:axId val="107871616"/>
      </c:barChart>
      <c:catAx>
        <c:axId val="107869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871616"/>
        <c:crosses val="autoZero"/>
        <c:auto val="1"/>
        <c:lblAlgn val="ctr"/>
        <c:lblOffset val="100"/>
        <c:noMultiLvlLbl val="0"/>
      </c:catAx>
      <c:valAx>
        <c:axId val="10787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86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a:t>
            </a:r>
            <a:r>
              <a:rPr lang="en-US" baseline="0"/>
              <a:t> of Treasury Bond (10 years) and Percentage </a:t>
            </a:r>
            <a:r>
              <a:rPr lang="en-US" sz="1400" b="0" i="0" u="none" strike="noStrike" baseline="0">
                <a:effectLst/>
              </a:rPr>
              <a:t>of Treasury Bill (10 years) over </a:t>
            </a:r>
            <a:r>
              <a:rPr lang="en-US" baseline="0"/>
              <a:t> Total Investment</a:t>
            </a:r>
            <a:endParaRPr lang="en-US"/>
          </a:p>
        </c:rich>
      </c:tx>
      <c:overlay val="0"/>
      <c:spPr>
        <a:noFill/>
        <a:ln>
          <a:noFill/>
        </a:ln>
        <a:effectLst/>
      </c:spPr>
    </c:title>
    <c:autoTitleDeleted val="0"/>
    <c:plotArea>
      <c:layout/>
      <c:barChart>
        <c:barDir val="col"/>
        <c:grouping val="clustered"/>
        <c:varyColors val="0"/>
        <c:ser>
          <c:idx val="0"/>
          <c:order val="0"/>
          <c:tx>
            <c:v>Growth Rate</c:v>
          </c:tx>
          <c:spPr>
            <a:solidFill>
              <a:schemeClr val="accent1"/>
            </a:solidFill>
            <a:ln>
              <a:noFill/>
            </a:ln>
            <a:effectLst/>
          </c:spPr>
          <c:invertIfNegative val="0"/>
          <c:cat>
            <c:numRef>
              <c:f>Sheet1!$A$105:$A$109</c:f>
              <c:numCache>
                <c:formatCode>General</c:formatCode>
                <c:ptCount val="5"/>
                <c:pt idx="0">
                  <c:v>2013</c:v>
                </c:pt>
                <c:pt idx="1">
                  <c:v>2014</c:v>
                </c:pt>
                <c:pt idx="2">
                  <c:v>2015</c:v>
                </c:pt>
                <c:pt idx="3">
                  <c:v>2016</c:v>
                </c:pt>
                <c:pt idx="4">
                  <c:v>2017</c:v>
                </c:pt>
              </c:numCache>
            </c:numRef>
          </c:cat>
          <c:val>
            <c:numRef>
              <c:f>Sheet1!$B$105:$B$109</c:f>
              <c:numCache>
                <c:formatCode>0%</c:formatCode>
                <c:ptCount val="5"/>
                <c:pt idx="0">
                  <c:v>0</c:v>
                </c:pt>
                <c:pt idx="1">
                  <c:v>0.13642184587596168</c:v>
                </c:pt>
                <c:pt idx="2">
                  <c:v>-0.19809339792558106</c:v>
                </c:pt>
                <c:pt idx="3">
                  <c:v>8.9281386484754116E-2</c:v>
                </c:pt>
                <c:pt idx="4">
                  <c:v>-0.5767367961794948</c:v>
                </c:pt>
              </c:numCache>
            </c:numRef>
          </c:val>
        </c:ser>
        <c:ser>
          <c:idx val="1"/>
          <c:order val="1"/>
          <c:tx>
            <c:v>Percentage of Total Investment</c:v>
          </c:tx>
          <c:spPr>
            <a:solidFill>
              <a:schemeClr val="accent2"/>
            </a:solidFill>
            <a:ln>
              <a:noFill/>
            </a:ln>
            <a:effectLst/>
          </c:spPr>
          <c:invertIfNegative val="0"/>
          <c:cat>
            <c:numRef>
              <c:f>Sheet1!$A$105:$A$109</c:f>
              <c:numCache>
                <c:formatCode>General</c:formatCode>
                <c:ptCount val="5"/>
                <c:pt idx="0">
                  <c:v>2013</c:v>
                </c:pt>
                <c:pt idx="1">
                  <c:v>2014</c:v>
                </c:pt>
                <c:pt idx="2">
                  <c:v>2015</c:v>
                </c:pt>
                <c:pt idx="3">
                  <c:v>2016</c:v>
                </c:pt>
                <c:pt idx="4">
                  <c:v>2017</c:v>
                </c:pt>
              </c:numCache>
            </c:numRef>
          </c:cat>
          <c:val>
            <c:numRef>
              <c:f>Sheet1!$C$105:$C$109</c:f>
              <c:numCache>
                <c:formatCode>0.00%</c:formatCode>
                <c:ptCount val="5"/>
                <c:pt idx="0">
                  <c:v>0.26577775242866175</c:v>
                </c:pt>
                <c:pt idx="1">
                  <c:v>0.26917666565112247</c:v>
                </c:pt>
                <c:pt idx="2">
                  <c:v>0.26080967679887018</c:v>
                </c:pt>
                <c:pt idx="3">
                  <c:v>0.24987504042662198</c:v>
                </c:pt>
                <c:pt idx="4">
                  <c:v>9.526442617151934E-2</c:v>
                </c:pt>
              </c:numCache>
            </c:numRef>
          </c:val>
        </c:ser>
        <c:dLbls>
          <c:showLegendKey val="0"/>
          <c:showVal val="0"/>
          <c:showCatName val="0"/>
          <c:showSerName val="0"/>
          <c:showPercent val="0"/>
          <c:showBubbleSize val="0"/>
        </c:dLbls>
        <c:gapWidth val="219"/>
        <c:overlap val="-27"/>
        <c:axId val="107938176"/>
        <c:axId val="107940096"/>
      </c:barChart>
      <c:catAx>
        <c:axId val="107938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40096"/>
        <c:crosses val="autoZero"/>
        <c:auto val="1"/>
        <c:lblAlgn val="ctr"/>
        <c:lblOffset val="100"/>
        <c:noMultiLvlLbl val="0"/>
      </c:catAx>
      <c:valAx>
        <c:axId val="107940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38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Treasury Bond (10 years) over </a:t>
            </a:r>
            <a:r>
              <a:rPr lang="en-US"/>
              <a:t>Government Securities and</a:t>
            </a:r>
            <a:r>
              <a:rPr lang="en-US" baseline="0"/>
              <a:t> Treasury Bond</a:t>
            </a:r>
            <a:endParaRPr lang="en-US"/>
          </a:p>
        </c:rich>
      </c:tx>
      <c:overlay val="0"/>
      <c:spPr>
        <a:noFill/>
        <a:ln>
          <a:noFill/>
        </a:ln>
        <a:effectLst/>
      </c:spPr>
    </c:title>
    <c:autoTitleDeleted val="0"/>
    <c:plotArea>
      <c:layout/>
      <c:lineChart>
        <c:grouping val="standard"/>
        <c:varyColors val="0"/>
        <c:ser>
          <c:idx val="0"/>
          <c:order val="0"/>
          <c:tx>
            <c:v>Percentage of Government Securities</c:v>
          </c:tx>
          <c:spPr>
            <a:ln w="28575" cap="rnd">
              <a:solidFill>
                <a:schemeClr val="accent1"/>
              </a:solidFill>
              <a:round/>
            </a:ln>
            <a:effectLst/>
          </c:spPr>
          <c:marker>
            <c:symbol val="none"/>
          </c:marker>
          <c:cat>
            <c:numRef>
              <c:f>Sheet1!$A$105:$A$109</c:f>
              <c:numCache>
                <c:formatCode>General</c:formatCode>
                <c:ptCount val="5"/>
                <c:pt idx="0">
                  <c:v>2013</c:v>
                </c:pt>
                <c:pt idx="1">
                  <c:v>2014</c:v>
                </c:pt>
                <c:pt idx="2">
                  <c:v>2015</c:v>
                </c:pt>
                <c:pt idx="3">
                  <c:v>2016</c:v>
                </c:pt>
                <c:pt idx="4">
                  <c:v>2017</c:v>
                </c:pt>
              </c:numCache>
            </c:numRef>
          </c:cat>
          <c:val>
            <c:numRef>
              <c:f>Sheet1!$D$105:$D$109</c:f>
              <c:numCache>
                <c:formatCode>0.00%</c:formatCode>
                <c:ptCount val="5"/>
                <c:pt idx="0">
                  <c:v>0.29231419729830493</c:v>
                </c:pt>
                <c:pt idx="1">
                  <c:v>0.31289698507794106</c:v>
                </c:pt>
                <c:pt idx="2">
                  <c:v>0.34437968478843167</c:v>
                </c:pt>
                <c:pt idx="3">
                  <c:v>0.32965934943900299</c:v>
                </c:pt>
                <c:pt idx="4">
                  <c:v>0.12391981818942185</c:v>
                </c:pt>
              </c:numCache>
            </c:numRef>
          </c:val>
          <c:smooth val="0"/>
        </c:ser>
        <c:ser>
          <c:idx val="1"/>
          <c:order val="1"/>
          <c:tx>
            <c:v>Percentage of Treasury Bond</c:v>
          </c:tx>
          <c:spPr>
            <a:ln w="28575" cap="rnd">
              <a:solidFill>
                <a:schemeClr val="accent2"/>
              </a:solidFill>
              <a:round/>
            </a:ln>
            <a:effectLst/>
          </c:spPr>
          <c:marker>
            <c:symbol val="none"/>
          </c:marker>
          <c:cat>
            <c:numRef>
              <c:f>Sheet1!$A$105:$A$109</c:f>
              <c:numCache>
                <c:formatCode>General</c:formatCode>
                <c:ptCount val="5"/>
                <c:pt idx="0">
                  <c:v>2013</c:v>
                </c:pt>
                <c:pt idx="1">
                  <c:v>2014</c:v>
                </c:pt>
                <c:pt idx="2">
                  <c:v>2015</c:v>
                </c:pt>
                <c:pt idx="3">
                  <c:v>2016</c:v>
                </c:pt>
                <c:pt idx="4">
                  <c:v>2017</c:v>
                </c:pt>
              </c:numCache>
            </c:numRef>
          </c:cat>
          <c:val>
            <c:numRef>
              <c:f>Sheet1!$E$105:$E$109</c:f>
              <c:numCache>
                <c:formatCode>0.00%</c:formatCode>
                <c:ptCount val="5"/>
                <c:pt idx="0">
                  <c:v>0.43118052049488076</c:v>
                </c:pt>
                <c:pt idx="1">
                  <c:v>0.36380162231488761</c:v>
                </c:pt>
                <c:pt idx="2">
                  <c:v>0.40297348007950667</c:v>
                </c:pt>
                <c:pt idx="3">
                  <c:v>0.33660212107585374</c:v>
                </c:pt>
                <c:pt idx="4">
                  <c:v>0.15641430914029822</c:v>
                </c:pt>
              </c:numCache>
            </c:numRef>
          </c:val>
          <c:smooth val="0"/>
        </c:ser>
        <c:dLbls>
          <c:showLegendKey val="0"/>
          <c:showVal val="0"/>
          <c:showCatName val="0"/>
          <c:showSerName val="0"/>
          <c:showPercent val="0"/>
          <c:showBubbleSize val="0"/>
        </c:dLbls>
        <c:marker val="1"/>
        <c:smooth val="0"/>
        <c:axId val="107978112"/>
        <c:axId val="107980288"/>
      </c:lineChart>
      <c:catAx>
        <c:axId val="107978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80288"/>
        <c:crosses val="autoZero"/>
        <c:auto val="1"/>
        <c:lblAlgn val="ctr"/>
        <c:lblOffset val="100"/>
        <c:noMultiLvlLbl val="0"/>
      </c:catAx>
      <c:valAx>
        <c:axId val="107980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7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Treasury Bond (15 years) and</a:t>
            </a:r>
            <a:r>
              <a:rPr lang="en-US" baseline="0"/>
              <a:t> Percentage </a:t>
            </a:r>
            <a:r>
              <a:rPr lang="en-US" sz="1400" b="0" i="0" u="none" strike="noStrike" baseline="0">
                <a:effectLst/>
              </a:rPr>
              <a:t>of Treasury Bill (15 years) over </a:t>
            </a:r>
            <a:r>
              <a:rPr lang="en-US" baseline="0"/>
              <a:t> Total Investment</a:t>
            </a:r>
            <a:endParaRPr lang="en-US"/>
          </a:p>
        </c:rich>
      </c:tx>
      <c:overlay val="0"/>
      <c:spPr>
        <a:noFill/>
        <a:ln>
          <a:noFill/>
        </a:ln>
        <a:effectLst/>
      </c:spPr>
    </c:title>
    <c:autoTitleDeleted val="0"/>
    <c:plotArea>
      <c:layout/>
      <c:lineChart>
        <c:grouping val="standard"/>
        <c:varyColors val="0"/>
        <c:ser>
          <c:idx val="0"/>
          <c:order val="0"/>
          <c:tx>
            <c:v>Growth Rate</c:v>
          </c:tx>
          <c:spPr>
            <a:ln w="28575" cap="rnd">
              <a:solidFill>
                <a:schemeClr val="accent1"/>
              </a:solidFill>
              <a:round/>
            </a:ln>
            <a:effectLst/>
          </c:spPr>
          <c:marker>
            <c:symbol val="none"/>
          </c:marker>
          <c:cat>
            <c:numRef>
              <c:f>Sheet1!$A$113:$A$117</c:f>
              <c:numCache>
                <c:formatCode>General</c:formatCode>
                <c:ptCount val="5"/>
                <c:pt idx="0">
                  <c:v>2013</c:v>
                </c:pt>
                <c:pt idx="1">
                  <c:v>2014</c:v>
                </c:pt>
                <c:pt idx="2">
                  <c:v>2015</c:v>
                </c:pt>
                <c:pt idx="3">
                  <c:v>2016</c:v>
                </c:pt>
                <c:pt idx="4">
                  <c:v>2017</c:v>
                </c:pt>
              </c:numCache>
            </c:numRef>
          </c:cat>
          <c:val>
            <c:numRef>
              <c:f>Sheet1!$B$113:$B$117</c:f>
              <c:numCache>
                <c:formatCode>0%</c:formatCode>
                <c:ptCount val="5"/>
                <c:pt idx="0">
                  <c:v>0</c:v>
                </c:pt>
                <c:pt idx="1">
                  <c:v>0.13682829849832789</c:v>
                </c:pt>
                <c:pt idx="2">
                  <c:v>0.11663574739504107</c:v>
                </c:pt>
                <c:pt idx="3">
                  <c:v>0.40244460979175534</c:v>
                </c:pt>
                <c:pt idx="4">
                  <c:v>1.4556286284960343E-2</c:v>
                </c:pt>
              </c:numCache>
            </c:numRef>
          </c:val>
          <c:smooth val="0"/>
        </c:ser>
        <c:ser>
          <c:idx val="1"/>
          <c:order val="1"/>
          <c:tx>
            <c:v>Percentage of Total Investment</c:v>
          </c:tx>
          <c:spPr>
            <a:ln w="28575" cap="rnd">
              <a:solidFill>
                <a:schemeClr val="accent2"/>
              </a:solidFill>
              <a:round/>
            </a:ln>
            <a:effectLst/>
          </c:spPr>
          <c:marker>
            <c:symbol val="none"/>
          </c:marker>
          <c:cat>
            <c:numRef>
              <c:f>Sheet1!$A$113:$A$117</c:f>
              <c:numCache>
                <c:formatCode>General</c:formatCode>
                <c:ptCount val="5"/>
                <c:pt idx="0">
                  <c:v>2013</c:v>
                </c:pt>
                <c:pt idx="1">
                  <c:v>2014</c:v>
                </c:pt>
                <c:pt idx="2">
                  <c:v>2015</c:v>
                </c:pt>
                <c:pt idx="3">
                  <c:v>2016</c:v>
                </c:pt>
                <c:pt idx="4">
                  <c:v>2017</c:v>
                </c:pt>
              </c:numCache>
            </c:numRef>
          </c:cat>
          <c:val>
            <c:numRef>
              <c:f>Sheet1!$C$113:$C$117</c:f>
              <c:numCache>
                <c:formatCode>0.00%</c:formatCode>
                <c:ptCount val="5"/>
                <c:pt idx="0">
                  <c:v>9.0651768087338089E-2</c:v>
                </c:pt>
                <c:pt idx="1">
                  <c:v>9.0212562047195646E-2</c:v>
                </c:pt>
                <c:pt idx="2">
                  <c:v>0.1528675261322863</c:v>
                </c:pt>
                <c:pt idx="3">
                  <c:v>0.13641134073777317</c:v>
                </c:pt>
                <c:pt idx="4">
                  <c:v>0.12287056093961228</c:v>
                </c:pt>
              </c:numCache>
            </c:numRef>
          </c:val>
          <c:smooth val="0"/>
        </c:ser>
        <c:dLbls>
          <c:showLegendKey val="0"/>
          <c:showVal val="0"/>
          <c:showCatName val="0"/>
          <c:showSerName val="0"/>
          <c:showPercent val="0"/>
          <c:showBubbleSize val="0"/>
        </c:dLbls>
        <c:marker val="1"/>
        <c:smooth val="0"/>
        <c:axId val="108075648"/>
        <c:axId val="108106496"/>
      </c:lineChart>
      <c:catAx>
        <c:axId val="1080756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106496"/>
        <c:crosses val="autoZero"/>
        <c:auto val="1"/>
        <c:lblAlgn val="ctr"/>
        <c:lblOffset val="100"/>
        <c:noMultiLvlLbl val="0"/>
      </c:catAx>
      <c:valAx>
        <c:axId val="108106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075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a:t>
            </a:r>
            <a:r>
              <a:rPr lang="en-US" sz="1400" b="0" i="0" u="none" strike="noStrike" baseline="0">
                <a:effectLst/>
              </a:rPr>
              <a:t>of Treasury Bond (15 years) over </a:t>
            </a:r>
            <a:r>
              <a:rPr lang="en-US"/>
              <a:t>Government Securities and Treasury Bond</a:t>
            </a:r>
          </a:p>
        </c:rich>
      </c:tx>
      <c:overlay val="0"/>
      <c:spPr>
        <a:noFill/>
        <a:ln>
          <a:noFill/>
        </a:ln>
        <a:effectLst/>
      </c:spPr>
    </c:title>
    <c:autoTitleDeleted val="0"/>
    <c:plotArea>
      <c:layout/>
      <c:barChart>
        <c:barDir val="bar"/>
        <c:grouping val="clustered"/>
        <c:varyColors val="0"/>
        <c:ser>
          <c:idx val="0"/>
          <c:order val="0"/>
          <c:tx>
            <c:v>Percentage of Government Securities</c:v>
          </c:tx>
          <c:spPr>
            <a:solidFill>
              <a:schemeClr val="accent2"/>
            </a:solidFill>
            <a:ln>
              <a:noFill/>
            </a:ln>
            <a:effectLst/>
          </c:spPr>
          <c:invertIfNegative val="0"/>
          <c:cat>
            <c:numRef>
              <c:f>Sheet1!$A$113:$A$117</c:f>
              <c:numCache>
                <c:formatCode>General</c:formatCode>
                <c:ptCount val="5"/>
                <c:pt idx="0">
                  <c:v>2013</c:v>
                </c:pt>
                <c:pt idx="1">
                  <c:v>2014</c:v>
                </c:pt>
                <c:pt idx="2">
                  <c:v>2015</c:v>
                </c:pt>
                <c:pt idx="3">
                  <c:v>2016</c:v>
                </c:pt>
                <c:pt idx="4">
                  <c:v>2017</c:v>
                </c:pt>
              </c:numCache>
            </c:numRef>
          </c:cat>
          <c:val>
            <c:numRef>
              <c:f>Sheet1!$D$113:$D$117</c:f>
              <c:numCache>
                <c:formatCode>0.00%</c:formatCode>
                <c:ptCount val="5"/>
                <c:pt idx="0">
                  <c:v>8.7702644294323576E-2</c:v>
                </c:pt>
                <c:pt idx="1">
                  <c:v>9.3911647480207791E-2</c:v>
                </c:pt>
                <c:pt idx="2">
                  <c:v>0.14392735458570324</c:v>
                </c:pt>
                <c:pt idx="3">
                  <c:v>0.17738498319981585</c:v>
                </c:pt>
                <c:pt idx="4">
                  <c:v>0.15982983558894404</c:v>
                </c:pt>
              </c:numCache>
            </c:numRef>
          </c:val>
        </c:ser>
        <c:ser>
          <c:idx val="1"/>
          <c:order val="1"/>
          <c:tx>
            <c:v>Percentage of Treasury Bond</c:v>
          </c:tx>
          <c:spPr>
            <a:solidFill>
              <a:schemeClr val="accent4"/>
            </a:solidFill>
            <a:ln>
              <a:noFill/>
            </a:ln>
            <a:effectLst/>
          </c:spPr>
          <c:invertIfNegative val="0"/>
          <c:cat>
            <c:numRef>
              <c:f>Sheet1!$A$113:$A$117</c:f>
              <c:numCache>
                <c:formatCode>General</c:formatCode>
                <c:ptCount val="5"/>
                <c:pt idx="0">
                  <c:v>2013</c:v>
                </c:pt>
                <c:pt idx="1">
                  <c:v>2014</c:v>
                </c:pt>
                <c:pt idx="2">
                  <c:v>2015</c:v>
                </c:pt>
                <c:pt idx="3">
                  <c:v>2016</c:v>
                </c:pt>
                <c:pt idx="4">
                  <c:v>2017</c:v>
                </c:pt>
              </c:numCache>
            </c:numRef>
          </c:cat>
          <c:val>
            <c:numRef>
              <c:f>Sheet1!$E$113:$E$117</c:f>
              <c:numCache>
                <c:formatCode>0.00%</c:formatCode>
                <c:ptCount val="5"/>
                <c:pt idx="0">
                  <c:v>0.12936652466802065</c:v>
                </c:pt>
                <c:pt idx="1">
                  <c:v>0.10918996135118733</c:v>
                </c:pt>
                <c:pt idx="2">
                  <c:v>0.16841558755612832</c:v>
                </c:pt>
                <c:pt idx="3">
                  <c:v>0.18112078936535828</c:v>
                </c:pt>
                <c:pt idx="4">
                  <c:v>0.20174071975669</c:v>
                </c:pt>
              </c:numCache>
            </c:numRef>
          </c:val>
        </c:ser>
        <c:dLbls>
          <c:showLegendKey val="0"/>
          <c:showVal val="0"/>
          <c:showCatName val="0"/>
          <c:showSerName val="0"/>
          <c:showPercent val="0"/>
          <c:showBubbleSize val="0"/>
        </c:dLbls>
        <c:gapWidth val="182"/>
        <c:axId val="107026304"/>
        <c:axId val="107032576"/>
      </c:barChart>
      <c:catAx>
        <c:axId val="1070263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32576"/>
        <c:crosses val="autoZero"/>
        <c:auto val="1"/>
        <c:lblAlgn val="ctr"/>
        <c:lblOffset val="100"/>
        <c:noMultiLvlLbl val="0"/>
      </c:catAx>
      <c:valAx>
        <c:axId val="107032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2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Treasury Bond (20</a:t>
            </a:r>
            <a:r>
              <a:rPr lang="en-US" baseline="0"/>
              <a:t> years)</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Sheet1!$A$120:$A$124</c:f>
              <c:numCache>
                <c:formatCode>General</c:formatCode>
                <c:ptCount val="5"/>
                <c:pt idx="0">
                  <c:v>2013</c:v>
                </c:pt>
                <c:pt idx="1">
                  <c:v>2014</c:v>
                </c:pt>
                <c:pt idx="2">
                  <c:v>2015</c:v>
                </c:pt>
                <c:pt idx="3">
                  <c:v>2016</c:v>
                </c:pt>
                <c:pt idx="4">
                  <c:v>2017</c:v>
                </c:pt>
              </c:numCache>
            </c:numRef>
          </c:cat>
          <c:val>
            <c:numRef>
              <c:f>Sheet1!$B$120:$B$124</c:f>
              <c:numCache>
                <c:formatCode>0.00%</c:formatCode>
                <c:ptCount val="5"/>
                <c:pt idx="0">
                  <c:v>0</c:v>
                </c:pt>
                <c:pt idx="1">
                  <c:v>2.0198432449715233E-2</c:v>
                </c:pt>
                <c:pt idx="2">
                  <c:v>9.3757236024421028E-2</c:v>
                </c:pt>
                <c:pt idx="3">
                  <c:v>-8.1665552094930264E-5</c:v>
                </c:pt>
                <c:pt idx="4">
                  <c:v>0.16366519434410692</c:v>
                </c:pt>
              </c:numCache>
            </c:numRef>
          </c:val>
          <c:smooth val="0"/>
        </c:ser>
        <c:dLbls>
          <c:showLegendKey val="0"/>
          <c:showVal val="0"/>
          <c:showCatName val="0"/>
          <c:showSerName val="0"/>
          <c:showPercent val="0"/>
          <c:showBubbleSize val="0"/>
        </c:dLbls>
        <c:marker val="1"/>
        <c:smooth val="0"/>
        <c:axId val="107823488"/>
        <c:axId val="107825408"/>
      </c:lineChart>
      <c:catAx>
        <c:axId val="1078234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825408"/>
        <c:crosses val="autoZero"/>
        <c:auto val="1"/>
        <c:lblAlgn val="ctr"/>
        <c:lblOffset val="100"/>
        <c:noMultiLvlLbl val="0"/>
      </c:catAx>
      <c:valAx>
        <c:axId val="107825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823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Treasury Bond (20 years) over </a:t>
            </a:r>
            <a:r>
              <a:rPr lang="en-US"/>
              <a:t> Total</a:t>
            </a:r>
            <a:r>
              <a:rPr lang="en-US" baseline="0"/>
              <a:t> Investment, Government Securities and Treasury Bond</a:t>
            </a:r>
            <a:endParaRPr lang="en-US"/>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2"/>
            </a:solidFill>
            <a:ln>
              <a:noFill/>
            </a:ln>
            <a:effectLst/>
          </c:spPr>
          <c:invertIfNegative val="0"/>
          <c:cat>
            <c:numRef>
              <c:f>Sheet1!$A$120:$A$124</c:f>
              <c:numCache>
                <c:formatCode>General</c:formatCode>
                <c:ptCount val="5"/>
                <c:pt idx="0">
                  <c:v>2013</c:v>
                </c:pt>
                <c:pt idx="1">
                  <c:v>2014</c:v>
                </c:pt>
                <c:pt idx="2">
                  <c:v>2015</c:v>
                </c:pt>
                <c:pt idx="3">
                  <c:v>2016</c:v>
                </c:pt>
                <c:pt idx="4">
                  <c:v>2017</c:v>
                </c:pt>
              </c:numCache>
            </c:numRef>
          </c:cat>
          <c:val>
            <c:numRef>
              <c:f>Sheet1!$C$120:$C$124</c:f>
              <c:numCache>
                <c:formatCode>0.00%</c:formatCode>
                <c:ptCount val="5"/>
                <c:pt idx="0">
                  <c:v>0.16985593223624665</c:v>
                </c:pt>
                <c:pt idx="1">
                  <c:v>0.1544345909357652</c:v>
                </c:pt>
                <c:pt idx="2">
                  <c:v>0.20409295986575296</c:v>
                </c:pt>
                <c:pt idx="3">
                  <c:v>0.17949470831726472</c:v>
                </c:pt>
                <c:pt idx="4">
                  <c:v>0.1881382316842008</c:v>
                </c:pt>
              </c:numCache>
            </c:numRef>
          </c:val>
        </c:ser>
        <c:ser>
          <c:idx val="1"/>
          <c:order val="1"/>
          <c:tx>
            <c:v>Percentage of Government Securities</c:v>
          </c:tx>
          <c:spPr>
            <a:solidFill>
              <a:schemeClr val="accent4"/>
            </a:solidFill>
            <a:ln>
              <a:noFill/>
            </a:ln>
            <a:effectLst/>
          </c:spPr>
          <c:invertIfNegative val="0"/>
          <c:cat>
            <c:numRef>
              <c:f>Sheet1!$A$120:$A$124</c:f>
              <c:numCache>
                <c:formatCode>General</c:formatCode>
                <c:ptCount val="5"/>
                <c:pt idx="0">
                  <c:v>2013</c:v>
                </c:pt>
                <c:pt idx="1">
                  <c:v>2014</c:v>
                </c:pt>
                <c:pt idx="2">
                  <c:v>2015</c:v>
                </c:pt>
                <c:pt idx="3">
                  <c:v>2016</c:v>
                </c:pt>
                <c:pt idx="4">
                  <c:v>2017</c:v>
                </c:pt>
              </c:numCache>
            </c:numRef>
          </c:cat>
          <c:val>
            <c:numRef>
              <c:f>Sheet1!$D$120:$D$124</c:f>
              <c:numCache>
                <c:formatCode>0.00%</c:formatCode>
                <c:ptCount val="5"/>
                <c:pt idx="0">
                  <c:v>0.18681511162722614</c:v>
                </c:pt>
                <c:pt idx="1">
                  <c:v>0.17951822747583898</c:v>
                </c:pt>
                <c:pt idx="2">
                  <c:v>0.26948949919641368</c:v>
                </c:pt>
                <c:pt idx="3">
                  <c:v>0.23680680019335301</c:v>
                </c:pt>
                <c:pt idx="4">
                  <c:v>0.24472992072412819</c:v>
                </c:pt>
              </c:numCache>
            </c:numRef>
          </c:val>
        </c:ser>
        <c:ser>
          <c:idx val="2"/>
          <c:order val="2"/>
          <c:tx>
            <c:v>Percentage of Treasury Bond</c:v>
          </c:tx>
          <c:spPr>
            <a:solidFill>
              <a:schemeClr val="accent6"/>
            </a:solidFill>
            <a:ln>
              <a:noFill/>
            </a:ln>
            <a:effectLst/>
          </c:spPr>
          <c:invertIfNegative val="0"/>
          <c:cat>
            <c:numRef>
              <c:f>Sheet1!$A$120:$A$124</c:f>
              <c:numCache>
                <c:formatCode>General</c:formatCode>
                <c:ptCount val="5"/>
                <c:pt idx="0">
                  <c:v>2013</c:v>
                </c:pt>
                <c:pt idx="1">
                  <c:v>2014</c:v>
                </c:pt>
                <c:pt idx="2">
                  <c:v>2015</c:v>
                </c:pt>
                <c:pt idx="3">
                  <c:v>2016</c:v>
                </c:pt>
                <c:pt idx="4">
                  <c:v>2017</c:v>
                </c:pt>
              </c:numCache>
            </c:numRef>
          </c:cat>
          <c:val>
            <c:numRef>
              <c:f>Sheet1!$E$120:$E$124</c:f>
              <c:numCache>
                <c:formatCode>0.00%</c:formatCode>
                <c:ptCount val="5"/>
                <c:pt idx="0">
                  <c:v>0.2755632049767831</c:v>
                </c:pt>
                <c:pt idx="1">
                  <c:v>0.20872371900462738</c:v>
                </c:pt>
                <c:pt idx="2">
                  <c:v>0.31534125307878852</c:v>
                </c:pt>
                <c:pt idx="3">
                  <c:v>0.24179405609431148</c:v>
                </c:pt>
                <c:pt idx="4">
                  <c:v>0.30890346705892829</c:v>
                </c:pt>
              </c:numCache>
            </c:numRef>
          </c:val>
        </c:ser>
        <c:dLbls>
          <c:showLegendKey val="0"/>
          <c:showVal val="0"/>
          <c:showCatName val="0"/>
          <c:showSerName val="0"/>
          <c:showPercent val="0"/>
          <c:showBubbleSize val="0"/>
        </c:dLbls>
        <c:gapWidth val="219"/>
        <c:overlap val="-27"/>
        <c:axId val="108412928"/>
        <c:axId val="108414848"/>
      </c:barChart>
      <c:catAx>
        <c:axId val="108412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414848"/>
        <c:crosses val="autoZero"/>
        <c:auto val="1"/>
        <c:lblAlgn val="ctr"/>
        <c:lblOffset val="100"/>
        <c:noMultiLvlLbl val="0"/>
      </c:catAx>
      <c:valAx>
        <c:axId val="108414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412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Prize</a:t>
            </a:r>
            <a:r>
              <a:rPr lang="en-US" baseline="0"/>
              <a:t> Bond</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Sheet1!$A$141:$A$145</c:f>
              <c:numCache>
                <c:formatCode>General</c:formatCode>
                <c:ptCount val="5"/>
                <c:pt idx="0">
                  <c:v>2013</c:v>
                </c:pt>
                <c:pt idx="1">
                  <c:v>2014</c:v>
                </c:pt>
                <c:pt idx="2">
                  <c:v>2015</c:v>
                </c:pt>
                <c:pt idx="3">
                  <c:v>2016</c:v>
                </c:pt>
                <c:pt idx="4">
                  <c:v>2017</c:v>
                </c:pt>
              </c:numCache>
            </c:numRef>
          </c:cat>
          <c:val>
            <c:numRef>
              <c:f>Sheet1!$B$141:$B$145</c:f>
              <c:numCache>
                <c:formatCode>0.00%</c:formatCode>
                <c:ptCount val="5"/>
                <c:pt idx="0">
                  <c:v>0</c:v>
                </c:pt>
                <c:pt idx="1">
                  <c:v>1.0881488066744169</c:v>
                </c:pt>
                <c:pt idx="2">
                  <c:v>-0.41837235958735874</c:v>
                </c:pt>
                <c:pt idx="3">
                  <c:v>1.7004504504504504E-2</c:v>
                </c:pt>
                <c:pt idx="4">
                  <c:v>7.6957147602701809E-2</c:v>
                </c:pt>
              </c:numCache>
            </c:numRef>
          </c:val>
          <c:smooth val="0"/>
        </c:ser>
        <c:dLbls>
          <c:showLegendKey val="0"/>
          <c:showVal val="0"/>
          <c:showCatName val="0"/>
          <c:showSerName val="0"/>
          <c:showPercent val="0"/>
          <c:showBubbleSize val="0"/>
        </c:dLbls>
        <c:marker val="1"/>
        <c:smooth val="0"/>
        <c:axId val="108427520"/>
        <c:axId val="108265856"/>
      </c:lineChart>
      <c:catAx>
        <c:axId val="1084275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265856"/>
        <c:crosses val="autoZero"/>
        <c:auto val="1"/>
        <c:lblAlgn val="ctr"/>
        <c:lblOffset val="100"/>
        <c:noMultiLvlLbl val="0"/>
      </c:catAx>
      <c:valAx>
        <c:axId val="108265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427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Prize Bond over </a:t>
            </a:r>
            <a:r>
              <a:rPr lang="en-US"/>
              <a:t>Total Investment and Government Securities</a:t>
            </a:r>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1"/>
            </a:solidFill>
            <a:ln>
              <a:noFill/>
            </a:ln>
            <a:effectLst/>
          </c:spPr>
          <c:invertIfNegative val="0"/>
          <c:cat>
            <c:numRef>
              <c:f>Sheet1!$A$141:$A$145</c:f>
              <c:numCache>
                <c:formatCode>General</c:formatCode>
                <c:ptCount val="5"/>
                <c:pt idx="0">
                  <c:v>2013</c:v>
                </c:pt>
                <c:pt idx="1">
                  <c:v>2014</c:v>
                </c:pt>
                <c:pt idx="2">
                  <c:v>2015</c:v>
                </c:pt>
                <c:pt idx="3">
                  <c:v>2016</c:v>
                </c:pt>
                <c:pt idx="4">
                  <c:v>2017</c:v>
                </c:pt>
              </c:numCache>
            </c:numRef>
          </c:cat>
          <c:val>
            <c:numRef>
              <c:f>Sheet1!$C$141:$C$145</c:f>
              <c:numCache>
                <c:formatCode>0.00%</c:formatCode>
                <c:ptCount val="5"/>
                <c:pt idx="0">
                  <c:v>6.8657012113115988E-5</c:v>
                </c:pt>
                <c:pt idx="1">
                  <c:v>1.2776901734088753E-4</c:v>
                </c:pt>
                <c:pt idx="2">
                  <c:v>8.9791059190210399E-5</c:v>
                </c:pt>
                <c:pt idx="3">
                  <c:v>8.0318403067585628E-5</c:v>
                </c:pt>
                <c:pt idx="4">
                  <c:v>7.7913165857400917E-5</c:v>
                </c:pt>
              </c:numCache>
            </c:numRef>
          </c:val>
        </c:ser>
        <c:ser>
          <c:idx val="1"/>
          <c:order val="1"/>
          <c:tx>
            <c:v>Percentage of Government Securities</c:v>
          </c:tx>
          <c:spPr>
            <a:solidFill>
              <a:schemeClr val="accent2"/>
            </a:solidFill>
            <a:ln>
              <a:noFill/>
            </a:ln>
            <a:effectLst/>
          </c:spPr>
          <c:invertIfNegative val="0"/>
          <c:cat>
            <c:numRef>
              <c:f>Sheet1!$A$141:$A$145</c:f>
              <c:numCache>
                <c:formatCode>General</c:formatCode>
                <c:ptCount val="5"/>
                <c:pt idx="0">
                  <c:v>2013</c:v>
                </c:pt>
                <c:pt idx="1">
                  <c:v>2014</c:v>
                </c:pt>
                <c:pt idx="2">
                  <c:v>2015</c:v>
                </c:pt>
                <c:pt idx="3">
                  <c:v>2016</c:v>
                </c:pt>
                <c:pt idx="4">
                  <c:v>2017</c:v>
                </c:pt>
              </c:numCache>
            </c:numRef>
          </c:cat>
          <c:val>
            <c:numRef>
              <c:f>Sheet1!$D$141:$D$145</c:f>
              <c:numCache>
                <c:formatCode>0.00%</c:formatCode>
                <c:ptCount val="5"/>
                <c:pt idx="0">
                  <c:v>7.5512036659774207E-5</c:v>
                </c:pt>
                <c:pt idx="1">
                  <c:v>1.4852156748293598E-4</c:v>
                </c:pt>
                <c:pt idx="2">
                  <c:v>1.1856238250159138E-4</c:v>
                </c:pt>
                <c:pt idx="3">
                  <c:v>1.0596381478531591E-4</c:v>
                </c:pt>
                <c:pt idx="4">
                  <c:v>1.013493256152934E-4</c:v>
                </c:pt>
              </c:numCache>
            </c:numRef>
          </c:val>
        </c:ser>
        <c:dLbls>
          <c:showLegendKey val="0"/>
          <c:showVal val="0"/>
          <c:showCatName val="0"/>
          <c:showSerName val="0"/>
          <c:showPercent val="0"/>
          <c:showBubbleSize val="0"/>
        </c:dLbls>
        <c:gapWidth val="219"/>
        <c:overlap val="-27"/>
        <c:axId val="108311680"/>
        <c:axId val="108313600"/>
      </c:barChart>
      <c:catAx>
        <c:axId val="108311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13600"/>
        <c:crosses val="autoZero"/>
        <c:auto val="1"/>
        <c:lblAlgn val="ctr"/>
        <c:lblOffset val="100"/>
        <c:noMultiLvlLbl val="0"/>
      </c:catAx>
      <c:valAx>
        <c:axId val="108313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11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Other Investment over </a:t>
            </a:r>
            <a:r>
              <a:rPr lang="en-US"/>
              <a:t> Total Investment</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Sheet1!$A$149:$A$153</c:f>
              <c:numCache>
                <c:formatCode>General</c:formatCode>
                <c:ptCount val="5"/>
                <c:pt idx="0">
                  <c:v>2013</c:v>
                </c:pt>
                <c:pt idx="1">
                  <c:v>2014</c:v>
                </c:pt>
                <c:pt idx="2">
                  <c:v>2015</c:v>
                </c:pt>
                <c:pt idx="3">
                  <c:v>2016</c:v>
                </c:pt>
                <c:pt idx="4">
                  <c:v>2017</c:v>
                </c:pt>
              </c:numCache>
            </c:numRef>
          </c:cat>
          <c:val>
            <c:numRef>
              <c:f>Sheet1!$C$149:$C$153</c:f>
              <c:numCache>
                <c:formatCode>0.00%</c:formatCode>
                <c:ptCount val="5"/>
                <c:pt idx="0">
                  <c:v>9.0780554331279767E-2</c:v>
                </c:pt>
                <c:pt idx="1">
                  <c:v>0.13972751899775615</c:v>
                </c:pt>
                <c:pt idx="2">
                  <c:v>0.24266822835645024</c:v>
                </c:pt>
                <c:pt idx="3">
                  <c:v>0.24202046490765014</c:v>
                </c:pt>
                <c:pt idx="4">
                  <c:v>0.23124139816038414</c:v>
                </c:pt>
              </c:numCache>
            </c:numRef>
          </c:val>
        </c:ser>
        <c:dLbls>
          <c:showLegendKey val="0"/>
          <c:showVal val="0"/>
          <c:showCatName val="0"/>
          <c:showSerName val="0"/>
          <c:showPercent val="0"/>
          <c:showBubbleSize val="0"/>
        </c:dLbls>
        <c:gapWidth val="219"/>
        <c:overlap val="-27"/>
        <c:axId val="108465536"/>
        <c:axId val="108492288"/>
      </c:barChart>
      <c:catAx>
        <c:axId val="1084655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492288"/>
        <c:crosses val="autoZero"/>
        <c:auto val="1"/>
        <c:lblAlgn val="ctr"/>
        <c:lblOffset val="100"/>
        <c:noMultiLvlLbl val="0"/>
      </c:catAx>
      <c:valAx>
        <c:axId val="108492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465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Other Investment</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Sheet1!$A$149:$A$153</c:f>
              <c:numCache>
                <c:formatCode>General</c:formatCode>
                <c:ptCount val="5"/>
                <c:pt idx="0">
                  <c:v>2013</c:v>
                </c:pt>
                <c:pt idx="1">
                  <c:v>2014</c:v>
                </c:pt>
                <c:pt idx="2">
                  <c:v>2015</c:v>
                </c:pt>
                <c:pt idx="3">
                  <c:v>2016</c:v>
                </c:pt>
                <c:pt idx="4">
                  <c:v>2017</c:v>
                </c:pt>
              </c:numCache>
            </c:numRef>
          </c:cat>
          <c:val>
            <c:numRef>
              <c:f>Sheet1!$B$149:$B$153</c:f>
              <c:numCache>
                <c:formatCode>0.00%</c:formatCode>
                <c:ptCount val="5"/>
                <c:pt idx="0">
                  <c:v>-0.44980578934541149</c:v>
                </c:pt>
                <c:pt idx="1">
                  <c:v>0.727069865497316</c:v>
                </c:pt>
                <c:pt idx="2">
                  <c:v>0.43736964472415785</c:v>
                </c:pt>
                <c:pt idx="3">
                  <c:v>0.13391389567859632</c:v>
                </c:pt>
                <c:pt idx="4">
                  <c:v>6.0757551669431614E-2</c:v>
                </c:pt>
              </c:numCache>
            </c:numRef>
          </c:val>
          <c:smooth val="0"/>
        </c:ser>
        <c:dLbls>
          <c:showLegendKey val="0"/>
          <c:showVal val="0"/>
          <c:showCatName val="0"/>
          <c:showSerName val="0"/>
          <c:showPercent val="0"/>
          <c:showBubbleSize val="0"/>
        </c:dLbls>
        <c:marker val="1"/>
        <c:smooth val="0"/>
        <c:axId val="108606976"/>
        <c:axId val="108608896"/>
      </c:lineChart>
      <c:catAx>
        <c:axId val="108606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08896"/>
        <c:crosses val="autoZero"/>
        <c:auto val="1"/>
        <c:lblAlgn val="ctr"/>
        <c:lblOffset val="100"/>
        <c:noMultiLvlLbl val="0"/>
      </c:catAx>
      <c:valAx>
        <c:axId val="108608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06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ordinary Shares</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Sheet1!$A$156:$A$160</c:f>
              <c:numCache>
                <c:formatCode>General</c:formatCode>
                <c:ptCount val="5"/>
                <c:pt idx="0">
                  <c:v>2013</c:v>
                </c:pt>
                <c:pt idx="1">
                  <c:v>2014</c:v>
                </c:pt>
                <c:pt idx="2">
                  <c:v>2015</c:v>
                </c:pt>
                <c:pt idx="3">
                  <c:v>2016</c:v>
                </c:pt>
                <c:pt idx="4">
                  <c:v>2017</c:v>
                </c:pt>
              </c:numCache>
            </c:numRef>
          </c:cat>
          <c:val>
            <c:numRef>
              <c:f>Sheet1!$B$156:$B$160</c:f>
              <c:numCache>
                <c:formatCode>0.00%</c:formatCode>
                <c:ptCount val="5"/>
                <c:pt idx="0">
                  <c:v>0</c:v>
                </c:pt>
                <c:pt idx="1">
                  <c:v>0</c:v>
                </c:pt>
                <c:pt idx="2">
                  <c:v>0</c:v>
                </c:pt>
                <c:pt idx="3">
                  <c:v>2.3215410740460167</c:v>
                </c:pt>
                <c:pt idx="4">
                  <c:v>2.0589069813286214</c:v>
                </c:pt>
              </c:numCache>
            </c:numRef>
          </c:val>
          <c:smooth val="0"/>
        </c:ser>
        <c:dLbls>
          <c:showLegendKey val="0"/>
          <c:showVal val="0"/>
          <c:showCatName val="0"/>
          <c:showSerName val="0"/>
          <c:showPercent val="0"/>
          <c:showBubbleSize val="0"/>
        </c:dLbls>
        <c:marker val="1"/>
        <c:smooth val="0"/>
        <c:axId val="108637568"/>
        <c:axId val="108656128"/>
      </c:lineChart>
      <c:catAx>
        <c:axId val="108637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56128"/>
        <c:crosses val="autoZero"/>
        <c:auto val="1"/>
        <c:lblAlgn val="ctr"/>
        <c:lblOffset val="100"/>
        <c:noMultiLvlLbl val="0"/>
      </c:catAx>
      <c:valAx>
        <c:axId val="108656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37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Ordinary Shares over </a:t>
            </a:r>
            <a:r>
              <a:rPr lang="en-US"/>
              <a:t> Total Investment and Other Investment</a:t>
            </a:r>
          </a:p>
        </c:rich>
      </c:tx>
      <c:overlay val="0"/>
      <c:spPr>
        <a:noFill/>
        <a:ln>
          <a:noFill/>
        </a:ln>
        <a:effectLst/>
      </c:spPr>
    </c:title>
    <c:autoTitleDeleted val="0"/>
    <c:plotArea>
      <c:layout/>
      <c:barChart>
        <c:barDir val="col"/>
        <c:grouping val="clustered"/>
        <c:varyColors val="0"/>
        <c:ser>
          <c:idx val="0"/>
          <c:order val="0"/>
          <c:tx>
            <c:v>Percentage of Total Investment </c:v>
          </c:tx>
          <c:spPr>
            <a:solidFill>
              <a:schemeClr val="accent1"/>
            </a:solidFill>
            <a:ln>
              <a:noFill/>
            </a:ln>
            <a:effectLst/>
          </c:spPr>
          <c:invertIfNegative val="0"/>
          <c:cat>
            <c:numRef>
              <c:f>Sheet1!$A$156:$A$160</c:f>
              <c:numCache>
                <c:formatCode>General</c:formatCode>
                <c:ptCount val="5"/>
                <c:pt idx="0">
                  <c:v>2013</c:v>
                </c:pt>
                <c:pt idx="1">
                  <c:v>2014</c:v>
                </c:pt>
                <c:pt idx="2">
                  <c:v>2015</c:v>
                </c:pt>
                <c:pt idx="3">
                  <c:v>2016</c:v>
                </c:pt>
                <c:pt idx="4">
                  <c:v>2017</c:v>
                </c:pt>
              </c:numCache>
            </c:numRef>
          </c:cat>
          <c:val>
            <c:numRef>
              <c:f>Sheet1!$C$156:$C$160</c:f>
              <c:numCache>
                <c:formatCode>0.00%</c:formatCode>
                <c:ptCount val="5"/>
                <c:pt idx="0">
                  <c:v>2.275226147043554E-3</c:v>
                </c:pt>
                <c:pt idx="1">
                  <c:v>2.0277003725021657E-3</c:v>
                </c:pt>
                <c:pt idx="2">
                  <c:v>2.450001124774579E-3</c:v>
                </c:pt>
                <c:pt idx="3">
                  <c:v>7.1575601261499814E-3</c:v>
                </c:pt>
                <c:pt idx="4">
                  <c:v>1.9720986650157091E-2</c:v>
                </c:pt>
              </c:numCache>
            </c:numRef>
          </c:val>
        </c:ser>
        <c:ser>
          <c:idx val="1"/>
          <c:order val="1"/>
          <c:tx>
            <c:v>Percentage of Other Investment </c:v>
          </c:tx>
          <c:spPr>
            <a:solidFill>
              <a:schemeClr val="accent2"/>
            </a:solidFill>
            <a:ln>
              <a:noFill/>
            </a:ln>
            <a:effectLst/>
          </c:spPr>
          <c:invertIfNegative val="0"/>
          <c:cat>
            <c:numRef>
              <c:f>Sheet1!$A$156:$A$160</c:f>
              <c:numCache>
                <c:formatCode>General</c:formatCode>
                <c:ptCount val="5"/>
                <c:pt idx="0">
                  <c:v>2013</c:v>
                </c:pt>
                <c:pt idx="1">
                  <c:v>2014</c:v>
                </c:pt>
                <c:pt idx="2">
                  <c:v>2015</c:v>
                </c:pt>
                <c:pt idx="3">
                  <c:v>2016</c:v>
                </c:pt>
                <c:pt idx="4">
                  <c:v>2017</c:v>
                </c:pt>
              </c:numCache>
            </c:numRef>
          </c:cat>
          <c:val>
            <c:numRef>
              <c:f>Sheet1!$D$156:$D$160</c:f>
              <c:numCache>
                <c:formatCode>0.00%</c:formatCode>
                <c:ptCount val="5"/>
                <c:pt idx="0">
                  <c:v>2.5062924144973981E-2</c:v>
                </c:pt>
                <c:pt idx="1">
                  <c:v>1.4511818337909E-2</c:v>
                </c:pt>
                <c:pt idx="2">
                  <c:v>1.0096093507452586E-2</c:v>
                </c:pt>
                <c:pt idx="3">
                  <c:v>2.957419377275039E-2</c:v>
                </c:pt>
                <c:pt idx="4">
                  <c:v>8.528311455926689E-2</c:v>
                </c:pt>
              </c:numCache>
            </c:numRef>
          </c:val>
        </c:ser>
        <c:dLbls>
          <c:showLegendKey val="0"/>
          <c:showVal val="0"/>
          <c:showCatName val="0"/>
          <c:showSerName val="0"/>
          <c:showPercent val="0"/>
          <c:showBubbleSize val="0"/>
        </c:dLbls>
        <c:gapWidth val="219"/>
        <c:overlap val="-27"/>
        <c:axId val="108673280"/>
        <c:axId val="108704128"/>
      </c:barChart>
      <c:catAx>
        <c:axId val="1086732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04128"/>
        <c:crosses val="autoZero"/>
        <c:auto val="1"/>
        <c:lblAlgn val="ctr"/>
        <c:lblOffset val="100"/>
        <c:noMultiLvlLbl val="0"/>
      </c:catAx>
      <c:valAx>
        <c:axId val="108704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7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in Secondary Market</a:t>
            </a:r>
          </a:p>
        </c:rich>
      </c:tx>
      <c:overlay val="0"/>
      <c:spPr>
        <a:noFill/>
        <a:ln>
          <a:noFill/>
        </a:ln>
        <a:effectLst/>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Sheet1!$A$163:$A$167</c:f>
              <c:numCache>
                <c:formatCode>General</c:formatCode>
                <c:ptCount val="5"/>
                <c:pt idx="0">
                  <c:v>2013</c:v>
                </c:pt>
                <c:pt idx="1">
                  <c:v>2014</c:v>
                </c:pt>
                <c:pt idx="2">
                  <c:v>2015</c:v>
                </c:pt>
                <c:pt idx="3">
                  <c:v>2016</c:v>
                </c:pt>
                <c:pt idx="4">
                  <c:v>2017</c:v>
                </c:pt>
              </c:numCache>
            </c:numRef>
          </c:xVal>
          <c:yVal>
            <c:numRef>
              <c:f>Sheet1!$B$163:$B$167</c:f>
              <c:numCache>
                <c:formatCode>0.00%</c:formatCode>
                <c:ptCount val="5"/>
                <c:pt idx="0">
                  <c:v>0</c:v>
                </c:pt>
                <c:pt idx="1">
                  <c:v>6.063024922733219E-3</c:v>
                </c:pt>
                <c:pt idx="2">
                  <c:v>-2.9984456976359694E-2</c:v>
                </c:pt>
                <c:pt idx="3">
                  <c:v>0.10379668239454939</c:v>
                </c:pt>
                <c:pt idx="4">
                  <c:v>0.47664781901977055</c:v>
                </c:pt>
              </c:numCache>
            </c:numRef>
          </c:yVal>
          <c:smooth val="0"/>
        </c:ser>
        <c:dLbls>
          <c:showLegendKey val="0"/>
          <c:showVal val="0"/>
          <c:showCatName val="0"/>
          <c:showSerName val="0"/>
          <c:showPercent val="0"/>
          <c:showBubbleSize val="0"/>
        </c:dLbls>
        <c:axId val="108753280"/>
        <c:axId val="108755584"/>
      </c:scatterChart>
      <c:valAx>
        <c:axId val="108753280"/>
        <c:scaling>
          <c:orientation val="minMax"/>
          <c:max val="2017"/>
          <c:min val="201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55584"/>
        <c:crosses val="autoZero"/>
        <c:crossBetween val="midCat"/>
        <c:majorUnit val="1"/>
      </c:valAx>
      <c:valAx>
        <c:axId val="108755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53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Investment in Secondary Market over </a:t>
            </a:r>
            <a:r>
              <a:rPr lang="en-US"/>
              <a:t> Total Investment and Other Investment </a:t>
            </a:r>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1"/>
            </a:solidFill>
            <a:ln>
              <a:noFill/>
            </a:ln>
            <a:effectLst/>
          </c:spPr>
          <c:invertIfNegative val="0"/>
          <c:cat>
            <c:numRef>
              <c:f>Sheet1!$A$163:$A$167</c:f>
              <c:numCache>
                <c:formatCode>General</c:formatCode>
                <c:ptCount val="5"/>
                <c:pt idx="0">
                  <c:v>2013</c:v>
                </c:pt>
                <c:pt idx="1">
                  <c:v>2014</c:v>
                </c:pt>
                <c:pt idx="2">
                  <c:v>2015</c:v>
                </c:pt>
                <c:pt idx="3">
                  <c:v>2016</c:v>
                </c:pt>
                <c:pt idx="4">
                  <c:v>2017</c:v>
                </c:pt>
              </c:numCache>
            </c:numRef>
          </c:cat>
          <c:val>
            <c:numRef>
              <c:f>Sheet1!$C$163:$C$167</c:f>
              <c:numCache>
                <c:formatCode>0.00%</c:formatCode>
                <c:ptCount val="5"/>
                <c:pt idx="0">
                  <c:v>6.1596775063391729E-2</c:v>
                </c:pt>
                <c:pt idx="1">
                  <c:v>5.5228388847050336E-2</c:v>
                </c:pt>
                <c:pt idx="2">
                  <c:v>6.4729696384824037E-2</c:v>
                </c:pt>
                <c:pt idx="3">
                  <c:v>6.2842253209825796E-2</c:v>
                </c:pt>
                <c:pt idx="4">
                  <c:v>8.3584556042778937E-2</c:v>
                </c:pt>
              </c:numCache>
            </c:numRef>
          </c:val>
        </c:ser>
        <c:ser>
          <c:idx val="1"/>
          <c:order val="1"/>
          <c:tx>
            <c:v>Percentage of Other Investment</c:v>
          </c:tx>
          <c:spPr>
            <a:solidFill>
              <a:schemeClr val="accent2"/>
            </a:solidFill>
            <a:ln>
              <a:noFill/>
            </a:ln>
            <a:effectLst/>
          </c:spPr>
          <c:invertIfNegative val="0"/>
          <c:cat>
            <c:numRef>
              <c:f>Sheet1!$A$163:$A$167</c:f>
              <c:numCache>
                <c:formatCode>General</c:formatCode>
                <c:ptCount val="5"/>
                <c:pt idx="0">
                  <c:v>2013</c:v>
                </c:pt>
                <c:pt idx="1">
                  <c:v>2014</c:v>
                </c:pt>
                <c:pt idx="2">
                  <c:v>2015</c:v>
                </c:pt>
                <c:pt idx="3">
                  <c:v>2016</c:v>
                </c:pt>
                <c:pt idx="4">
                  <c:v>2017</c:v>
                </c:pt>
              </c:numCache>
            </c:numRef>
          </c:cat>
          <c:val>
            <c:numRef>
              <c:f>Sheet1!$D$163:$D$167</c:f>
              <c:numCache>
                <c:formatCode>0.00%</c:formatCode>
                <c:ptCount val="5"/>
                <c:pt idx="0">
                  <c:v>0.67852389222707865</c:v>
                </c:pt>
                <c:pt idx="1">
                  <c:v>0.39525777916329596</c:v>
                </c:pt>
                <c:pt idx="2">
                  <c:v>0.26674153770861159</c:v>
                </c:pt>
                <c:pt idx="3">
                  <c:v>0.2596567742062848</c:v>
                </c:pt>
                <c:pt idx="4">
                  <c:v>0.36146017411988862</c:v>
                </c:pt>
              </c:numCache>
            </c:numRef>
          </c:val>
        </c:ser>
        <c:dLbls>
          <c:showLegendKey val="0"/>
          <c:showVal val="0"/>
          <c:showCatName val="0"/>
          <c:showSerName val="0"/>
          <c:showPercent val="0"/>
          <c:showBubbleSize val="0"/>
        </c:dLbls>
        <c:gapWidth val="219"/>
        <c:overlap val="-27"/>
        <c:axId val="108793216"/>
        <c:axId val="108795392"/>
      </c:barChart>
      <c:catAx>
        <c:axId val="108793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95392"/>
        <c:crosses val="autoZero"/>
        <c:auto val="1"/>
        <c:lblAlgn val="ctr"/>
        <c:lblOffset val="100"/>
        <c:noMultiLvlLbl val="0"/>
      </c:catAx>
      <c:valAx>
        <c:axId val="108795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93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Preference Share</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Sheet1!$A$171:$A$175</c:f>
              <c:numCache>
                <c:formatCode>General</c:formatCode>
                <c:ptCount val="5"/>
                <c:pt idx="0">
                  <c:v>2013</c:v>
                </c:pt>
                <c:pt idx="1">
                  <c:v>2014</c:v>
                </c:pt>
                <c:pt idx="2">
                  <c:v>2015</c:v>
                </c:pt>
                <c:pt idx="3">
                  <c:v>2016</c:v>
                </c:pt>
                <c:pt idx="4">
                  <c:v>2017</c:v>
                </c:pt>
              </c:numCache>
            </c:numRef>
          </c:cat>
          <c:val>
            <c:numRef>
              <c:f>Sheet1!$B$171:$B$175</c:f>
              <c:numCache>
                <c:formatCode>0.00%</c:formatCode>
                <c:ptCount val="5"/>
                <c:pt idx="0">
                  <c:v>0</c:v>
                </c:pt>
                <c:pt idx="1">
                  <c:v>-0.37499790378659986</c:v>
                </c:pt>
                <c:pt idx="2">
                  <c:v>-4.1006268495527534E-2</c:v>
                </c:pt>
                <c:pt idx="3">
                  <c:v>-0.53368757533860112</c:v>
                </c:pt>
                <c:pt idx="4">
                  <c:v>-0.25</c:v>
                </c:pt>
              </c:numCache>
            </c:numRef>
          </c:val>
          <c:smooth val="0"/>
        </c:ser>
        <c:dLbls>
          <c:showLegendKey val="0"/>
          <c:showVal val="0"/>
          <c:showCatName val="0"/>
          <c:showSerName val="0"/>
          <c:showPercent val="0"/>
          <c:showBubbleSize val="0"/>
        </c:dLbls>
        <c:marker val="1"/>
        <c:smooth val="0"/>
        <c:axId val="108816256"/>
        <c:axId val="108834816"/>
      </c:lineChart>
      <c:catAx>
        <c:axId val="108816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34816"/>
        <c:crosses val="autoZero"/>
        <c:auto val="1"/>
        <c:lblAlgn val="ctr"/>
        <c:lblOffset val="100"/>
        <c:noMultiLvlLbl val="0"/>
      </c:catAx>
      <c:valAx>
        <c:axId val="108834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16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Preference Share over </a:t>
            </a:r>
            <a:r>
              <a:rPr lang="en-US"/>
              <a:t> Total</a:t>
            </a:r>
            <a:r>
              <a:rPr lang="en-US" baseline="0"/>
              <a:t> investment and Other Investment</a:t>
            </a:r>
            <a:endParaRPr lang="en-US"/>
          </a:p>
        </c:rich>
      </c:tx>
      <c:overlay val="0"/>
      <c:spPr>
        <a:noFill/>
        <a:ln>
          <a:noFill/>
        </a:ln>
        <a:effectLst/>
      </c:spPr>
    </c:title>
    <c:autoTitleDeleted val="0"/>
    <c:plotArea>
      <c:layout/>
      <c:barChart>
        <c:barDir val="bar"/>
        <c:grouping val="clustered"/>
        <c:varyColors val="0"/>
        <c:ser>
          <c:idx val="0"/>
          <c:order val="0"/>
          <c:tx>
            <c:v>Percentage of Total Investment</c:v>
          </c:tx>
          <c:spPr>
            <a:solidFill>
              <a:schemeClr val="accent1"/>
            </a:solidFill>
            <a:ln>
              <a:noFill/>
            </a:ln>
            <a:effectLst/>
          </c:spPr>
          <c:invertIfNegative val="0"/>
          <c:cat>
            <c:numRef>
              <c:f>Sheet1!$A$171:$A$175</c:f>
              <c:numCache>
                <c:formatCode>General</c:formatCode>
                <c:ptCount val="5"/>
                <c:pt idx="0">
                  <c:v>2013</c:v>
                </c:pt>
                <c:pt idx="1">
                  <c:v>2014</c:v>
                </c:pt>
                <c:pt idx="2">
                  <c:v>2015</c:v>
                </c:pt>
                <c:pt idx="3">
                  <c:v>2016</c:v>
                </c:pt>
                <c:pt idx="4">
                  <c:v>2017</c:v>
                </c:pt>
              </c:numCache>
            </c:numRef>
          </c:cat>
          <c:val>
            <c:numRef>
              <c:f>Sheet1!$C$171:$C$175</c:f>
              <c:numCache>
                <c:formatCode>0.00%</c:formatCode>
                <c:ptCount val="5"/>
                <c:pt idx="0">
                  <c:v>6.7194570334206507E-3</c:v>
                </c:pt>
                <c:pt idx="1">
                  <c:v>3.7427848779418922E-3</c:v>
                </c:pt>
                <c:pt idx="2">
                  <c:v>4.3368373776468102E-3</c:v>
                </c:pt>
                <c:pt idx="3">
                  <c:v>1.7787266762835925E-3</c:v>
                </c:pt>
                <c:pt idx="4">
                  <c:v>1.2016219287076021E-3</c:v>
                </c:pt>
              </c:numCache>
            </c:numRef>
          </c:val>
        </c:ser>
        <c:ser>
          <c:idx val="1"/>
          <c:order val="1"/>
          <c:tx>
            <c:v>Percentage of Other Securities</c:v>
          </c:tx>
          <c:spPr>
            <a:solidFill>
              <a:schemeClr val="accent2"/>
            </a:solidFill>
            <a:ln>
              <a:noFill/>
            </a:ln>
            <a:effectLst/>
          </c:spPr>
          <c:invertIfNegative val="0"/>
          <c:cat>
            <c:numRef>
              <c:f>Sheet1!$A$171:$A$175</c:f>
              <c:numCache>
                <c:formatCode>General</c:formatCode>
                <c:ptCount val="5"/>
                <c:pt idx="0">
                  <c:v>2013</c:v>
                </c:pt>
                <c:pt idx="1">
                  <c:v>2014</c:v>
                </c:pt>
                <c:pt idx="2">
                  <c:v>2015</c:v>
                </c:pt>
                <c:pt idx="3">
                  <c:v>2016</c:v>
                </c:pt>
                <c:pt idx="4">
                  <c:v>2017</c:v>
                </c:pt>
              </c:numCache>
            </c:numRef>
          </c:cat>
          <c:val>
            <c:numRef>
              <c:f>Sheet1!$D$171:$D$175</c:f>
              <c:numCache>
                <c:formatCode>0.00%</c:formatCode>
                <c:ptCount val="5"/>
                <c:pt idx="0">
                  <c:v>7.4018682557277171E-2</c:v>
                </c:pt>
                <c:pt idx="1">
                  <c:v>2.6786311707159113E-2</c:v>
                </c:pt>
                <c:pt idx="2">
                  <c:v>1.787146758774091E-2</c:v>
                </c:pt>
                <c:pt idx="3">
                  <c:v>7.3494887176682221E-3</c:v>
                </c:pt>
                <c:pt idx="4">
                  <c:v>5.1963962260519738E-3</c:v>
                </c:pt>
              </c:numCache>
            </c:numRef>
          </c:val>
        </c:ser>
        <c:dLbls>
          <c:showLegendKey val="0"/>
          <c:showVal val="0"/>
          <c:showCatName val="0"/>
          <c:showSerName val="0"/>
          <c:showPercent val="0"/>
          <c:showBubbleSize val="0"/>
        </c:dLbls>
        <c:gapWidth val="182"/>
        <c:axId val="109155072"/>
        <c:axId val="109156992"/>
      </c:barChart>
      <c:catAx>
        <c:axId val="1091550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56992"/>
        <c:crosses val="autoZero"/>
        <c:auto val="1"/>
        <c:lblAlgn val="ctr"/>
        <c:lblOffset val="100"/>
        <c:noMultiLvlLbl val="0"/>
      </c:catAx>
      <c:valAx>
        <c:axId val="109156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5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Bond</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Sheet1!$A$178:$A$182</c:f>
              <c:numCache>
                <c:formatCode>General</c:formatCode>
                <c:ptCount val="5"/>
                <c:pt idx="0">
                  <c:v>2013</c:v>
                </c:pt>
                <c:pt idx="1">
                  <c:v>2014</c:v>
                </c:pt>
                <c:pt idx="2">
                  <c:v>2015</c:v>
                </c:pt>
                <c:pt idx="3">
                  <c:v>2016</c:v>
                </c:pt>
                <c:pt idx="4">
                  <c:v>2017</c:v>
                </c:pt>
              </c:numCache>
            </c:numRef>
          </c:cat>
          <c:val>
            <c:numRef>
              <c:f>Sheet1!$B$178:$B$182</c:f>
              <c:numCache>
                <c:formatCode>0.00%</c:formatCode>
                <c:ptCount val="5"/>
                <c:pt idx="0">
                  <c:v>0</c:v>
                </c:pt>
                <c:pt idx="1">
                  <c:v>3.3534883720930231</c:v>
                </c:pt>
                <c:pt idx="2">
                  <c:v>0.57371794871794868</c:v>
                </c:pt>
                <c:pt idx="3">
                  <c:v>-8.8255261371350986E-3</c:v>
                </c:pt>
                <c:pt idx="4">
                  <c:v>2.2945205479452054E-2</c:v>
                </c:pt>
              </c:numCache>
            </c:numRef>
          </c:val>
          <c:smooth val="0"/>
        </c:ser>
        <c:dLbls>
          <c:showLegendKey val="0"/>
          <c:showVal val="0"/>
          <c:showCatName val="0"/>
          <c:showSerName val="0"/>
          <c:showPercent val="0"/>
          <c:showBubbleSize val="0"/>
        </c:dLbls>
        <c:marker val="1"/>
        <c:smooth val="0"/>
        <c:axId val="108944384"/>
        <c:axId val="108950656"/>
      </c:lineChart>
      <c:catAx>
        <c:axId val="108944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950656"/>
        <c:crosses val="autoZero"/>
        <c:auto val="1"/>
        <c:lblAlgn val="ctr"/>
        <c:lblOffset val="100"/>
        <c:noMultiLvlLbl val="0"/>
      </c:catAx>
      <c:valAx>
        <c:axId val="108950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944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a:t>
            </a:r>
            <a:r>
              <a:rPr lang="en-US" sz="1400" b="0" i="0" u="none" strike="noStrike" baseline="0">
                <a:effectLst/>
              </a:rPr>
              <a:t>of Bond over </a:t>
            </a:r>
            <a:r>
              <a:rPr lang="en-US"/>
              <a:t>Total Investment and Other Investment</a:t>
            </a:r>
          </a:p>
        </c:rich>
      </c:tx>
      <c:overlay val="0"/>
      <c:spPr>
        <a:noFill/>
        <a:ln>
          <a:noFill/>
        </a:ln>
        <a:effectLst/>
      </c:spPr>
    </c:title>
    <c:autoTitleDeleted val="0"/>
    <c:plotArea>
      <c:layout/>
      <c:barChart>
        <c:barDir val="col"/>
        <c:grouping val="clustered"/>
        <c:varyColors val="0"/>
        <c:ser>
          <c:idx val="0"/>
          <c:order val="0"/>
          <c:tx>
            <c:v>Percentage of Total Investment</c:v>
          </c:tx>
          <c:spPr>
            <a:solidFill>
              <a:schemeClr val="accent1"/>
            </a:solidFill>
            <a:ln>
              <a:noFill/>
            </a:ln>
            <a:effectLst/>
          </c:spPr>
          <c:invertIfNegative val="0"/>
          <c:cat>
            <c:numRef>
              <c:f>Sheet1!$A$178:$A$182</c:f>
              <c:numCache>
                <c:formatCode>General</c:formatCode>
                <c:ptCount val="5"/>
                <c:pt idx="0">
                  <c:v>2013</c:v>
                </c:pt>
                <c:pt idx="1">
                  <c:v>2014</c:v>
                </c:pt>
                <c:pt idx="2">
                  <c:v>2015</c:v>
                </c:pt>
                <c:pt idx="3">
                  <c:v>2016</c:v>
                </c:pt>
                <c:pt idx="4">
                  <c:v>2017</c:v>
                </c:pt>
              </c:numCache>
            </c:numRef>
          </c:cat>
          <c:val>
            <c:numRef>
              <c:f>Sheet1!$C$178:$C$182</c:f>
              <c:numCache>
                <c:formatCode>0.00%</c:formatCode>
                <c:ptCount val="5"/>
                <c:pt idx="0">
                  <c:v>2.0189096087423836E-2</c:v>
                </c:pt>
                <c:pt idx="1">
                  <c:v>7.8330964618353177E-2</c:v>
                </c:pt>
                <c:pt idx="2">
                  <c:v>0.14894395291349091</c:v>
                </c:pt>
                <c:pt idx="3">
                  <c:v>0.12984704736870226</c:v>
                </c:pt>
                <c:pt idx="4">
                  <c:v>0.11964149003498692</c:v>
                </c:pt>
              </c:numCache>
            </c:numRef>
          </c:val>
        </c:ser>
        <c:ser>
          <c:idx val="1"/>
          <c:order val="1"/>
          <c:tx>
            <c:v>Percentage of Other investment</c:v>
          </c:tx>
          <c:spPr>
            <a:solidFill>
              <a:schemeClr val="accent2"/>
            </a:solidFill>
            <a:ln>
              <a:noFill/>
            </a:ln>
            <a:effectLst/>
          </c:spPr>
          <c:invertIfNegative val="0"/>
          <c:cat>
            <c:numRef>
              <c:f>Sheet1!$A$178:$A$182</c:f>
              <c:numCache>
                <c:formatCode>General</c:formatCode>
                <c:ptCount val="5"/>
                <c:pt idx="0">
                  <c:v>2013</c:v>
                </c:pt>
                <c:pt idx="1">
                  <c:v>2014</c:v>
                </c:pt>
                <c:pt idx="2">
                  <c:v>2015</c:v>
                </c:pt>
                <c:pt idx="3">
                  <c:v>2016</c:v>
                </c:pt>
                <c:pt idx="4">
                  <c:v>2017</c:v>
                </c:pt>
              </c:numCache>
            </c:numRef>
          </c:cat>
          <c:val>
            <c:numRef>
              <c:f>Sheet1!$D$178:$D$182</c:f>
              <c:numCache>
                <c:formatCode>0.00%</c:formatCode>
                <c:ptCount val="5"/>
                <c:pt idx="0">
                  <c:v>0.22239450107067021</c:v>
                </c:pt>
                <c:pt idx="1">
                  <c:v>0.56059797798035105</c:v>
                </c:pt>
                <c:pt idx="2">
                  <c:v>0.61377607576509885</c:v>
                </c:pt>
                <c:pt idx="3">
                  <c:v>0.53651267638978017</c:v>
                </c:pt>
                <c:pt idx="4">
                  <c:v>0.5173878509072416</c:v>
                </c:pt>
              </c:numCache>
            </c:numRef>
          </c:val>
        </c:ser>
        <c:dLbls>
          <c:showLegendKey val="0"/>
          <c:showVal val="0"/>
          <c:showCatName val="0"/>
          <c:showSerName val="0"/>
          <c:showPercent val="0"/>
          <c:showBubbleSize val="0"/>
        </c:dLbls>
        <c:gapWidth val="219"/>
        <c:overlap val="-27"/>
        <c:axId val="109176704"/>
        <c:axId val="109260800"/>
      </c:barChart>
      <c:catAx>
        <c:axId val="109176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60800"/>
        <c:crosses val="autoZero"/>
        <c:auto val="1"/>
        <c:lblAlgn val="ctr"/>
        <c:lblOffset val="100"/>
        <c:noMultiLvlLbl val="0"/>
      </c:catAx>
      <c:valAx>
        <c:axId val="109260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7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Upto 1 Month</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cat>
            <c:numRef>
              <c:f>Sheet1!$A$186:$A$190</c:f>
              <c:numCache>
                <c:formatCode>General</c:formatCode>
                <c:ptCount val="5"/>
                <c:pt idx="0">
                  <c:v>2013</c:v>
                </c:pt>
                <c:pt idx="1">
                  <c:v>2014</c:v>
                </c:pt>
                <c:pt idx="2">
                  <c:v>2015</c:v>
                </c:pt>
                <c:pt idx="3">
                  <c:v>2016</c:v>
                </c:pt>
                <c:pt idx="4">
                  <c:v>2017</c:v>
                </c:pt>
              </c:numCache>
            </c:numRef>
          </c:cat>
          <c:val>
            <c:numRef>
              <c:f>Sheet1!$B$186:$B$190</c:f>
              <c:numCache>
                <c:formatCode>0.00%</c:formatCode>
                <c:ptCount val="5"/>
                <c:pt idx="0">
                  <c:v>-0.56131475801420683</c:v>
                </c:pt>
                <c:pt idx="1">
                  <c:v>-7.7358639140815019E-2</c:v>
                </c:pt>
                <c:pt idx="2">
                  <c:v>-0.11275517323026216</c:v>
                </c:pt>
                <c:pt idx="3">
                  <c:v>0.4449104319940731</c:v>
                </c:pt>
                <c:pt idx="4">
                  <c:v>6.1952317629548621E-2</c:v>
                </c:pt>
              </c:numCache>
            </c:numRef>
          </c:val>
        </c:ser>
        <c:dLbls>
          <c:showLegendKey val="0"/>
          <c:showVal val="0"/>
          <c:showCatName val="0"/>
          <c:showSerName val="0"/>
          <c:showPercent val="0"/>
          <c:showBubbleSize val="0"/>
        </c:dLbls>
        <c:gapWidth val="182"/>
        <c:axId val="109307392"/>
        <c:axId val="109309312"/>
      </c:barChart>
      <c:catAx>
        <c:axId val="1093073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crossAx val="109309312"/>
        <c:crosses val="autoZero"/>
        <c:auto val="1"/>
        <c:lblAlgn val="ctr"/>
        <c:lblOffset val="100"/>
        <c:noMultiLvlLbl val="0"/>
      </c:catAx>
      <c:valAx>
        <c:axId val="1093093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307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more than 1 month to 3 months</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Sheet1!$A$194:$A$198</c:f>
              <c:numCache>
                <c:formatCode>General</c:formatCode>
                <c:ptCount val="5"/>
                <c:pt idx="0">
                  <c:v>2013</c:v>
                </c:pt>
                <c:pt idx="1">
                  <c:v>2014</c:v>
                </c:pt>
                <c:pt idx="2">
                  <c:v>2015</c:v>
                </c:pt>
                <c:pt idx="3">
                  <c:v>2016</c:v>
                </c:pt>
                <c:pt idx="4">
                  <c:v>2017</c:v>
                </c:pt>
              </c:numCache>
            </c:numRef>
          </c:cat>
          <c:val>
            <c:numRef>
              <c:f>Sheet1!$B$194:$B$198</c:f>
              <c:numCache>
                <c:formatCode>0.00%</c:formatCode>
                <c:ptCount val="5"/>
                <c:pt idx="0">
                  <c:v>-0.12567721008251354</c:v>
                </c:pt>
                <c:pt idx="1">
                  <c:v>-0.94135381783728433</c:v>
                </c:pt>
                <c:pt idx="2">
                  <c:v>-1</c:v>
                </c:pt>
                <c:pt idx="3">
                  <c:v>0</c:v>
                </c:pt>
                <c:pt idx="4">
                  <c:v>0.33443207140893316</c:v>
                </c:pt>
              </c:numCache>
            </c:numRef>
          </c:val>
          <c:smooth val="0"/>
        </c:ser>
        <c:dLbls>
          <c:showLegendKey val="0"/>
          <c:showVal val="0"/>
          <c:showCatName val="0"/>
          <c:showSerName val="0"/>
          <c:showPercent val="0"/>
          <c:showBubbleSize val="0"/>
        </c:dLbls>
        <c:marker val="1"/>
        <c:smooth val="0"/>
        <c:axId val="100547968"/>
        <c:axId val="100562432"/>
      </c:lineChart>
      <c:catAx>
        <c:axId val="100547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62432"/>
        <c:crosses val="autoZero"/>
        <c:auto val="1"/>
        <c:lblAlgn val="ctr"/>
        <c:lblOffset val="100"/>
        <c:noMultiLvlLbl val="0"/>
      </c:catAx>
      <c:valAx>
        <c:axId val="100562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47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more than 3 months to 1 year</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Sheet1!$A$202:$A$206</c:f>
              <c:numCache>
                <c:formatCode>General</c:formatCode>
                <c:ptCount val="5"/>
                <c:pt idx="0">
                  <c:v>2013</c:v>
                </c:pt>
                <c:pt idx="1">
                  <c:v>2014</c:v>
                </c:pt>
                <c:pt idx="2">
                  <c:v>2015</c:v>
                </c:pt>
                <c:pt idx="3">
                  <c:v>2016</c:v>
                </c:pt>
                <c:pt idx="4">
                  <c:v>2017</c:v>
                </c:pt>
              </c:numCache>
            </c:numRef>
          </c:cat>
          <c:val>
            <c:numRef>
              <c:f>Sheet1!$B$202:$B$206</c:f>
              <c:numCache>
                <c:formatCode>0.00%</c:formatCode>
                <c:ptCount val="5"/>
                <c:pt idx="0">
                  <c:v>-0.15448492839010886</c:v>
                </c:pt>
                <c:pt idx="1">
                  <c:v>-0.29252122161093963</c:v>
                </c:pt>
                <c:pt idx="2">
                  <c:v>-0.10314681642811313</c:v>
                </c:pt>
                <c:pt idx="3">
                  <c:v>-0.4227244716132752</c:v>
                </c:pt>
                <c:pt idx="4">
                  <c:v>-1.2295207451387156E-2</c:v>
                </c:pt>
              </c:numCache>
            </c:numRef>
          </c:val>
        </c:ser>
        <c:dLbls>
          <c:showLegendKey val="0"/>
          <c:showVal val="0"/>
          <c:showCatName val="0"/>
          <c:showSerName val="0"/>
          <c:showPercent val="0"/>
          <c:showBubbleSize val="0"/>
        </c:dLbls>
        <c:gapWidth val="219"/>
        <c:overlap val="-27"/>
        <c:axId val="107550208"/>
        <c:axId val="107552128"/>
      </c:barChart>
      <c:catAx>
        <c:axId val="1075502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crossAx val="107552128"/>
        <c:crosses val="autoZero"/>
        <c:auto val="1"/>
        <c:lblAlgn val="ctr"/>
        <c:lblOffset val="100"/>
        <c:noMultiLvlLbl val="0"/>
      </c:catAx>
      <c:valAx>
        <c:axId val="107552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5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More than 1 year to 5 years </a:t>
            </a:r>
          </a:p>
        </c:rich>
      </c:tx>
      <c:overlay val="0"/>
      <c:spPr>
        <a:noFill/>
        <a:ln>
          <a:noFill/>
        </a:ln>
        <a:effectLst/>
      </c:spPr>
    </c:title>
    <c:autoTitleDeleted val="0"/>
    <c:plotArea>
      <c:layout>
        <c:manualLayout>
          <c:layoutTarget val="inner"/>
          <c:xMode val="edge"/>
          <c:yMode val="edge"/>
          <c:x val="7.1805555555555553E-2"/>
          <c:y val="0.25083333333333335"/>
          <c:w val="0.86021522309711285"/>
          <c:h val="0.64176727909011377"/>
        </c:manualLayout>
      </c:layout>
      <c:barChart>
        <c:barDir val="bar"/>
        <c:grouping val="clustered"/>
        <c:varyColors val="0"/>
        <c:ser>
          <c:idx val="0"/>
          <c:order val="0"/>
          <c:spPr>
            <a:solidFill>
              <a:schemeClr val="accent1"/>
            </a:solidFill>
            <a:ln>
              <a:noFill/>
            </a:ln>
            <a:effectLst/>
          </c:spPr>
          <c:invertIfNegative val="0"/>
          <c:cat>
            <c:numRef>
              <c:f>Sheet1!$A$210:$A$214</c:f>
              <c:numCache>
                <c:formatCode>General</c:formatCode>
                <c:ptCount val="5"/>
                <c:pt idx="0">
                  <c:v>2013</c:v>
                </c:pt>
                <c:pt idx="1">
                  <c:v>2014</c:v>
                </c:pt>
                <c:pt idx="2">
                  <c:v>2015</c:v>
                </c:pt>
                <c:pt idx="3">
                  <c:v>2016</c:v>
                </c:pt>
                <c:pt idx="4">
                  <c:v>2017</c:v>
                </c:pt>
              </c:numCache>
            </c:numRef>
          </c:cat>
          <c:val>
            <c:numRef>
              <c:f>Sheet1!$B$210:$B$214</c:f>
              <c:numCache>
                <c:formatCode>0.00%</c:formatCode>
                <c:ptCount val="5"/>
                <c:pt idx="0">
                  <c:v>0.31504430150359575</c:v>
                </c:pt>
                <c:pt idx="1">
                  <c:v>0.2140881255437701</c:v>
                </c:pt>
                <c:pt idx="2">
                  <c:v>-0.53796876082024458</c:v>
                </c:pt>
                <c:pt idx="3">
                  <c:v>0.61791223598418976</c:v>
                </c:pt>
                <c:pt idx="4">
                  <c:v>0.51915477550110223</c:v>
                </c:pt>
              </c:numCache>
            </c:numRef>
          </c:val>
        </c:ser>
        <c:dLbls>
          <c:showLegendKey val="0"/>
          <c:showVal val="0"/>
          <c:showCatName val="0"/>
          <c:showSerName val="0"/>
          <c:showPercent val="0"/>
          <c:showBubbleSize val="0"/>
        </c:dLbls>
        <c:gapWidth val="182"/>
        <c:axId val="107572608"/>
        <c:axId val="109512192"/>
      </c:barChart>
      <c:catAx>
        <c:axId val="10757260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512192"/>
        <c:crosses val="autoZero"/>
        <c:auto val="1"/>
        <c:lblAlgn val="ctr"/>
        <c:lblOffset val="100"/>
        <c:noMultiLvlLbl val="0"/>
      </c:catAx>
      <c:valAx>
        <c:axId val="109512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0.38815616797900265"/>
              <c:y val="0.93950979420466507"/>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72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a:t>
            </a:r>
            <a:r>
              <a:rPr lang="en-US" baseline="0"/>
              <a:t> More than 5 years</a:t>
            </a:r>
            <a:endParaRPr lang="en-US"/>
          </a:p>
        </c:rich>
      </c:tx>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cat>
            <c:numRef>
              <c:f>Sheet1!$A$218:$A$222</c:f>
              <c:numCache>
                <c:formatCode>General</c:formatCode>
                <c:ptCount val="5"/>
                <c:pt idx="0">
                  <c:v>2013</c:v>
                </c:pt>
                <c:pt idx="1">
                  <c:v>2014</c:v>
                </c:pt>
                <c:pt idx="2">
                  <c:v>2015</c:v>
                </c:pt>
                <c:pt idx="3">
                  <c:v>2016</c:v>
                </c:pt>
                <c:pt idx="4">
                  <c:v>2017</c:v>
                </c:pt>
              </c:numCache>
            </c:numRef>
          </c:cat>
          <c:val>
            <c:numRef>
              <c:f>Sheet1!$B$218:$B$222</c:f>
              <c:numCache>
                <c:formatCode>0.00%</c:formatCode>
                <c:ptCount val="5"/>
                <c:pt idx="0">
                  <c:v>0.10473369326563664</c:v>
                </c:pt>
                <c:pt idx="1">
                  <c:v>0.53761335213263128</c:v>
                </c:pt>
                <c:pt idx="2">
                  <c:v>4.8196995751147893E-2</c:v>
                </c:pt>
                <c:pt idx="3">
                  <c:v>-6.3261250642946076E-2</c:v>
                </c:pt>
                <c:pt idx="4">
                  <c:v>-8.1321748456257739E-2</c:v>
                </c:pt>
              </c:numCache>
            </c:numRef>
          </c:val>
        </c:ser>
        <c:dLbls>
          <c:showLegendKey val="0"/>
          <c:showVal val="0"/>
          <c:showCatName val="0"/>
          <c:showSerName val="0"/>
          <c:showPercent val="0"/>
          <c:showBubbleSize val="0"/>
        </c:dLbls>
        <c:gapWidth val="219"/>
        <c:overlap val="-27"/>
        <c:axId val="109536768"/>
        <c:axId val="109538688"/>
      </c:barChart>
      <c:catAx>
        <c:axId val="1095367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538688"/>
        <c:crosses val="autoZero"/>
        <c:auto val="1"/>
        <c:lblAlgn val="ctr"/>
        <c:lblOffset val="100"/>
        <c:noMultiLvlLbl val="0"/>
      </c:catAx>
      <c:valAx>
        <c:axId val="109538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536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in Subsidiary</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Sheet1!$A$226:$A$230</c:f>
              <c:numCache>
                <c:formatCode>General</c:formatCode>
                <c:ptCount val="5"/>
                <c:pt idx="0">
                  <c:v>2013</c:v>
                </c:pt>
                <c:pt idx="1">
                  <c:v>2014</c:v>
                </c:pt>
                <c:pt idx="2">
                  <c:v>2015</c:v>
                </c:pt>
                <c:pt idx="3">
                  <c:v>2016</c:v>
                </c:pt>
                <c:pt idx="4">
                  <c:v>2017</c:v>
                </c:pt>
              </c:numCache>
            </c:numRef>
          </c:cat>
          <c:val>
            <c:numRef>
              <c:f>Sheet1!$B$226:$B$230</c:f>
              <c:numCache>
                <c:formatCode>0.00%</c:formatCode>
                <c:ptCount val="5"/>
                <c:pt idx="0">
                  <c:v>8.5353283391018442E-2</c:v>
                </c:pt>
                <c:pt idx="1">
                  <c:v>0</c:v>
                </c:pt>
                <c:pt idx="2">
                  <c:v>0</c:v>
                </c:pt>
                <c:pt idx="3">
                  <c:v>0.84875263783208066</c:v>
                </c:pt>
                <c:pt idx="4">
                  <c:v>2.4143570087140853E-2</c:v>
                </c:pt>
              </c:numCache>
            </c:numRef>
          </c:val>
        </c:ser>
        <c:dLbls>
          <c:showLegendKey val="0"/>
          <c:showVal val="0"/>
          <c:showCatName val="0"/>
          <c:showSerName val="0"/>
          <c:showPercent val="0"/>
          <c:showBubbleSize val="0"/>
        </c:dLbls>
        <c:gapWidth val="219"/>
        <c:overlap val="-27"/>
        <c:axId val="109941888"/>
        <c:axId val="109943808"/>
      </c:barChart>
      <c:catAx>
        <c:axId val="1099418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43808"/>
        <c:crosses val="autoZero"/>
        <c:auto val="1"/>
        <c:lblAlgn val="ctr"/>
        <c:lblOffset val="100"/>
        <c:noMultiLvlLbl val="0"/>
      </c:catAx>
      <c:valAx>
        <c:axId val="109943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4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BRAC EPL Investments Ltd.</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Sheet1!$A$233:$A$237</c:f>
              <c:numCache>
                <c:formatCode>General</c:formatCode>
                <c:ptCount val="5"/>
                <c:pt idx="0">
                  <c:v>2013</c:v>
                </c:pt>
                <c:pt idx="1">
                  <c:v>2014</c:v>
                </c:pt>
                <c:pt idx="2">
                  <c:v>2015</c:v>
                </c:pt>
                <c:pt idx="3">
                  <c:v>2016</c:v>
                </c:pt>
                <c:pt idx="4">
                  <c:v>2017</c:v>
                </c:pt>
              </c:numCache>
            </c:numRef>
          </c:cat>
          <c:val>
            <c:numRef>
              <c:f>Sheet1!$B$233:$B$237</c:f>
              <c:numCache>
                <c:formatCode>0.00%</c:formatCode>
                <c:ptCount val="5"/>
                <c:pt idx="0">
                  <c:v>0</c:v>
                </c:pt>
                <c:pt idx="1">
                  <c:v>0</c:v>
                </c:pt>
                <c:pt idx="2">
                  <c:v>0</c:v>
                </c:pt>
                <c:pt idx="3">
                  <c:v>2.6570436224963814</c:v>
                </c:pt>
                <c:pt idx="4">
                  <c:v>4.9552163981158595E-2</c:v>
                </c:pt>
              </c:numCache>
            </c:numRef>
          </c:val>
        </c:ser>
        <c:dLbls>
          <c:showLegendKey val="0"/>
          <c:showVal val="0"/>
          <c:showCatName val="0"/>
          <c:showSerName val="0"/>
          <c:showPercent val="0"/>
          <c:showBubbleSize val="0"/>
        </c:dLbls>
        <c:gapWidth val="219"/>
        <c:overlap val="-27"/>
        <c:axId val="106527744"/>
        <c:axId val="106529920"/>
      </c:barChart>
      <c:catAx>
        <c:axId val="1065277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529920"/>
        <c:crosses val="autoZero"/>
        <c:auto val="1"/>
        <c:lblAlgn val="ctr"/>
        <c:lblOffset val="100"/>
        <c:noMultiLvlLbl val="0"/>
      </c:catAx>
      <c:valAx>
        <c:axId val="106529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527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BRAC EPL Stock</a:t>
            </a:r>
            <a:r>
              <a:rPr lang="en-US" baseline="0"/>
              <a:t> Brokerage Ltd. over Total Investment</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Sheet1!$A$240:$A$244</c:f>
              <c:numCache>
                <c:formatCode>General</c:formatCode>
                <c:ptCount val="5"/>
                <c:pt idx="0">
                  <c:v>2013</c:v>
                </c:pt>
                <c:pt idx="1">
                  <c:v>2014</c:v>
                </c:pt>
                <c:pt idx="2">
                  <c:v>2015</c:v>
                </c:pt>
                <c:pt idx="3">
                  <c:v>2016</c:v>
                </c:pt>
                <c:pt idx="4">
                  <c:v>2017</c:v>
                </c:pt>
              </c:numCache>
            </c:numRef>
          </c:cat>
          <c:val>
            <c:numRef>
              <c:f>Sheet1!$F$240:$F$244</c:f>
              <c:numCache>
                <c:formatCode>0.00%</c:formatCode>
                <c:ptCount val="5"/>
                <c:pt idx="0">
                  <c:v>6.3109588449233783E-2</c:v>
                </c:pt>
                <c:pt idx="1">
                  <c:v>5.6243787534373868E-2</c:v>
                </c:pt>
                <c:pt idx="2">
                  <c:v>6.795744804778904E-2</c:v>
                </c:pt>
                <c:pt idx="3">
                  <c:v>5.9771775377747506E-2</c:v>
                </c:pt>
                <c:pt idx="4">
                  <c:v>5.3838570380583387E-2</c:v>
                </c:pt>
              </c:numCache>
            </c:numRef>
          </c:val>
        </c:ser>
        <c:dLbls>
          <c:showLegendKey val="0"/>
          <c:showVal val="0"/>
          <c:showCatName val="0"/>
          <c:showSerName val="0"/>
          <c:showPercent val="0"/>
          <c:showBubbleSize val="0"/>
        </c:dLbls>
        <c:gapWidth val="219"/>
        <c:overlap val="-27"/>
        <c:axId val="109057152"/>
        <c:axId val="109059072"/>
      </c:barChart>
      <c:catAx>
        <c:axId val="109057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59072"/>
        <c:crosses val="autoZero"/>
        <c:auto val="1"/>
        <c:lblAlgn val="ctr"/>
        <c:lblOffset val="100"/>
        <c:noMultiLvlLbl val="0"/>
      </c:catAx>
      <c:valAx>
        <c:axId val="109059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57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Percentage of B-kash Ltd. over Total Investment</a:t>
            </a:r>
            <a:endParaRPr lang="en-US" sz="1400">
              <a:effectLst/>
            </a:endParaRPr>
          </a:p>
        </c:rich>
      </c:tx>
      <c:overlay val="0"/>
      <c:spPr>
        <a:noFill/>
        <a:ln>
          <a:noFill/>
        </a:ln>
        <a:effectLst/>
      </c:spPr>
    </c:title>
    <c:autoTitleDeleted val="0"/>
    <c:plotArea>
      <c:layout/>
      <c:barChart>
        <c:barDir val="bar"/>
        <c:grouping val="clustered"/>
        <c:varyColors val="0"/>
        <c:ser>
          <c:idx val="0"/>
          <c:order val="0"/>
          <c:spPr>
            <a:solidFill>
              <a:schemeClr val="accent6"/>
            </a:solidFill>
            <a:ln>
              <a:noFill/>
            </a:ln>
            <a:effectLst/>
          </c:spPr>
          <c:invertIfNegative val="0"/>
          <c:cat>
            <c:numRef>
              <c:f>Sheet1!$A$248:$A$252</c:f>
              <c:numCache>
                <c:formatCode>General</c:formatCode>
                <c:ptCount val="5"/>
                <c:pt idx="0">
                  <c:v>2013</c:v>
                </c:pt>
                <c:pt idx="1">
                  <c:v>2014</c:v>
                </c:pt>
                <c:pt idx="2">
                  <c:v>2015</c:v>
                </c:pt>
                <c:pt idx="3">
                  <c:v>2016</c:v>
                </c:pt>
                <c:pt idx="4">
                  <c:v>2017</c:v>
                </c:pt>
              </c:numCache>
            </c:numRef>
          </c:cat>
          <c:val>
            <c:numRef>
              <c:f>Sheet1!$F$248:$F$252</c:f>
              <c:numCache>
                <c:formatCode>0.00%</c:formatCode>
                <c:ptCount val="5"/>
                <c:pt idx="0">
                  <c:v>7.9311126778153287E-3</c:v>
                </c:pt>
                <c:pt idx="1">
                  <c:v>7.0682732580494298E-3</c:v>
                </c:pt>
                <c:pt idx="2">
                  <c:v>8.540353233286533E-3</c:v>
                </c:pt>
                <c:pt idx="3">
                  <c:v>7.5116427966460441E-3</c:v>
                </c:pt>
                <c:pt idx="4">
                  <c:v>6.7660046372253271E-3</c:v>
                </c:pt>
              </c:numCache>
            </c:numRef>
          </c:val>
        </c:ser>
        <c:dLbls>
          <c:showLegendKey val="0"/>
          <c:showVal val="0"/>
          <c:showCatName val="0"/>
          <c:showSerName val="0"/>
          <c:showPercent val="0"/>
          <c:showBubbleSize val="0"/>
        </c:dLbls>
        <c:gapWidth val="182"/>
        <c:axId val="109083648"/>
        <c:axId val="109102208"/>
      </c:barChart>
      <c:catAx>
        <c:axId val="1090836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02208"/>
        <c:crosses val="autoZero"/>
        <c:auto val="1"/>
        <c:lblAlgn val="ctr"/>
        <c:lblOffset val="100"/>
        <c:noMultiLvlLbl val="0"/>
      </c:catAx>
      <c:valAx>
        <c:axId val="109102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83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Percentage of BRAC Saajan Exchange Ltd. over Total Investment</a:t>
            </a:r>
            <a:endParaRPr lang="en-US" sz="1400">
              <a:effectLst/>
            </a:endParaRP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Sheet1!$A$255:$A$259</c:f>
              <c:numCache>
                <c:formatCode>General</c:formatCode>
                <c:ptCount val="5"/>
                <c:pt idx="0">
                  <c:v>2013</c:v>
                </c:pt>
                <c:pt idx="1">
                  <c:v>2014</c:v>
                </c:pt>
                <c:pt idx="2">
                  <c:v>2015</c:v>
                </c:pt>
                <c:pt idx="3">
                  <c:v>2016</c:v>
                </c:pt>
                <c:pt idx="4">
                  <c:v>2017</c:v>
                </c:pt>
              </c:numCache>
            </c:numRef>
          </c:cat>
          <c:val>
            <c:numRef>
              <c:f>Sheet1!$F$255:$F$259</c:f>
              <c:numCache>
                <c:formatCode>0.00%</c:formatCode>
                <c:ptCount val="5"/>
                <c:pt idx="0">
                  <c:v>2.7883738577905793E-3</c:v>
                </c:pt>
                <c:pt idx="1">
                  <c:v>2.4850218592398351E-3</c:v>
                </c:pt>
                <c:pt idx="2">
                  <c:v>3.0025670620724356E-3</c:v>
                </c:pt>
                <c:pt idx="3">
                  <c:v>2.6408991088748774E-3</c:v>
                </c:pt>
                <c:pt idx="4">
                  <c:v>2.3787520387777072E-3</c:v>
                </c:pt>
              </c:numCache>
            </c:numRef>
          </c:val>
          <c:smooth val="0"/>
        </c:ser>
        <c:dLbls>
          <c:showLegendKey val="0"/>
          <c:showVal val="0"/>
          <c:showCatName val="0"/>
          <c:showSerName val="0"/>
          <c:showPercent val="0"/>
          <c:showBubbleSize val="0"/>
        </c:dLbls>
        <c:marker val="1"/>
        <c:smooth val="0"/>
        <c:axId val="109995136"/>
        <c:axId val="109997056"/>
      </c:lineChart>
      <c:catAx>
        <c:axId val="109995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97056"/>
        <c:crosses val="autoZero"/>
        <c:auto val="1"/>
        <c:lblAlgn val="ctr"/>
        <c:lblOffset val="100"/>
        <c:noMultiLvlLbl val="0"/>
      </c:catAx>
      <c:valAx>
        <c:axId val="109997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95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Percentage of BRAC IT Services Ltd. over Total Investment</a:t>
            </a:r>
            <a:endParaRPr lang="en-US" sz="1400">
              <a:effectLst/>
            </a:endParaRP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Sheet1!$A$263:$A$267</c:f>
              <c:numCache>
                <c:formatCode>General</c:formatCode>
                <c:ptCount val="5"/>
                <c:pt idx="0">
                  <c:v>2013</c:v>
                </c:pt>
                <c:pt idx="1">
                  <c:v>2014</c:v>
                </c:pt>
                <c:pt idx="2">
                  <c:v>2015</c:v>
                </c:pt>
                <c:pt idx="3">
                  <c:v>2016</c:v>
                </c:pt>
                <c:pt idx="4">
                  <c:v>2017</c:v>
                </c:pt>
              </c:numCache>
            </c:numRef>
          </c:cat>
          <c:val>
            <c:numRef>
              <c:f>Sheet1!$F$263:$F$267</c:f>
              <c:numCache>
                <c:formatCode>0.00%</c:formatCode>
                <c:ptCount val="5"/>
                <c:pt idx="0">
                  <c:v>1.4660100842644693E-3</c:v>
                </c:pt>
                <c:pt idx="1">
                  <c:v>1.3065203201086857E-3</c:v>
                </c:pt>
                <c:pt idx="2">
                  <c:v>1.5786238919792397E-3</c:v>
                </c:pt>
                <c:pt idx="3">
                  <c:v>1.3884740435069723E-3</c:v>
                </c:pt>
                <c:pt idx="4">
                  <c:v>0</c:v>
                </c:pt>
              </c:numCache>
            </c:numRef>
          </c:val>
          <c:smooth val="0"/>
        </c:ser>
        <c:dLbls>
          <c:showLegendKey val="0"/>
          <c:showVal val="0"/>
          <c:showCatName val="0"/>
          <c:showSerName val="0"/>
          <c:showPercent val="0"/>
          <c:showBubbleSize val="0"/>
        </c:dLbls>
        <c:marker val="1"/>
        <c:smooth val="0"/>
        <c:axId val="110008960"/>
        <c:axId val="110167168"/>
      </c:lineChart>
      <c:catAx>
        <c:axId val="1100089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167168"/>
        <c:crosses val="autoZero"/>
        <c:auto val="1"/>
        <c:lblAlgn val="ctr"/>
        <c:lblOffset val="100"/>
        <c:noMultiLvlLbl val="0"/>
      </c:catAx>
      <c:valAx>
        <c:axId val="110167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008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of Government Securities and Other Securities</a:t>
            </a:r>
            <a:endParaRPr lang="en-US"/>
          </a:p>
        </c:rich>
      </c:tx>
      <c:overlay val="0"/>
      <c:spPr>
        <a:noFill/>
        <a:ln>
          <a:noFill/>
        </a:ln>
        <a:effectLst/>
      </c:spPr>
    </c:title>
    <c:autoTitleDeleted val="0"/>
    <c:plotArea>
      <c:layout/>
      <c:barChart>
        <c:barDir val="col"/>
        <c:grouping val="clustered"/>
        <c:varyColors val="0"/>
        <c:ser>
          <c:idx val="0"/>
          <c:order val="0"/>
          <c:tx>
            <c:v>Government Securities</c:v>
          </c:tx>
          <c:spPr>
            <a:solidFill>
              <a:schemeClr val="accent1"/>
            </a:solidFill>
            <a:ln>
              <a:noFill/>
            </a:ln>
            <a:effectLst/>
          </c:spPr>
          <c:invertIfNegative val="0"/>
          <c:cat>
            <c:numRef>
              <c:f>Sheet1!$A$28:$A$32</c:f>
              <c:numCache>
                <c:formatCode>General</c:formatCode>
                <c:ptCount val="5"/>
                <c:pt idx="0">
                  <c:v>2013</c:v>
                </c:pt>
                <c:pt idx="1">
                  <c:v>2014</c:v>
                </c:pt>
                <c:pt idx="2">
                  <c:v>2015</c:v>
                </c:pt>
                <c:pt idx="3">
                  <c:v>2016</c:v>
                </c:pt>
                <c:pt idx="4">
                  <c:v>2017</c:v>
                </c:pt>
              </c:numCache>
            </c:numRef>
          </c:cat>
          <c:val>
            <c:numRef>
              <c:f>Sheet1!$B$28:$B$32</c:f>
              <c:numCache>
                <c:formatCode>0%</c:formatCode>
                <c:ptCount val="5"/>
                <c:pt idx="0">
                  <c:v>-0.11406120400889497</c:v>
                </c:pt>
                <c:pt idx="1">
                  <c:v>6.1666476545762579E-2</c:v>
                </c:pt>
                <c:pt idx="2">
                  <c:v>-0.27140255599766272</c:v>
                </c:pt>
                <c:pt idx="3">
                  <c:v>0.13792125465847055</c:v>
                </c:pt>
                <c:pt idx="4">
                  <c:v>0.12599158432954174</c:v>
                </c:pt>
              </c:numCache>
            </c:numRef>
          </c:val>
        </c:ser>
        <c:ser>
          <c:idx val="1"/>
          <c:order val="1"/>
          <c:tx>
            <c:v>Other Investment</c:v>
          </c:tx>
          <c:spPr>
            <a:solidFill>
              <a:schemeClr val="accent2"/>
            </a:solidFill>
            <a:ln>
              <a:noFill/>
            </a:ln>
            <a:effectLst/>
          </c:spPr>
          <c:invertIfNegative val="0"/>
          <c:val>
            <c:numRef>
              <c:f>Sheet1!$B$149:$B$153</c:f>
              <c:numCache>
                <c:formatCode>0.00%</c:formatCode>
                <c:ptCount val="5"/>
                <c:pt idx="0">
                  <c:v>-0.44980578934541149</c:v>
                </c:pt>
                <c:pt idx="1">
                  <c:v>0.727069865497316</c:v>
                </c:pt>
                <c:pt idx="2">
                  <c:v>0.43736964472415785</c:v>
                </c:pt>
                <c:pt idx="3">
                  <c:v>0.13391389567859632</c:v>
                </c:pt>
                <c:pt idx="4">
                  <c:v>6.0757551669431614E-2</c:v>
                </c:pt>
              </c:numCache>
            </c:numRef>
          </c:val>
        </c:ser>
        <c:dLbls>
          <c:showLegendKey val="0"/>
          <c:showVal val="0"/>
          <c:showCatName val="0"/>
          <c:showSerName val="0"/>
          <c:showPercent val="0"/>
          <c:showBubbleSize val="0"/>
        </c:dLbls>
        <c:gapWidth val="219"/>
        <c:overlap val="-27"/>
        <c:axId val="110217088"/>
        <c:axId val="110223360"/>
      </c:barChart>
      <c:catAx>
        <c:axId val="1102170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23360"/>
        <c:crosses val="autoZero"/>
        <c:auto val="1"/>
        <c:lblAlgn val="ctr"/>
        <c:lblOffset val="100"/>
        <c:noMultiLvlLbl val="0"/>
      </c:catAx>
      <c:valAx>
        <c:axId val="110223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170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for Maturity of Investment</a:t>
            </a:r>
            <a:endParaRPr lang="en-US"/>
          </a:p>
        </c:rich>
      </c:tx>
      <c:overlay val="0"/>
      <c:spPr>
        <a:noFill/>
        <a:ln>
          <a:noFill/>
        </a:ln>
        <a:effectLst/>
      </c:spPr>
    </c:title>
    <c:autoTitleDeleted val="0"/>
    <c:plotArea>
      <c:layout>
        <c:manualLayout>
          <c:layoutTarget val="inner"/>
          <c:xMode val="edge"/>
          <c:yMode val="edge"/>
          <c:x val="0.19531736657917761"/>
          <c:y val="0.17171296296296296"/>
          <c:w val="0.6287047244094488"/>
          <c:h val="0.70696741032370958"/>
        </c:manualLayout>
      </c:layout>
      <c:barChart>
        <c:barDir val="col"/>
        <c:grouping val="clustered"/>
        <c:varyColors val="0"/>
        <c:ser>
          <c:idx val="0"/>
          <c:order val="0"/>
          <c:tx>
            <c:v>Upto 1 month</c:v>
          </c:tx>
          <c:spPr>
            <a:solidFill>
              <a:schemeClr val="accent1"/>
            </a:solidFill>
            <a:ln>
              <a:noFill/>
            </a:ln>
            <a:effectLst/>
          </c:spPr>
          <c:invertIfNegative val="0"/>
          <c:cat>
            <c:numRef>
              <c:f>Sheet1!$A$186:$A$190</c:f>
              <c:numCache>
                <c:formatCode>General</c:formatCode>
                <c:ptCount val="5"/>
                <c:pt idx="0">
                  <c:v>2013</c:v>
                </c:pt>
                <c:pt idx="1">
                  <c:v>2014</c:v>
                </c:pt>
                <c:pt idx="2">
                  <c:v>2015</c:v>
                </c:pt>
                <c:pt idx="3">
                  <c:v>2016</c:v>
                </c:pt>
                <c:pt idx="4">
                  <c:v>2017</c:v>
                </c:pt>
              </c:numCache>
            </c:numRef>
          </c:cat>
          <c:val>
            <c:numRef>
              <c:f>Sheet1!$B$186:$B$190</c:f>
              <c:numCache>
                <c:formatCode>0.00%</c:formatCode>
                <c:ptCount val="5"/>
                <c:pt idx="0">
                  <c:v>-0.56131475801420683</c:v>
                </c:pt>
                <c:pt idx="1">
                  <c:v>-7.7358639140815019E-2</c:v>
                </c:pt>
                <c:pt idx="2">
                  <c:v>-0.11275517323026216</c:v>
                </c:pt>
                <c:pt idx="3">
                  <c:v>0.4449104319940731</c:v>
                </c:pt>
                <c:pt idx="4">
                  <c:v>6.1952317629548621E-2</c:v>
                </c:pt>
              </c:numCache>
            </c:numRef>
          </c:val>
        </c:ser>
        <c:ser>
          <c:idx val="1"/>
          <c:order val="1"/>
          <c:tx>
            <c:v>More than 1 month to 3 months</c:v>
          </c:tx>
          <c:spPr>
            <a:solidFill>
              <a:schemeClr val="accent2"/>
            </a:solidFill>
            <a:ln>
              <a:noFill/>
            </a:ln>
            <a:effectLst/>
          </c:spPr>
          <c:invertIfNegative val="0"/>
          <c:val>
            <c:numRef>
              <c:f>Sheet1!$B$194:$B$198</c:f>
              <c:numCache>
                <c:formatCode>0.00%</c:formatCode>
                <c:ptCount val="5"/>
                <c:pt idx="0">
                  <c:v>-0.12567721008251354</c:v>
                </c:pt>
                <c:pt idx="1">
                  <c:v>-0.94135381783728433</c:v>
                </c:pt>
                <c:pt idx="2">
                  <c:v>-1</c:v>
                </c:pt>
                <c:pt idx="3">
                  <c:v>0</c:v>
                </c:pt>
                <c:pt idx="4">
                  <c:v>0.33443207140893316</c:v>
                </c:pt>
              </c:numCache>
            </c:numRef>
          </c:val>
        </c:ser>
        <c:ser>
          <c:idx val="2"/>
          <c:order val="2"/>
          <c:tx>
            <c:v>More than 3 months to 1 year</c:v>
          </c:tx>
          <c:spPr>
            <a:solidFill>
              <a:schemeClr val="accent3"/>
            </a:solidFill>
            <a:ln>
              <a:noFill/>
            </a:ln>
            <a:effectLst/>
          </c:spPr>
          <c:invertIfNegative val="0"/>
          <c:val>
            <c:numRef>
              <c:f>Sheet1!$B$202:$B$206</c:f>
              <c:numCache>
                <c:formatCode>0.00%</c:formatCode>
                <c:ptCount val="5"/>
                <c:pt idx="0">
                  <c:v>-0.15448492839010886</c:v>
                </c:pt>
                <c:pt idx="1">
                  <c:v>-0.29252122161093963</c:v>
                </c:pt>
                <c:pt idx="2">
                  <c:v>-0.10314681642811313</c:v>
                </c:pt>
                <c:pt idx="3">
                  <c:v>-0.4227244716132752</c:v>
                </c:pt>
                <c:pt idx="4">
                  <c:v>-1.2295207451387156E-2</c:v>
                </c:pt>
              </c:numCache>
            </c:numRef>
          </c:val>
        </c:ser>
        <c:ser>
          <c:idx val="3"/>
          <c:order val="3"/>
          <c:tx>
            <c:v>More than 1 year to 5 years</c:v>
          </c:tx>
          <c:spPr>
            <a:solidFill>
              <a:schemeClr val="accent4"/>
            </a:solidFill>
            <a:ln>
              <a:noFill/>
            </a:ln>
            <a:effectLst/>
          </c:spPr>
          <c:invertIfNegative val="0"/>
          <c:val>
            <c:numRef>
              <c:f>Sheet1!$B$210:$B$214</c:f>
              <c:numCache>
                <c:formatCode>0.00%</c:formatCode>
                <c:ptCount val="5"/>
                <c:pt idx="0">
                  <c:v>0.31504430150359575</c:v>
                </c:pt>
                <c:pt idx="1">
                  <c:v>0.2140881255437701</c:v>
                </c:pt>
                <c:pt idx="2">
                  <c:v>-0.53796876082024458</c:v>
                </c:pt>
                <c:pt idx="3">
                  <c:v>0.61791223598418976</c:v>
                </c:pt>
                <c:pt idx="4">
                  <c:v>0.51915477550110223</c:v>
                </c:pt>
              </c:numCache>
            </c:numRef>
          </c:val>
        </c:ser>
        <c:ser>
          <c:idx val="4"/>
          <c:order val="4"/>
          <c:tx>
            <c:v>More than 5 years</c:v>
          </c:tx>
          <c:spPr>
            <a:solidFill>
              <a:schemeClr val="accent5"/>
            </a:solidFill>
            <a:ln>
              <a:noFill/>
            </a:ln>
            <a:effectLst/>
          </c:spPr>
          <c:invertIfNegative val="0"/>
          <c:val>
            <c:numRef>
              <c:f>Sheet1!$B$218:$B$222</c:f>
              <c:numCache>
                <c:formatCode>0.00%</c:formatCode>
                <c:ptCount val="5"/>
                <c:pt idx="0">
                  <c:v>0.10473369326563664</c:v>
                </c:pt>
                <c:pt idx="1">
                  <c:v>0.53761335213263128</c:v>
                </c:pt>
                <c:pt idx="2">
                  <c:v>4.8196995751147893E-2</c:v>
                </c:pt>
                <c:pt idx="3">
                  <c:v>-6.3261250642946076E-2</c:v>
                </c:pt>
                <c:pt idx="4">
                  <c:v>-8.1321748456257739E-2</c:v>
                </c:pt>
              </c:numCache>
            </c:numRef>
          </c:val>
        </c:ser>
        <c:dLbls>
          <c:showLegendKey val="0"/>
          <c:showVal val="0"/>
          <c:showCatName val="0"/>
          <c:showSerName val="0"/>
          <c:showPercent val="0"/>
          <c:showBubbleSize val="0"/>
        </c:dLbls>
        <c:gapWidth val="219"/>
        <c:overlap val="-27"/>
        <c:axId val="111527808"/>
        <c:axId val="111529984"/>
      </c:barChart>
      <c:catAx>
        <c:axId val="1115278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29984"/>
        <c:crosses val="autoZero"/>
        <c:auto val="1"/>
        <c:lblAlgn val="ctr"/>
        <c:lblOffset val="100"/>
        <c:noMultiLvlLbl val="0"/>
      </c:catAx>
      <c:valAx>
        <c:axId val="111529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27808"/>
        <c:crosses val="autoZero"/>
        <c:crossBetween val="between"/>
      </c:valAx>
      <c:spPr>
        <a:noFill/>
        <a:ln>
          <a:noFill/>
        </a:ln>
        <a:effectLst/>
      </c:spPr>
    </c:plotArea>
    <c:legend>
      <c:legendPos val="b"/>
      <c:layout>
        <c:manualLayout>
          <c:xMode val="edge"/>
          <c:yMode val="edge"/>
          <c:x val="0.56886805233261928"/>
          <c:y val="0.70180608612042317"/>
          <c:w val="0.42936682568258644"/>
          <c:h val="0.252370186399967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a:t>
            </a:r>
            <a:r>
              <a:rPr lang="en-US" baseline="0"/>
              <a:t> Investment Income </a:t>
            </a:r>
            <a:r>
              <a:rPr lang="en-US"/>
              <a:t>on Treasury Bills and bonds</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Sheet1!$A$269:$A$273</c:f>
              <c:numCache>
                <c:formatCode>General</c:formatCode>
                <c:ptCount val="5"/>
                <c:pt idx="0">
                  <c:v>2013</c:v>
                </c:pt>
                <c:pt idx="1">
                  <c:v>2014</c:v>
                </c:pt>
                <c:pt idx="2">
                  <c:v>2015</c:v>
                </c:pt>
                <c:pt idx="3">
                  <c:v>2016</c:v>
                </c:pt>
                <c:pt idx="4">
                  <c:v>2017</c:v>
                </c:pt>
              </c:numCache>
            </c:numRef>
          </c:cat>
          <c:val>
            <c:numRef>
              <c:f>Sheet1!$B$269:$B$273</c:f>
              <c:numCache>
                <c:formatCode>0.00%</c:formatCode>
                <c:ptCount val="5"/>
                <c:pt idx="0">
                  <c:v>0</c:v>
                </c:pt>
                <c:pt idx="1">
                  <c:v>7.2866040936072241E-2</c:v>
                </c:pt>
                <c:pt idx="2">
                  <c:v>0.16334008298902639</c:v>
                </c:pt>
                <c:pt idx="3">
                  <c:v>-0.34510385973065155</c:v>
                </c:pt>
                <c:pt idx="4">
                  <c:v>-8.297830773607151E-2</c:v>
                </c:pt>
              </c:numCache>
            </c:numRef>
          </c:val>
          <c:smooth val="0"/>
        </c:ser>
        <c:dLbls>
          <c:showLegendKey val="0"/>
          <c:showVal val="0"/>
          <c:showCatName val="0"/>
          <c:showSerName val="0"/>
          <c:showPercent val="0"/>
          <c:showBubbleSize val="0"/>
        </c:dLbls>
        <c:marker val="1"/>
        <c:smooth val="0"/>
        <c:axId val="100360576"/>
        <c:axId val="100362496"/>
      </c:lineChart>
      <c:catAx>
        <c:axId val="100360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62496"/>
        <c:crosses val="autoZero"/>
        <c:auto val="1"/>
        <c:lblAlgn val="ctr"/>
        <c:lblOffset val="100"/>
        <c:noMultiLvlLbl val="0"/>
      </c:catAx>
      <c:valAx>
        <c:axId val="100362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60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Dividend on Ordinary shares</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Sheet1!$A$285:$A$289</c:f>
              <c:numCache>
                <c:formatCode>General</c:formatCode>
                <c:ptCount val="5"/>
                <c:pt idx="0">
                  <c:v>2013</c:v>
                </c:pt>
                <c:pt idx="1">
                  <c:v>2014</c:v>
                </c:pt>
                <c:pt idx="2">
                  <c:v>2015</c:v>
                </c:pt>
                <c:pt idx="3">
                  <c:v>2016</c:v>
                </c:pt>
                <c:pt idx="4">
                  <c:v>2017</c:v>
                </c:pt>
              </c:numCache>
            </c:numRef>
          </c:cat>
          <c:val>
            <c:numRef>
              <c:f>Sheet1!$B$285:$B$289</c:f>
              <c:numCache>
                <c:formatCode>0.00%</c:formatCode>
                <c:ptCount val="5"/>
                <c:pt idx="0">
                  <c:v>0.19673689593809929</c:v>
                </c:pt>
                <c:pt idx="1">
                  <c:v>-0.29240862099674297</c:v>
                </c:pt>
                <c:pt idx="2">
                  <c:v>0.22598811360347315</c:v>
                </c:pt>
                <c:pt idx="3">
                  <c:v>-2.9774189094106812E-2</c:v>
                </c:pt>
                <c:pt idx="4">
                  <c:v>0.98240664367203367</c:v>
                </c:pt>
              </c:numCache>
            </c:numRef>
          </c:val>
          <c:smooth val="0"/>
        </c:ser>
        <c:dLbls>
          <c:showLegendKey val="0"/>
          <c:showVal val="0"/>
          <c:showCatName val="0"/>
          <c:showSerName val="0"/>
          <c:showPercent val="0"/>
          <c:showBubbleSize val="0"/>
        </c:dLbls>
        <c:marker val="1"/>
        <c:smooth val="0"/>
        <c:axId val="100395264"/>
        <c:axId val="110064000"/>
      </c:lineChart>
      <c:catAx>
        <c:axId val="100395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064000"/>
        <c:crosses val="autoZero"/>
        <c:auto val="1"/>
        <c:lblAlgn val="ctr"/>
        <c:lblOffset val="100"/>
        <c:noMultiLvlLbl val="0"/>
      </c:catAx>
      <c:valAx>
        <c:axId val="110064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9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Dividend on Preference Shares </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Sheet1!$A$277:$A$281</c:f>
              <c:numCache>
                <c:formatCode>General</c:formatCode>
                <c:ptCount val="5"/>
                <c:pt idx="0">
                  <c:v>2013</c:v>
                </c:pt>
                <c:pt idx="1">
                  <c:v>2014</c:v>
                </c:pt>
                <c:pt idx="2">
                  <c:v>2015</c:v>
                </c:pt>
                <c:pt idx="3">
                  <c:v>2016</c:v>
                </c:pt>
                <c:pt idx="4">
                  <c:v>2017</c:v>
                </c:pt>
              </c:numCache>
            </c:numRef>
          </c:cat>
          <c:val>
            <c:numRef>
              <c:f>Sheet1!$B$277:$B$281</c:f>
              <c:numCache>
                <c:formatCode>0.00%</c:formatCode>
                <c:ptCount val="5"/>
                <c:pt idx="0">
                  <c:v>-0.23494775520070577</c:v>
                </c:pt>
                <c:pt idx="1">
                  <c:v>-0.27272617461639709</c:v>
                </c:pt>
                <c:pt idx="2">
                  <c:v>-4.9897414186938084E-2</c:v>
                </c:pt>
                <c:pt idx="3">
                  <c:v>-0.41704812724838813</c:v>
                </c:pt>
                <c:pt idx="4">
                  <c:v>-0.49546699907387692</c:v>
                </c:pt>
              </c:numCache>
            </c:numRef>
          </c:val>
          <c:smooth val="0"/>
        </c:ser>
        <c:dLbls>
          <c:showLegendKey val="0"/>
          <c:showVal val="0"/>
          <c:showCatName val="0"/>
          <c:showSerName val="0"/>
          <c:showPercent val="0"/>
          <c:showBubbleSize val="0"/>
        </c:dLbls>
        <c:marker val="1"/>
        <c:smooth val="0"/>
        <c:axId val="108331392"/>
        <c:axId val="108332928"/>
      </c:lineChart>
      <c:catAx>
        <c:axId val="108331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32928"/>
        <c:crosses val="autoZero"/>
        <c:auto val="1"/>
        <c:lblAlgn val="ctr"/>
        <c:lblOffset val="100"/>
        <c:noMultiLvlLbl val="0"/>
      </c:catAx>
      <c:valAx>
        <c:axId val="108332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31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Investment in terms of Total Assets </a:t>
            </a:r>
          </a:p>
        </c:rich>
      </c:tx>
      <c:overlay val="0"/>
      <c:spPr>
        <a:noFill/>
        <a:ln>
          <a:noFill/>
        </a:ln>
        <a:effectLst/>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Sheet1!$A$292:$A$296</c:f>
              <c:numCache>
                <c:formatCode>General</c:formatCode>
                <c:ptCount val="5"/>
                <c:pt idx="0">
                  <c:v>2013</c:v>
                </c:pt>
                <c:pt idx="1">
                  <c:v>2014</c:v>
                </c:pt>
                <c:pt idx="2">
                  <c:v>2015</c:v>
                </c:pt>
                <c:pt idx="3">
                  <c:v>2016</c:v>
                </c:pt>
                <c:pt idx="4">
                  <c:v>2017</c:v>
                </c:pt>
              </c:numCache>
            </c:numRef>
          </c:xVal>
          <c:yVal>
            <c:numRef>
              <c:f>Sheet1!$B$292:$B$296</c:f>
              <c:numCache>
                <c:formatCode>0.00%</c:formatCode>
                <c:ptCount val="5"/>
                <c:pt idx="0">
                  <c:v>0</c:v>
                </c:pt>
                <c:pt idx="1">
                  <c:v>-5.722086774541061E-2</c:v>
                </c:pt>
                <c:pt idx="2">
                  <c:v>-0.24573359485015175</c:v>
                </c:pt>
                <c:pt idx="3">
                  <c:v>-4.8771152222275675E-2</c:v>
                </c:pt>
                <c:pt idx="4">
                  <c:v>2.8990799369867013E-2</c:v>
                </c:pt>
              </c:numCache>
            </c:numRef>
          </c:yVal>
          <c:smooth val="0"/>
        </c:ser>
        <c:dLbls>
          <c:showLegendKey val="0"/>
          <c:showVal val="0"/>
          <c:showCatName val="0"/>
          <c:showSerName val="0"/>
          <c:showPercent val="0"/>
          <c:showBubbleSize val="0"/>
        </c:dLbls>
        <c:axId val="108360832"/>
        <c:axId val="108363136"/>
      </c:scatterChart>
      <c:valAx>
        <c:axId val="108360832"/>
        <c:scaling>
          <c:orientation val="minMax"/>
          <c:max val="2017"/>
          <c:min val="201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63136"/>
        <c:crosses val="autoZero"/>
        <c:crossBetween val="midCat"/>
        <c:majorUnit val="1"/>
      </c:valAx>
      <c:valAx>
        <c:axId val="108363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608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 rate of Proportion of Investment</a:t>
            </a:r>
            <a:r>
              <a:rPr lang="en-US" baseline="0"/>
              <a:t> in terms of Total Liabilities</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Sheet1!$A$299:$A$303</c:f>
              <c:numCache>
                <c:formatCode>General</c:formatCode>
                <c:ptCount val="5"/>
                <c:pt idx="0">
                  <c:v>2013</c:v>
                </c:pt>
                <c:pt idx="1">
                  <c:v>2014</c:v>
                </c:pt>
                <c:pt idx="2">
                  <c:v>2015</c:v>
                </c:pt>
                <c:pt idx="3">
                  <c:v>2016</c:v>
                </c:pt>
                <c:pt idx="4">
                  <c:v>2017</c:v>
                </c:pt>
              </c:numCache>
            </c:numRef>
          </c:cat>
          <c:val>
            <c:numRef>
              <c:f>Sheet1!$B$299:$B$303</c:f>
              <c:numCache>
                <c:formatCode>0.00%</c:formatCode>
                <c:ptCount val="5"/>
                <c:pt idx="0">
                  <c:v>0</c:v>
                </c:pt>
                <c:pt idx="1">
                  <c:v>-3.7211944501358507E-2</c:v>
                </c:pt>
                <c:pt idx="2">
                  <c:v>-0.24818670737390167</c:v>
                </c:pt>
                <c:pt idx="3">
                  <c:v>-4.9636669562862751E-2</c:v>
                </c:pt>
                <c:pt idx="4">
                  <c:v>3.6681604655410802E-2</c:v>
                </c:pt>
              </c:numCache>
            </c:numRef>
          </c:val>
        </c:ser>
        <c:dLbls>
          <c:showLegendKey val="0"/>
          <c:showVal val="0"/>
          <c:showCatName val="0"/>
          <c:showSerName val="0"/>
          <c:showPercent val="0"/>
          <c:showBubbleSize val="0"/>
        </c:dLbls>
        <c:gapWidth val="219"/>
        <c:overlap val="-27"/>
        <c:axId val="112988160"/>
        <c:axId val="112990080"/>
      </c:barChart>
      <c:catAx>
        <c:axId val="1129881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90080"/>
        <c:crosses val="autoZero"/>
        <c:auto val="1"/>
        <c:lblAlgn val="ctr"/>
        <c:lblOffset val="100"/>
        <c:noMultiLvlLbl val="0"/>
      </c:catAx>
      <c:valAx>
        <c:axId val="112990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8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C28A93-2CD6-4873-ACD7-A5C229B46D7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8A6882A-16EE-4669-8CBE-105E2A8D20A1}">
      <dgm:prSet phldrT="[Text]"/>
      <dgm:spPr/>
      <dgm:t>
        <a:bodyPr/>
        <a:lstStyle/>
        <a:p>
          <a:r>
            <a:rPr lang="en-US"/>
            <a:t>Chairman</a:t>
          </a:r>
        </a:p>
      </dgm:t>
    </dgm:pt>
    <dgm:pt modelId="{12F612D1-3E0F-4E3C-9A92-EA07AF54CEA6}" type="parTrans" cxnId="{42E17473-962F-43BB-83E8-42BDDFAC9DDF}">
      <dgm:prSet/>
      <dgm:spPr/>
      <dgm:t>
        <a:bodyPr/>
        <a:lstStyle/>
        <a:p>
          <a:endParaRPr lang="en-US"/>
        </a:p>
      </dgm:t>
    </dgm:pt>
    <dgm:pt modelId="{4DBB8713-BA5D-4F8F-B57F-CB2A1FEF6BDF}" type="sibTrans" cxnId="{42E17473-962F-43BB-83E8-42BDDFAC9DDF}">
      <dgm:prSet/>
      <dgm:spPr/>
      <dgm:t>
        <a:bodyPr/>
        <a:lstStyle/>
        <a:p>
          <a:endParaRPr lang="en-US"/>
        </a:p>
      </dgm:t>
    </dgm:pt>
    <dgm:pt modelId="{70B1EC75-26E0-4290-AAE2-FA7FBD35C113}">
      <dgm:prSet phldrT="[Text]"/>
      <dgm:spPr/>
      <dgm:t>
        <a:bodyPr/>
        <a:lstStyle/>
        <a:p>
          <a:r>
            <a:rPr lang="en-US"/>
            <a:t>Nominated Directors</a:t>
          </a:r>
        </a:p>
      </dgm:t>
    </dgm:pt>
    <dgm:pt modelId="{79695389-4897-4964-8CFE-6B062C5AFF83}" type="parTrans" cxnId="{300C0E78-305D-4047-8A77-B5F2DBA368AC}">
      <dgm:prSet/>
      <dgm:spPr/>
      <dgm:t>
        <a:bodyPr/>
        <a:lstStyle/>
        <a:p>
          <a:endParaRPr lang="en-US"/>
        </a:p>
      </dgm:t>
    </dgm:pt>
    <dgm:pt modelId="{0C9E33D8-C8D5-4555-937C-238D9BBB652D}" type="sibTrans" cxnId="{300C0E78-305D-4047-8A77-B5F2DBA368AC}">
      <dgm:prSet/>
      <dgm:spPr/>
      <dgm:t>
        <a:bodyPr/>
        <a:lstStyle/>
        <a:p>
          <a:endParaRPr lang="en-US"/>
        </a:p>
      </dgm:t>
    </dgm:pt>
    <dgm:pt modelId="{26E23B0F-4B9B-462C-A648-ED54C53D5FAE}">
      <dgm:prSet phldrT="[Text]"/>
      <dgm:spPr/>
      <dgm:t>
        <a:bodyPr/>
        <a:lstStyle/>
        <a:p>
          <a:r>
            <a:rPr lang="en-US"/>
            <a:t>Independent Directors</a:t>
          </a:r>
        </a:p>
      </dgm:t>
    </dgm:pt>
    <dgm:pt modelId="{1FCF7792-E9AF-4BAD-9C48-F8D7C47AB1E5}" type="parTrans" cxnId="{FF313FB6-6A55-46F4-A8E0-5F4F68012A0B}">
      <dgm:prSet/>
      <dgm:spPr/>
      <dgm:t>
        <a:bodyPr/>
        <a:lstStyle/>
        <a:p>
          <a:endParaRPr lang="en-US"/>
        </a:p>
      </dgm:t>
    </dgm:pt>
    <dgm:pt modelId="{F62BCFCB-7A1A-4E3D-8BC6-5ED828AFEFF9}" type="sibTrans" cxnId="{FF313FB6-6A55-46F4-A8E0-5F4F68012A0B}">
      <dgm:prSet/>
      <dgm:spPr/>
      <dgm:t>
        <a:bodyPr/>
        <a:lstStyle/>
        <a:p>
          <a:endParaRPr lang="en-US"/>
        </a:p>
      </dgm:t>
    </dgm:pt>
    <dgm:pt modelId="{9A10D930-1CEA-46B9-93D8-2CD8D66F9106}">
      <dgm:prSet phldrT="[Text]"/>
      <dgm:spPr/>
      <dgm:t>
        <a:bodyPr/>
        <a:lstStyle/>
        <a:p>
          <a:r>
            <a:rPr lang="en-US"/>
            <a:t>Managing Director and CEO</a:t>
          </a:r>
        </a:p>
      </dgm:t>
    </dgm:pt>
    <dgm:pt modelId="{0931D57F-7C44-48BB-A600-C105E1924114}" type="parTrans" cxnId="{E01A6620-71EF-4EE2-B5D6-C2D151DBB74A}">
      <dgm:prSet/>
      <dgm:spPr/>
      <dgm:t>
        <a:bodyPr/>
        <a:lstStyle/>
        <a:p>
          <a:endParaRPr lang="en-US"/>
        </a:p>
      </dgm:t>
    </dgm:pt>
    <dgm:pt modelId="{309731DB-DFAA-479B-8565-D372C20A752F}" type="sibTrans" cxnId="{E01A6620-71EF-4EE2-B5D6-C2D151DBB74A}">
      <dgm:prSet/>
      <dgm:spPr/>
      <dgm:t>
        <a:bodyPr/>
        <a:lstStyle/>
        <a:p>
          <a:endParaRPr lang="en-US"/>
        </a:p>
      </dgm:t>
    </dgm:pt>
    <dgm:pt modelId="{44350CE8-FDDD-4AD3-A17F-A572096E065F}" type="pres">
      <dgm:prSet presAssocID="{D4C28A93-2CD6-4873-ACD7-A5C229B46D7B}" presName="hierChild1" presStyleCnt="0">
        <dgm:presLayoutVars>
          <dgm:orgChart val="1"/>
          <dgm:chPref val="1"/>
          <dgm:dir/>
          <dgm:animOne val="branch"/>
          <dgm:animLvl val="lvl"/>
          <dgm:resizeHandles/>
        </dgm:presLayoutVars>
      </dgm:prSet>
      <dgm:spPr/>
      <dgm:t>
        <a:bodyPr/>
        <a:lstStyle/>
        <a:p>
          <a:endParaRPr lang="en-US"/>
        </a:p>
      </dgm:t>
    </dgm:pt>
    <dgm:pt modelId="{595A30A5-BC97-4F23-A39D-804FCD0C0EB9}" type="pres">
      <dgm:prSet presAssocID="{C8A6882A-16EE-4669-8CBE-105E2A8D20A1}" presName="hierRoot1" presStyleCnt="0">
        <dgm:presLayoutVars>
          <dgm:hierBranch val="init"/>
        </dgm:presLayoutVars>
      </dgm:prSet>
      <dgm:spPr/>
    </dgm:pt>
    <dgm:pt modelId="{4B84A9CE-F84C-48CF-96D6-C4108541856D}" type="pres">
      <dgm:prSet presAssocID="{C8A6882A-16EE-4669-8CBE-105E2A8D20A1}" presName="rootComposite1" presStyleCnt="0"/>
      <dgm:spPr/>
    </dgm:pt>
    <dgm:pt modelId="{EAB60BE9-2324-4909-9F42-30B5259C2B52}" type="pres">
      <dgm:prSet presAssocID="{C8A6882A-16EE-4669-8CBE-105E2A8D20A1}" presName="rootText1" presStyleLbl="node0" presStyleIdx="0" presStyleCnt="1">
        <dgm:presLayoutVars>
          <dgm:chPref val="3"/>
        </dgm:presLayoutVars>
      </dgm:prSet>
      <dgm:spPr/>
      <dgm:t>
        <a:bodyPr/>
        <a:lstStyle/>
        <a:p>
          <a:endParaRPr lang="en-US"/>
        </a:p>
      </dgm:t>
    </dgm:pt>
    <dgm:pt modelId="{6085D47B-2233-4C4C-9B20-ADC64755C844}" type="pres">
      <dgm:prSet presAssocID="{C8A6882A-16EE-4669-8CBE-105E2A8D20A1}" presName="rootConnector1" presStyleLbl="node1" presStyleIdx="0" presStyleCnt="0"/>
      <dgm:spPr/>
      <dgm:t>
        <a:bodyPr/>
        <a:lstStyle/>
        <a:p>
          <a:endParaRPr lang="en-US"/>
        </a:p>
      </dgm:t>
    </dgm:pt>
    <dgm:pt modelId="{4EE348F6-0935-4DF7-A686-27B1D74BF099}" type="pres">
      <dgm:prSet presAssocID="{C8A6882A-16EE-4669-8CBE-105E2A8D20A1}" presName="hierChild2" presStyleCnt="0"/>
      <dgm:spPr/>
    </dgm:pt>
    <dgm:pt modelId="{EE486636-9086-4511-9FB7-86F571E6A394}" type="pres">
      <dgm:prSet presAssocID="{79695389-4897-4964-8CFE-6B062C5AFF83}" presName="Name37" presStyleLbl="parChTrans1D2" presStyleIdx="0" presStyleCnt="3"/>
      <dgm:spPr/>
      <dgm:t>
        <a:bodyPr/>
        <a:lstStyle/>
        <a:p>
          <a:endParaRPr lang="en-US"/>
        </a:p>
      </dgm:t>
    </dgm:pt>
    <dgm:pt modelId="{72CDD937-B987-45F2-B7DD-4F93B7987480}" type="pres">
      <dgm:prSet presAssocID="{70B1EC75-26E0-4290-AAE2-FA7FBD35C113}" presName="hierRoot2" presStyleCnt="0">
        <dgm:presLayoutVars>
          <dgm:hierBranch val="init"/>
        </dgm:presLayoutVars>
      </dgm:prSet>
      <dgm:spPr/>
    </dgm:pt>
    <dgm:pt modelId="{247BC8DB-6BCD-4FF1-BBE8-DEF30F893689}" type="pres">
      <dgm:prSet presAssocID="{70B1EC75-26E0-4290-AAE2-FA7FBD35C113}" presName="rootComposite" presStyleCnt="0"/>
      <dgm:spPr/>
    </dgm:pt>
    <dgm:pt modelId="{524DA309-5DFF-42C5-920E-625D7F2DF6F8}" type="pres">
      <dgm:prSet presAssocID="{70B1EC75-26E0-4290-AAE2-FA7FBD35C113}" presName="rootText" presStyleLbl="node2" presStyleIdx="0" presStyleCnt="3">
        <dgm:presLayoutVars>
          <dgm:chPref val="3"/>
        </dgm:presLayoutVars>
      </dgm:prSet>
      <dgm:spPr/>
      <dgm:t>
        <a:bodyPr/>
        <a:lstStyle/>
        <a:p>
          <a:endParaRPr lang="en-US"/>
        </a:p>
      </dgm:t>
    </dgm:pt>
    <dgm:pt modelId="{1AE31EA6-2568-48CF-B8C6-FFE747872F01}" type="pres">
      <dgm:prSet presAssocID="{70B1EC75-26E0-4290-AAE2-FA7FBD35C113}" presName="rootConnector" presStyleLbl="node2" presStyleIdx="0" presStyleCnt="3"/>
      <dgm:spPr/>
      <dgm:t>
        <a:bodyPr/>
        <a:lstStyle/>
        <a:p>
          <a:endParaRPr lang="en-US"/>
        </a:p>
      </dgm:t>
    </dgm:pt>
    <dgm:pt modelId="{D153E174-2841-4C1C-9767-DA372B86DDE7}" type="pres">
      <dgm:prSet presAssocID="{70B1EC75-26E0-4290-AAE2-FA7FBD35C113}" presName="hierChild4" presStyleCnt="0"/>
      <dgm:spPr/>
    </dgm:pt>
    <dgm:pt modelId="{A6FE432A-225C-40BE-9B73-853DD633AEF8}" type="pres">
      <dgm:prSet presAssocID="{70B1EC75-26E0-4290-AAE2-FA7FBD35C113}" presName="hierChild5" presStyleCnt="0"/>
      <dgm:spPr/>
    </dgm:pt>
    <dgm:pt modelId="{CEB58CBC-0E51-4832-8E84-34E0F580ADEF}" type="pres">
      <dgm:prSet presAssocID="{1FCF7792-E9AF-4BAD-9C48-F8D7C47AB1E5}" presName="Name37" presStyleLbl="parChTrans1D2" presStyleIdx="1" presStyleCnt="3"/>
      <dgm:spPr/>
      <dgm:t>
        <a:bodyPr/>
        <a:lstStyle/>
        <a:p>
          <a:endParaRPr lang="en-US"/>
        </a:p>
      </dgm:t>
    </dgm:pt>
    <dgm:pt modelId="{3E2F7615-EA82-4BB4-B36E-FCB79BCC2DBB}" type="pres">
      <dgm:prSet presAssocID="{26E23B0F-4B9B-462C-A648-ED54C53D5FAE}" presName="hierRoot2" presStyleCnt="0">
        <dgm:presLayoutVars>
          <dgm:hierBranch val="init"/>
        </dgm:presLayoutVars>
      </dgm:prSet>
      <dgm:spPr/>
    </dgm:pt>
    <dgm:pt modelId="{C983C5A3-C35B-4915-9C2D-EBF3B89D24BC}" type="pres">
      <dgm:prSet presAssocID="{26E23B0F-4B9B-462C-A648-ED54C53D5FAE}" presName="rootComposite" presStyleCnt="0"/>
      <dgm:spPr/>
    </dgm:pt>
    <dgm:pt modelId="{CF08AE82-662A-4F57-8D3C-21F610669D8D}" type="pres">
      <dgm:prSet presAssocID="{26E23B0F-4B9B-462C-A648-ED54C53D5FAE}" presName="rootText" presStyleLbl="node2" presStyleIdx="1" presStyleCnt="3">
        <dgm:presLayoutVars>
          <dgm:chPref val="3"/>
        </dgm:presLayoutVars>
      </dgm:prSet>
      <dgm:spPr/>
      <dgm:t>
        <a:bodyPr/>
        <a:lstStyle/>
        <a:p>
          <a:endParaRPr lang="en-US"/>
        </a:p>
      </dgm:t>
    </dgm:pt>
    <dgm:pt modelId="{AA48C82A-02E2-40F7-8B05-7E82BE496F46}" type="pres">
      <dgm:prSet presAssocID="{26E23B0F-4B9B-462C-A648-ED54C53D5FAE}" presName="rootConnector" presStyleLbl="node2" presStyleIdx="1" presStyleCnt="3"/>
      <dgm:spPr/>
      <dgm:t>
        <a:bodyPr/>
        <a:lstStyle/>
        <a:p>
          <a:endParaRPr lang="en-US"/>
        </a:p>
      </dgm:t>
    </dgm:pt>
    <dgm:pt modelId="{C2DCE66D-91E8-4309-8C43-287BC04DFEFA}" type="pres">
      <dgm:prSet presAssocID="{26E23B0F-4B9B-462C-A648-ED54C53D5FAE}" presName="hierChild4" presStyleCnt="0"/>
      <dgm:spPr/>
    </dgm:pt>
    <dgm:pt modelId="{C365E3F2-F002-4AC9-A6A6-E308A54CC99A}" type="pres">
      <dgm:prSet presAssocID="{26E23B0F-4B9B-462C-A648-ED54C53D5FAE}" presName="hierChild5" presStyleCnt="0"/>
      <dgm:spPr/>
    </dgm:pt>
    <dgm:pt modelId="{4101B554-F67C-482C-A7E5-7C9020932123}" type="pres">
      <dgm:prSet presAssocID="{0931D57F-7C44-48BB-A600-C105E1924114}" presName="Name37" presStyleLbl="parChTrans1D2" presStyleIdx="2" presStyleCnt="3"/>
      <dgm:spPr/>
      <dgm:t>
        <a:bodyPr/>
        <a:lstStyle/>
        <a:p>
          <a:endParaRPr lang="en-US"/>
        </a:p>
      </dgm:t>
    </dgm:pt>
    <dgm:pt modelId="{FFBFC1CA-F13D-44A1-8258-97FD8B3EDD54}" type="pres">
      <dgm:prSet presAssocID="{9A10D930-1CEA-46B9-93D8-2CD8D66F9106}" presName="hierRoot2" presStyleCnt="0">
        <dgm:presLayoutVars>
          <dgm:hierBranch val="init"/>
        </dgm:presLayoutVars>
      </dgm:prSet>
      <dgm:spPr/>
    </dgm:pt>
    <dgm:pt modelId="{BFB6D544-87AE-4CEA-88A4-AB3B5052BA8B}" type="pres">
      <dgm:prSet presAssocID="{9A10D930-1CEA-46B9-93D8-2CD8D66F9106}" presName="rootComposite" presStyleCnt="0"/>
      <dgm:spPr/>
    </dgm:pt>
    <dgm:pt modelId="{7077A57A-1550-4DF9-92AD-83F212E7E64E}" type="pres">
      <dgm:prSet presAssocID="{9A10D930-1CEA-46B9-93D8-2CD8D66F9106}" presName="rootText" presStyleLbl="node2" presStyleIdx="2" presStyleCnt="3">
        <dgm:presLayoutVars>
          <dgm:chPref val="3"/>
        </dgm:presLayoutVars>
      </dgm:prSet>
      <dgm:spPr/>
      <dgm:t>
        <a:bodyPr/>
        <a:lstStyle/>
        <a:p>
          <a:endParaRPr lang="en-US"/>
        </a:p>
      </dgm:t>
    </dgm:pt>
    <dgm:pt modelId="{F0115AFB-398F-41B1-AB52-553A2BE0AE9A}" type="pres">
      <dgm:prSet presAssocID="{9A10D930-1CEA-46B9-93D8-2CD8D66F9106}" presName="rootConnector" presStyleLbl="node2" presStyleIdx="2" presStyleCnt="3"/>
      <dgm:spPr/>
      <dgm:t>
        <a:bodyPr/>
        <a:lstStyle/>
        <a:p>
          <a:endParaRPr lang="en-US"/>
        </a:p>
      </dgm:t>
    </dgm:pt>
    <dgm:pt modelId="{F107ED9E-9D64-4804-BA4F-932F0DCF57D9}" type="pres">
      <dgm:prSet presAssocID="{9A10D930-1CEA-46B9-93D8-2CD8D66F9106}" presName="hierChild4" presStyleCnt="0"/>
      <dgm:spPr/>
    </dgm:pt>
    <dgm:pt modelId="{E44C7D41-EA4D-40AA-9455-C5F4B4E05571}" type="pres">
      <dgm:prSet presAssocID="{9A10D930-1CEA-46B9-93D8-2CD8D66F9106}" presName="hierChild5" presStyleCnt="0"/>
      <dgm:spPr/>
    </dgm:pt>
    <dgm:pt modelId="{D5DCBAD1-598B-4EB3-BC2D-946B1480560E}" type="pres">
      <dgm:prSet presAssocID="{C8A6882A-16EE-4669-8CBE-105E2A8D20A1}" presName="hierChild3" presStyleCnt="0"/>
      <dgm:spPr/>
    </dgm:pt>
  </dgm:ptLst>
  <dgm:cxnLst>
    <dgm:cxn modelId="{E01A6620-71EF-4EE2-B5D6-C2D151DBB74A}" srcId="{C8A6882A-16EE-4669-8CBE-105E2A8D20A1}" destId="{9A10D930-1CEA-46B9-93D8-2CD8D66F9106}" srcOrd="2" destOrd="0" parTransId="{0931D57F-7C44-48BB-A600-C105E1924114}" sibTransId="{309731DB-DFAA-479B-8565-D372C20A752F}"/>
    <dgm:cxn modelId="{B2682D2D-8AEF-4A5D-9FFF-8367E498E1D7}" type="presOf" srcId="{C8A6882A-16EE-4669-8CBE-105E2A8D20A1}" destId="{EAB60BE9-2324-4909-9F42-30B5259C2B52}" srcOrd="0" destOrd="0" presId="urn:microsoft.com/office/officeart/2005/8/layout/orgChart1"/>
    <dgm:cxn modelId="{FF313FB6-6A55-46F4-A8E0-5F4F68012A0B}" srcId="{C8A6882A-16EE-4669-8CBE-105E2A8D20A1}" destId="{26E23B0F-4B9B-462C-A648-ED54C53D5FAE}" srcOrd="1" destOrd="0" parTransId="{1FCF7792-E9AF-4BAD-9C48-F8D7C47AB1E5}" sibTransId="{F62BCFCB-7A1A-4E3D-8BC6-5ED828AFEFF9}"/>
    <dgm:cxn modelId="{300C0E78-305D-4047-8A77-B5F2DBA368AC}" srcId="{C8A6882A-16EE-4669-8CBE-105E2A8D20A1}" destId="{70B1EC75-26E0-4290-AAE2-FA7FBD35C113}" srcOrd="0" destOrd="0" parTransId="{79695389-4897-4964-8CFE-6B062C5AFF83}" sibTransId="{0C9E33D8-C8D5-4555-937C-238D9BBB652D}"/>
    <dgm:cxn modelId="{BC64C29B-5BF3-4939-B979-56438EE5176A}" type="presOf" srcId="{1FCF7792-E9AF-4BAD-9C48-F8D7C47AB1E5}" destId="{CEB58CBC-0E51-4832-8E84-34E0F580ADEF}" srcOrd="0" destOrd="0" presId="urn:microsoft.com/office/officeart/2005/8/layout/orgChart1"/>
    <dgm:cxn modelId="{CDBBC30F-3399-45BB-92DF-A500C5BABE49}" type="presOf" srcId="{0931D57F-7C44-48BB-A600-C105E1924114}" destId="{4101B554-F67C-482C-A7E5-7C9020932123}" srcOrd="0" destOrd="0" presId="urn:microsoft.com/office/officeart/2005/8/layout/orgChart1"/>
    <dgm:cxn modelId="{66B2D050-FC36-4910-A6D4-6654CAE8A811}" type="presOf" srcId="{26E23B0F-4B9B-462C-A648-ED54C53D5FAE}" destId="{CF08AE82-662A-4F57-8D3C-21F610669D8D}" srcOrd="0" destOrd="0" presId="urn:microsoft.com/office/officeart/2005/8/layout/orgChart1"/>
    <dgm:cxn modelId="{2F465575-D39E-4D7B-A2B7-04F3E59B92E4}" type="presOf" srcId="{D4C28A93-2CD6-4873-ACD7-A5C229B46D7B}" destId="{44350CE8-FDDD-4AD3-A17F-A572096E065F}" srcOrd="0" destOrd="0" presId="urn:microsoft.com/office/officeart/2005/8/layout/orgChart1"/>
    <dgm:cxn modelId="{9B3CB650-F5C7-4AB5-92B2-6188017FD20E}" type="presOf" srcId="{79695389-4897-4964-8CFE-6B062C5AFF83}" destId="{EE486636-9086-4511-9FB7-86F571E6A394}" srcOrd="0" destOrd="0" presId="urn:microsoft.com/office/officeart/2005/8/layout/orgChart1"/>
    <dgm:cxn modelId="{103FD6A3-1548-406D-880E-EA1627C9C0CA}" type="presOf" srcId="{9A10D930-1CEA-46B9-93D8-2CD8D66F9106}" destId="{7077A57A-1550-4DF9-92AD-83F212E7E64E}" srcOrd="0" destOrd="0" presId="urn:microsoft.com/office/officeart/2005/8/layout/orgChart1"/>
    <dgm:cxn modelId="{67542FD6-A009-4394-B613-3B00F1D795EF}" type="presOf" srcId="{26E23B0F-4B9B-462C-A648-ED54C53D5FAE}" destId="{AA48C82A-02E2-40F7-8B05-7E82BE496F46}" srcOrd="1" destOrd="0" presId="urn:microsoft.com/office/officeart/2005/8/layout/orgChart1"/>
    <dgm:cxn modelId="{39AED83D-8903-44A9-8D6A-CF06EC3FEB3B}" type="presOf" srcId="{9A10D930-1CEA-46B9-93D8-2CD8D66F9106}" destId="{F0115AFB-398F-41B1-AB52-553A2BE0AE9A}" srcOrd="1" destOrd="0" presId="urn:microsoft.com/office/officeart/2005/8/layout/orgChart1"/>
    <dgm:cxn modelId="{42E17473-962F-43BB-83E8-42BDDFAC9DDF}" srcId="{D4C28A93-2CD6-4873-ACD7-A5C229B46D7B}" destId="{C8A6882A-16EE-4669-8CBE-105E2A8D20A1}" srcOrd="0" destOrd="0" parTransId="{12F612D1-3E0F-4E3C-9A92-EA07AF54CEA6}" sibTransId="{4DBB8713-BA5D-4F8F-B57F-CB2A1FEF6BDF}"/>
    <dgm:cxn modelId="{4AAAE28B-B1D0-4488-A637-AB45A0515B52}" type="presOf" srcId="{70B1EC75-26E0-4290-AAE2-FA7FBD35C113}" destId="{1AE31EA6-2568-48CF-B8C6-FFE747872F01}" srcOrd="1" destOrd="0" presId="urn:microsoft.com/office/officeart/2005/8/layout/orgChart1"/>
    <dgm:cxn modelId="{1FC9EB6D-FD7E-494C-9A70-3B2685A06A1C}" type="presOf" srcId="{70B1EC75-26E0-4290-AAE2-FA7FBD35C113}" destId="{524DA309-5DFF-42C5-920E-625D7F2DF6F8}" srcOrd="0" destOrd="0" presId="urn:microsoft.com/office/officeart/2005/8/layout/orgChart1"/>
    <dgm:cxn modelId="{6766801A-0526-42C9-9C31-0F771F9EE6ED}" type="presOf" srcId="{C8A6882A-16EE-4669-8CBE-105E2A8D20A1}" destId="{6085D47B-2233-4C4C-9B20-ADC64755C844}" srcOrd="1" destOrd="0" presId="urn:microsoft.com/office/officeart/2005/8/layout/orgChart1"/>
    <dgm:cxn modelId="{2B5D945D-6F2F-4BA3-9743-2773EC0F783D}" type="presParOf" srcId="{44350CE8-FDDD-4AD3-A17F-A572096E065F}" destId="{595A30A5-BC97-4F23-A39D-804FCD0C0EB9}" srcOrd="0" destOrd="0" presId="urn:microsoft.com/office/officeart/2005/8/layout/orgChart1"/>
    <dgm:cxn modelId="{D6784BA3-676D-46B8-A214-56F61ACC6C03}" type="presParOf" srcId="{595A30A5-BC97-4F23-A39D-804FCD0C0EB9}" destId="{4B84A9CE-F84C-48CF-96D6-C4108541856D}" srcOrd="0" destOrd="0" presId="urn:microsoft.com/office/officeart/2005/8/layout/orgChart1"/>
    <dgm:cxn modelId="{61541164-4BA7-448E-846D-CB5A47105FD8}" type="presParOf" srcId="{4B84A9CE-F84C-48CF-96D6-C4108541856D}" destId="{EAB60BE9-2324-4909-9F42-30B5259C2B52}" srcOrd="0" destOrd="0" presId="urn:microsoft.com/office/officeart/2005/8/layout/orgChart1"/>
    <dgm:cxn modelId="{0F294C38-DA98-40C1-B80B-7B936D7DE633}" type="presParOf" srcId="{4B84A9CE-F84C-48CF-96D6-C4108541856D}" destId="{6085D47B-2233-4C4C-9B20-ADC64755C844}" srcOrd="1" destOrd="0" presId="urn:microsoft.com/office/officeart/2005/8/layout/orgChart1"/>
    <dgm:cxn modelId="{A18061BF-7377-4253-A343-5A7C9EE0F3D1}" type="presParOf" srcId="{595A30A5-BC97-4F23-A39D-804FCD0C0EB9}" destId="{4EE348F6-0935-4DF7-A686-27B1D74BF099}" srcOrd="1" destOrd="0" presId="urn:microsoft.com/office/officeart/2005/8/layout/orgChart1"/>
    <dgm:cxn modelId="{897CF1AB-EFFF-4121-BCF6-2C2F3929201E}" type="presParOf" srcId="{4EE348F6-0935-4DF7-A686-27B1D74BF099}" destId="{EE486636-9086-4511-9FB7-86F571E6A394}" srcOrd="0" destOrd="0" presId="urn:microsoft.com/office/officeart/2005/8/layout/orgChart1"/>
    <dgm:cxn modelId="{ADDC86AC-5CEB-438A-BE71-E3BA51EC2F0C}" type="presParOf" srcId="{4EE348F6-0935-4DF7-A686-27B1D74BF099}" destId="{72CDD937-B987-45F2-B7DD-4F93B7987480}" srcOrd="1" destOrd="0" presId="urn:microsoft.com/office/officeart/2005/8/layout/orgChart1"/>
    <dgm:cxn modelId="{F0A77BD7-864A-4A50-872B-3CDFF64FB5CA}" type="presParOf" srcId="{72CDD937-B987-45F2-B7DD-4F93B7987480}" destId="{247BC8DB-6BCD-4FF1-BBE8-DEF30F893689}" srcOrd="0" destOrd="0" presId="urn:microsoft.com/office/officeart/2005/8/layout/orgChart1"/>
    <dgm:cxn modelId="{83872979-0E0B-4972-B603-56A897DF6672}" type="presParOf" srcId="{247BC8DB-6BCD-4FF1-BBE8-DEF30F893689}" destId="{524DA309-5DFF-42C5-920E-625D7F2DF6F8}" srcOrd="0" destOrd="0" presId="urn:microsoft.com/office/officeart/2005/8/layout/orgChart1"/>
    <dgm:cxn modelId="{E82ED817-C483-49B8-AF68-2FF87F276E3F}" type="presParOf" srcId="{247BC8DB-6BCD-4FF1-BBE8-DEF30F893689}" destId="{1AE31EA6-2568-48CF-B8C6-FFE747872F01}" srcOrd="1" destOrd="0" presId="urn:microsoft.com/office/officeart/2005/8/layout/orgChart1"/>
    <dgm:cxn modelId="{9B494B8C-9401-4F6F-8AD7-AC2E2DC237F4}" type="presParOf" srcId="{72CDD937-B987-45F2-B7DD-4F93B7987480}" destId="{D153E174-2841-4C1C-9767-DA372B86DDE7}" srcOrd="1" destOrd="0" presId="urn:microsoft.com/office/officeart/2005/8/layout/orgChart1"/>
    <dgm:cxn modelId="{D42445B8-8772-4FEE-A49F-A127F5D03201}" type="presParOf" srcId="{72CDD937-B987-45F2-B7DD-4F93B7987480}" destId="{A6FE432A-225C-40BE-9B73-853DD633AEF8}" srcOrd="2" destOrd="0" presId="urn:microsoft.com/office/officeart/2005/8/layout/orgChart1"/>
    <dgm:cxn modelId="{58ED1BFA-39FE-46F6-9DD8-FEE169935516}" type="presParOf" srcId="{4EE348F6-0935-4DF7-A686-27B1D74BF099}" destId="{CEB58CBC-0E51-4832-8E84-34E0F580ADEF}" srcOrd="2" destOrd="0" presId="urn:microsoft.com/office/officeart/2005/8/layout/orgChart1"/>
    <dgm:cxn modelId="{78B304A3-2311-4CD0-A4B4-DB9C1C56FD14}" type="presParOf" srcId="{4EE348F6-0935-4DF7-A686-27B1D74BF099}" destId="{3E2F7615-EA82-4BB4-B36E-FCB79BCC2DBB}" srcOrd="3" destOrd="0" presId="urn:microsoft.com/office/officeart/2005/8/layout/orgChart1"/>
    <dgm:cxn modelId="{EF30FFBC-3063-4E12-9936-4A506978CDC1}" type="presParOf" srcId="{3E2F7615-EA82-4BB4-B36E-FCB79BCC2DBB}" destId="{C983C5A3-C35B-4915-9C2D-EBF3B89D24BC}" srcOrd="0" destOrd="0" presId="urn:microsoft.com/office/officeart/2005/8/layout/orgChart1"/>
    <dgm:cxn modelId="{48BDA950-3DAF-4774-9C46-AC7441181D6D}" type="presParOf" srcId="{C983C5A3-C35B-4915-9C2D-EBF3B89D24BC}" destId="{CF08AE82-662A-4F57-8D3C-21F610669D8D}" srcOrd="0" destOrd="0" presId="urn:microsoft.com/office/officeart/2005/8/layout/orgChart1"/>
    <dgm:cxn modelId="{323287DD-0978-455B-B6EF-9A0E4E0299B6}" type="presParOf" srcId="{C983C5A3-C35B-4915-9C2D-EBF3B89D24BC}" destId="{AA48C82A-02E2-40F7-8B05-7E82BE496F46}" srcOrd="1" destOrd="0" presId="urn:microsoft.com/office/officeart/2005/8/layout/orgChart1"/>
    <dgm:cxn modelId="{1B4D8295-962D-470C-B3FB-AA80FAC423B4}" type="presParOf" srcId="{3E2F7615-EA82-4BB4-B36E-FCB79BCC2DBB}" destId="{C2DCE66D-91E8-4309-8C43-287BC04DFEFA}" srcOrd="1" destOrd="0" presId="urn:microsoft.com/office/officeart/2005/8/layout/orgChart1"/>
    <dgm:cxn modelId="{08EEC394-E534-458C-BA63-6FBDFA644429}" type="presParOf" srcId="{3E2F7615-EA82-4BB4-B36E-FCB79BCC2DBB}" destId="{C365E3F2-F002-4AC9-A6A6-E308A54CC99A}" srcOrd="2" destOrd="0" presId="urn:microsoft.com/office/officeart/2005/8/layout/orgChart1"/>
    <dgm:cxn modelId="{5BC1046A-99DB-4FC4-9E87-A6DCB1D44DA6}" type="presParOf" srcId="{4EE348F6-0935-4DF7-A686-27B1D74BF099}" destId="{4101B554-F67C-482C-A7E5-7C9020932123}" srcOrd="4" destOrd="0" presId="urn:microsoft.com/office/officeart/2005/8/layout/orgChart1"/>
    <dgm:cxn modelId="{191B99BB-E11B-4B0D-A2F7-B474B38F6C73}" type="presParOf" srcId="{4EE348F6-0935-4DF7-A686-27B1D74BF099}" destId="{FFBFC1CA-F13D-44A1-8258-97FD8B3EDD54}" srcOrd="5" destOrd="0" presId="urn:microsoft.com/office/officeart/2005/8/layout/orgChart1"/>
    <dgm:cxn modelId="{EF0F4716-31C2-4326-BAFD-6D8EC1CB5C16}" type="presParOf" srcId="{FFBFC1CA-F13D-44A1-8258-97FD8B3EDD54}" destId="{BFB6D544-87AE-4CEA-88A4-AB3B5052BA8B}" srcOrd="0" destOrd="0" presId="urn:microsoft.com/office/officeart/2005/8/layout/orgChart1"/>
    <dgm:cxn modelId="{816B565A-D2F1-461E-B2C7-DC608E7818CF}" type="presParOf" srcId="{BFB6D544-87AE-4CEA-88A4-AB3B5052BA8B}" destId="{7077A57A-1550-4DF9-92AD-83F212E7E64E}" srcOrd="0" destOrd="0" presId="urn:microsoft.com/office/officeart/2005/8/layout/orgChart1"/>
    <dgm:cxn modelId="{CC9092E9-9531-4B3A-822A-259579017FB9}" type="presParOf" srcId="{BFB6D544-87AE-4CEA-88A4-AB3B5052BA8B}" destId="{F0115AFB-398F-41B1-AB52-553A2BE0AE9A}" srcOrd="1" destOrd="0" presId="urn:microsoft.com/office/officeart/2005/8/layout/orgChart1"/>
    <dgm:cxn modelId="{91814078-E455-48DF-9552-61390293B99E}" type="presParOf" srcId="{FFBFC1CA-F13D-44A1-8258-97FD8B3EDD54}" destId="{F107ED9E-9D64-4804-BA4F-932F0DCF57D9}" srcOrd="1" destOrd="0" presId="urn:microsoft.com/office/officeart/2005/8/layout/orgChart1"/>
    <dgm:cxn modelId="{B14504F4-2A28-4DD0-B015-75AB3244245E}" type="presParOf" srcId="{FFBFC1CA-F13D-44A1-8258-97FD8B3EDD54}" destId="{E44C7D41-EA4D-40AA-9455-C5F4B4E05571}" srcOrd="2" destOrd="0" presId="urn:microsoft.com/office/officeart/2005/8/layout/orgChart1"/>
    <dgm:cxn modelId="{AA524E36-DB6B-4498-8B15-B3C752BD418B}" type="presParOf" srcId="{595A30A5-BC97-4F23-A39D-804FCD0C0EB9}" destId="{D5DCBAD1-598B-4EB3-BC2D-946B1480560E}"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0E996EF-9519-4F08-87E0-F8970AF79079}"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US"/>
        </a:p>
      </dgm:t>
    </dgm:pt>
    <dgm:pt modelId="{F000A75E-D5F1-4F5C-A1A5-B5A8092FD95E}">
      <dgm:prSet phldrT="[Text]"/>
      <dgm:spPr>
        <a:xfrm>
          <a:off x="1229235" y="852470"/>
          <a:ext cx="1133815" cy="113381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Investment </a:t>
          </a:r>
        </a:p>
      </dgm:t>
    </dgm:pt>
    <dgm:pt modelId="{446677A8-EC83-4AC6-99D8-198B627C3B8C}" type="parTrans" cxnId="{119BCCE4-04EB-4623-AE3A-091E105A652F}">
      <dgm:prSet/>
      <dgm:spPr/>
      <dgm:t>
        <a:bodyPr/>
        <a:lstStyle/>
        <a:p>
          <a:endParaRPr lang="en-US"/>
        </a:p>
      </dgm:t>
    </dgm:pt>
    <dgm:pt modelId="{B6BA026C-F1D4-4ABE-ACBA-465C03559777}" type="sibTrans" cxnId="{119BCCE4-04EB-4623-AE3A-091E105A652F}">
      <dgm:prSet/>
      <dgm:spPr/>
      <dgm:t>
        <a:bodyPr/>
        <a:lstStyle/>
        <a:p>
          <a:endParaRPr lang="en-US"/>
        </a:p>
      </dgm:t>
    </dgm:pt>
    <dgm:pt modelId="{EE33DDEF-DDEC-47F5-B6B0-2EC3EC82457B}">
      <dgm:prSet phldrT="[Text]"/>
      <dgm:spPr>
        <a:xfrm>
          <a:off x="1791" y="109214"/>
          <a:ext cx="1077124" cy="8616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Government Securities</a:t>
          </a:r>
        </a:p>
      </dgm:t>
    </dgm:pt>
    <dgm:pt modelId="{E5E90E97-4477-4BEF-8C75-3F1F244F3B8A}" type="parTrans" cxnId="{4FE05D1C-F6FF-436D-9A0E-0AB04452B312}">
      <dgm:prSet/>
      <dgm:spPr>
        <a:xfrm rot="12900000">
          <a:off x="457797" y="640330"/>
          <a:ext cx="912991" cy="323137"/>
        </a:xfrm>
        <a:solidFill>
          <a:srgbClr val="4F81BD">
            <a:tint val="60000"/>
            <a:hueOff val="0"/>
            <a:satOff val="0"/>
            <a:lumOff val="0"/>
            <a:alphaOff val="0"/>
          </a:srgbClr>
        </a:solidFill>
        <a:ln>
          <a:noFill/>
        </a:ln>
        <a:effectLst/>
      </dgm:spPr>
      <dgm:t>
        <a:bodyPr/>
        <a:lstStyle/>
        <a:p>
          <a:endParaRPr lang="en-US"/>
        </a:p>
      </dgm:t>
    </dgm:pt>
    <dgm:pt modelId="{9B011BDB-75D6-4FE7-A762-FA48E6E3BAAA}" type="sibTrans" cxnId="{4FE05D1C-F6FF-436D-9A0E-0AB04452B312}">
      <dgm:prSet/>
      <dgm:spPr/>
      <dgm:t>
        <a:bodyPr/>
        <a:lstStyle/>
        <a:p>
          <a:endParaRPr lang="en-US"/>
        </a:p>
      </dgm:t>
    </dgm:pt>
    <dgm:pt modelId="{2C95E176-1A6A-4EA3-A705-18ED5F2746CA}">
      <dgm:prSet phldrT="[Text]"/>
      <dgm:spPr>
        <a:xfrm>
          <a:off x="2513370" y="109214"/>
          <a:ext cx="1077124" cy="8616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Other Securities</a:t>
          </a:r>
        </a:p>
      </dgm:t>
    </dgm:pt>
    <dgm:pt modelId="{7A779F5E-2D41-469D-ADA9-7822D4BCBB2A}" type="parTrans" cxnId="{4A792924-4E3D-47E4-BDB2-AD0A20E22478}">
      <dgm:prSet/>
      <dgm:spPr>
        <a:xfrm rot="19500000">
          <a:off x="2221497" y="640330"/>
          <a:ext cx="912991" cy="323137"/>
        </a:xfrm>
        <a:solidFill>
          <a:srgbClr val="4F81BD">
            <a:tint val="60000"/>
            <a:hueOff val="0"/>
            <a:satOff val="0"/>
            <a:lumOff val="0"/>
            <a:alphaOff val="0"/>
          </a:srgbClr>
        </a:solidFill>
        <a:ln>
          <a:noFill/>
        </a:ln>
        <a:effectLst/>
      </dgm:spPr>
      <dgm:t>
        <a:bodyPr/>
        <a:lstStyle/>
        <a:p>
          <a:endParaRPr lang="en-US"/>
        </a:p>
      </dgm:t>
    </dgm:pt>
    <dgm:pt modelId="{5788F22C-BF5C-4A99-B990-20A6CE5CEDF3}" type="sibTrans" cxnId="{4A792924-4E3D-47E4-BDB2-AD0A20E22478}">
      <dgm:prSet/>
      <dgm:spPr/>
      <dgm:t>
        <a:bodyPr/>
        <a:lstStyle/>
        <a:p>
          <a:endParaRPr lang="en-US"/>
        </a:p>
      </dgm:t>
    </dgm:pt>
    <dgm:pt modelId="{69EC7E2E-BF20-4410-A5A8-D9F4ABD6C5B0}" type="pres">
      <dgm:prSet presAssocID="{80E996EF-9519-4F08-87E0-F8970AF79079}" presName="cycle" presStyleCnt="0">
        <dgm:presLayoutVars>
          <dgm:chMax val="1"/>
          <dgm:dir/>
          <dgm:animLvl val="ctr"/>
          <dgm:resizeHandles val="exact"/>
        </dgm:presLayoutVars>
      </dgm:prSet>
      <dgm:spPr/>
      <dgm:t>
        <a:bodyPr/>
        <a:lstStyle/>
        <a:p>
          <a:endParaRPr lang="en-US"/>
        </a:p>
      </dgm:t>
    </dgm:pt>
    <dgm:pt modelId="{EC5FDABE-B7E8-4C5D-A0C3-9B53BC864491}" type="pres">
      <dgm:prSet presAssocID="{F000A75E-D5F1-4F5C-A1A5-B5A8092FD95E}" presName="centerShape" presStyleLbl="node0" presStyleIdx="0" presStyleCnt="1"/>
      <dgm:spPr>
        <a:prstGeom prst="ellipse">
          <a:avLst/>
        </a:prstGeom>
      </dgm:spPr>
      <dgm:t>
        <a:bodyPr/>
        <a:lstStyle/>
        <a:p>
          <a:endParaRPr lang="en-US"/>
        </a:p>
      </dgm:t>
    </dgm:pt>
    <dgm:pt modelId="{8C393A9B-DF74-49D4-A1A9-5396B8EC6210}" type="pres">
      <dgm:prSet presAssocID="{E5E90E97-4477-4BEF-8C75-3F1F244F3B8A}" presName="parTrans" presStyleLbl="bgSibTrans2D1" presStyleIdx="0" presStyleCnt="2"/>
      <dgm:spPr>
        <a:prstGeom prst="leftArrow">
          <a:avLst>
            <a:gd name="adj1" fmla="val 60000"/>
            <a:gd name="adj2" fmla="val 50000"/>
          </a:avLst>
        </a:prstGeom>
      </dgm:spPr>
      <dgm:t>
        <a:bodyPr/>
        <a:lstStyle/>
        <a:p>
          <a:endParaRPr lang="en-US"/>
        </a:p>
      </dgm:t>
    </dgm:pt>
    <dgm:pt modelId="{17D7A63E-4A65-4DE0-9BAA-BF084313FFCB}" type="pres">
      <dgm:prSet presAssocID="{EE33DDEF-DDEC-47F5-B6B0-2EC3EC82457B}" presName="node" presStyleLbl="node1" presStyleIdx="0" presStyleCnt="2">
        <dgm:presLayoutVars>
          <dgm:bulletEnabled val="1"/>
        </dgm:presLayoutVars>
      </dgm:prSet>
      <dgm:spPr>
        <a:prstGeom prst="roundRect">
          <a:avLst>
            <a:gd name="adj" fmla="val 10000"/>
          </a:avLst>
        </a:prstGeom>
      </dgm:spPr>
      <dgm:t>
        <a:bodyPr/>
        <a:lstStyle/>
        <a:p>
          <a:endParaRPr lang="en-US"/>
        </a:p>
      </dgm:t>
    </dgm:pt>
    <dgm:pt modelId="{E6E0D0A8-F3C6-484B-B036-ECAECFC1DCA8}" type="pres">
      <dgm:prSet presAssocID="{7A779F5E-2D41-469D-ADA9-7822D4BCBB2A}" presName="parTrans" presStyleLbl="bgSibTrans2D1" presStyleIdx="1" presStyleCnt="2"/>
      <dgm:spPr>
        <a:prstGeom prst="leftArrow">
          <a:avLst>
            <a:gd name="adj1" fmla="val 60000"/>
            <a:gd name="adj2" fmla="val 50000"/>
          </a:avLst>
        </a:prstGeom>
      </dgm:spPr>
      <dgm:t>
        <a:bodyPr/>
        <a:lstStyle/>
        <a:p>
          <a:endParaRPr lang="en-US"/>
        </a:p>
      </dgm:t>
    </dgm:pt>
    <dgm:pt modelId="{3DB479C8-9064-4387-80D4-22462F4FFB79}" type="pres">
      <dgm:prSet presAssocID="{2C95E176-1A6A-4EA3-A705-18ED5F2746CA}" presName="node" presStyleLbl="node1" presStyleIdx="1" presStyleCnt="2">
        <dgm:presLayoutVars>
          <dgm:bulletEnabled val="1"/>
        </dgm:presLayoutVars>
      </dgm:prSet>
      <dgm:spPr>
        <a:prstGeom prst="roundRect">
          <a:avLst>
            <a:gd name="adj" fmla="val 10000"/>
          </a:avLst>
        </a:prstGeom>
      </dgm:spPr>
      <dgm:t>
        <a:bodyPr/>
        <a:lstStyle/>
        <a:p>
          <a:endParaRPr lang="en-US"/>
        </a:p>
      </dgm:t>
    </dgm:pt>
  </dgm:ptLst>
  <dgm:cxnLst>
    <dgm:cxn modelId="{119BCCE4-04EB-4623-AE3A-091E105A652F}" srcId="{80E996EF-9519-4F08-87E0-F8970AF79079}" destId="{F000A75E-D5F1-4F5C-A1A5-B5A8092FD95E}" srcOrd="0" destOrd="0" parTransId="{446677A8-EC83-4AC6-99D8-198B627C3B8C}" sibTransId="{B6BA026C-F1D4-4ABE-ACBA-465C03559777}"/>
    <dgm:cxn modelId="{036EE252-3446-496C-B38D-2C57CDD05D1B}" type="presOf" srcId="{2C95E176-1A6A-4EA3-A705-18ED5F2746CA}" destId="{3DB479C8-9064-4387-80D4-22462F4FFB79}" srcOrd="0" destOrd="0" presId="urn:microsoft.com/office/officeart/2005/8/layout/radial4"/>
    <dgm:cxn modelId="{7088DE24-BA6A-440E-9124-2EC406C49A31}" type="presOf" srcId="{E5E90E97-4477-4BEF-8C75-3F1F244F3B8A}" destId="{8C393A9B-DF74-49D4-A1A9-5396B8EC6210}" srcOrd="0" destOrd="0" presId="urn:microsoft.com/office/officeart/2005/8/layout/radial4"/>
    <dgm:cxn modelId="{4A792924-4E3D-47E4-BDB2-AD0A20E22478}" srcId="{F000A75E-D5F1-4F5C-A1A5-B5A8092FD95E}" destId="{2C95E176-1A6A-4EA3-A705-18ED5F2746CA}" srcOrd="1" destOrd="0" parTransId="{7A779F5E-2D41-469D-ADA9-7822D4BCBB2A}" sibTransId="{5788F22C-BF5C-4A99-B990-20A6CE5CEDF3}"/>
    <dgm:cxn modelId="{4FE05D1C-F6FF-436D-9A0E-0AB04452B312}" srcId="{F000A75E-D5F1-4F5C-A1A5-B5A8092FD95E}" destId="{EE33DDEF-DDEC-47F5-B6B0-2EC3EC82457B}" srcOrd="0" destOrd="0" parTransId="{E5E90E97-4477-4BEF-8C75-3F1F244F3B8A}" sibTransId="{9B011BDB-75D6-4FE7-A762-FA48E6E3BAAA}"/>
    <dgm:cxn modelId="{CCECE22B-4FD8-49C9-9D94-C4A08AA56D25}" type="presOf" srcId="{7A779F5E-2D41-469D-ADA9-7822D4BCBB2A}" destId="{E6E0D0A8-F3C6-484B-B036-ECAECFC1DCA8}" srcOrd="0" destOrd="0" presId="urn:microsoft.com/office/officeart/2005/8/layout/radial4"/>
    <dgm:cxn modelId="{F645A1F0-6A7A-4018-9C50-611D91890A56}" type="presOf" srcId="{F000A75E-D5F1-4F5C-A1A5-B5A8092FD95E}" destId="{EC5FDABE-B7E8-4C5D-A0C3-9B53BC864491}" srcOrd="0" destOrd="0" presId="urn:microsoft.com/office/officeart/2005/8/layout/radial4"/>
    <dgm:cxn modelId="{17C86660-34A0-4735-9BE4-0A706464EC76}" type="presOf" srcId="{EE33DDEF-DDEC-47F5-B6B0-2EC3EC82457B}" destId="{17D7A63E-4A65-4DE0-9BAA-BF084313FFCB}" srcOrd="0" destOrd="0" presId="urn:microsoft.com/office/officeart/2005/8/layout/radial4"/>
    <dgm:cxn modelId="{C222D8D5-C5C6-4ADA-BD06-749135696AF6}" type="presOf" srcId="{80E996EF-9519-4F08-87E0-F8970AF79079}" destId="{69EC7E2E-BF20-4410-A5A8-D9F4ABD6C5B0}" srcOrd="0" destOrd="0" presId="urn:microsoft.com/office/officeart/2005/8/layout/radial4"/>
    <dgm:cxn modelId="{89853618-9881-4EBC-8C7F-E663F51887A0}" type="presParOf" srcId="{69EC7E2E-BF20-4410-A5A8-D9F4ABD6C5B0}" destId="{EC5FDABE-B7E8-4C5D-A0C3-9B53BC864491}" srcOrd="0" destOrd="0" presId="urn:microsoft.com/office/officeart/2005/8/layout/radial4"/>
    <dgm:cxn modelId="{E98A9BFC-26EE-429B-98C7-7A92C19A0320}" type="presParOf" srcId="{69EC7E2E-BF20-4410-A5A8-D9F4ABD6C5B0}" destId="{8C393A9B-DF74-49D4-A1A9-5396B8EC6210}" srcOrd="1" destOrd="0" presId="urn:microsoft.com/office/officeart/2005/8/layout/radial4"/>
    <dgm:cxn modelId="{5F60FE07-0945-4E6F-952A-8F4CF3152068}" type="presParOf" srcId="{69EC7E2E-BF20-4410-A5A8-D9F4ABD6C5B0}" destId="{17D7A63E-4A65-4DE0-9BAA-BF084313FFCB}" srcOrd="2" destOrd="0" presId="urn:microsoft.com/office/officeart/2005/8/layout/radial4"/>
    <dgm:cxn modelId="{E7869B2E-641F-4C18-A52D-5119232258F8}" type="presParOf" srcId="{69EC7E2E-BF20-4410-A5A8-D9F4ABD6C5B0}" destId="{E6E0D0A8-F3C6-484B-B036-ECAECFC1DCA8}" srcOrd="3" destOrd="0" presId="urn:microsoft.com/office/officeart/2005/8/layout/radial4"/>
    <dgm:cxn modelId="{4E125E46-4BC8-4018-BC41-431710793D2B}" type="presParOf" srcId="{69EC7E2E-BF20-4410-A5A8-D9F4ABD6C5B0}" destId="{3DB479C8-9064-4387-80D4-22462F4FFB79}" srcOrd="4" destOrd="0" presId="urn:microsoft.com/office/officeart/2005/8/layout/radial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FC3A62D-C70A-44E0-A0CB-6E02507A90FC}" type="doc">
      <dgm:prSet loTypeId="urn:microsoft.com/office/officeart/2005/8/layout/hChevron3" loCatId="process" qsTypeId="urn:microsoft.com/office/officeart/2005/8/quickstyle/simple5" qsCatId="simple" csTypeId="urn:microsoft.com/office/officeart/2005/8/colors/accent1_2" csCatId="accent1" phldr="1"/>
      <dgm:spPr/>
    </dgm:pt>
    <dgm:pt modelId="{471899F3-3BF6-4CC1-BCD5-D4934BBA329A}">
      <dgm:prSet phldrT="[Text]"/>
      <dgm:spPr>
        <a:xfrm>
          <a:off x="756" y="149297"/>
          <a:ext cx="1476014" cy="5904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US">
              <a:solidFill>
                <a:sysClr val="window" lastClr="FFFFFF"/>
              </a:solidFill>
              <a:latin typeface="Calibri"/>
              <a:ea typeface="+mn-ea"/>
              <a:cs typeface="+mn-cs"/>
            </a:rPr>
            <a:t>Treasury Bill</a:t>
          </a:r>
        </a:p>
      </dgm:t>
    </dgm:pt>
    <dgm:pt modelId="{82B79932-6F03-42A5-9DFE-71589E9FD36D}" type="parTrans" cxnId="{6E5B0B04-6318-4688-BC06-A062196E22F3}">
      <dgm:prSet/>
      <dgm:spPr/>
      <dgm:t>
        <a:bodyPr/>
        <a:lstStyle/>
        <a:p>
          <a:endParaRPr lang="en-US"/>
        </a:p>
      </dgm:t>
    </dgm:pt>
    <dgm:pt modelId="{9EDEB078-5765-4000-8C2A-6DF917B35750}" type="sibTrans" cxnId="{6E5B0B04-6318-4688-BC06-A062196E22F3}">
      <dgm:prSet/>
      <dgm:spPr/>
      <dgm:t>
        <a:bodyPr/>
        <a:lstStyle/>
        <a:p>
          <a:endParaRPr lang="en-US"/>
        </a:p>
      </dgm:t>
    </dgm:pt>
    <dgm:pt modelId="{B0FEA1A9-E686-42D7-B357-9C95BD18B4B7}">
      <dgm:prSet phldrT="[Text]"/>
      <dgm:spPr>
        <a:xfrm>
          <a:off x="3543191" y="149297"/>
          <a:ext cx="1476014" cy="5904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US">
              <a:solidFill>
                <a:sysClr val="window" lastClr="FFFFFF"/>
              </a:solidFill>
              <a:latin typeface="Calibri"/>
              <a:ea typeface="+mn-ea"/>
              <a:cs typeface="+mn-cs"/>
            </a:rPr>
            <a:t>Encumbered Securities</a:t>
          </a:r>
        </a:p>
      </dgm:t>
    </dgm:pt>
    <dgm:pt modelId="{DA989662-786B-46D2-9B8A-307D742C5376}" type="parTrans" cxnId="{1D962306-693C-42E9-9271-9B93A3C33746}">
      <dgm:prSet/>
      <dgm:spPr/>
      <dgm:t>
        <a:bodyPr/>
        <a:lstStyle/>
        <a:p>
          <a:endParaRPr lang="en-US"/>
        </a:p>
      </dgm:t>
    </dgm:pt>
    <dgm:pt modelId="{657CFA39-3ED0-4267-ADDF-1079C4AF86D0}" type="sibTrans" cxnId="{1D962306-693C-42E9-9271-9B93A3C33746}">
      <dgm:prSet/>
      <dgm:spPr/>
      <dgm:t>
        <a:bodyPr/>
        <a:lstStyle/>
        <a:p>
          <a:endParaRPr lang="en-US"/>
        </a:p>
      </dgm:t>
    </dgm:pt>
    <dgm:pt modelId="{8A27671A-70DF-4DBC-9B55-EEED56BAC452}">
      <dgm:prSet phldrT="[Text]"/>
      <dgm:spPr>
        <a:xfrm>
          <a:off x="4724003" y="149297"/>
          <a:ext cx="1476014" cy="5904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US">
              <a:solidFill>
                <a:sysClr val="window" lastClr="FFFFFF"/>
              </a:solidFill>
              <a:latin typeface="Calibri"/>
              <a:ea typeface="+mn-ea"/>
              <a:cs typeface="+mn-cs"/>
            </a:rPr>
            <a:t>Prize Bond</a:t>
          </a:r>
        </a:p>
      </dgm:t>
    </dgm:pt>
    <dgm:pt modelId="{D407E321-6483-43E9-81C7-ACB1ED363C8A}" type="parTrans" cxnId="{A44605FF-44F5-493A-B47E-96005BEB5672}">
      <dgm:prSet/>
      <dgm:spPr/>
      <dgm:t>
        <a:bodyPr/>
        <a:lstStyle/>
        <a:p>
          <a:endParaRPr lang="en-US"/>
        </a:p>
      </dgm:t>
    </dgm:pt>
    <dgm:pt modelId="{02FCBCB9-931E-4478-B4B6-F591B8181525}" type="sibTrans" cxnId="{A44605FF-44F5-493A-B47E-96005BEB5672}">
      <dgm:prSet/>
      <dgm:spPr/>
      <dgm:t>
        <a:bodyPr/>
        <a:lstStyle/>
        <a:p>
          <a:endParaRPr lang="en-US"/>
        </a:p>
      </dgm:t>
    </dgm:pt>
    <dgm:pt modelId="{488BF391-E5BA-4EB9-B839-7213ECDFC28A}">
      <dgm:prSet phldrT="[Text]"/>
      <dgm:spPr>
        <a:xfrm>
          <a:off x="1181568" y="149297"/>
          <a:ext cx="1476014" cy="5904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US">
              <a:solidFill>
                <a:sysClr val="window" lastClr="FFFFFF"/>
              </a:solidFill>
              <a:latin typeface="Calibri"/>
              <a:ea typeface="+mn-ea"/>
              <a:cs typeface="+mn-cs"/>
            </a:rPr>
            <a:t>Bangladesh Bank Bill</a:t>
          </a:r>
        </a:p>
      </dgm:t>
    </dgm:pt>
    <dgm:pt modelId="{A50F26F2-DC69-427D-9743-50DB99FE5B87}" type="parTrans" cxnId="{540AB24C-7BDC-4FCE-8B75-2F59D8C1108F}">
      <dgm:prSet/>
      <dgm:spPr/>
      <dgm:t>
        <a:bodyPr/>
        <a:lstStyle/>
        <a:p>
          <a:endParaRPr lang="en-US"/>
        </a:p>
      </dgm:t>
    </dgm:pt>
    <dgm:pt modelId="{D0FDCC07-B635-4BFF-8937-240E5B999927}" type="sibTrans" cxnId="{540AB24C-7BDC-4FCE-8B75-2F59D8C1108F}">
      <dgm:prSet/>
      <dgm:spPr/>
      <dgm:t>
        <a:bodyPr/>
        <a:lstStyle/>
        <a:p>
          <a:endParaRPr lang="en-US"/>
        </a:p>
      </dgm:t>
    </dgm:pt>
    <dgm:pt modelId="{43AB9E4A-C81F-41FD-9470-0E51576D2277}">
      <dgm:prSet phldrT="[Text]"/>
      <dgm:spPr>
        <a:xfrm>
          <a:off x="2362380" y="149297"/>
          <a:ext cx="1476014" cy="5904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r>
            <a:rPr lang="en-US">
              <a:solidFill>
                <a:sysClr val="window" lastClr="FFFFFF"/>
              </a:solidFill>
              <a:latin typeface="Calibri"/>
              <a:ea typeface="+mn-ea"/>
              <a:cs typeface="+mn-cs"/>
            </a:rPr>
            <a:t>Treasury Bond</a:t>
          </a:r>
        </a:p>
      </dgm:t>
    </dgm:pt>
    <dgm:pt modelId="{E7168CF1-D316-4FF1-9643-4575065FC4BA}" type="parTrans" cxnId="{8EF16BA0-82C3-4348-833E-20B0B7739560}">
      <dgm:prSet/>
      <dgm:spPr/>
      <dgm:t>
        <a:bodyPr/>
        <a:lstStyle/>
        <a:p>
          <a:endParaRPr lang="en-US"/>
        </a:p>
      </dgm:t>
    </dgm:pt>
    <dgm:pt modelId="{FC188944-DD96-4521-A339-D9E500BF6ED1}" type="sibTrans" cxnId="{8EF16BA0-82C3-4348-833E-20B0B7739560}">
      <dgm:prSet/>
      <dgm:spPr/>
      <dgm:t>
        <a:bodyPr/>
        <a:lstStyle/>
        <a:p>
          <a:endParaRPr lang="en-US"/>
        </a:p>
      </dgm:t>
    </dgm:pt>
    <dgm:pt modelId="{B4406D55-113F-4D63-BC7B-AEFBD1432FFE}" type="pres">
      <dgm:prSet presAssocID="{4FC3A62D-C70A-44E0-A0CB-6E02507A90FC}" presName="Name0" presStyleCnt="0">
        <dgm:presLayoutVars>
          <dgm:dir/>
          <dgm:resizeHandles val="exact"/>
        </dgm:presLayoutVars>
      </dgm:prSet>
      <dgm:spPr/>
    </dgm:pt>
    <dgm:pt modelId="{FD8DC9AE-6913-4695-B575-F41FFCE7F9FE}" type="pres">
      <dgm:prSet presAssocID="{471899F3-3BF6-4CC1-BCD5-D4934BBA329A}" presName="parTxOnly" presStyleLbl="node1" presStyleIdx="0" presStyleCnt="5">
        <dgm:presLayoutVars>
          <dgm:bulletEnabled val="1"/>
        </dgm:presLayoutVars>
      </dgm:prSet>
      <dgm:spPr>
        <a:prstGeom prst="homePlate">
          <a:avLst/>
        </a:prstGeom>
      </dgm:spPr>
      <dgm:t>
        <a:bodyPr/>
        <a:lstStyle/>
        <a:p>
          <a:endParaRPr lang="en-US"/>
        </a:p>
      </dgm:t>
    </dgm:pt>
    <dgm:pt modelId="{7A494A4C-11E1-4AD2-95C9-A0149E081BC1}" type="pres">
      <dgm:prSet presAssocID="{9EDEB078-5765-4000-8C2A-6DF917B35750}" presName="parSpace" presStyleCnt="0"/>
      <dgm:spPr/>
    </dgm:pt>
    <dgm:pt modelId="{CBF13A70-CC21-4CBF-86AF-8C3755AE0964}" type="pres">
      <dgm:prSet presAssocID="{488BF391-E5BA-4EB9-B839-7213ECDFC28A}" presName="parTxOnly" presStyleLbl="node1" presStyleIdx="1" presStyleCnt="5">
        <dgm:presLayoutVars>
          <dgm:bulletEnabled val="1"/>
        </dgm:presLayoutVars>
      </dgm:prSet>
      <dgm:spPr>
        <a:prstGeom prst="chevron">
          <a:avLst/>
        </a:prstGeom>
      </dgm:spPr>
      <dgm:t>
        <a:bodyPr/>
        <a:lstStyle/>
        <a:p>
          <a:endParaRPr lang="en-US"/>
        </a:p>
      </dgm:t>
    </dgm:pt>
    <dgm:pt modelId="{68D94C38-13AE-402D-9421-BE0E382A1F8D}" type="pres">
      <dgm:prSet presAssocID="{D0FDCC07-B635-4BFF-8937-240E5B999927}" presName="parSpace" presStyleCnt="0"/>
      <dgm:spPr/>
    </dgm:pt>
    <dgm:pt modelId="{D078C7FF-6DB6-4C50-A088-B218661881E7}" type="pres">
      <dgm:prSet presAssocID="{43AB9E4A-C81F-41FD-9470-0E51576D2277}" presName="parTxOnly" presStyleLbl="node1" presStyleIdx="2" presStyleCnt="5">
        <dgm:presLayoutVars>
          <dgm:bulletEnabled val="1"/>
        </dgm:presLayoutVars>
      </dgm:prSet>
      <dgm:spPr>
        <a:prstGeom prst="chevron">
          <a:avLst/>
        </a:prstGeom>
      </dgm:spPr>
      <dgm:t>
        <a:bodyPr/>
        <a:lstStyle/>
        <a:p>
          <a:endParaRPr lang="en-US"/>
        </a:p>
      </dgm:t>
    </dgm:pt>
    <dgm:pt modelId="{C475EE91-5E4C-415B-81DD-D77C64ADF832}" type="pres">
      <dgm:prSet presAssocID="{FC188944-DD96-4521-A339-D9E500BF6ED1}" presName="parSpace" presStyleCnt="0"/>
      <dgm:spPr/>
    </dgm:pt>
    <dgm:pt modelId="{691319EF-93BF-4A2B-8D63-60AB35B15CBF}" type="pres">
      <dgm:prSet presAssocID="{B0FEA1A9-E686-42D7-B357-9C95BD18B4B7}" presName="parTxOnly" presStyleLbl="node1" presStyleIdx="3" presStyleCnt="5">
        <dgm:presLayoutVars>
          <dgm:bulletEnabled val="1"/>
        </dgm:presLayoutVars>
      </dgm:prSet>
      <dgm:spPr>
        <a:prstGeom prst="chevron">
          <a:avLst/>
        </a:prstGeom>
      </dgm:spPr>
      <dgm:t>
        <a:bodyPr/>
        <a:lstStyle/>
        <a:p>
          <a:endParaRPr lang="en-US"/>
        </a:p>
      </dgm:t>
    </dgm:pt>
    <dgm:pt modelId="{01E415D7-64FA-46BE-8A83-467687B7AF86}" type="pres">
      <dgm:prSet presAssocID="{657CFA39-3ED0-4267-ADDF-1079C4AF86D0}" presName="parSpace" presStyleCnt="0"/>
      <dgm:spPr/>
    </dgm:pt>
    <dgm:pt modelId="{D797ABE3-3469-48C2-896F-64125BE6B1A1}" type="pres">
      <dgm:prSet presAssocID="{8A27671A-70DF-4DBC-9B55-EEED56BAC452}" presName="parTxOnly" presStyleLbl="node1" presStyleIdx="4" presStyleCnt="5">
        <dgm:presLayoutVars>
          <dgm:bulletEnabled val="1"/>
        </dgm:presLayoutVars>
      </dgm:prSet>
      <dgm:spPr>
        <a:prstGeom prst="chevron">
          <a:avLst/>
        </a:prstGeom>
      </dgm:spPr>
      <dgm:t>
        <a:bodyPr/>
        <a:lstStyle/>
        <a:p>
          <a:endParaRPr lang="en-US"/>
        </a:p>
      </dgm:t>
    </dgm:pt>
  </dgm:ptLst>
  <dgm:cxnLst>
    <dgm:cxn modelId="{99D97E96-62B7-44ED-9862-2C9A519D7196}" type="presOf" srcId="{B0FEA1A9-E686-42D7-B357-9C95BD18B4B7}" destId="{691319EF-93BF-4A2B-8D63-60AB35B15CBF}" srcOrd="0" destOrd="0" presId="urn:microsoft.com/office/officeart/2005/8/layout/hChevron3"/>
    <dgm:cxn modelId="{3B8F64F1-EA0E-489B-A05F-1C700351B08D}" type="presOf" srcId="{8A27671A-70DF-4DBC-9B55-EEED56BAC452}" destId="{D797ABE3-3469-48C2-896F-64125BE6B1A1}" srcOrd="0" destOrd="0" presId="urn:microsoft.com/office/officeart/2005/8/layout/hChevron3"/>
    <dgm:cxn modelId="{C0A4B50E-C080-4F81-83E4-1997241C5F6A}" type="presOf" srcId="{488BF391-E5BA-4EB9-B839-7213ECDFC28A}" destId="{CBF13A70-CC21-4CBF-86AF-8C3755AE0964}" srcOrd="0" destOrd="0" presId="urn:microsoft.com/office/officeart/2005/8/layout/hChevron3"/>
    <dgm:cxn modelId="{D6698B23-687E-4348-BF5B-05F8A8B34088}" type="presOf" srcId="{43AB9E4A-C81F-41FD-9470-0E51576D2277}" destId="{D078C7FF-6DB6-4C50-A088-B218661881E7}" srcOrd="0" destOrd="0" presId="urn:microsoft.com/office/officeart/2005/8/layout/hChevron3"/>
    <dgm:cxn modelId="{FFAF39F6-E5CC-45CB-8E2A-0B83630BA82D}" type="presOf" srcId="{471899F3-3BF6-4CC1-BCD5-D4934BBA329A}" destId="{FD8DC9AE-6913-4695-B575-F41FFCE7F9FE}" srcOrd="0" destOrd="0" presId="urn:microsoft.com/office/officeart/2005/8/layout/hChevron3"/>
    <dgm:cxn modelId="{A44605FF-44F5-493A-B47E-96005BEB5672}" srcId="{4FC3A62D-C70A-44E0-A0CB-6E02507A90FC}" destId="{8A27671A-70DF-4DBC-9B55-EEED56BAC452}" srcOrd="4" destOrd="0" parTransId="{D407E321-6483-43E9-81C7-ACB1ED363C8A}" sibTransId="{02FCBCB9-931E-4478-B4B6-F591B8181525}"/>
    <dgm:cxn modelId="{540AB24C-7BDC-4FCE-8B75-2F59D8C1108F}" srcId="{4FC3A62D-C70A-44E0-A0CB-6E02507A90FC}" destId="{488BF391-E5BA-4EB9-B839-7213ECDFC28A}" srcOrd="1" destOrd="0" parTransId="{A50F26F2-DC69-427D-9743-50DB99FE5B87}" sibTransId="{D0FDCC07-B635-4BFF-8937-240E5B999927}"/>
    <dgm:cxn modelId="{1D962306-693C-42E9-9271-9B93A3C33746}" srcId="{4FC3A62D-C70A-44E0-A0CB-6E02507A90FC}" destId="{B0FEA1A9-E686-42D7-B357-9C95BD18B4B7}" srcOrd="3" destOrd="0" parTransId="{DA989662-786B-46D2-9B8A-307D742C5376}" sibTransId="{657CFA39-3ED0-4267-ADDF-1079C4AF86D0}"/>
    <dgm:cxn modelId="{6E5B0B04-6318-4688-BC06-A062196E22F3}" srcId="{4FC3A62D-C70A-44E0-A0CB-6E02507A90FC}" destId="{471899F3-3BF6-4CC1-BCD5-D4934BBA329A}" srcOrd="0" destOrd="0" parTransId="{82B79932-6F03-42A5-9DFE-71589E9FD36D}" sibTransId="{9EDEB078-5765-4000-8C2A-6DF917B35750}"/>
    <dgm:cxn modelId="{AAA07429-8721-4882-8A42-FDE8568FA46D}" type="presOf" srcId="{4FC3A62D-C70A-44E0-A0CB-6E02507A90FC}" destId="{B4406D55-113F-4D63-BC7B-AEFBD1432FFE}" srcOrd="0" destOrd="0" presId="urn:microsoft.com/office/officeart/2005/8/layout/hChevron3"/>
    <dgm:cxn modelId="{8EF16BA0-82C3-4348-833E-20B0B7739560}" srcId="{4FC3A62D-C70A-44E0-A0CB-6E02507A90FC}" destId="{43AB9E4A-C81F-41FD-9470-0E51576D2277}" srcOrd="2" destOrd="0" parTransId="{E7168CF1-D316-4FF1-9643-4575065FC4BA}" sibTransId="{FC188944-DD96-4521-A339-D9E500BF6ED1}"/>
    <dgm:cxn modelId="{B0431851-4EC1-4BA9-81F7-47A8640120CB}" type="presParOf" srcId="{B4406D55-113F-4D63-BC7B-AEFBD1432FFE}" destId="{FD8DC9AE-6913-4695-B575-F41FFCE7F9FE}" srcOrd="0" destOrd="0" presId="urn:microsoft.com/office/officeart/2005/8/layout/hChevron3"/>
    <dgm:cxn modelId="{C767CE58-22A7-4098-94F4-81295C2B9E3A}" type="presParOf" srcId="{B4406D55-113F-4D63-BC7B-AEFBD1432FFE}" destId="{7A494A4C-11E1-4AD2-95C9-A0149E081BC1}" srcOrd="1" destOrd="0" presId="urn:microsoft.com/office/officeart/2005/8/layout/hChevron3"/>
    <dgm:cxn modelId="{311E3C92-87AC-40C5-94CF-FD87723899EB}" type="presParOf" srcId="{B4406D55-113F-4D63-BC7B-AEFBD1432FFE}" destId="{CBF13A70-CC21-4CBF-86AF-8C3755AE0964}" srcOrd="2" destOrd="0" presId="urn:microsoft.com/office/officeart/2005/8/layout/hChevron3"/>
    <dgm:cxn modelId="{343B282D-2554-41AC-B016-E3C3E2B8F929}" type="presParOf" srcId="{B4406D55-113F-4D63-BC7B-AEFBD1432FFE}" destId="{68D94C38-13AE-402D-9421-BE0E382A1F8D}" srcOrd="3" destOrd="0" presId="urn:microsoft.com/office/officeart/2005/8/layout/hChevron3"/>
    <dgm:cxn modelId="{A54EACD7-719F-4D4D-8A8D-5867DBCAD78C}" type="presParOf" srcId="{B4406D55-113F-4D63-BC7B-AEFBD1432FFE}" destId="{D078C7FF-6DB6-4C50-A088-B218661881E7}" srcOrd="4" destOrd="0" presId="urn:microsoft.com/office/officeart/2005/8/layout/hChevron3"/>
    <dgm:cxn modelId="{9E76C7BB-826E-413A-B7D1-1A9D3577B8A2}" type="presParOf" srcId="{B4406D55-113F-4D63-BC7B-AEFBD1432FFE}" destId="{C475EE91-5E4C-415B-81DD-D77C64ADF832}" srcOrd="5" destOrd="0" presId="urn:microsoft.com/office/officeart/2005/8/layout/hChevron3"/>
    <dgm:cxn modelId="{0331D049-6FFF-4647-8FD7-E5F006E029BE}" type="presParOf" srcId="{B4406D55-113F-4D63-BC7B-AEFBD1432FFE}" destId="{691319EF-93BF-4A2B-8D63-60AB35B15CBF}" srcOrd="6" destOrd="0" presId="urn:microsoft.com/office/officeart/2005/8/layout/hChevron3"/>
    <dgm:cxn modelId="{4BA8387E-C736-4CF7-9D71-AD7E7C4788CC}" type="presParOf" srcId="{B4406D55-113F-4D63-BC7B-AEFBD1432FFE}" destId="{01E415D7-64FA-46BE-8A83-467687B7AF86}" srcOrd="7" destOrd="0" presId="urn:microsoft.com/office/officeart/2005/8/layout/hChevron3"/>
    <dgm:cxn modelId="{1BB199D4-39A3-4451-8642-597FA7833387}" type="presParOf" srcId="{B4406D55-113F-4D63-BC7B-AEFBD1432FFE}" destId="{D797ABE3-3469-48C2-896F-64125BE6B1A1}" srcOrd="8" destOrd="0" presId="urn:microsoft.com/office/officeart/2005/8/layout/hChevron3"/>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D98266F-AC6F-46A2-AC56-2F53C476562A}" type="doc">
      <dgm:prSet loTypeId="urn:microsoft.com/office/officeart/2005/8/layout/hProcess9" loCatId="process" qsTypeId="urn:microsoft.com/office/officeart/2005/8/quickstyle/simple1" qsCatId="simple" csTypeId="urn:microsoft.com/office/officeart/2005/8/colors/accent1_2" csCatId="accent1" phldr="1"/>
      <dgm:spPr/>
    </dgm:pt>
    <dgm:pt modelId="{F9B3CBA5-CEBE-4F1A-B577-3ECA6D9D8112}">
      <dgm:prSet phldrT="[Text]"/>
      <dgm:spPr>
        <a:xfrm>
          <a:off x="2411" y="960120"/>
          <a:ext cx="1054149" cy="12801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Upto 1 month</a:t>
          </a:r>
        </a:p>
      </dgm:t>
    </dgm:pt>
    <dgm:pt modelId="{6DA4EFC4-5946-4562-BF29-607092D455D3}" type="parTrans" cxnId="{337A829D-4082-455B-8E57-3C5D1A8A4606}">
      <dgm:prSet/>
      <dgm:spPr/>
      <dgm:t>
        <a:bodyPr/>
        <a:lstStyle/>
        <a:p>
          <a:endParaRPr lang="en-US"/>
        </a:p>
      </dgm:t>
    </dgm:pt>
    <dgm:pt modelId="{0F3E763C-FAD8-4A61-81AA-CDD1AC2DB0EC}" type="sibTrans" cxnId="{337A829D-4082-455B-8E57-3C5D1A8A4606}">
      <dgm:prSet/>
      <dgm:spPr/>
      <dgm:t>
        <a:bodyPr/>
        <a:lstStyle/>
        <a:p>
          <a:endParaRPr lang="en-US"/>
        </a:p>
      </dgm:t>
    </dgm:pt>
    <dgm:pt modelId="{C45FB194-DA66-4F70-AB78-AB30B9D04D8A}">
      <dgm:prSet phldrT="[Text]"/>
      <dgm:spPr>
        <a:xfrm>
          <a:off x="3322982" y="960120"/>
          <a:ext cx="1054149" cy="12801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1 year to 5 years</a:t>
          </a:r>
        </a:p>
      </dgm:t>
    </dgm:pt>
    <dgm:pt modelId="{821CC837-CF2B-4C72-8429-F7F88A3AEFA0}" type="parTrans" cxnId="{767C2059-FFD3-405D-94DE-757F270AEA47}">
      <dgm:prSet/>
      <dgm:spPr/>
      <dgm:t>
        <a:bodyPr/>
        <a:lstStyle/>
        <a:p>
          <a:endParaRPr lang="en-US"/>
        </a:p>
      </dgm:t>
    </dgm:pt>
    <dgm:pt modelId="{0B849CE0-55F0-4DB2-9CDA-B3D9F193C16F}" type="sibTrans" cxnId="{767C2059-FFD3-405D-94DE-757F270AEA47}">
      <dgm:prSet/>
      <dgm:spPr/>
      <dgm:t>
        <a:bodyPr/>
        <a:lstStyle/>
        <a:p>
          <a:endParaRPr lang="en-US"/>
        </a:p>
      </dgm:t>
    </dgm:pt>
    <dgm:pt modelId="{875552D5-14D3-4557-B1CB-F7E938010FF3}">
      <dgm:prSet phldrT="[Text]"/>
      <dgm:spPr>
        <a:xfrm>
          <a:off x="4429839" y="960120"/>
          <a:ext cx="1054149" cy="12801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5 years</a:t>
          </a:r>
        </a:p>
      </dgm:t>
    </dgm:pt>
    <dgm:pt modelId="{4135F7BB-CC36-4A6F-BA7D-1BB4EA508F88}" type="parTrans" cxnId="{6C10F41B-90FF-43E9-872E-A29B46347E8C}">
      <dgm:prSet/>
      <dgm:spPr/>
      <dgm:t>
        <a:bodyPr/>
        <a:lstStyle/>
        <a:p>
          <a:endParaRPr lang="en-US"/>
        </a:p>
      </dgm:t>
    </dgm:pt>
    <dgm:pt modelId="{982B01B5-C4AB-457A-9A8A-B26105E7CFA2}" type="sibTrans" cxnId="{6C10F41B-90FF-43E9-872E-A29B46347E8C}">
      <dgm:prSet/>
      <dgm:spPr/>
      <dgm:t>
        <a:bodyPr/>
        <a:lstStyle/>
        <a:p>
          <a:endParaRPr lang="en-US"/>
        </a:p>
      </dgm:t>
    </dgm:pt>
    <dgm:pt modelId="{81DA517C-A246-465D-9382-12F28E5B4BCF}">
      <dgm:prSet/>
      <dgm:spPr>
        <a:xfrm>
          <a:off x="1109268" y="960120"/>
          <a:ext cx="1054149" cy="12801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1 month to 3 months</a:t>
          </a:r>
        </a:p>
      </dgm:t>
    </dgm:pt>
    <dgm:pt modelId="{7347189B-631B-4A5F-B4EE-14E3A00B751B}" type="parTrans" cxnId="{322FEAC9-47B7-4B85-A100-236534B6E15B}">
      <dgm:prSet/>
      <dgm:spPr/>
      <dgm:t>
        <a:bodyPr/>
        <a:lstStyle/>
        <a:p>
          <a:endParaRPr lang="en-US"/>
        </a:p>
      </dgm:t>
    </dgm:pt>
    <dgm:pt modelId="{0F573199-C02A-411D-81B5-9427D5F38A7C}" type="sibTrans" cxnId="{322FEAC9-47B7-4B85-A100-236534B6E15B}">
      <dgm:prSet/>
      <dgm:spPr/>
      <dgm:t>
        <a:bodyPr/>
        <a:lstStyle/>
        <a:p>
          <a:endParaRPr lang="en-US"/>
        </a:p>
      </dgm:t>
    </dgm:pt>
    <dgm:pt modelId="{0EF52572-5FED-4199-B1D2-9BEAD0A5DAB1}">
      <dgm:prSet/>
      <dgm:spPr>
        <a:xfrm>
          <a:off x="2216125" y="960120"/>
          <a:ext cx="1054149" cy="12801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3 months to 1 year</a:t>
          </a:r>
        </a:p>
      </dgm:t>
    </dgm:pt>
    <dgm:pt modelId="{9EBAB6BD-0220-46B9-8EEC-C306A862BFBF}" type="parTrans" cxnId="{9149240C-C9A1-4611-B286-BB97EC4371D3}">
      <dgm:prSet/>
      <dgm:spPr/>
      <dgm:t>
        <a:bodyPr/>
        <a:lstStyle/>
        <a:p>
          <a:endParaRPr lang="en-US"/>
        </a:p>
      </dgm:t>
    </dgm:pt>
    <dgm:pt modelId="{3502C152-69B5-49C8-BBFF-37386F6FAD28}" type="sibTrans" cxnId="{9149240C-C9A1-4611-B286-BB97EC4371D3}">
      <dgm:prSet/>
      <dgm:spPr/>
      <dgm:t>
        <a:bodyPr/>
        <a:lstStyle/>
        <a:p>
          <a:endParaRPr lang="en-US"/>
        </a:p>
      </dgm:t>
    </dgm:pt>
    <dgm:pt modelId="{D835A969-FB66-4A3D-BAD3-EB66082BDB9C}" type="pres">
      <dgm:prSet presAssocID="{AD98266F-AC6F-46A2-AC56-2F53C476562A}" presName="CompostProcess" presStyleCnt="0">
        <dgm:presLayoutVars>
          <dgm:dir/>
          <dgm:resizeHandles val="exact"/>
        </dgm:presLayoutVars>
      </dgm:prSet>
      <dgm:spPr/>
    </dgm:pt>
    <dgm:pt modelId="{243EF998-7F05-4312-9D38-338FAE3660CF}" type="pres">
      <dgm:prSet presAssocID="{AD98266F-AC6F-46A2-AC56-2F53C476562A}" presName="arrow" presStyleLbl="bgShp" presStyleIdx="0" presStyleCnt="1"/>
      <dgm:spPr>
        <a:xfrm>
          <a:off x="411479" y="0"/>
          <a:ext cx="4663440" cy="3200400"/>
        </a:xfrm>
        <a:prstGeom prst="rightArrow">
          <a:avLst/>
        </a:prstGeom>
        <a:solidFill>
          <a:srgbClr val="4F81BD">
            <a:tint val="40000"/>
            <a:hueOff val="0"/>
            <a:satOff val="0"/>
            <a:lumOff val="0"/>
            <a:alphaOff val="0"/>
          </a:srgbClr>
        </a:solidFill>
        <a:ln>
          <a:noFill/>
        </a:ln>
        <a:effectLst/>
      </dgm:spPr>
    </dgm:pt>
    <dgm:pt modelId="{C6EEB301-A210-4838-921F-656649D004E5}" type="pres">
      <dgm:prSet presAssocID="{AD98266F-AC6F-46A2-AC56-2F53C476562A}" presName="linearProcess" presStyleCnt="0"/>
      <dgm:spPr/>
    </dgm:pt>
    <dgm:pt modelId="{BA3F1C8A-1AFF-409F-9869-36EB0CDB2332}" type="pres">
      <dgm:prSet presAssocID="{F9B3CBA5-CEBE-4F1A-B577-3ECA6D9D8112}" presName="textNode" presStyleLbl="node1" presStyleIdx="0" presStyleCnt="5">
        <dgm:presLayoutVars>
          <dgm:bulletEnabled val="1"/>
        </dgm:presLayoutVars>
      </dgm:prSet>
      <dgm:spPr>
        <a:prstGeom prst="roundRect">
          <a:avLst/>
        </a:prstGeom>
      </dgm:spPr>
      <dgm:t>
        <a:bodyPr/>
        <a:lstStyle/>
        <a:p>
          <a:endParaRPr lang="en-US"/>
        </a:p>
      </dgm:t>
    </dgm:pt>
    <dgm:pt modelId="{62F7B08C-EC75-46CC-B242-F238DCBDD18F}" type="pres">
      <dgm:prSet presAssocID="{0F3E763C-FAD8-4A61-81AA-CDD1AC2DB0EC}" presName="sibTrans" presStyleCnt="0"/>
      <dgm:spPr/>
    </dgm:pt>
    <dgm:pt modelId="{1458711C-E61B-43A3-A93A-BF82E63F20D0}" type="pres">
      <dgm:prSet presAssocID="{81DA517C-A246-465D-9382-12F28E5B4BCF}" presName="textNode" presStyleLbl="node1" presStyleIdx="1" presStyleCnt="5">
        <dgm:presLayoutVars>
          <dgm:bulletEnabled val="1"/>
        </dgm:presLayoutVars>
      </dgm:prSet>
      <dgm:spPr>
        <a:prstGeom prst="roundRect">
          <a:avLst/>
        </a:prstGeom>
      </dgm:spPr>
      <dgm:t>
        <a:bodyPr/>
        <a:lstStyle/>
        <a:p>
          <a:endParaRPr lang="en-US"/>
        </a:p>
      </dgm:t>
    </dgm:pt>
    <dgm:pt modelId="{119EE49A-57AC-40A4-8E10-0922DAB8276C}" type="pres">
      <dgm:prSet presAssocID="{0F573199-C02A-411D-81B5-9427D5F38A7C}" presName="sibTrans" presStyleCnt="0"/>
      <dgm:spPr/>
    </dgm:pt>
    <dgm:pt modelId="{3D28DFCC-F311-4634-B105-F3119115E003}" type="pres">
      <dgm:prSet presAssocID="{0EF52572-5FED-4199-B1D2-9BEAD0A5DAB1}" presName="textNode" presStyleLbl="node1" presStyleIdx="2" presStyleCnt="5">
        <dgm:presLayoutVars>
          <dgm:bulletEnabled val="1"/>
        </dgm:presLayoutVars>
      </dgm:prSet>
      <dgm:spPr>
        <a:prstGeom prst="roundRect">
          <a:avLst/>
        </a:prstGeom>
      </dgm:spPr>
      <dgm:t>
        <a:bodyPr/>
        <a:lstStyle/>
        <a:p>
          <a:endParaRPr lang="en-US"/>
        </a:p>
      </dgm:t>
    </dgm:pt>
    <dgm:pt modelId="{63A011D8-DB01-47A8-B851-88BF814631A9}" type="pres">
      <dgm:prSet presAssocID="{3502C152-69B5-49C8-BBFF-37386F6FAD28}" presName="sibTrans" presStyleCnt="0"/>
      <dgm:spPr/>
    </dgm:pt>
    <dgm:pt modelId="{3374E055-D439-42F1-BB98-0E281360ABDC}" type="pres">
      <dgm:prSet presAssocID="{C45FB194-DA66-4F70-AB78-AB30B9D04D8A}" presName="textNode" presStyleLbl="node1" presStyleIdx="3" presStyleCnt="5">
        <dgm:presLayoutVars>
          <dgm:bulletEnabled val="1"/>
        </dgm:presLayoutVars>
      </dgm:prSet>
      <dgm:spPr>
        <a:prstGeom prst="roundRect">
          <a:avLst/>
        </a:prstGeom>
      </dgm:spPr>
      <dgm:t>
        <a:bodyPr/>
        <a:lstStyle/>
        <a:p>
          <a:endParaRPr lang="en-US"/>
        </a:p>
      </dgm:t>
    </dgm:pt>
    <dgm:pt modelId="{5C90507B-A45E-4F20-9C9B-1E79EEBD3A9C}" type="pres">
      <dgm:prSet presAssocID="{0B849CE0-55F0-4DB2-9CDA-B3D9F193C16F}" presName="sibTrans" presStyleCnt="0"/>
      <dgm:spPr/>
    </dgm:pt>
    <dgm:pt modelId="{8D43EFCB-A52D-40A9-AE29-B050E2F5CC81}" type="pres">
      <dgm:prSet presAssocID="{875552D5-14D3-4557-B1CB-F7E938010FF3}" presName="textNode" presStyleLbl="node1" presStyleIdx="4" presStyleCnt="5">
        <dgm:presLayoutVars>
          <dgm:bulletEnabled val="1"/>
        </dgm:presLayoutVars>
      </dgm:prSet>
      <dgm:spPr>
        <a:prstGeom prst="roundRect">
          <a:avLst/>
        </a:prstGeom>
      </dgm:spPr>
      <dgm:t>
        <a:bodyPr/>
        <a:lstStyle/>
        <a:p>
          <a:endParaRPr lang="en-US"/>
        </a:p>
      </dgm:t>
    </dgm:pt>
  </dgm:ptLst>
  <dgm:cxnLst>
    <dgm:cxn modelId="{767C2059-FFD3-405D-94DE-757F270AEA47}" srcId="{AD98266F-AC6F-46A2-AC56-2F53C476562A}" destId="{C45FB194-DA66-4F70-AB78-AB30B9D04D8A}" srcOrd="3" destOrd="0" parTransId="{821CC837-CF2B-4C72-8429-F7F88A3AEFA0}" sibTransId="{0B849CE0-55F0-4DB2-9CDA-B3D9F193C16F}"/>
    <dgm:cxn modelId="{973EE915-8024-4F42-A214-D47012FD07C3}" type="presOf" srcId="{875552D5-14D3-4557-B1CB-F7E938010FF3}" destId="{8D43EFCB-A52D-40A9-AE29-B050E2F5CC81}" srcOrd="0" destOrd="0" presId="urn:microsoft.com/office/officeart/2005/8/layout/hProcess9"/>
    <dgm:cxn modelId="{9149240C-C9A1-4611-B286-BB97EC4371D3}" srcId="{AD98266F-AC6F-46A2-AC56-2F53C476562A}" destId="{0EF52572-5FED-4199-B1D2-9BEAD0A5DAB1}" srcOrd="2" destOrd="0" parTransId="{9EBAB6BD-0220-46B9-8EEC-C306A862BFBF}" sibTransId="{3502C152-69B5-49C8-BBFF-37386F6FAD28}"/>
    <dgm:cxn modelId="{337A829D-4082-455B-8E57-3C5D1A8A4606}" srcId="{AD98266F-AC6F-46A2-AC56-2F53C476562A}" destId="{F9B3CBA5-CEBE-4F1A-B577-3ECA6D9D8112}" srcOrd="0" destOrd="0" parTransId="{6DA4EFC4-5946-4562-BF29-607092D455D3}" sibTransId="{0F3E763C-FAD8-4A61-81AA-CDD1AC2DB0EC}"/>
    <dgm:cxn modelId="{79E447E1-75D8-4D3F-AB39-56687E83084B}" type="presOf" srcId="{C45FB194-DA66-4F70-AB78-AB30B9D04D8A}" destId="{3374E055-D439-42F1-BB98-0E281360ABDC}" srcOrd="0" destOrd="0" presId="urn:microsoft.com/office/officeart/2005/8/layout/hProcess9"/>
    <dgm:cxn modelId="{6C10F41B-90FF-43E9-872E-A29B46347E8C}" srcId="{AD98266F-AC6F-46A2-AC56-2F53C476562A}" destId="{875552D5-14D3-4557-B1CB-F7E938010FF3}" srcOrd="4" destOrd="0" parTransId="{4135F7BB-CC36-4A6F-BA7D-1BB4EA508F88}" sibTransId="{982B01B5-C4AB-457A-9A8A-B26105E7CFA2}"/>
    <dgm:cxn modelId="{8B9498FD-5E11-41D5-95B9-2B242C16340D}" type="presOf" srcId="{F9B3CBA5-CEBE-4F1A-B577-3ECA6D9D8112}" destId="{BA3F1C8A-1AFF-409F-9869-36EB0CDB2332}" srcOrd="0" destOrd="0" presId="urn:microsoft.com/office/officeart/2005/8/layout/hProcess9"/>
    <dgm:cxn modelId="{A77FBBF7-DFC9-46C8-BE6E-B2F94C16C700}" type="presOf" srcId="{0EF52572-5FED-4199-B1D2-9BEAD0A5DAB1}" destId="{3D28DFCC-F311-4634-B105-F3119115E003}" srcOrd="0" destOrd="0" presId="urn:microsoft.com/office/officeart/2005/8/layout/hProcess9"/>
    <dgm:cxn modelId="{47FA01CF-1480-4BFB-A729-3630E9CBAC72}" type="presOf" srcId="{81DA517C-A246-465D-9382-12F28E5B4BCF}" destId="{1458711C-E61B-43A3-A93A-BF82E63F20D0}" srcOrd="0" destOrd="0" presId="urn:microsoft.com/office/officeart/2005/8/layout/hProcess9"/>
    <dgm:cxn modelId="{322FEAC9-47B7-4B85-A100-236534B6E15B}" srcId="{AD98266F-AC6F-46A2-AC56-2F53C476562A}" destId="{81DA517C-A246-465D-9382-12F28E5B4BCF}" srcOrd="1" destOrd="0" parTransId="{7347189B-631B-4A5F-B4EE-14E3A00B751B}" sibTransId="{0F573199-C02A-411D-81B5-9427D5F38A7C}"/>
    <dgm:cxn modelId="{A784EC9F-68ED-4CD8-BEF7-DD3FD09C693F}" type="presOf" srcId="{AD98266F-AC6F-46A2-AC56-2F53C476562A}" destId="{D835A969-FB66-4A3D-BAD3-EB66082BDB9C}" srcOrd="0" destOrd="0" presId="urn:microsoft.com/office/officeart/2005/8/layout/hProcess9"/>
    <dgm:cxn modelId="{B62A46E3-45A1-433C-9ECB-2E06A55A25DE}" type="presParOf" srcId="{D835A969-FB66-4A3D-BAD3-EB66082BDB9C}" destId="{243EF998-7F05-4312-9D38-338FAE3660CF}" srcOrd="0" destOrd="0" presId="urn:microsoft.com/office/officeart/2005/8/layout/hProcess9"/>
    <dgm:cxn modelId="{28489225-7AC3-4D46-9756-DDC4085BA055}" type="presParOf" srcId="{D835A969-FB66-4A3D-BAD3-EB66082BDB9C}" destId="{C6EEB301-A210-4838-921F-656649D004E5}" srcOrd="1" destOrd="0" presId="urn:microsoft.com/office/officeart/2005/8/layout/hProcess9"/>
    <dgm:cxn modelId="{27916459-25BB-419C-BFA4-8B3C2C637E6D}" type="presParOf" srcId="{C6EEB301-A210-4838-921F-656649D004E5}" destId="{BA3F1C8A-1AFF-409F-9869-36EB0CDB2332}" srcOrd="0" destOrd="0" presId="urn:microsoft.com/office/officeart/2005/8/layout/hProcess9"/>
    <dgm:cxn modelId="{D0CA6C25-2C4A-410E-A45A-DFD04D162C71}" type="presParOf" srcId="{C6EEB301-A210-4838-921F-656649D004E5}" destId="{62F7B08C-EC75-46CC-B242-F238DCBDD18F}" srcOrd="1" destOrd="0" presId="urn:microsoft.com/office/officeart/2005/8/layout/hProcess9"/>
    <dgm:cxn modelId="{667F7DCD-A2FA-4A60-BBBA-8E758877C2CD}" type="presParOf" srcId="{C6EEB301-A210-4838-921F-656649D004E5}" destId="{1458711C-E61B-43A3-A93A-BF82E63F20D0}" srcOrd="2" destOrd="0" presId="urn:microsoft.com/office/officeart/2005/8/layout/hProcess9"/>
    <dgm:cxn modelId="{AB217163-C941-493C-9B34-ABEA68E35D31}" type="presParOf" srcId="{C6EEB301-A210-4838-921F-656649D004E5}" destId="{119EE49A-57AC-40A4-8E10-0922DAB8276C}" srcOrd="3" destOrd="0" presId="urn:microsoft.com/office/officeart/2005/8/layout/hProcess9"/>
    <dgm:cxn modelId="{70F8D1A7-10F5-4EC4-8B85-F337D517FBF1}" type="presParOf" srcId="{C6EEB301-A210-4838-921F-656649D004E5}" destId="{3D28DFCC-F311-4634-B105-F3119115E003}" srcOrd="4" destOrd="0" presId="urn:microsoft.com/office/officeart/2005/8/layout/hProcess9"/>
    <dgm:cxn modelId="{B06854CD-048F-4C4D-AB67-E4502CB130CF}" type="presParOf" srcId="{C6EEB301-A210-4838-921F-656649D004E5}" destId="{63A011D8-DB01-47A8-B851-88BF814631A9}" srcOrd="5" destOrd="0" presId="urn:microsoft.com/office/officeart/2005/8/layout/hProcess9"/>
    <dgm:cxn modelId="{80B8E548-EC97-4E94-9B69-13F302830BF0}" type="presParOf" srcId="{C6EEB301-A210-4838-921F-656649D004E5}" destId="{3374E055-D439-42F1-BB98-0E281360ABDC}" srcOrd="6" destOrd="0" presId="urn:microsoft.com/office/officeart/2005/8/layout/hProcess9"/>
    <dgm:cxn modelId="{D3C0C9DA-9D9A-4E39-94F7-F6B369461CB2}" type="presParOf" srcId="{C6EEB301-A210-4838-921F-656649D004E5}" destId="{5C90507B-A45E-4F20-9C9B-1E79EEBD3A9C}" srcOrd="7" destOrd="0" presId="urn:microsoft.com/office/officeart/2005/8/layout/hProcess9"/>
    <dgm:cxn modelId="{EC86EB95-E688-4863-9E8F-BDD90915DE36}" type="presParOf" srcId="{C6EEB301-A210-4838-921F-656649D004E5}" destId="{8D43EFCB-A52D-40A9-AE29-B050E2F5CC81}" srcOrd="8" destOrd="0" presId="urn:microsoft.com/office/officeart/2005/8/layout/hProcess9"/>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65C5E52-F168-4DCB-B19D-CB96F2795FBC}"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en-US"/>
        </a:p>
      </dgm:t>
    </dgm:pt>
    <dgm:pt modelId="{7C592732-136D-4EA5-9961-22684A430085}">
      <dgm:prSet phldrT="[Text]"/>
      <dgm:spPr>
        <a:xfrm>
          <a:off x="204504" y="2019"/>
          <a:ext cx="1090381" cy="7632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1. BRAC EPL Investment Ltd.</a:t>
          </a:r>
        </a:p>
      </dgm:t>
    </dgm:pt>
    <dgm:pt modelId="{FEFCD439-8793-48DE-A71C-0E5754FC068C}" type="parTrans" cxnId="{A6D32A7A-3780-480C-9730-2959C7CCF599}">
      <dgm:prSet/>
      <dgm:spPr/>
      <dgm:t>
        <a:bodyPr/>
        <a:lstStyle/>
        <a:p>
          <a:endParaRPr lang="en-US"/>
        </a:p>
      </dgm:t>
    </dgm:pt>
    <dgm:pt modelId="{20AA1E12-5750-4047-A5CB-A0B823585C42}" type="sibTrans" cxnId="{A6D32A7A-3780-480C-9730-2959C7CCF599}">
      <dgm:prSet/>
      <dgm:spPr/>
      <dgm:t>
        <a:bodyPr/>
        <a:lstStyle/>
        <a:p>
          <a:endParaRPr lang="en-US"/>
        </a:p>
      </dgm:t>
    </dgm:pt>
    <dgm:pt modelId="{3D94D487-322D-47D7-A935-701E0B130ECB}">
      <dgm:prSet phldrT="[Text]"/>
      <dgm:spPr>
        <a:xfrm>
          <a:off x="1108546" y="859380"/>
          <a:ext cx="1090381" cy="7632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2. BRAC EPL Stock Brokerage Ltd.</a:t>
          </a:r>
        </a:p>
      </dgm:t>
    </dgm:pt>
    <dgm:pt modelId="{C96BDFA9-8287-40A6-BC79-4B66A867DAC4}" type="parTrans" cxnId="{E00CB15F-319D-48DA-9FFB-AD333C27791F}">
      <dgm:prSet/>
      <dgm:spPr/>
      <dgm:t>
        <a:bodyPr/>
        <a:lstStyle/>
        <a:p>
          <a:endParaRPr lang="en-US"/>
        </a:p>
      </dgm:t>
    </dgm:pt>
    <dgm:pt modelId="{C06AF072-E5AD-4086-9163-7A4B6A85E813}" type="sibTrans" cxnId="{E00CB15F-319D-48DA-9FFB-AD333C27791F}">
      <dgm:prSet/>
      <dgm:spPr/>
      <dgm:t>
        <a:bodyPr/>
        <a:lstStyle/>
        <a:p>
          <a:endParaRPr lang="en-US"/>
        </a:p>
      </dgm:t>
    </dgm:pt>
    <dgm:pt modelId="{19DAB40B-C677-4379-AC09-A609F0EE2FB6}">
      <dgm:prSet phldrT="[Text]"/>
      <dgm:spPr>
        <a:xfrm>
          <a:off x="2012589" y="1716741"/>
          <a:ext cx="1090381" cy="7632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3. B-kash Ltd.</a:t>
          </a:r>
        </a:p>
      </dgm:t>
    </dgm:pt>
    <dgm:pt modelId="{A186F211-C28E-4D81-AA87-7F3E831446FD}" type="parTrans" cxnId="{D8268C1F-561E-4E3F-87C9-CAAEA1A2E440}">
      <dgm:prSet/>
      <dgm:spPr/>
      <dgm:t>
        <a:bodyPr/>
        <a:lstStyle/>
        <a:p>
          <a:endParaRPr lang="en-US"/>
        </a:p>
      </dgm:t>
    </dgm:pt>
    <dgm:pt modelId="{61A618A9-EE58-408B-AEE5-5C84CA7401F1}" type="sibTrans" cxnId="{D8268C1F-561E-4E3F-87C9-CAAEA1A2E440}">
      <dgm:prSet/>
      <dgm:spPr/>
      <dgm:t>
        <a:bodyPr/>
        <a:lstStyle/>
        <a:p>
          <a:endParaRPr lang="en-US"/>
        </a:p>
      </dgm:t>
    </dgm:pt>
    <dgm:pt modelId="{573070FA-FE40-408A-BF71-31D6E25A6F25}">
      <dgm:prSet/>
      <dgm:spPr>
        <a:xfrm>
          <a:off x="2916631" y="2574102"/>
          <a:ext cx="1090381" cy="7632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4. BRAC Saajan Ltd.</a:t>
          </a:r>
        </a:p>
      </dgm:t>
    </dgm:pt>
    <dgm:pt modelId="{79E8D756-1C69-414D-B480-FC97F6986FB8}" type="parTrans" cxnId="{17C28FFF-FC27-4559-9EF3-F6EF691A7D76}">
      <dgm:prSet/>
      <dgm:spPr/>
      <dgm:t>
        <a:bodyPr/>
        <a:lstStyle/>
        <a:p>
          <a:endParaRPr lang="en-US"/>
        </a:p>
      </dgm:t>
    </dgm:pt>
    <dgm:pt modelId="{E66F7ED9-5333-4D30-8869-67BF91B4E2DE}" type="sibTrans" cxnId="{17C28FFF-FC27-4559-9EF3-F6EF691A7D76}">
      <dgm:prSet/>
      <dgm:spPr/>
      <dgm:t>
        <a:bodyPr/>
        <a:lstStyle/>
        <a:p>
          <a:endParaRPr lang="en-US"/>
        </a:p>
      </dgm:t>
    </dgm:pt>
    <dgm:pt modelId="{68EC9813-AC88-4726-81A3-EE8B903EF32B}">
      <dgm:prSet/>
      <dgm:spPr>
        <a:xfrm>
          <a:off x="3820673" y="3431463"/>
          <a:ext cx="1090381" cy="7632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5. BRAC IT Ltd.</a:t>
          </a:r>
        </a:p>
      </dgm:t>
    </dgm:pt>
    <dgm:pt modelId="{70E22A60-C77D-41EF-9603-CC2ED4BC54D3}" type="parTrans" cxnId="{E7D82F79-4D90-4641-ABD8-56AE55C34ACE}">
      <dgm:prSet/>
      <dgm:spPr/>
      <dgm:t>
        <a:bodyPr/>
        <a:lstStyle/>
        <a:p>
          <a:endParaRPr lang="en-US"/>
        </a:p>
      </dgm:t>
    </dgm:pt>
    <dgm:pt modelId="{E35E3F86-9B2F-479C-AB93-B48E7839FD42}" type="sibTrans" cxnId="{E7D82F79-4D90-4641-ABD8-56AE55C34ACE}">
      <dgm:prSet/>
      <dgm:spPr/>
      <dgm:t>
        <a:bodyPr/>
        <a:lstStyle/>
        <a:p>
          <a:endParaRPr lang="en-US"/>
        </a:p>
      </dgm:t>
    </dgm:pt>
    <dgm:pt modelId="{86E14C38-B11C-4171-B0E7-C142773CC1F7}" type="pres">
      <dgm:prSet presAssocID="{465C5E52-F168-4DCB-B19D-CB96F2795FBC}" presName="rootnode" presStyleCnt="0">
        <dgm:presLayoutVars>
          <dgm:chMax/>
          <dgm:chPref/>
          <dgm:dir/>
          <dgm:animLvl val="lvl"/>
        </dgm:presLayoutVars>
      </dgm:prSet>
      <dgm:spPr/>
      <dgm:t>
        <a:bodyPr/>
        <a:lstStyle/>
        <a:p>
          <a:endParaRPr lang="en-US"/>
        </a:p>
      </dgm:t>
    </dgm:pt>
    <dgm:pt modelId="{93CFEE1F-4110-4E3D-9AA7-B12E68B71995}" type="pres">
      <dgm:prSet presAssocID="{7C592732-136D-4EA5-9961-22684A430085}" presName="composite" presStyleCnt="0"/>
      <dgm:spPr/>
    </dgm:pt>
    <dgm:pt modelId="{ECFC834E-2883-40A3-BA68-30836A383B81}" type="pres">
      <dgm:prSet presAssocID="{7C592732-136D-4EA5-9961-22684A430085}" presName="bentUpArrow1" presStyleLbl="alignImgPlace1" presStyleIdx="0" presStyleCnt="4"/>
      <dgm:spPr>
        <a:xfrm rot="5400000">
          <a:off x="376111" y="720031"/>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EF389497-D08B-4121-9261-0FA1B2328C43}" type="pres">
      <dgm:prSet presAssocID="{7C592732-136D-4EA5-9961-22684A430085}" presName="ParentText" presStyleLbl="node1" presStyleIdx="0" presStyleCnt="5">
        <dgm:presLayoutVars>
          <dgm:chMax val="1"/>
          <dgm:chPref val="1"/>
          <dgm:bulletEnabled val="1"/>
        </dgm:presLayoutVars>
      </dgm:prSet>
      <dgm:spPr>
        <a:prstGeom prst="roundRect">
          <a:avLst>
            <a:gd name="adj" fmla="val 16670"/>
          </a:avLst>
        </a:prstGeom>
      </dgm:spPr>
      <dgm:t>
        <a:bodyPr/>
        <a:lstStyle/>
        <a:p>
          <a:endParaRPr lang="en-US"/>
        </a:p>
      </dgm:t>
    </dgm:pt>
    <dgm:pt modelId="{9FFB530A-02BB-439A-B331-0EF521F1A0CA}" type="pres">
      <dgm:prSet presAssocID="{7C592732-136D-4EA5-9961-22684A430085}" presName="ChildText" presStyleLbl="revTx" presStyleIdx="0" presStyleCnt="4">
        <dgm:presLayoutVars>
          <dgm:chMax val="0"/>
          <dgm:chPref val="0"/>
          <dgm:bulletEnabled val="1"/>
        </dgm:presLayoutVars>
      </dgm:prSet>
      <dgm:spPr>
        <a:xfrm>
          <a:off x="1294886" y="74810"/>
          <a:ext cx="793039" cy="616877"/>
        </a:xfrm>
        <a:prstGeom prst="rect">
          <a:avLst/>
        </a:prstGeom>
        <a:noFill/>
        <a:ln>
          <a:noFill/>
        </a:ln>
        <a:effectLst/>
      </dgm:spPr>
      <dgm:t>
        <a:bodyPr/>
        <a:lstStyle/>
        <a:p>
          <a:endParaRPr lang="en-US"/>
        </a:p>
      </dgm:t>
    </dgm:pt>
    <dgm:pt modelId="{9ACCB58D-D616-4C11-953B-04054A21CC13}" type="pres">
      <dgm:prSet presAssocID="{20AA1E12-5750-4047-A5CB-A0B823585C42}" presName="sibTrans" presStyleCnt="0"/>
      <dgm:spPr/>
    </dgm:pt>
    <dgm:pt modelId="{C2782D4F-0175-4754-B965-61CF05D1D9A0}" type="pres">
      <dgm:prSet presAssocID="{3D94D487-322D-47D7-A935-701E0B130ECB}" presName="composite" presStyleCnt="0"/>
      <dgm:spPr/>
    </dgm:pt>
    <dgm:pt modelId="{48D1F792-6887-42B0-90EB-CAFEF9C75B29}" type="pres">
      <dgm:prSet presAssocID="{3D94D487-322D-47D7-A935-701E0B130ECB}" presName="bentUpArrow1" presStyleLbl="alignImgPlace1" presStyleIdx="1" presStyleCnt="4"/>
      <dgm:spPr>
        <a:xfrm rot="5400000">
          <a:off x="1280153" y="1577392"/>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15D2FEF8-5362-430D-B777-479F33A8BD27}" type="pres">
      <dgm:prSet presAssocID="{3D94D487-322D-47D7-A935-701E0B130ECB}" presName="ParentText" presStyleLbl="node1" presStyleIdx="1" presStyleCnt="5">
        <dgm:presLayoutVars>
          <dgm:chMax val="1"/>
          <dgm:chPref val="1"/>
          <dgm:bulletEnabled val="1"/>
        </dgm:presLayoutVars>
      </dgm:prSet>
      <dgm:spPr>
        <a:prstGeom prst="roundRect">
          <a:avLst>
            <a:gd name="adj" fmla="val 16670"/>
          </a:avLst>
        </a:prstGeom>
      </dgm:spPr>
      <dgm:t>
        <a:bodyPr/>
        <a:lstStyle/>
        <a:p>
          <a:endParaRPr lang="en-US"/>
        </a:p>
      </dgm:t>
    </dgm:pt>
    <dgm:pt modelId="{C1EDBED2-5D75-428C-B918-CB2A75574123}" type="pres">
      <dgm:prSet presAssocID="{3D94D487-322D-47D7-A935-701E0B130ECB}" presName="ChildText" presStyleLbl="revTx" presStyleIdx="1" presStyleCnt="4">
        <dgm:presLayoutVars>
          <dgm:chMax val="0"/>
          <dgm:chPref val="0"/>
          <dgm:bulletEnabled val="1"/>
        </dgm:presLayoutVars>
      </dgm:prSet>
      <dgm:spPr>
        <a:xfrm>
          <a:off x="2198928" y="932172"/>
          <a:ext cx="793039" cy="616877"/>
        </a:xfrm>
        <a:prstGeom prst="rect">
          <a:avLst/>
        </a:prstGeom>
        <a:noFill/>
        <a:ln>
          <a:noFill/>
        </a:ln>
        <a:effectLst/>
      </dgm:spPr>
      <dgm:t>
        <a:bodyPr/>
        <a:lstStyle/>
        <a:p>
          <a:endParaRPr lang="en-US"/>
        </a:p>
      </dgm:t>
    </dgm:pt>
    <dgm:pt modelId="{2051D086-8991-41E8-B766-2008AC26F80A}" type="pres">
      <dgm:prSet presAssocID="{C06AF072-E5AD-4086-9163-7A4B6A85E813}" presName="sibTrans" presStyleCnt="0"/>
      <dgm:spPr/>
    </dgm:pt>
    <dgm:pt modelId="{CC9458C8-DBB0-41C1-8B91-BF599D227E89}" type="pres">
      <dgm:prSet presAssocID="{19DAB40B-C677-4379-AC09-A609F0EE2FB6}" presName="composite" presStyleCnt="0"/>
      <dgm:spPr/>
    </dgm:pt>
    <dgm:pt modelId="{2DF1661F-1DEF-467F-99CB-51B99E0A5B66}" type="pres">
      <dgm:prSet presAssocID="{19DAB40B-C677-4379-AC09-A609F0EE2FB6}" presName="bentUpArrow1" presStyleLbl="alignImgPlace1" presStyleIdx="2" presStyleCnt="4"/>
      <dgm:spPr>
        <a:xfrm rot="5400000">
          <a:off x="2184196" y="2434753"/>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7BC27FFA-F816-40E4-AA21-03ABE2078952}" type="pres">
      <dgm:prSet presAssocID="{19DAB40B-C677-4379-AC09-A609F0EE2FB6}" presName="ParentText" presStyleLbl="node1" presStyleIdx="2" presStyleCnt="5">
        <dgm:presLayoutVars>
          <dgm:chMax val="1"/>
          <dgm:chPref val="1"/>
          <dgm:bulletEnabled val="1"/>
        </dgm:presLayoutVars>
      </dgm:prSet>
      <dgm:spPr>
        <a:prstGeom prst="roundRect">
          <a:avLst>
            <a:gd name="adj" fmla="val 16670"/>
          </a:avLst>
        </a:prstGeom>
      </dgm:spPr>
      <dgm:t>
        <a:bodyPr/>
        <a:lstStyle/>
        <a:p>
          <a:endParaRPr lang="en-US"/>
        </a:p>
      </dgm:t>
    </dgm:pt>
    <dgm:pt modelId="{377A8144-CEF6-41FD-ABE1-98D34A229103}" type="pres">
      <dgm:prSet presAssocID="{19DAB40B-C677-4379-AC09-A609F0EE2FB6}" presName="ChildText" presStyleLbl="revTx" presStyleIdx="2" presStyleCnt="4">
        <dgm:presLayoutVars>
          <dgm:chMax val="0"/>
          <dgm:chPref val="0"/>
          <dgm:bulletEnabled val="1"/>
        </dgm:presLayoutVars>
      </dgm:prSet>
      <dgm:spPr>
        <a:xfrm>
          <a:off x="3102970" y="1789533"/>
          <a:ext cx="793039" cy="616877"/>
        </a:xfrm>
        <a:prstGeom prst="rect">
          <a:avLst/>
        </a:prstGeom>
        <a:noFill/>
        <a:ln>
          <a:noFill/>
        </a:ln>
        <a:effectLst/>
      </dgm:spPr>
      <dgm:t>
        <a:bodyPr/>
        <a:lstStyle/>
        <a:p>
          <a:endParaRPr lang="en-US"/>
        </a:p>
      </dgm:t>
    </dgm:pt>
    <dgm:pt modelId="{850510C3-EA34-4667-A7E9-667462981D5A}" type="pres">
      <dgm:prSet presAssocID="{61A618A9-EE58-408B-AEE5-5C84CA7401F1}" presName="sibTrans" presStyleCnt="0"/>
      <dgm:spPr/>
    </dgm:pt>
    <dgm:pt modelId="{88231B70-4CE2-4814-92F9-2C00288E8A89}" type="pres">
      <dgm:prSet presAssocID="{573070FA-FE40-408A-BF71-31D6E25A6F25}" presName="composite" presStyleCnt="0"/>
      <dgm:spPr/>
    </dgm:pt>
    <dgm:pt modelId="{5BB93BFA-5081-43C3-B275-5A71E23AC27B}" type="pres">
      <dgm:prSet presAssocID="{573070FA-FE40-408A-BF71-31D6E25A6F25}" presName="bentUpArrow1" presStyleLbl="alignImgPlace1" presStyleIdx="3" presStyleCnt="4"/>
      <dgm:spPr>
        <a:xfrm rot="5400000">
          <a:off x="3088238" y="3292114"/>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39F96931-D364-4853-BAC1-5DD55E7763A6}" type="pres">
      <dgm:prSet presAssocID="{573070FA-FE40-408A-BF71-31D6E25A6F25}" presName="ParentText" presStyleLbl="node1" presStyleIdx="3" presStyleCnt="5">
        <dgm:presLayoutVars>
          <dgm:chMax val="1"/>
          <dgm:chPref val="1"/>
          <dgm:bulletEnabled val="1"/>
        </dgm:presLayoutVars>
      </dgm:prSet>
      <dgm:spPr>
        <a:prstGeom prst="roundRect">
          <a:avLst>
            <a:gd name="adj" fmla="val 16670"/>
          </a:avLst>
        </a:prstGeom>
      </dgm:spPr>
      <dgm:t>
        <a:bodyPr/>
        <a:lstStyle/>
        <a:p>
          <a:endParaRPr lang="en-US"/>
        </a:p>
      </dgm:t>
    </dgm:pt>
    <dgm:pt modelId="{875AFFE6-F6BE-4411-957E-F1317FC4A82A}" type="pres">
      <dgm:prSet presAssocID="{573070FA-FE40-408A-BF71-31D6E25A6F25}" presName="ChildText" presStyleLbl="revTx" presStyleIdx="3" presStyleCnt="4">
        <dgm:presLayoutVars>
          <dgm:chMax val="0"/>
          <dgm:chPref val="0"/>
          <dgm:bulletEnabled val="1"/>
        </dgm:presLayoutVars>
      </dgm:prSet>
      <dgm:spPr>
        <a:xfrm>
          <a:off x="4007013" y="2646894"/>
          <a:ext cx="793039" cy="616877"/>
        </a:xfrm>
        <a:prstGeom prst="rect">
          <a:avLst/>
        </a:prstGeom>
        <a:noFill/>
        <a:ln>
          <a:noFill/>
        </a:ln>
        <a:effectLst/>
      </dgm:spPr>
      <dgm:t>
        <a:bodyPr/>
        <a:lstStyle/>
        <a:p>
          <a:endParaRPr lang="en-US"/>
        </a:p>
      </dgm:t>
    </dgm:pt>
    <dgm:pt modelId="{6A10D8F6-8085-4B7F-8757-C8A69625E5CE}" type="pres">
      <dgm:prSet presAssocID="{E66F7ED9-5333-4D30-8869-67BF91B4E2DE}" presName="sibTrans" presStyleCnt="0"/>
      <dgm:spPr/>
    </dgm:pt>
    <dgm:pt modelId="{B2014161-4A4A-4E05-9EC1-7A5385D72161}" type="pres">
      <dgm:prSet presAssocID="{68EC9813-AC88-4726-81A3-EE8B903EF32B}" presName="composite" presStyleCnt="0"/>
      <dgm:spPr/>
    </dgm:pt>
    <dgm:pt modelId="{D369832E-7FEE-427C-9831-36574EDC59D0}" type="pres">
      <dgm:prSet presAssocID="{68EC9813-AC88-4726-81A3-EE8B903EF32B}" presName="ParentText" presStyleLbl="node1" presStyleIdx="4" presStyleCnt="5">
        <dgm:presLayoutVars>
          <dgm:chMax val="1"/>
          <dgm:chPref val="1"/>
          <dgm:bulletEnabled val="1"/>
        </dgm:presLayoutVars>
      </dgm:prSet>
      <dgm:spPr>
        <a:prstGeom prst="roundRect">
          <a:avLst>
            <a:gd name="adj" fmla="val 16670"/>
          </a:avLst>
        </a:prstGeom>
      </dgm:spPr>
      <dgm:t>
        <a:bodyPr/>
        <a:lstStyle/>
        <a:p>
          <a:endParaRPr lang="en-US"/>
        </a:p>
      </dgm:t>
    </dgm:pt>
  </dgm:ptLst>
  <dgm:cxnLst>
    <dgm:cxn modelId="{E00CB15F-319D-48DA-9FFB-AD333C27791F}" srcId="{465C5E52-F168-4DCB-B19D-CB96F2795FBC}" destId="{3D94D487-322D-47D7-A935-701E0B130ECB}" srcOrd="1" destOrd="0" parTransId="{C96BDFA9-8287-40A6-BC79-4B66A867DAC4}" sibTransId="{C06AF072-E5AD-4086-9163-7A4B6A85E813}"/>
    <dgm:cxn modelId="{E7D82F79-4D90-4641-ABD8-56AE55C34ACE}" srcId="{465C5E52-F168-4DCB-B19D-CB96F2795FBC}" destId="{68EC9813-AC88-4726-81A3-EE8B903EF32B}" srcOrd="4" destOrd="0" parTransId="{70E22A60-C77D-41EF-9603-CC2ED4BC54D3}" sibTransId="{E35E3F86-9B2F-479C-AB93-B48E7839FD42}"/>
    <dgm:cxn modelId="{0E445D89-F316-48D7-9938-C3A1DE918F88}" type="presOf" srcId="{3D94D487-322D-47D7-A935-701E0B130ECB}" destId="{15D2FEF8-5362-430D-B777-479F33A8BD27}" srcOrd="0" destOrd="0" presId="urn:microsoft.com/office/officeart/2005/8/layout/StepDownProcess"/>
    <dgm:cxn modelId="{7FBC62EE-E91E-4EE2-A45A-15F301A1186E}" type="presOf" srcId="{7C592732-136D-4EA5-9961-22684A430085}" destId="{EF389497-D08B-4121-9261-0FA1B2328C43}" srcOrd="0" destOrd="0" presId="urn:microsoft.com/office/officeart/2005/8/layout/StepDownProcess"/>
    <dgm:cxn modelId="{A6D32A7A-3780-480C-9730-2959C7CCF599}" srcId="{465C5E52-F168-4DCB-B19D-CB96F2795FBC}" destId="{7C592732-136D-4EA5-9961-22684A430085}" srcOrd="0" destOrd="0" parTransId="{FEFCD439-8793-48DE-A71C-0E5754FC068C}" sibTransId="{20AA1E12-5750-4047-A5CB-A0B823585C42}"/>
    <dgm:cxn modelId="{49682777-3038-4169-A766-57358A260161}" type="presOf" srcId="{68EC9813-AC88-4726-81A3-EE8B903EF32B}" destId="{D369832E-7FEE-427C-9831-36574EDC59D0}" srcOrd="0" destOrd="0" presId="urn:microsoft.com/office/officeart/2005/8/layout/StepDownProcess"/>
    <dgm:cxn modelId="{860C74D6-C72F-403C-9FB9-0120EE0DE54C}" type="presOf" srcId="{19DAB40B-C677-4379-AC09-A609F0EE2FB6}" destId="{7BC27FFA-F816-40E4-AA21-03ABE2078952}" srcOrd="0" destOrd="0" presId="urn:microsoft.com/office/officeart/2005/8/layout/StepDownProcess"/>
    <dgm:cxn modelId="{17C28FFF-FC27-4559-9EF3-F6EF691A7D76}" srcId="{465C5E52-F168-4DCB-B19D-CB96F2795FBC}" destId="{573070FA-FE40-408A-BF71-31D6E25A6F25}" srcOrd="3" destOrd="0" parTransId="{79E8D756-1C69-414D-B480-FC97F6986FB8}" sibTransId="{E66F7ED9-5333-4D30-8869-67BF91B4E2DE}"/>
    <dgm:cxn modelId="{4E472E31-F6C9-4C2B-A4C5-41A85CCAA9D5}" type="presOf" srcId="{573070FA-FE40-408A-BF71-31D6E25A6F25}" destId="{39F96931-D364-4853-BAC1-5DD55E7763A6}" srcOrd="0" destOrd="0" presId="urn:microsoft.com/office/officeart/2005/8/layout/StepDownProcess"/>
    <dgm:cxn modelId="{41C4396A-A1C8-4B23-B89C-F6B450BA6B84}" type="presOf" srcId="{465C5E52-F168-4DCB-B19D-CB96F2795FBC}" destId="{86E14C38-B11C-4171-B0E7-C142773CC1F7}" srcOrd="0" destOrd="0" presId="urn:microsoft.com/office/officeart/2005/8/layout/StepDownProcess"/>
    <dgm:cxn modelId="{D8268C1F-561E-4E3F-87C9-CAAEA1A2E440}" srcId="{465C5E52-F168-4DCB-B19D-CB96F2795FBC}" destId="{19DAB40B-C677-4379-AC09-A609F0EE2FB6}" srcOrd="2" destOrd="0" parTransId="{A186F211-C28E-4D81-AA87-7F3E831446FD}" sibTransId="{61A618A9-EE58-408B-AEE5-5C84CA7401F1}"/>
    <dgm:cxn modelId="{A0D7071C-BDD8-45CF-BCD6-01CE7C065045}" type="presParOf" srcId="{86E14C38-B11C-4171-B0E7-C142773CC1F7}" destId="{93CFEE1F-4110-4E3D-9AA7-B12E68B71995}" srcOrd="0" destOrd="0" presId="urn:microsoft.com/office/officeart/2005/8/layout/StepDownProcess"/>
    <dgm:cxn modelId="{C306C23D-D056-42DE-9AB8-811131B75221}" type="presParOf" srcId="{93CFEE1F-4110-4E3D-9AA7-B12E68B71995}" destId="{ECFC834E-2883-40A3-BA68-30836A383B81}" srcOrd="0" destOrd="0" presId="urn:microsoft.com/office/officeart/2005/8/layout/StepDownProcess"/>
    <dgm:cxn modelId="{AE324042-3A22-43CE-B6CC-F009285A8183}" type="presParOf" srcId="{93CFEE1F-4110-4E3D-9AA7-B12E68B71995}" destId="{EF389497-D08B-4121-9261-0FA1B2328C43}" srcOrd="1" destOrd="0" presId="urn:microsoft.com/office/officeart/2005/8/layout/StepDownProcess"/>
    <dgm:cxn modelId="{C6316C04-FECA-42F5-8E2E-28832A5AD02D}" type="presParOf" srcId="{93CFEE1F-4110-4E3D-9AA7-B12E68B71995}" destId="{9FFB530A-02BB-439A-B331-0EF521F1A0CA}" srcOrd="2" destOrd="0" presId="urn:microsoft.com/office/officeart/2005/8/layout/StepDownProcess"/>
    <dgm:cxn modelId="{5DF3B229-A132-4DC0-8703-DEF426BD8B45}" type="presParOf" srcId="{86E14C38-B11C-4171-B0E7-C142773CC1F7}" destId="{9ACCB58D-D616-4C11-953B-04054A21CC13}" srcOrd="1" destOrd="0" presId="urn:microsoft.com/office/officeart/2005/8/layout/StepDownProcess"/>
    <dgm:cxn modelId="{9842A174-613A-421E-8699-C3DE9A1FFB37}" type="presParOf" srcId="{86E14C38-B11C-4171-B0E7-C142773CC1F7}" destId="{C2782D4F-0175-4754-B965-61CF05D1D9A0}" srcOrd="2" destOrd="0" presId="urn:microsoft.com/office/officeart/2005/8/layout/StepDownProcess"/>
    <dgm:cxn modelId="{3267B908-1C69-42D9-9A0A-9F9C5ABAB8E7}" type="presParOf" srcId="{C2782D4F-0175-4754-B965-61CF05D1D9A0}" destId="{48D1F792-6887-42B0-90EB-CAFEF9C75B29}" srcOrd="0" destOrd="0" presId="urn:microsoft.com/office/officeart/2005/8/layout/StepDownProcess"/>
    <dgm:cxn modelId="{36E050FA-1098-4158-AB72-950CA0A8D4FB}" type="presParOf" srcId="{C2782D4F-0175-4754-B965-61CF05D1D9A0}" destId="{15D2FEF8-5362-430D-B777-479F33A8BD27}" srcOrd="1" destOrd="0" presId="urn:microsoft.com/office/officeart/2005/8/layout/StepDownProcess"/>
    <dgm:cxn modelId="{00068710-54C2-4640-8269-0D1CA33A729A}" type="presParOf" srcId="{C2782D4F-0175-4754-B965-61CF05D1D9A0}" destId="{C1EDBED2-5D75-428C-B918-CB2A75574123}" srcOrd="2" destOrd="0" presId="urn:microsoft.com/office/officeart/2005/8/layout/StepDownProcess"/>
    <dgm:cxn modelId="{FFF8259C-A6E6-43B0-AD71-81BDA43E1E4E}" type="presParOf" srcId="{86E14C38-B11C-4171-B0E7-C142773CC1F7}" destId="{2051D086-8991-41E8-B766-2008AC26F80A}" srcOrd="3" destOrd="0" presId="urn:microsoft.com/office/officeart/2005/8/layout/StepDownProcess"/>
    <dgm:cxn modelId="{E7E8F3AD-E30F-488D-9B2B-4DCB32167A49}" type="presParOf" srcId="{86E14C38-B11C-4171-B0E7-C142773CC1F7}" destId="{CC9458C8-DBB0-41C1-8B91-BF599D227E89}" srcOrd="4" destOrd="0" presId="urn:microsoft.com/office/officeart/2005/8/layout/StepDownProcess"/>
    <dgm:cxn modelId="{9B7AB6E2-5DD7-44A8-908F-415DB4EB7F3C}" type="presParOf" srcId="{CC9458C8-DBB0-41C1-8B91-BF599D227E89}" destId="{2DF1661F-1DEF-467F-99CB-51B99E0A5B66}" srcOrd="0" destOrd="0" presId="urn:microsoft.com/office/officeart/2005/8/layout/StepDownProcess"/>
    <dgm:cxn modelId="{1C5DF534-5C0A-4ED2-BDC2-C0B34EB5C6FD}" type="presParOf" srcId="{CC9458C8-DBB0-41C1-8B91-BF599D227E89}" destId="{7BC27FFA-F816-40E4-AA21-03ABE2078952}" srcOrd="1" destOrd="0" presId="urn:microsoft.com/office/officeart/2005/8/layout/StepDownProcess"/>
    <dgm:cxn modelId="{540AD9A2-F7F5-4EE5-A53A-94204FD0B459}" type="presParOf" srcId="{CC9458C8-DBB0-41C1-8B91-BF599D227E89}" destId="{377A8144-CEF6-41FD-ABE1-98D34A229103}" srcOrd="2" destOrd="0" presId="urn:microsoft.com/office/officeart/2005/8/layout/StepDownProcess"/>
    <dgm:cxn modelId="{EE282CDE-BD19-40F8-8D14-D9A5B9B0D0C1}" type="presParOf" srcId="{86E14C38-B11C-4171-B0E7-C142773CC1F7}" destId="{850510C3-EA34-4667-A7E9-667462981D5A}" srcOrd="5" destOrd="0" presId="urn:microsoft.com/office/officeart/2005/8/layout/StepDownProcess"/>
    <dgm:cxn modelId="{A884FA12-5246-47E4-866E-C3E5CD29F33F}" type="presParOf" srcId="{86E14C38-B11C-4171-B0E7-C142773CC1F7}" destId="{88231B70-4CE2-4814-92F9-2C00288E8A89}" srcOrd="6" destOrd="0" presId="urn:microsoft.com/office/officeart/2005/8/layout/StepDownProcess"/>
    <dgm:cxn modelId="{F3AB7D35-2C17-4C3A-9276-2DA4FD923BB2}" type="presParOf" srcId="{88231B70-4CE2-4814-92F9-2C00288E8A89}" destId="{5BB93BFA-5081-43C3-B275-5A71E23AC27B}" srcOrd="0" destOrd="0" presId="urn:microsoft.com/office/officeart/2005/8/layout/StepDownProcess"/>
    <dgm:cxn modelId="{9AA835E4-2C94-4717-874E-50C6E10A1B48}" type="presParOf" srcId="{88231B70-4CE2-4814-92F9-2C00288E8A89}" destId="{39F96931-D364-4853-BAC1-5DD55E7763A6}" srcOrd="1" destOrd="0" presId="urn:microsoft.com/office/officeart/2005/8/layout/StepDownProcess"/>
    <dgm:cxn modelId="{8C446D0F-E58D-49F6-A890-2E89C7D7A664}" type="presParOf" srcId="{88231B70-4CE2-4814-92F9-2C00288E8A89}" destId="{875AFFE6-F6BE-4411-957E-F1317FC4A82A}" srcOrd="2" destOrd="0" presId="urn:microsoft.com/office/officeart/2005/8/layout/StepDownProcess"/>
    <dgm:cxn modelId="{873EA741-A40A-4CE6-916B-63D3FB83C60A}" type="presParOf" srcId="{86E14C38-B11C-4171-B0E7-C142773CC1F7}" destId="{6A10D8F6-8085-4B7F-8757-C8A69625E5CE}" srcOrd="7" destOrd="0" presId="urn:microsoft.com/office/officeart/2005/8/layout/StepDownProcess"/>
    <dgm:cxn modelId="{13166327-AA29-460F-92F0-F602CEBB5220}" type="presParOf" srcId="{86E14C38-B11C-4171-B0E7-C142773CC1F7}" destId="{B2014161-4A4A-4E05-9EC1-7A5385D72161}" srcOrd="8" destOrd="0" presId="urn:microsoft.com/office/officeart/2005/8/layout/StepDownProcess"/>
    <dgm:cxn modelId="{1F49EA43-E618-494E-9D0D-0AEE9B623008}" type="presParOf" srcId="{B2014161-4A4A-4E05-9EC1-7A5385D72161}" destId="{D369832E-7FEE-427C-9831-36574EDC59D0}" srcOrd="0" destOrd="0" presId="urn:microsoft.com/office/officeart/2005/8/layout/StepDownProcess"/>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DADC40C-03C2-4C65-9F57-C81C0E694DA1}" type="doc">
      <dgm:prSet loTypeId="urn:microsoft.com/office/officeart/2005/8/layout/process1" loCatId="process" qsTypeId="urn:microsoft.com/office/officeart/2005/8/quickstyle/simple1" qsCatId="simple" csTypeId="urn:microsoft.com/office/officeart/2005/8/colors/accent1_2" csCatId="accent1" phldr="1"/>
      <dgm:spPr/>
    </dgm:pt>
    <dgm:pt modelId="{8A414B7A-CC0F-4D2F-907D-5B45074839F8}">
      <dgm:prSet phldrT="[Text]"/>
      <dgm:spPr>
        <a:xfrm>
          <a:off x="2888" y="322865"/>
          <a:ext cx="895340" cy="12973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Upto 1 month</a:t>
          </a:r>
        </a:p>
      </dgm:t>
    </dgm:pt>
    <dgm:pt modelId="{8FFE1D54-A365-4385-90E0-3032ED4CC1D6}" type="parTrans" cxnId="{122FC492-3D99-44B6-A61D-7F8AB2E6C586}">
      <dgm:prSet/>
      <dgm:spPr/>
      <dgm:t>
        <a:bodyPr/>
        <a:lstStyle/>
        <a:p>
          <a:endParaRPr lang="en-US"/>
        </a:p>
      </dgm:t>
    </dgm:pt>
    <dgm:pt modelId="{0557334F-0270-4B50-AAE3-0988FBFA7FCF}" type="sibTrans" cxnId="{122FC492-3D99-44B6-A61D-7F8AB2E6C586}">
      <dgm:prSet/>
      <dgm:spPr>
        <a:xfrm>
          <a:off x="987762" y="860527"/>
          <a:ext cx="189812" cy="222044"/>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7E2E964-2329-4B01-8FF7-C67DB4467F27}">
      <dgm:prSet phldrT="[Text]"/>
      <dgm:spPr>
        <a:xfrm>
          <a:off x="1256365" y="322865"/>
          <a:ext cx="895340" cy="12973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1 month to 3 months</a:t>
          </a:r>
        </a:p>
      </dgm:t>
    </dgm:pt>
    <dgm:pt modelId="{930B667C-F34C-40BC-97A4-7C64419F76B5}" type="parTrans" cxnId="{FDC20CD9-B6E9-473E-AD40-BF15A2C7ACF9}">
      <dgm:prSet/>
      <dgm:spPr/>
      <dgm:t>
        <a:bodyPr/>
        <a:lstStyle/>
        <a:p>
          <a:endParaRPr lang="en-US"/>
        </a:p>
      </dgm:t>
    </dgm:pt>
    <dgm:pt modelId="{860118CB-1C38-4FA8-9FC3-9E87A787906C}" type="sibTrans" cxnId="{FDC20CD9-B6E9-473E-AD40-BF15A2C7ACF9}">
      <dgm:prSet/>
      <dgm:spPr>
        <a:xfrm>
          <a:off x="2241239" y="860527"/>
          <a:ext cx="189812" cy="222044"/>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02F69C94-E470-41CE-99CC-1822A1307F24}">
      <dgm:prSet phldrT="[Text]"/>
      <dgm:spPr>
        <a:xfrm>
          <a:off x="2509842" y="322865"/>
          <a:ext cx="895340" cy="12973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3 months to 1 year</a:t>
          </a:r>
        </a:p>
      </dgm:t>
    </dgm:pt>
    <dgm:pt modelId="{D648A29B-E142-4B0F-8F65-5BA3916D777A}" type="parTrans" cxnId="{47A2CDDE-2684-4089-8153-95DCEDE5CDF5}">
      <dgm:prSet/>
      <dgm:spPr/>
      <dgm:t>
        <a:bodyPr/>
        <a:lstStyle/>
        <a:p>
          <a:endParaRPr lang="en-US"/>
        </a:p>
      </dgm:t>
    </dgm:pt>
    <dgm:pt modelId="{D61899F0-DA98-4061-977D-ED69E8E86730}" type="sibTrans" cxnId="{47A2CDDE-2684-4089-8153-95DCEDE5CDF5}">
      <dgm:prSet/>
      <dgm:spPr>
        <a:xfrm>
          <a:off x="3494716" y="860527"/>
          <a:ext cx="189812" cy="222044"/>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015AA59B-4B90-4D07-95C1-966E09F5CF55}">
      <dgm:prSet/>
      <dgm:spPr>
        <a:xfrm>
          <a:off x="3763319" y="322865"/>
          <a:ext cx="895340" cy="12973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1 year to 5 years</a:t>
          </a:r>
        </a:p>
      </dgm:t>
    </dgm:pt>
    <dgm:pt modelId="{A8A32B65-1CD4-42CE-B5B9-D7628B507411}" type="parTrans" cxnId="{E7EFFA52-F43A-40E5-A669-35CD62B3546C}">
      <dgm:prSet/>
      <dgm:spPr/>
      <dgm:t>
        <a:bodyPr/>
        <a:lstStyle/>
        <a:p>
          <a:endParaRPr lang="en-US"/>
        </a:p>
      </dgm:t>
    </dgm:pt>
    <dgm:pt modelId="{A00524C8-C30D-4F16-AE5E-E78672B77F92}" type="sibTrans" cxnId="{E7EFFA52-F43A-40E5-A669-35CD62B3546C}">
      <dgm:prSet/>
      <dgm:spPr>
        <a:xfrm>
          <a:off x="4748193" y="860527"/>
          <a:ext cx="189812" cy="222044"/>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175BE21-A1BA-41A1-B6B4-D7A3B54706FA}">
      <dgm:prSet/>
      <dgm:spPr>
        <a:xfrm>
          <a:off x="5016796" y="322865"/>
          <a:ext cx="895340" cy="12973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More than 5 years</a:t>
          </a:r>
        </a:p>
      </dgm:t>
    </dgm:pt>
    <dgm:pt modelId="{74F3C0C1-6689-41C3-AA0A-2AAD8AFC67E4}" type="parTrans" cxnId="{F49A76AF-BAD1-4FC7-AE69-F1CF6C59857A}">
      <dgm:prSet/>
      <dgm:spPr/>
      <dgm:t>
        <a:bodyPr/>
        <a:lstStyle/>
        <a:p>
          <a:endParaRPr lang="en-US"/>
        </a:p>
      </dgm:t>
    </dgm:pt>
    <dgm:pt modelId="{12A5C324-5CEF-4376-BD0D-A8CB4838E258}" type="sibTrans" cxnId="{F49A76AF-BAD1-4FC7-AE69-F1CF6C59857A}">
      <dgm:prSet/>
      <dgm:spPr/>
      <dgm:t>
        <a:bodyPr/>
        <a:lstStyle/>
        <a:p>
          <a:endParaRPr lang="en-US"/>
        </a:p>
      </dgm:t>
    </dgm:pt>
    <dgm:pt modelId="{D19767CD-7CD1-415F-9EF8-AD3F4E0FB4DB}" type="pres">
      <dgm:prSet presAssocID="{ADADC40C-03C2-4C65-9F57-C81C0E694DA1}" presName="Name0" presStyleCnt="0">
        <dgm:presLayoutVars>
          <dgm:dir/>
          <dgm:resizeHandles val="exact"/>
        </dgm:presLayoutVars>
      </dgm:prSet>
      <dgm:spPr/>
    </dgm:pt>
    <dgm:pt modelId="{CDE870EE-4521-4A3D-9E53-97D8FBF1EB28}" type="pres">
      <dgm:prSet presAssocID="{8A414B7A-CC0F-4D2F-907D-5B45074839F8}" presName="node" presStyleLbl="node1" presStyleIdx="0" presStyleCnt="5">
        <dgm:presLayoutVars>
          <dgm:bulletEnabled val="1"/>
        </dgm:presLayoutVars>
      </dgm:prSet>
      <dgm:spPr>
        <a:prstGeom prst="roundRect">
          <a:avLst>
            <a:gd name="adj" fmla="val 10000"/>
          </a:avLst>
        </a:prstGeom>
      </dgm:spPr>
      <dgm:t>
        <a:bodyPr/>
        <a:lstStyle/>
        <a:p>
          <a:endParaRPr lang="en-US"/>
        </a:p>
      </dgm:t>
    </dgm:pt>
    <dgm:pt modelId="{320A2490-76F8-4D9F-B57F-B61B86D6573B}" type="pres">
      <dgm:prSet presAssocID="{0557334F-0270-4B50-AAE3-0988FBFA7FCF}" presName="sibTrans" presStyleLbl="sibTrans2D1" presStyleIdx="0" presStyleCnt="4"/>
      <dgm:spPr>
        <a:prstGeom prst="rightArrow">
          <a:avLst>
            <a:gd name="adj1" fmla="val 60000"/>
            <a:gd name="adj2" fmla="val 50000"/>
          </a:avLst>
        </a:prstGeom>
      </dgm:spPr>
      <dgm:t>
        <a:bodyPr/>
        <a:lstStyle/>
        <a:p>
          <a:endParaRPr lang="en-US"/>
        </a:p>
      </dgm:t>
    </dgm:pt>
    <dgm:pt modelId="{EA520CAF-ACC7-4103-AF1B-A33D2DF3551A}" type="pres">
      <dgm:prSet presAssocID="{0557334F-0270-4B50-AAE3-0988FBFA7FCF}" presName="connectorText" presStyleLbl="sibTrans2D1" presStyleIdx="0" presStyleCnt="4"/>
      <dgm:spPr/>
      <dgm:t>
        <a:bodyPr/>
        <a:lstStyle/>
        <a:p>
          <a:endParaRPr lang="en-US"/>
        </a:p>
      </dgm:t>
    </dgm:pt>
    <dgm:pt modelId="{4D59BCA3-1A2D-4398-BD03-6305164C5889}" type="pres">
      <dgm:prSet presAssocID="{77E2E964-2329-4B01-8FF7-C67DB4467F27}" presName="node" presStyleLbl="node1" presStyleIdx="1" presStyleCnt="5">
        <dgm:presLayoutVars>
          <dgm:bulletEnabled val="1"/>
        </dgm:presLayoutVars>
      </dgm:prSet>
      <dgm:spPr>
        <a:prstGeom prst="roundRect">
          <a:avLst>
            <a:gd name="adj" fmla="val 10000"/>
          </a:avLst>
        </a:prstGeom>
      </dgm:spPr>
      <dgm:t>
        <a:bodyPr/>
        <a:lstStyle/>
        <a:p>
          <a:endParaRPr lang="en-US"/>
        </a:p>
      </dgm:t>
    </dgm:pt>
    <dgm:pt modelId="{397519B1-7531-4006-A9DA-517B756CCC82}" type="pres">
      <dgm:prSet presAssocID="{860118CB-1C38-4FA8-9FC3-9E87A787906C}" presName="sibTrans" presStyleLbl="sibTrans2D1" presStyleIdx="1" presStyleCnt="4"/>
      <dgm:spPr>
        <a:prstGeom prst="rightArrow">
          <a:avLst>
            <a:gd name="adj1" fmla="val 60000"/>
            <a:gd name="adj2" fmla="val 50000"/>
          </a:avLst>
        </a:prstGeom>
      </dgm:spPr>
      <dgm:t>
        <a:bodyPr/>
        <a:lstStyle/>
        <a:p>
          <a:endParaRPr lang="en-US"/>
        </a:p>
      </dgm:t>
    </dgm:pt>
    <dgm:pt modelId="{379FACCE-8688-48E9-ADB6-F1E97F5928C9}" type="pres">
      <dgm:prSet presAssocID="{860118CB-1C38-4FA8-9FC3-9E87A787906C}" presName="connectorText" presStyleLbl="sibTrans2D1" presStyleIdx="1" presStyleCnt="4"/>
      <dgm:spPr/>
      <dgm:t>
        <a:bodyPr/>
        <a:lstStyle/>
        <a:p>
          <a:endParaRPr lang="en-US"/>
        </a:p>
      </dgm:t>
    </dgm:pt>
    <dgm:pt modelId="{F7E72CC3-6F4E-40B6-80CB-3F30E13AB174}" type="pres">
      <dgm:prSet presAssocID="{02F69C94-E470-41CE-99CC-1822A1307F24}" presName="node" presStyleLbl="node1" presStyleIdx="2" presStyleCnt="5">
        <dgm:presLayoutVars>
          <dgm:bulletEnabled val="1"/>
        </dgm:presLayoutVars>
      </dgm:prSet>
      <dgm:spPr>
        <a:prstGeom prst="roundRect">
          <a:avLst>
            <a:gd name="adj" fmla="val 10000"/>
          </a:avLst>
        </a:prstGeom>
      </dgm:spPr>
      <dgm:t>
        <a:bodyPr/>
        <a:lstStyle/>
        <a:p>
          <a:endParaRPr lang="en-US"/>
        </a:p>
      </dgm:t>
    </dgm:pt>
    <dgm:pt modelId="{CC3F0BEA-D681-424F-86C1-1A9BBCC49F8B}" type="pres">
      <dgm:prSet presAssocID="{D61899F0-DA98-4061-977D-ED69E8E86730}" presName="sibTrans" presStyleLbl="sibTrans2D1" presStyleIdx="2" presStyleCnt="4"/>
      <dgm:spPr>
        <a:prstGeom prst="rightArrow">
          <a:avLst>
            <a:gd name="adj1" fmla="val 60000"/>
            <a:gd name="adj2" fmla="val 50000"/>
          </a:avLst>
        </a:prstGeom>
      </dgm:spPr>
      <dgm:t>
        <a:bodyPr/>
        <a:lstStyle/>
        <a:p>
          <a:endParaRPr lang="en-US"/>
        </a:p>
      </dgm:t>
    </dgm:pt>
    <dgm:pt modelId="{B5DFAF0B-5732-4B76-A3C6-0B098ED01DA0}" type="pres">
      <dgm:prSet presAssocID="{D61899F0-DA98-4061-977D-ED69E8E86730}" presName="connectorText" presStyleLbl="sibTrans2D1" presStyleIdx="2" presStyleCnt="4"/>
      <dgm:spPr/>
      <dgm:t>
        <a:bodyPr/>
        <a:lstStyle/>
        <a:p>
          <a:endParaRPr lang="en-US"/>
        </a:p>
      </dgm:t>
    </dgm:pt>
    <dgm:pt modelId="{FF511EA4-A78B-40C5-BC8F-F69EE81BAB6F}" type="pres">
      <dgm:prSet presAssocID="{015AA59B-4B90-4D07-95C1-966E09F5CF55}" presName="node" presStyleLbl="node1" presStyleIdx="3" presStyleCnt="5">
        <dgm:presLayoutVars>
          <dgm:bulletEnabled val="1"/>
        </dgm:presLayoutVars>
      </dgm:prSet>
      <dgm:spPr>
        <a:prstGeom prst="roundRect">
          <a:avLst>
            <a:gd name="adj" fmla="val 10000"/>
          </a:avLst>
        </a:prstGeom>
      </dgm:spPr>
      <dgm:t>
        <a:bodyPr/>
        <a:lstStyle/>
        <a:p>
          <a:endParaRPr lang="en-US"/>
        </a:p>
      </dgm:t>
    </dgm:pt>
    <dgm:pt modelId="{AFB56890-07D2-4E61-9C4E-FC81B73850E6}" type="pres">
      <dgm:prSet presAssocID="{A00524C8-C30D-4F16-AE5E-E78672B77F92}" presName="sibTrans" presStyleLbl="sibTrans2D1" presStyleIdx="3" presStyleCnt="4"/>
      <dgm:spPr>
        <a:prstGeom prst="rightArrow">
          <a:avLst>
            <a:gd name="adj1" fmla="val 60000"/>
            <a:gd name="adj2" fmla="val 50000"/>
          </a:avLst>
        </a:prstGeom>
      </dgm:spPr>
      <dgm:t>
        <a:bodyPr/>
        <a:lstStyle/>
        <a:p>
          <a:endParaRPr lang="en-US"/>
        </a:p>
      </dgm:t>
    </dgm:pt>
    <dgm:pt modelId="{FE95624A-5E25-4137-891B-E0D9C8C4AC55}" type="pres">
      <dgm:prSet presAssocID="{A00524C8-C30D-4F16-AE5E-E78672B77F92}" presName="connectorText" presStyleLbl="sibTrans2D1" presStyleIdx="3" presStyleCnt="4"/>
      <dgm:spPr/>
      <dgm:t>
        <a:bodyPr/>
        <a:lstStyle/>
        <a:p>
          <a:endParaRPr lang="en-US"/>
        </a:p>
      </dgm:t>
    </dgm:pt>
    <dgm:pt modelId="{AE567EAC-EA71-4FE9-8694-40C885B0335E}" type="pres">
      <dgm:prSet presAssocID="{B175BE21-A1BA-41A1-B6B4-D7A3B54706FA}" presName="node" presStyleLbl="node1" presStyleIdx="4" presStyleCnt="5">
        <dgm:presLayoutVars>
          <dgm:bulletEnabled val="1"/>
        </dgm:presLayoutVars>
      </dgm:prSet>
      <dgm:spPr>
        <a:prstGeom prst="roundRect">
          <a:avLst>
            <a:gd name="adj" fmla="val 10000"/>
          </a:avLst>
        </a:prstGeom>
      </dgm:spPr>
      <dgm:t>
        <a:bodyPr/>
        <a:lstStyle/>
        <a:p>
          <a:endParaRPr lang="en-US"/>
        </a:p>
      </dgm:t>
    </dgm:pt>
  </dgm:ptLst>
  <dgm:cxnLst>
    <dgm:cxn modelId="{1C652CD6-5EA0-4195-96A1-77E8D4871BCB}" type="presOf" srcId="{015AA59B-4B90-4D07-95C1-966E09F5CF55}" destId="{FF511EA4-A78B-40C5-BC8F-F69EE81BAB6F}" srcOrd="0" destOrd="0" presId="urn:microsoft.com/office/officeart/2005/8/layout/process1"/>
    <dgm:cxn modelId="{7A2604EC-8479-459E-9701-4CDCC93474FC}" type="presOf" srcId="{A00524C8-C30D-4F16-AE5E-E78672B77F92}" destId="{AFB56890-07D2-4E61-9C4E-FC81B73850E6}" srcOrd="0" destOrd="0" presId="urn:microsoft.com/office/officeart/2005/8/layout/process1"/>
    <dgm:cxn modelId="{7D740323-7CD3-4762-9462-5C6266960CA7}" type="presOf" srcId="{860118CB-1C38-4FA8-9FC3-9E87A787906C}" destId="{379FACCE-8688-48E9-ADB6-F1E97F5928C9}" srcOrd="1" destOrd="0" presId="urn:microsoft.com/office/officeart/2005/8/layout/process1"/>
    <dgm:cxn modelId="{CDF997E1-B7B3-4C63-B2CD-375D732101C3}" type="presOf" srcId="{0557334F-0270-4B50-AAE3-0988FBFA7FCF}" destId="{320A2490-76F8-4D9F-B57F-B61B86D6573B}" srcOrd="0" destOrd="0" presId="urn:microsoft.com/office/officeart/2005/8/layout/process1"/>
    <dgm:cxn modelId="{F8BF411B-3337-4424-8343-727C633C5C97}" type="presOf" srcId="{02F69C94-E470-41CE-99CC-1822A1307F24}" destId="{F7E72CC3-6F4E-40B6-80CB-3F30E13AB174}" srcOrd="0" destOrd="0" presId="urn:microsoft.com/office/officeart/2005/8/layout/process1"/>
    <dgm:cxn modelId="{122FC492-3D99-44B6-A61D-7F8AB2E6C586}" srcId="{ADADC40C-03C2-4C65-9F57-C81C0E694DA1}" destId="{8A414B7A-CC0F-4D2F-907D-5B45074839F8}" srcOrd="0" destOrd="0" parTransId="{8FFE1D54-A365-4385-90E0-3032ED4CC1D6}" sibTransId="{0557334F-0270-4B50-AAE3-0988FBFA7FCF}"/>
    <dgm:cxn modelId="{B9793E14-AD76-4548-B052-FDD8512E7DE9}" type="presOf" srcId="{ADADC40C-03C2-4C65-9F57-C81C0E694DA1}" destId="{D19767CD-7CD1-415F-9EF8-AD3F4E0FB4DB}" srcOrd="0" destOrd="0" presId="urn:microsoft.com/office/officeart/2005/8/layout/process1"/>
    <dgm:cxn modelId="{29282E6B-2B81-4DCF-8678-72394F024EC8}" type="presOf" srcId="{77E2E964-2329-4B01-8FF7-C67DB4467F27}" destId="{4D59BCA3-1A2D-4398-BD03-6305164C5889}" srcOrd="0" destOrd="0" presId="urn:microsoft.com/office/officeart/2005/8/layout/process1"/>
    <dgm:cxn modelId="{FDC20CD9-B6E9-473E-AD40-BF15A2C7ACF9}" srcId="{ADADC40C-03C2-4C65-9F57-C81C0E694DA1}" destId="{77E2E964-2329-4B01-8FF7-C67DB4467F27}" srcOrd="1" destOrd="0" parTransId="{930B667C-F34C-40BC-97A4-7C64419F76B5}" sibTransId="{860118CB-1C38-4FA8-9FC3-9E87A787906C}"/>
    <dgm:cxn modelId="{61F80676-EDC4-4329-9362-7C26E9377D1C}" type="presOf" srcId="{B175BE21-A1BA-41A1-B6B4-D7A3B54706FA}" destId="{AE567EAC-EA71-4FE9-8694-40C885B0335E}" srcOrd="0" destOrd="0" presId="urn:microsoft.com/office/officeart/2005/8/layout/process1"/>
    <dgm:cxn modelId="{47A2CDDE-2684-4089-8153-95DCEDE5CDF5}" srcId="{ADADC40C-03C2-4C65-9F57-C81C0E694DA1}" destId="{02F69C94-E470-41CE-99CC-1822A1307F24}" srcOrd="2" destOrd="0" parTransId="{D648A29B-E142-4B0F-8F65-5BA3916D777A}" sibTransId="{D61899F0-DA98-4061-977D-ED69E8E86730}"/>
    <dgm:cxn modelId="{F49A76AF-BAD1-4FC7-AE69-F1CF6C59857A}" srcId="{ADADC40C-03C2-4C65-9F57-C81C0E694DA1}" destId="{B175BE21-A1BA-41A1-B6B4-D7A3B54706FA}" srcOrd="4" destOrd="0" parTransId="{74F3C0C1-6689-41C3-AA0A-2AAD8AFC67E4}" sibTransId="{12A5C324-5CEF-4376-BD0D-A8CB4838E258}"/>
    <dgm:cxn modelId="{E7EFFA52-F43A-40E5-A669-35CD62B3546C}" srcId="{ADADC40C-03C2-4C65-9F57-C81C0E694DA1}" destId="{015AA59B-4B90-4D07-95C1-966E09F5CF55}" srcOrd="3" destOrd="0" parTransId="{A8A32B65-1CD4-42CE-B5B9-D7628B507411}" sibTransId="{A00524C8-C30D-4F16-AE5E-E78672B77F92}"/>
    <dgm:cxn modelId="{4B407226-80EF-4C20-B97A-1EEA838A5DC0}" type="presOf" srcId="{0557334F-0270-4B50-AAE3-0988FBFA7FCF}" destId="{EA520CAF-ACC7-4103-AF1B-A33D2DF3551A}" srcOrd="1" destOrd="0" presId="urn:microsoft.com/office/officeart/2005/8/layout/process1"/>
    <dgm:cxn modelId="{360BB482-70C0-4332-B8AD-408294D8D322}" type="presOf" srcId="{860118CB-1C38-4FA8-9FC3-9E87A787906C}" destId="{397519B1-7531-4006-A9DA-517B756CCC82}" srcOrd="0" destOrd="0" presId="urn:microsoft.com/office/officeart/2005/8/layout/process1"/>
    <dgm:cxn modelId="{B4BEB7D5-0E65-4DA1-9599-0862FBCC1551}" type="presOf" srcId="{D61899F0-DA98-4061-977D-ED69E8E86730}" destId="{CC3F0BEA-D681-424F-86C1-1A9BBCC49F8B}" srcOrd="0" destOrd="0" presId="urn:microsoft.com/office/officeart/2005/8/layout/process1"/>
    <dgm:cxn modelId="{14A033D3-6DBC-492B-BAA0-648C31673EE4}" type="presOf" srcId="{A00524C8-C30D-4F16-AE5E-E78672B77F92}" destId="{FE95624A-5E25-4137-891B-E0D9C8C4AC55}" srcOrd="1" destOrd="0" presId="urn:microsoft.com/office/officeart/2005/8/layout/process1"/>
    <dgm:cxn modelId="{890352AC-F723-42CD-A944-15746E18B80A}" type="presOf" srcId="{D61899F0-DA98-4061-977D-ED69E8E86730}" destId="{B5DFAF0B-5732-4B76-A3C6-0B098ED01DA0}" srcOrd="1" destOrd="0" presId="urn:microsoft.com/office/officeart/2005/8/layout/process1"/>
    <dgm:cxn modelId="{5A6DF0CC-1BDA-4C90-B8DC-8250515B4544}" type="presOf" srcId="{8A414B7A-CC0F-4D2F-907D-5B45074839F8}" destId="{CDE870EE-4521-4A3D-9E53-97D8FBF1EB28}" srcOrd="0" destOrd="0" presId="urn:microsoft.com/office/officeart/2005/8/layout/process1"/>
    <dgm:cxn modelId="{735CADFF-7F65-42B2-9496-168404AD0A58}" type="presParOf" srcId="{D19767CD-7CD1-415F-9EF8-AD3F4E0FB4DB}" destId="{CDE870EE-4521-4A3D-9E53-97D8FBF1EB28}" srcOrd="0" destOrd="0" presId="urn:microsoft.com/office/officeart/2005/8/layout/process1"/>
    <dgm:cxn modelId="{1AFB309F-7F77-488B-9DEA-7FEB8577DB04}" type="presParOf" srcId="{D19767CD-7CD1-415F-9EF8-AD3F4E0FB4DB}" destId="{320A2490-76F8-4D9F-B57F-B61B86D6573B}" srcOrd="1" destOrd="0" presId="urn:microsoft.com/office/officeart/2005/8/layout/process1"/>
    <dgm:cxn modelId="{3BD976E4-55C0-497D-80E5-5DB54C36F90A}" type="presParOf" srcId="{320A2490-76F8-4D9F-B57F-B61B86D6573B}" destId="{EA520CAF-ACC7-4103-AF1B-A33D2DF3551A}" srcOrd="0" destOrd="0" presId="urn:microsoft.com/office/officeart/2005/8/layout/process1"/>
    <dgm:cxn modelId="{F013C4EC-D6E5-4D7A-8C8E-FEB2D5D295AA}" type="presParOf" srcId="{D19767CD-7CD1-415F-9EF8-AD3F4E0FB4DB}" destId="{4D59BCA3-1A2D-4398-BD03-6305164C5889}" srcOrd="2" destOrd="0" presId="urn:microsoft.com/office/officeart/2005/8/layout/process1"/>
    <dgm:cxn modelId="{CA3C1EF5-A772-4FAD-99EF-B1B5197E0969}" type="presParOf" srcId="{D19767CD-7CD1-415F-9EF8-AD3F4E0FB4DB}" destId="{397519B1-7531-4006-A9DA-517B756CCC82}" srcOrd="3" destOrd="0" presId="urn:microsoft.com/office/officeart/2005/8/layout/process1"/>
    <dgm:cxn modelId="{5494A0F9-10B1-4395-889F-3622DC061314}" type="presParOf" srcId="{397519B1-7531-4006-A9DA-517B756CCC82}" destId="{379FACCE-8688-48E9-ADB6-F1E97F5928C9}" srcOrd="0" destOrd="0" presId="urn:microsoft.com/office/officeart/2005/8/layout/process1"/>
    <dgm:cxn modelId="{F9BF33C5-B776-4F03-9F88-4AA5F5EA31E6}" type="presParOf" srcId="{D19767CD-7CD1-415F-9EF8-AD3F4E0FB4DB}" destId="{F7E72CC3-6F4E-40B6-80CB-3F30E13AB174}" srcOrd="4" destOrd="0" presId="urn:microsoft.com/office/officeart/2005/8/layout/process1"/>
    <dgm:cxn modelId="{5755F2F8-001F-46A4-AF9A-B1A26C1F3ABF}" type="presParOf" srcId="{D19767CD-7CD1-415F-9EF8-AD3F4E0FB4DB}" destId="{CC3F0BEA-D681-424F-86C1-1A9BBCC49F8B}" srcOrd="5" destOrd="0" presId="urn:microsoft.com/office/officeart/2005/8/layout/process1"/>
    <dgm:cxn modelId="{EE3A7AE3-AA33-49FA-ADAD-6EB58FA91B61}" type="presParOf" srcId="{CC3F0BEA-D681-424F-86C1-1A9BBCC49F8B}" destId="{B5DFAF0B-5732-4B76-A3C6-0B098ED01DA0}" srcOrd="0" destOrd="0" presId="urn:microsoft.com/office/officeart/2005/8/layout/process1"/>
    <dgm:cxn modelId="{60EBB513-5DB9-45DF-A47C-33975C2181F2}" type="presParOf" srcId="{D19767CD-7CD1-415F-9EF8-AD3F4E0FB4DB}" destId="{FF511EA4-A78B-40C5-BC8F-F69EE81BAB6F}" srcOrd="6" destOrd="0" presId="urn:microsoft.com/office/officeart/2005/8/layout/process1"/>
    <dgm:cxn modelId="{FFFB7667-E7F9-4954-B153-75FFE7EA4A17}" type="presParOf" srcId="{D19767CD-7CD1-415F-9EF8-AD3F4E0FB4DB}" destId="{AFB56890-07D2-4E61-9C4E-FC81B73850E6}" srcOrd="7" destOrd="0" presId="urn:microsoft.com/office/officeart/2005/8/layout/process1"/>
    <dgm:cxn modelId="{451CD29F-5966-4876-A953-8C9E44256DB7}" type="presParOf" srcId="{AFB56890-07D2-4E61-9C4E-FC81B73850E6}" destId="{FE95624A-5E25-4137-891B-E0D9C8C4AC55}" srcOrd="0" destOrd="0" presId="urn:microsoft.com/office/officeart/2005/8/layout/process1"/>
    <dgm:cxn modelId="{F62CD422-2548-4A0A-A7AF-D2CC9C7D02F0}" type="presParOf" srcId="{D19767CD-7CD1-415F-9EF8-AD3F4E0FB4DB}" destId="{AE567EAC-EA71-4FE9-8694-40C885B0335E}" srcOrd="8" destOrd="0" presId="urn:microsoft.com/office/officeart/2005/8/layout/process1"/>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01B554-F67C-482C-A7E5-7C9020932123}">
      <dsp:nvSpPr>
        <dsp:cNvPr id="0" name=""/>
        <dsp:cNvSpPr/>
      </dsp:nvSpPr>
      <dsp:spPr>
        <a:xfrm>
          <a:off x="2859087" y="963973"/>
          <a:ext cx="2022825" cy="351068"/>
        </a:xfrm>
        <a:custGeom>
          <a:avLst/>
          <a:gdLst/>
          <a:ahLst/>
          <a:cxnLst/>
          <a:rect l="0" t="0" r="0" b="0"/>
          <a:pathLst>
            <a:path>
              <a:moveTo>
                <a:pt x="0" y="0"/>
              </a:moveTo>
              <a:lnTo>
                <a:pt x="0" y="175534"/>
              </a:lnTo>
              <a:lnTo>
                <a:pt x="2022825" y="175534"/>
              </a:lnTo>
              <a:lnTo>
                <a:pt x="2022825" y="3510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B58CBC-0E51-4832-8E84-34E0F580ADEF}">
      <dsp:nvSpPr>
        <dsp:cNvPr id="0" name=""/>
        <dsp:cNvSpPr/>
      </dsp:nvSpPr>
      <dsp:spPr>
        <a:xfrm>
          <a:off x="2813367" y="963973"/>
          <a:ext cx="91440" cy="351068"/>
        </a:xfrm>
        <a:custGeom>
          <a:avLst/>
          <a:gdLst/>
          <a:ahLst/>
          <a:cxnLst/>
          <a:rect l="0" t="0" r="0" b="0"/>
          <a:pathLst>
            <a:path>
              <a:moveTo>
                <a:pt x="45720" y="0"/>
              </a:moveTo>
              <a:lnTo>
                <a:pt x="45720" y="3510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486636-9086-4511-9FB7-86F571E6A394}">
      <dsp:nvSpPr>
        <dsp:cNvPr id="0" name=""/>
        <dsp:cNvSpPr/>
      </dsp:nvSpPr>
      <dsp:spPr>
        <a:xfrm>
          <a:off x="836262" y="963973"/>
          <a:ext cx="2022825" cy="351068"/>
        </a:xfrm>
        <a:custGeom>
          <a:avLst/>
          <a:gdLst/>
          <a:ahLst/>
          <a:cxnLst/>
          <a:rect l="0" t="0" r="0" b="0"/>
          <a:pathLst>
            <a:path>
              <a:moveTo>
                <a:pt x="2022825" y="0"/>
              </a:moveTo>
              <a:lnTo>
                <a:pt x="2022825" y="175534"/>
              </a:lnTo>
              <a:lnTo>
                <a:pt x="0" y="175534"/>
              </a:lnTo>
              <a:lnTo>
                <a:pt x="0" y="3510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B60BE9-2324-4909-9F42-30B5259C2B52}">
      <dsp:nvSpPr>
        <dsp:cNvPr id="0" name=""/>
        <dsp:cNvSpPr/>
      </dsp:nvSpPr>
      <dsp:spPr>
        <a:xfrm>
          <a:off x="2023209" y="128094"/>
          <a:ext cx="1671756" cy="8358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t>Chairman</a:t>
          </a:r>
        </a:p>
      </dsp:txBody>
      <dsp:txXfrm>
        <a:off x="2023209" y="128094"/>
        <a:ext cx="1671756" cy="835878"/>
      </dsp:txXfrm>
    </dsp:sp>
    <dsp:sp modelId="{524DA309-5DFF-42C5-920E-625D7F2DF6F8}">
      <dsp:nvSpPr>
        <dsp:cNvPr id="0" name=""/>
        <dsp:cNvSpPr/>
      </dsp:nvSpPr>
      <dsp:spPr>
        <a:xfrm>
          <a:off x="383" y="1315041"/>
          <a:ext cx="1671756" cy="8358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t>Nominated Directors</a:t>
          </a:r>
        </a:p>
      </dsp:txBody>
      <dsp:txXfrm>
        <a:off x="383" y="1315041"/>
        <a:ext cx="1671756" cy="835878"/>
      </dsp:txXfrm>
    </dsp:sp>
    <dsp:sp modelId="{CF08AE82-662A-4F57-8D3C-21F610669D8D}">
      <dsp:nvSpPr>
        <dsp:cNvPr id="0" name=""/>
        <dsp:cNvSpPr/>
      </dsp:nvSpPr>
      <dsp:spPr>
        <a:xfrm>
          <a:off x="2023209" y="1315041"/>
          <a:ext cx="1671756" cy="8358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t>Independent Directors</a:t>
          </a:r>
        </a:p>
      </dsp:txBody>
      <dsp:txXfrm>
        <a:off x="2023209" y="1315041"/>
        <a:ext cx="1671756" cy="835878"/>
      </dsp:txXfrm>
    </dsp:sp>
    <dsp:sp modelId="{7077A57A-1550-4DF9-92AD-83F212E7E64E}">
      <dsp:nvSpPr>
        <dsp:cNvPr id="0" name=""/>
        <dsp:cNvSpPr/>
      </dsp:nvSpPr>
      <dsp:spPr>
        <a:xfrm>
          <a:off x="4046034" y="1315041"/>
          <a:ext cx="1671756" cy="8358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t>Managing Director and CEO</a:t>
          </a:r>
        </a:p>
      </dsp:txBody>
      <dsp:txXfrm>
        <a:off x="4046034" y="1315041"/>
        <a:ext cx="1671756" cy="8358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5FDABE-B7E8-4C5D-A0C3-9B53BC864491}">
      <dsp:nvSpPr>
        <dsp:cNvPr id="0" name=""/>
        <dsp:cNvSpPr/>
      </dsp:nvSpPr>
      <dsp:spPr>
        <a:xfrm>
          <a:off x="1229204" y="852479"/>
          <a:ext cx="1133786" cy="1133786"/>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solidFill>
                <a:sysClr val="window" lastClr="FFFFFF"/>
              </a:solidFill>
              <a:latin typeface="Calibri"/>
              <a:ea typeface="+mn-ea"/>
              <a:cs typeface="+mn-cs"/>
            </a:rPr>
            <a:t>Investment </a:t>
          </a:r>
        </a:p>
      </dsp:txBody>
      <dsp:txXfrm>
        <a:off x="1395243" y="1018518"/>
        <a:ext cx="801708" cy="801708"/>
      </dsp:txXfrm>
    </dsp:sp>
    <dsp:sp modelId="{8C393A9B-DF74-49D4-A1A9-5396B8EC6210}">
      <dsp:nvSpPr>
        <dsp:cNvPr id="0" name=""/>
        <dsp:cNvSpPr/>
      </dsp:nvSpPr>
      <dsp:spPr>
        <a:xfrm rot="12900000">
          <a:off x="457772" y="640340"/>
          <a:ext cx="912981" cy="323129"/>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7D7A63E-4A65-4DE0-9BAA-BF084313FFCB}">
      <dsp:nvSpPr>
        <dsp:cNvPr id="0" name=""/>
        <dsp:cNvSpPr/>
      </dsp:nvSpPr>
      <dsp:spPr>
        <a:xfrm>
          <a:off x="1779" y="109234"/>
          <a:ext cx="1077097" cy="8616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libri"/>
              <a:ea typeface="+mn-ea"/>
              <a:cs typeface="+mn-cs"/>
            </a:rPr>
            <a:t>Government Securities</a:t>
          </a:r>
        </a:p>
      </dsp:txBody>
      <dsp:txXfrm>
        <a:off x="27017" y="134472"/>
        <a:ext cx="1026621" cy="811201"/>
      </dsp:txXfrm>
    </dsp:sp>
    <dsp:sp modelId="{E6E0D0A8-F3C6-484B-B036-ECAECFC1DCA8}">
      <dsp:nvSpPr>
        <dsp:cNvPr id="0" name=""/>
        <dsp:cNvSpPr/>
      </dsp:nvSpPr>
      <dsp:spPr>
        <a:xfrm rot="19500000">
          <a:off x="2221440" y="640340"/>
          <a:ext cx="912981" cy="323129"/>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DB479C8-9064-4387-80D4-22462F4FFB79}">
      <dsp:nvSpPr>
        <dsp:cNvPr id="0" name=""/>
        <dsp:cNvSpPr/>
      </dsp:nvSpPr>
      <dsp:spPr>
        <a:xfrm>
          <a:off x="2513318" y="109234"/>
          <a:ext cx="1077097" cy="86167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libri"/>
              <a:ea typeface="+mn-ea"/>
              <a:cs typeface="+mn-cs"/>
            </a:rPr>
            <a:t>Other Securities</a:t>
          </a:r>
        </a:p>
      </dsp:txBody>
      <dsp:txXfrm>
        <a:off x="2538556" y="134472"/>
        <a:ext cx="1026621" cy="81120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8DC9AE-6913-4695-B575-F41FFCE7F9FE}">
      <dsp:nvSpPr>
        <dsp:cNvPr id="0" name=""/>
        <dsp:cNvSpPr/>
      </dsp:nvSpPr>
      <dsp:spPr>
        <a:xfrm>
          <a:off x="682" y="138631"/>
          <a:ext cx="1330907" cy="532362"/>
        </a:xfrm>
        <a:prstGeom prst="homePlate">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8674" tIns="29337" rIns="14669" bIns="29337"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Treasury Bill</a:t>
          </a:r>
        </a:p>
      </dsp:txBody>
      <dsp:txXfrm>
        <a:off x="682" y="138631"/>
        <a:ext cx="1197817" cy="532362"/>
      </dsp:txXfrm>
    </dsp:sp>
    <dsp:sp modelId="{CBF13A70-CC21-4CBF-86AF-8C3755AE0964}">
      <dsp:nvSpPr>
        <dsp:cNvPr id="0" name=""/>
        <dsp:cNvSpPr/>
      </dsp:nvSpPr>
      <dsp:spPr>
        <a:xfrm>
          <a:off x="1065408" y="138631"/>
          <a:ext cx="1330907" cy="532362"/>
        </a:xfrm>
        <a:prstGeom prst="chevron">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Bangladesh Bank Bill</a:t>
          </a:r>
        </a:p>
      </dsp:txBody>
      <dsp:txXfrm>
        <a:off x="1331589" y="138631"/>
        <a:ext cx="798545" cy="532362"/>
      </dsp:txXfrm>
    </dsp:sp>
    <dsp:sp modelId="{D078C7FF-6DB6-4C50-A088-B218661881E7}">
      <dsp:nvSpPr>
        <dsp:cNvPr id="0" name=""/>
        <dsp:cNvSpPr/>
      </dsp:nvSpPr>
      <dsp:spPr>
        <a:xfrm>
          <a:off x="2130133" y="138631"/>
          <a:ext cx="1330907" cy="532362"/>
        </a:xfrm>
        <a:prstGeom prst="chevron">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Treasury Bond</a:t>
          </a:r>
        </a:p>
      </dsp:txBody>
      <dsp:txXfrm>
        <a:off x="2396314" y="138631"/>
        <a:ext cx="798545" cy="532362"/>
      </dsp:txXfrm>
    </dsp:sp>
    <dsp:sp modelId="{691319EF-93BF-4A2B-8D63-60AB35B15CBF}">
      <dsp:nvSpPr>
        <dsp:cNvPr id="0" name=""/>
        <dsp:cNvSpPr/>
      </dsp:nvSpPr>
      <dsp:spPr>
        <a:xfrm>
          <a:off x="3194859" y="138631"/>
          <a:ext cx="1330907" cy="532362"/>
        </a:xfrm>
        <a:prstGeom prst="chevron">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Encumbered Securities</a:t>
          </a:r>
        </a:p>
      </dsp:txBody>
      <dsp:txXfrm>
        <a:off x="3461040" y="138631"/>
        <a:ext cx="798545" cy="532362"/>
      </dsp:txXfrm>
    </dsp:sp>
    <dsp:sp modelId="{D797ABE3-3469-48C2-896F-64125BE6B1A1}">
      <dsp:nvSpPr>
        <dsp:cNvPr id="0" name=""/>
        <dsp:cNvSpPr/>
      </dsp:nvSpPr>
      <dsp:spPr>
        <a:xfrm>
          <a:off x="4259585" y="138631"/>
          <a:ext cx="1330907" cy="532362"/>
        </a:xfrm>
        <a:prstGeom prst="chevron">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Prize Bond</a:t>
          </a:r>
        </a:p>
      </dsp:txBody>
      <dsp:txXfrm>
        <a:off x="4525766" y="138631"/>
        <a:ext cx="798545" cy="53236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3EF998-7F05-4312-9D38-338FAE3660CF}">
      <dsp:nvSpPr>
        <dsp:cNvPr id="0" name=""/>
        <dsp:cNvSpPr/>
      </dsp:nvSpPr>
      <dsp:spPr>
        <a:xfrm>
          <a:off x="411765" y="0"/>
          <a:ext cx="4666678" cy="1655359"/>
        </a:xfrm>
        <a:prstGeom prst="rightArrow">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BA3F1C8A-1AFF-409F-9869-36EB0CDB2332}">
      <dsp:nvSpPr>
        <dsp:cNvPr id="0" name=""/>
        <dsp:cNvSpPr/>
      </dsp:nvSpPr>
      <dsp:spPr>
        <a:xfrm>
          <a:off x="946" y="496607"/>
          <a:ext cx="1053591" cy="662143"/>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Upto 1 month</a:t>
          </a:r>
        </a:p>
      </dsp:txBody>
      <dsp:txXfrm>
        <a:off x="33269" y="528930"/>
        <a:ext cx="988945" cy="597497"/>
      </dsp:txXfrm>
    </dsp:sp>
    <dsp:sp modelId="{1458711C-E61B-43A3-A93A-BF82E63F20D0}">
      <dsp:nvSpPr>
        <dsp:cNvPr id="0" name=""/>
        <dsp:cNvSpPr/>
      </dsp:nvSpPr>
      <dsp:spPr>
        <a:xfrm>
          <a:off x="1109627" y="496607"/>
          <a:ext cx="1053591" cy="662143"/>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More than 1 month to 3 months</a:t>
          </a:r>
        </a:p>
      </dsp:txBody>
      <dsp:txXfrm>
        <a:off x="1141950" y="528930"/>
        <a:ext cx="988945" cy="597497"/>
      </dsp:txXfrm>
    </dsp:sp>
    <dsp:sp modelId="{3D28DFCC-F311-4634-B105-F3119115E003}">
      <dsp:nvSpPr>
        <dsp:cNvPr id="0" name=""/>
        <dsp:cNvSpPr/>
      </dsp:nvSpPr>
      <dsp:spPr>
        <a:xfrm>
          <a:off x="2218309" y="496607"/>
          <a:ext cx="1053591" cy="662143"/>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More than 3 months to 1 year</a:t>
          </a:r>
        </a:p>
      </dsp:txBody>
      <dsp:txXfrm>
        <a:off x="2250632" y="528930"/>
        <a:ext cx="988945" cy="597497"/>
      </dsp:txXfrm>
    </dsp:sp>
    <dsp:sp modelId="{3374E055-D439-42F1-BB98-0E281360ABDC}">
      <dsp:nvSpPr>
        <dsp:cNvPr id="0" name=""/>
        <dsp:cNvSpPr/>
      </dsp:nvSpPr>
      <dsp:spPr>
        <a:xfrm>
          <a:off x="3326990" y="496607"/>
          <a:ext cx="1053591" cy="662143"/>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More than 1 year to 5 years</a:t>
          </a:r>
        </a:p>
      </dsp:txBody>
      <dsp:txXfrm>
        <a:off x="3359313" y="528930"/>
        <a:ext cx="988945" cy="597497"/>
      </dsp:txXfrm>
    </dsp:sp>
    <dsp:sp modelId="{8D43EFCB-A52D-40A9-AE29-B050E2F5CC81}">
      <dsp:nvSpPr>
        <dsp:cNvPr id="0" name=""/>
        <dsp:cNvSpPr/>
      </dsp:nvSpPr>
      <dsp:spPr>
        <a:xfrm>
          <a:off x="4435671" y="496607"/>
          <a:ext cx="1053591" cy="662143"/>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More than 5 years</a:t>
          </a:r>
        </a:p>
      </dsp:txBody>
      <dsp:txXfrm>
        <a:off x="4467994" y="528930"/>
        <a:ext cx="988945" cy="59749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FC834E-2883-40A3-BA68-30836A383B81}">
      <dsp:nvSpPr>
        <dsp:cNvPr id="0" name=""/>
        <dsp:cNvSpPr/>
      </dsp:nvSpPr>
      <dsp:spPr>
        <a:xfrm rot="5400000">
          <a:off x="376111" y="719714"/>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EF389497-D08B-4121-9261-0FA1B2328C43}">
      <dsp:nvSpPr>
        <dsp:cNvPr id="0" name=""/>
        <dsp:cNvSpPr/>
      </dsp:nvSpPr>
      <dsp:spPr>
        <a:xfrm>
          <a:off x="204504" y="1701"/>
          <a:ext cx="1090381" cy="763231"/>
        </a:xfrm>
        <a:prstGeom prst="roundRect">
          <a:avLst>
            <a:gd name="adj" fmla="val 166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1. BRAC EPL Investment Ltd.</a:t>
          </a:r>
        </a:p>
      </dsp:txBody>
      <dsp:txXfrm>
        <a:off x="241769" y="38966"/>
        <a:ext cx="1015851" cy="688701"/>
      </dsp:txXfrm>
    </dsp:sp>
    <dsp:sp modelId="{9FFB530A-02BB-439A-B331-0EF521F1A0CA}">
      <dsp:nvSpPr>
        <dsp:cNvPr id="0" name=""/>
        <dsp:cNvSpPr/>
      </dsp:nvSpPr>
      <dsp:spPr>
        <a:xfrm>
          <a:off x="1294886" y="74493"/>
          <a:ext cx="793039" cy="616877"/>
        </a:xfrm>
        <a:prstGeom prst="rect">
          <a:avLst/>
        </a:prstGeom>
        <a:noFill/>
        <a:ln>
          <a:noFill/>
        </a:ln>
        <a:effectLst/>
      </dsp:spPr>
      <dsp:style>
        <a:lnRef idx="0">
          <a:scrgbClr r="0" g="0" b="0"/>
        </a:lnRef>
        <a:fillRef idx="0">
          <a:scrgbClr r="0" g="0" b="0"/>
        </a:fillRef>
        <a:effectRef idx="0">
          <a:scrgbClr r="0" g="0" b="0"/>
        </a:effectRef>
        <a:fontRef idx="minor"/>
      </dsp:style>
    </dsp:sp>
    <dsp:sp modelId="{48D1F792-6887-42B0-90EB-CAFEF9C75B29}">
      <dsp:nvSpPr>
        <dsp:cNvPr id="0" name=""/>
        <dsp:cNvSpPr/>
      </dsp:nvSpPr>
      <dsp:spPr>
        <a:xfrm rot="5400000">
          <a:off x="1280153" y="1577075"/>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15D2FEF8-5362-430D-B777-479F33A8BD27}">
      <dsp:nvSpPr>
        <dsp:cNvPr id="0" name=""/>
        <dsp:cNvSpPr/>
      </dsp:nvSpPr>
      <dsp:spPr>
        <a:xfrm>
          <a:off x="1108546" y="859063"/>
          <a:ext cx="1090381" cy="763231"/>
        </a:xfrm>
        <a:prstGeom prst="roundRect">
          <a:avLst>
            <a:gd name="adj" fmla="val 166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2. BRAC EPL Stock Brokerage Ltd.</a:t>
          </a:r>
        </a:p>
      </dsp:txBody>
      <dsp:txXfrm>
        <a:off x="1145811" y="896328"/>
        <a:ext cx="1015851" cy="688701"/>
      </dsp:txXfrm>
    </dsp:sp>
    <dsp:sp modelId="{C1EDBED2-5D75-428C-B918-CB2A75574123}">
      <dsp:nvSpPr>
        <dsp:cNvPr id="0" name=""/>
        <dsp:cNvSpPr/>
      </dsp:nvSpPr>
      <dsp:spPr>
        <a:xfrm>
          <a:off x="2198928" y="931854"/>
          <a:ext cx="793039" cy="616877"/>
        </a:xfrm>
        <a:prstGeom prst="rect">
          <a:avLst/>
        </a:prstGeom>
        <a:noFill/>
        <a:ln>
          <a:noFill/>
        </a:ln>
        <a:effectLst/>
      </dsp:spPr>
      <dsp:style>
        <a:lnRef idx="0">
          <a:scrgbClr r="0" g="0" b="0"/>
        </a:lnRef>
        <a:fillRef idx="0">
          <a:scrgbClr r="0" g="0" b="0"/>
        </a:fillRef>
        <a:effectRef idx="0">
          <a:scrgbClr r="0" g="0" b="0"/>
        </a:effectRef>
        <a:fontRef idx="minor"/>
      </dsp:style>
    </dsp:sp>
    <dsp:sp modelId="{2DF1661F-1DEF-467F-99CB-51B99E0A5B66}">
      <dsp:nvSpPr>
        <dsp:cNvPr id="0" name=""/>
        <dsp:cNvSpPr/>
      </dsp:nvSpPr>
      <dsp:spPr>
        <a:xfrm rot="5400000">
          <a:off x="2184196" y="2434436"/>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7BC27FFA-F816-40E4-AA21-03ABE2078952}">
      <dsp:nvSpPr>
        <dsp:cNvPr id="0" name=""/>
        <dsp:cNvSpPr/>
      </dsp:nvSpPr>
      <dsp:spPr>
        <a:xfrm>
          <a:off x="2012589" y="1716424"/>
          <a:ext cx="1090381" cy="763231"/>
        </a:xfrm>
        <a:prstGeom prst="roundRect">
          <a:avLst>
            <a:gd name="adj" fmla="val 166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3. B-kash Ltd.</a:t>
          </a:r>
        </a:p>
      </dsp:txBody>
      <dsp:txXfrm>
        <a:off x="2049854" y="1753689"/>
        <a:ext cx="1015851" cy="688701"/>
      </dsp:txXfrm>
    </dsp:sp>
    <dsp:sp modelId="{377A8144-CEF6-41FD-ABE1-98D34A229103}">
      <dsp:nvSpPr>
        <dsp:cNvPr id="0" name=""/>
        <dsp:cNvSpPr/>
      </dsp:nvSpPr>
      <dsp:spPr>
        <a:xfrm>
          <a:off x="3102970" y="1789215"/>
          <a:ext cx="793039" cy="616877"/>
        </a:xfrm>
        <a:prstGeom prst="rect">
          <a:avLst/>
        </a:prstGeom>
        <a:noFill/>
        <a:ln>
          <a:noFill/>
        </a:ln>
        <a:effectLst/>
      </dsp:spPr>
      <dsp:style>
        <a:lnRef idx="0">
          <a:scrgbClr r="0" g="0" b="0"/>
        </a:lnRef>
        <a:fillRef idx="0">
          <a:scrgbClr r="0" g="0" b="0"/>
        </a:fillRef>
        <a:effectRef idx="0">
          <a:scrgbClr r="0" g="0" b="0"/>
        </a:effectRef>
        <a:fontRef idx="minor"/>
      </dsp:style>
    </dsp:sp>
    <dsp:sp modelId="{5BB93BFA-5081-43C3-B275-5A71E23AC27B}">
      <dsp:nvSpPr>
        <dsp:cNvPr id="0" name=""/>
        <dsp:cNvSpPr/>
      </dsp:nvSpPr>
      <dsp:spPr>
        <a:xfrm rot="5400000">
          <a:off x="3088238" y="3291797"/>
          <a:ext cx="647721" cy="737407"/>
        </a:xfrm>
        <a:prstGeom prst="bentUpArrow">
          <a:avLst>
            <a:gd name="adj1" fmla="val 32840"/>
            <a:gd name="adj2" fmla="val 25000"/>
            <a:gd name="adj3" fmla="val 35780"/>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39F96931-D364-4853-BAC1-5DD55E7763A6}">
      <dsp:nvSpPr>
        <dsp:cNvPr id="0" name=""/>
        <dsp:cNvSpPr/>
      </dsp:nvSpPr>
      <dsp:spPr>
        <a:xfrm>
          <a:off x="2916631" y="2573785"/>
          <a:ext cx="1090381" cy="763231"/>
        </a:xfrm>
        <a:prstGeom prst="roundRect">
          <a:avLst>
            <a:gd name="adj" fmla="val 166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4. BRAC Saajan Ltd.</a:t>
          </a:r>
        </a:p>
      </dsp:txBody>
      <dsp:txXfrm>
        <a:off x="2953896" y="2611050"/>
        <a:ext cx="1015851" cy="688701"/>
      </dsp:txXfrm>
    </dsp:sp>
    <dsp:sp modelId="{875AFFE6-F6BE-4411-957E-F1317FC4A82A}">
      <dsp:nvSpPr>
        <dsp:cNvPr id="0" name=""/>
        <dsp:cNvSpPr/>
      </dsp:nvSpPr>
      <dsp:spPr>
        <a:xfrm>
          <a:off x="4007013" y="2646576"/>
          <a:ext cx="793039" cy="616877"/>
        </a:xfrm>
        <a:prstGeom prst="rect">
          <a:avLst/>
        </a:prstGeom>
        <a:noFill/>
        <a:ln>
          <a:noFill/>
        </a:ln>
        <a:effectLst/>
      </dsp:spPr>
      <dsp:style>
        <a:lnRef idx="0">
          <a:scrgbClr r="0" g="0" b="0"/>
        </a:lnRef>
        <a:fillRef idx="0">
          <a:scrgbClr r="0" g="0" b="0"/>
        </a:fillRef>
        <a:effectRef idx="0">
          <a:scrgbClr r="0" g="0" b="0"/>
        </a:effectRef>
        <a:fontRef idx="minor"/>
      </dsp:style>
    </dsp:sp>
    <dsp:sp modelId="{D369832E-7FEE-427C-9831-36574EDC59D0}">
      <dsp:nvSpPr>
        <dsp:cNvPr id="0" name=""/>
        <dsp:cNvSpPr/>
      </dsp:nvSpPr>
      <dsp:spPr>
        <a:xfrm>
          <a:off x="3820673" y="3431146"/>
          <a:ext cx="1090381" cy="763231"/>
        </a:xfrm>
        <a:prstGeom prst="roundRect">
          <a:avLst>
            <a:gd name="adj" fmla="val 166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5. BRAC IT Ltd.</a:t>
          </a:r>
        </a:p>
      </dsp:txBody>
      <dsp:txXfrm>
        <a:off x="3857938" y="3468411"/>
        <a:ext cx="1015851" cy="68870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E870EE-4521-4A3D-9E53-97D8FBF1EB28}">
      <dsp:nvSpPr>
        <dsp:cNvPr id="0" name=""/>
        <dsp:cNvSpPr/>
      </dsp:nvSpPr>
      <dsp:spPr>
        <a:xfrm>
          <a:off x="2886" y="323283"/>
          <a:ext cx="894763" cy="129653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Upto 1 month</a:t>
          </a:r>
        </a:p>
      </dsp:txBody>
      <dsp:txXfrm>
        <a:off x="29093" y="349490"/>
        <a:ext cx="842349" cy="1244119"/>
      </dsp:txXfrm>
    </dsp:sp>
    <dsp:sp modelId="{320A2490-76F8-4D9F-B57F-B61B86D6573B}">
      <dsp:nvSpPr>
        <dsp:cNvPr id="0" name=""/>
        <dsp:cNvSpPr/>
      </dsp:nvSpPr>
      <dsp:spPr>
        <a:xfrm>
          <a:off x="987126" y="860599"/>
          <a:ext cx="189689" cy="221901"/>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987126" y="904979"/>
        <a:ext cx="132782" cy="133141"/>
      </dsp:txXfrm>
    </dsp:sp>
    <dsp:sp modelId="{4D59BCA3-1A2D-4398-BD03-6305164C5889}">
      <dsp:nvSpPr>
        <dsp:cNvPr id="0" name=""/>
        <dsp:cNvSpPr/>
      </dsp:nvSpPr>
      <dsp:spPr>
        <a:xfrm>
          <a:off x="1255555" y="323283"/>
          <a:ext cx="894763" cy="129653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More than 1 month to 3 months</a:t>
          </a:r>
        </a:p>
      </dsp:txBody>
      <dsp:txXfrm>
        <a:off x="1281762" y="349490"/>
        <a:ext cx="842349" cy="1244119"/>
      </dsp:txXfrm>
    </dsp:sp>
    <dsp:sp modelId="{397519B1-7531-4006-A9DA-517B756CCC82}">
      <dsp:nvSpPr>
        <dsp:cNvPr id="0" name=""/>
        <dsp:cNvSpPr/>
      </dsp:nvSpPr>
      <dsp:spPr>
        <a:xfrm>
          <a:off x="2239796" y="860599"/>
          <a:ext cx="189689" cy="221901"/>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2239796" y="904979"/>
        <a:ext cx="132782" cy="133141"/>
      </dsp:txXfrm>
    </dsp:sp>
    <dsp:sp modelId="{F7E72CC3-6F4E-40B6-80CB-3F30E13AB174}">
      <dsp:nvSpPr>
        <dsp:cNvPr id="0" name=""/>
        <dsp:cNvSpPr/>
      </dsp:nvSpPr>
      <dsp:spPr>
        <a:xfrm>
          <a:off x="2508225" y="323283"/>
          <a:ext cx="894763" cy="129653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More than 3 months to 1 year</a:t>
          </a:r>
        </a:p>
      </dsp:txBody>
      <dsp:txXfrm>
        <a:off x="2534432" y="349490"/>
        <a:ext cx="842349" cy="1244119"/>
      </dsp:txXfrm>
    </dsp:sp>
    <dsp:sp modelId="{CC3F0BEA-D681-424F-86C1-1A9BBCC49F8B}">
      <dsp:nvSpPr>
        <dsp:cNvPr id="0" name=""/>
        <dsp:cNvSpPr/>
      </dsp:nvSpPr>
      <dsp:spPr>
        <a:xfrm>
          <a:off x="3492465" y="860599"/>
          <a:ext cx="189689" cy="221901"/>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3492465" y="904979"/>
        <a:ext cx="132782" cy="133141"/>
      </dsp:txXfrm>
    </dsp:sp>
    <dsp:sp modelId="{FF511EA4-A78B-40C5-BC8F-F69EE81BAB6F}">
      <dsp:nvSpPr>
        <dsp:cNvPr id="0" name=""/>
        <dsp:cNvSpPr/>
      </dsp:nvSpPr>
      <dsp:spPr>
        <a:xfrm>
          <a:off x="3760895" y="323283"/>
          <a:ext cx="894763" cy="129653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More than 1 year to 5 years</a:t>
          </a:r>
        </a:p>
      </dsp:txBody>
      <dsp:txXfrm>
        <a:off x="3787102" y="349490"/>
        <a:ext cx="842349" cy="1244119"/>
      </dsp:txXfrm>
    </dsp:sp>
    <dsp:sp modelId="{AFB56890-07D2-4E61-9C4E-FC81B73850E6}">
      <dsp:nvSpPr>
        <dsp:cNvPr id="0" name=""/>
        <dsp:cNvSpPr/>
      </dsp:nvSpPr>
      <dsp:spPr>
        <a:xfrm>
          <a:off x="4745135" y="860599"/>
          <a:ext cx="189689" cy="221901"/>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4745135" y="904979"/>
        <a:ext cx="132782" cy="133141"/>
      </dsp:txXfrm>
    </dsp:sp>
    <dsp:sp modelId="{AE567EAC-EA71-4FE9-8694-40C885B0335E}">
      <dsp:nvSpPr>
        <dsp:cNvPr id="0" name=""/>
        <dsp:cNvSpPr/>
      </dsp:nvSpPr>
      <dsp:spPr>
        <a:xfrm>
          <a:off x="5013564" y="323283"/>
          <a:ext cx="894763" cy="129653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More than 5 years</a:t>
          </a:r>
        </a:p>
      </dsp:txBody>
      <dsp:txXfrm>
        <a:off x="5039771" y="349490"/>
        <a:ext cx="842349" cy="12441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FE82F-D972-42E8-9E0A-3E14D7D8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64</Pages>
  <Words>12411</Words>
  <Characters>70743</Characters>
  <Application>Microsoft Office Word</Application>
  <DocSecurity>0</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dc:creator>
  <cp:lastModifiedBy>enamul</cp:lastModifiedBy>
  <cp:revision>5</cp:revision>
  <dcterms:created xsi:type="dcterms:W3CDTF">2018-09-29T09:37:00Z</dcterms:created>
  <dcterms:modified xsi:type="dcterms:W3CDTF">2018-10-16T06:05:00Z</dcterms:modified>
</cp:coreProperties>
</file>