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drawings/drawing4.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8ED2B">
      <w:pPr>
        <w:spacing w:line="360" w:lineRule="auto"/>
        <w:rPr>
          <w:b/>
        </w:rPr>
      </w:pPr>
    </w:p>
    <w:p w14:paraId="1FD8ED2C">
      <w:pPr>
        <w:spacing w:line="360" w:lineRule="auto"/>
        <w:jc w:val="center"/>
        <w:rPr>
          <w:rFonts w:ascii="Arial" w:hAnsi="Arial" w:cs="Arial"/>
          <w:sz w:val="40"/>
          <w:szCs w:val="40"/>
        </w:rPr>
      </w:pPr>
      <w:bookmarkStart w:id="0" w:name="_Hlk214656482"/>
      <w:r>
        <w:rPr>
          <w:rFonts w:ascii="Arial" w:hAnsi="Arial" w:cs="Arial"/>
          <w:sz w:val="40"/>
          <w:szCs w:val="40"/>
        </w:rPr>
        <w:t>Project Report</w:t>
      </w:r>
    </w:p>
    <w:p w14:paraId="1FD8ED2D">
      <w:pPr>
        <w:spacing w:line="360" w:lineRule="auto"/>
        <w:jc w:val="center"/>
        <w:rPr>
          <w:rFonts w:ascii="Arial" w:hAnsi="Arial" w:cs="Arial"/>
          <w:sz w:val="40"/>
          <w:szCs w:val="40"/>
        </w:rPr>
      </w:pPr>
      <w:r>
        <w:rPr>
          <w:rFonts w:ascii="Arial" w:hAnsi="Arial" w:cs="Arial"/>
          <w:sz w:val="40"/>
          <w:szCs w:val="40"/>
        </w:rPr>
        <w:t>On</w:t>
      </w:r>
    </w:p>
    <w:p w14:paraId="1FD8ED2E">
      <w:pPr>
        <w:spacing w:line="360" w:lineRule="auto"/>
        <w:jc w:val="center"/>
        <w:rPr>
          <w:rFonts w:ascii="Arial" w:hAnsi="Arial" w:cs="Arial"/>
          <w:b/>
          <w:bCs/>
          <w:sz w:val="40"/>
          <w:szCs w:val="40"/>
        </w:rPr>
      </w:pPr>
      <w:bookmarkStart w:id="1" w:name="_Hlk214715610"/>
      <w:r>
        <w:rPr>
          <w:rFonts w:ascii="Arial" w:hAnsi="Arial" w:cs="Arial"/>
          <w:b/>
          <w:bCs/>
          <w:sz w:val="44"/>
          <w:szCs w:val="44"/>
        </w:rPr>
        <w:t xml:space="preserve">“AI disclosures </w:t>
      </w:r>
      <w:r>
        <w:rPr>
          <w:rFonts w:ascii="Arial" w:hAnsi="Arial" w:cs="Arial"/>
          <w:b/>
          <w:bCs/>
          <w:sz w:val="40"/>
          <w:szCs w:val="40"/>
        </w:rPr>
        <w:t>in</w:t>
      </w:r>
      <w:r>
        <w:rPr>
          <w:rFonts w:ascii="Arial" w:hAnsi="Arial" w:cs="Arial"/>
          <w:b/>
          <w:bCs/>
          <w:sz w:val="44"/>
          <w:szCs w:val="44"/>
        </w:rPr>
        <w:t xml:space="preserve"> Accounting”</w:t>
      </w:r>
    </w:p>
    <w:bookmarkEnd w:id="1"/>
    <w:p w14:paraId="1FD8ED2F">
      <w:pPr>
        <w:spacing w:line="360" w:lineRule="auto"/>
        <w:jc w:val="center"/>
        <w:rPr>
          <w:rFonts w:ascii="Arial" w:hAnsi="Arial" w:cs="Arial"/>
          <w:b/>
          <w:bCs/>
          <w:sz w:val="40"/>
          <w:szCs w:val="40"/>
        </w:rPr>
      </w:pPr>
      <w:r>
        <mc:AlternateContent>
          <mc:Choice Requires="wps">
            <w:drawing>
              <wp:inline distT="0" distB="0" distL="0" distR="0">
                <wp:extent cx="304800" cy="304800"/>
                <wp:effectExtent l="0" t="0" r="0" b="0"/>
                <wp:docPr id="93462494" name="Rectangle 2" descr="About us | #LeadingSDG4 | Education20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Rectangle 2" o:spid="_x0000_s1026" o:spt="1" alt="About us | #LeadingSDG4 | Education2030"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HzJZ0&#10;0gAAAAMBAAAPAAAAAAAAAAEAIAAAACIAAABkcnMvZG93bnJldi54bWxQSwECFAAUAAAACACHTuJA&#10;ENNYsycCAABJBAAADgAAAAAAAAABACAAAAAhAQAAZHJzL2Uyb0RvYy54bWxQSwUGAAAAAAYABgBZ&#10;AQAAugUAAAAA&#10;">
                <v:fill on="f" focussize="0,0"/>
                <v:stroke on="f"/>
                <v:imagedata o:title=""/>
                <o:lock v:ext="edit" aspectratio="t"/>
                <w10:wrap type="none"/>
                <w10:anchorlock/>
              </v:rect>
            </w:pict>
          </mc:Fallback>
        </mc:AlternateContent>
      </w:r>
      <w:r>
        <w:drawing>
          <wp:inline distT="0" distB="0" distL="0" distR="0">
            <wp:extent cx="3822700" cy="3822700"/>
            <wp:effectExtent l="0" t="0" r="6350" b="6350"/>
            <wp:docPr id="16099628" name="Picture 7" descr="SDG #4: Quality Education &amp; Empowering Youth to Drive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9628" name="Picture 7" descr="SDG #4: Quality Education &amp; Empowering Youth to Drive Progres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22700" cy="3822700"/>
                    </a:xfrm>
                    <a:prstGeom prst="rect">
                      <a:avLst/>
                    </a:prstGeom>
                    <a:noFill/>
                    <a:ln>
                      <a:noFill/>
                    </a:ln>
                  </pic:spPr>
                </pic:pic>
              </a:graphicData>
            </a:graphic>
          </wp:inline>
        </w:drawing>
      </w:r>
    </w:p>
    <w:p w14:paraId="1FD8ED30">
      <w:pPr>
        <w:spacing w:line="360" w:lineRule="auto"/>
        <w:jc w:val="center"/>
        <w:rPr>
          <w:rFonts w:ascii="Arial" w:hAnsi="Arial" w:cs="Arial"/>
          <w:b/>
          <w:bCs/>
          <w:sz w:val="40"/>
          <w:szCs w:val="40"/>
        </w:rPr>
      </w:pPr>
    </w:p>
    <w:p w14:paraId="1FD8ED31">
      <w:pPr>
        <w:spacing w:line="360" w:lineRule="auto"/>
        <w:jc w:val="center"/>
        <w:rPr>
          <w:rFonts w:ascii="Arial" w:hAnsi="Arial" w:cs="Arial"/>
          <w:b/>
          <w:bCs/>
          <w:sz w:val="40"/>
          <w:szCs w:val="40"/>
        </w:rPr>
      </w:pPr>
      <w:r>
        <w:rPr>
          <w:rFonts w:ascii="Arial" w:hAnsi="Arial" w:cs="Arial"/>
          <w:b/>
          <w:bCs/>
          <w:sz w:val="40"/>
          <w:szCs w:val="40"/>
        </w:rPr>
        <w:t>Jasmin Ara Zarin</w:t>
      </w:r>
    </w:p>
    <w:p w14:paraId="1FD8ED32">
      <w:pPr>
        <w:spacing w:line="360" w:lineRule="auto"/>
        <w:jc w:val="center"/>
        <w:rPr>
          <w:rFonts w:ascii="Arial" w:hAnsi="Arial" w:cs="Arial"/>
        </w:rPr>
      </w:pPr>
      <w:r>
        <w:rPr>
          <w:rFonts w:ascii="Arial" w:hAnsi="Arial" w:cs="Arial"/>
        </w:rPr>
        <w:t>This report is submitted to the School of Business and Economics, United International University, as a partial requirement for the degree fulfillment of Bachelor of Business Administration.</w:t>
      </w:r>
    </w:p>
    <w:p w14:paraId="1FD8ED33">
      <w:pPr>
        <w:spacing w:line="360" w:lineRule="auto"/>
        <w:jc w:val="center"/>
        <w:rPr>
          <w:rFonts w:ascii="Arial" w:hAnsi="Arial" w:cs="Arial"/>
          <w:b/>
          <w:bCs/>
          <w:sz w:val="40"/>
          <w:szCs w:val="40"/>
        </w:rPr>
      </w:pPr>
    </w:p>
    <w:p w14:paraId="1FD8ED34">
      <w:pPr>
        <w:spacing w:line="360" w:lineRule="auto"/>
        <w:rPr>
          <w:rFonts w:ascii="Arial" w:hAnsi="Arial" w:cs="Arial"/>
          <w:b/>
          <w:bCs/>
          <w:sz w:val="40"/>
          <w:szCs w:val="40"/>
        </w:rPr>
      </w:pPr>
    </w:p>
    <w:p w14:paraId="1FD8ED35">
      <w:pPr>
        <w:spacing w:line="360" w:lineRule="auto"/>
        <w:rPr>
          <w:rFonts w:ascii="Arial" w:hAnsi="Arial" w:cs="Arial"/>
          <w:b/>
          <w:bCs/>
          <w:sz w:val="40"/>
          <w:szCs w:val="40"/>
        </w:rPr>
      </w:pPr>
    </w:p>
    <w:p w14:paraId="1FD8ED36">
      <w:pPr>
        <w:spacing w:line="360" w:lineRule="auto"/>
        <w:rPr>
          <w:rFonts w:ascii="Arial" w:hAnsi="Arial" w:cs="Arial"/>
          <w:b/>
          <w:bCs/>
          <w:sz w:val="40"/>
          <w:szCs w:val="40"/>
        </w:rPr>
      </w:pPr>
    </w:p>
    <w:p w14:paraId="1FD8ED37">
      <w:pPr>
        <w:spacing w:line="360" w:lineRule="auto"/>
        <w:rPr>
          <w:rFonts w:ascii="Arial" w:hAnsi="Arial" w:cs="Arial"/>
          <w:b/>
          <w:bCs/>
          <w:sz w:val="40"/>
          <w:szCs w:val="40"/>
        </w:rPr>
      </w:pPr>
    </w:p>
    <w:p w14:paraId="1FD8ED38">
      <w:pPr>
        <w:spacing w:line="360" w:lineRule="auto"/>
        <w:rPr>
          <w:rFonts w:ascii="Arial" w:hAnsi="Arial" w:cs="Arial"/>
          <w:b/>
          <w:bCs/>
          <w:sz w:val="40"/>
          <w:szCs w:val="40"/>
        </w:rPr>
      </w:pPr>
    </w:p>
    <w:p w14:paraId="1FD8ED39">
      <w:pPr>
        <w:spacing w:line="360" w:lineRule="auto"/>
        <w:rPr>
          <w:rFonts w:ascii="Arial" w:hAnsi="Arial" w:cs="Arial"/>
          <w:b/>
          <w:bCs/>
          <w:sz w:val="40"/>
          <w:szCs w:val="40"/>
        </w:rPr>
      </w:pPr>
    </w:p>
    <w:p w14:paraId="1FD8ED3A">
      <w:pPr>
        <w:spacing w:line="360" w:lineRule="auto"/>
        <w:jc w:val="center"/>
        <w:rPr>
          <w:rFonts w:ascii="Arial" w:hAnsi="Arial" w:cs="Arial"/>
          <w:b/>
          <w:bCs/>
          <w:sz w:val="40"/>
          <w:szCs w:val="40"/>
        </w:rPr>
      </w:pPr>
    </w:p>
    <w:p w14:paraId="1FD8ED3B">
      <w:pPr>
        <w:spacing w:line="360" w:lineRule="auto"/>
        <w:jc w:val="center"/>
        <w:rPr>
          <w:rFonts w:ascii="Arial" w:hAnsi="Arial" w:cs="Arial"/>
          <w:b/>
          <w:bCs/>
          <w:sz w:val="40"/>
          <w:szCs w:val="40"/>
        </w:rPr>
      </w:pPr>
      <w:r>
        <w:rPr>
          <w:rFonts w:ascii="Arial" w:hAnsi="Arial" w:cs="Arial"/>
          <w:b/>
          <w:bCs/>
          <w:sz w:val="40"/>
          <w:szCs w:val="40"/>
        </w:rPr>
        <w:t>“</w:t>
      </w:r>
      <w:bookmarkEnd w:id="0"/>
      <w:r>
        <w:rPr>
          <w:rFonts w:ascii="Arial" w:hAnsi="Arial" w:cs="Arial"/>
          <w:b/>
          <w:bCs/>
          <w:sz w:val="44"/>
          <w:szCs w:val="44"/>
        </w:rPr>
        <w:t>AI Disclosures in Accounting”</w:t>
      </w:r>
    </w:p>
    <w:p w14:paraId="1FD8ED3C">
      <w:pPr>
        <w:spacing w:line="360" w:lineRule="auto"/>
        <w:jc w:val="center"/>
      </w:pPr>
    </w:p>
    <w:p w14:paraId="1FD8ED3D"/>
    <w:p w14:paraId="1FD8ED3E">
      <w:pPr>
        <w:tabs>
          <w:tab w:val="left" w:pos="5380"/>
        </w:tabs>
        <w:rPr>
          <w:b/>
        </w:rPr>
      </w:pPr>
    </w:p>
    <w:p w14:paraId="1FD8ED3F">
      <w:pPr>
        <w:tabs>
          <w:tab w:val="left" w:pos="5380"/>
        </w:tabs>
        <w:rPr>
          <w:b/>
        </w:rPr>
      </w:pPr>
      <w:r>
        <w:br w:type="page"/>
      </w:r>
    </w:p>
    <w:p w14:paraId="1FD8ED40">
      <w:pPr>
        <w:tabs>
          <w:tab w:val="left" w:pos="5380"/>
        </w:tabs>
        <w:jc w:val="center"/>
        <w:rPr>
          <w:b/>
          <w:sz w:val="40"/>
          <w:szCs w:val="40"/>
        </w:rPr>
      </w:pPr>
      <w:r>
        <w:rPr>
          <w:rFonts w:ascii="Arial" w:hAnsi="Arial" w:cs="Arial"/>
          <w:b/>
          <w:bCs/>
          <w:sz w:val="40"/>
          <w:szCs w:val="40"/>
        </w:rPr>
        <w:t>AI Disclosures in Accounting</w:t>
      </w:r>
      <w:bookmarkStart w:id="2" w:name="_Hlk214416877"/>
    </w:p>
    <w:bookmarkEnd w:id="2"/>
    <w:p w14:paraId="1FD8ED41">
      <w:pPr>
        <w:spacing w:line="360" w:lineRule="auto"/>
        <w:jc w:val="center"/>
        <w:rPr>
          <w:rFonts w:ascii="Arial" w:hAnsi="Arial" w:cs="Arial"/>
        </w:rPr>
      </w:pPr>
    </w:p>
    <w:p w14:paraId="1FD8ED42">
      <w:pPr>
        <w:spacing w:after="0" w:line="480" w:lineRule="auto"/>
        <w:jc w:val="center"/>
        <w:rPr>
          <w:rFonts w:ascii="Arial" w:hAnsi="Arial" w:cs="Arial"/>
          <w:b/>
          <w:bCs/>
        </w:rPr>
      </w:pPr>
      <w:r>
        <w:rPr>
          <w:rFonts w:ascii="Arial" w:hAnsi="Arial" w:cs="Arial"/>
          <w:b/>
          <w:bCs/>
        </w:rPr>
        <w:t>Submitted to:</w:t>
      </w:r>
    </w:p>
    <w:p w14:paraId="1FD8ED43">
      <w:pPr>
        <w:spacing w:after="0" w:line="480" w:lineRule="auto"/>
        <w:jc w:val="center"/>
        <w:rPr>
          <w:rFonts w:ascii="Arial" w:hAnsi="Arial" w:cs="Arial"/>
        </w:rPr>
      </w:pPr>
      <w:bookmarkStart w:id="3" w:name="_Hlk214417524"/>
      <w:r>
        <w:rPr>
          <w:rFonts w:ascii="Arial" w:hAnsi="Arial" w:cs="Arial"/>
        </w:rPr>
        <w:t>Dr. Mofijul Hoq Masum, FCMA, ITP</w:t>
      </w:r>
    </w:p>
    <w:p w14:paraId="1FD8ED44">
      <w:pPr>
        <w:spacing w:after="0" w:line="360" w:lineRule="auto"/>
        <w:jc w:val="center"/>
        <w:rPr>
          <w:rFonts w:ascii="Arial" w:hAnsi="Arial" w:cs="Arial"/>
        </w:rPr>
      </w:pPr>
      <w:r>
        <w:rPr>
          <w:rFonts w:ascii="Arial" w:hAnsi="Arial" w:cs="Arial"/>
        </w:rPr>
        <w:t>Associate Professor &amp; Director, IQAC</w:t>
      </w:r>
    </w:p>
    <w:p w14:paraId="1FD8ED45">
      <w:pPr>
        <w:spacing w:after="0" w:line="360" w:lineRule="auto"/>
        <w:jc w:val="center"/>
        <w:rPr>
          <w:rFonts w:ascii="Arial" w:hAnsi="Arial" w:cs="Arial"/>
        </w:rPr>
      </w:pPr>
      <w:r>
        <w:rPr>
          <w:rFonts w:ascii="Arial" w:hAnsi="Arial" w:cs="Arial"/>
        </w:rPr>
        <w:t>School of Business and Economics</w:t>
      </w:r>
    </w:p>
    <w:p w14:paraId="1FD8ED46">
      <w:pPr>
        <w:spacing w:after="0" w:line="360" w:lineRule="auto"/>
        <w:jc w:val="center"/>
        <w:rPr>
          <w:rFonts w:ascii="Arial" w:hAnsi="Arial" w:cs="Arial"/>
        </w:rPr>
      </w:pPr>
      <w:r>
        <w:rPr>
          <w:rFonts w:ascii="Arial" w:hAnsi="Arial" w:cs="Arial"/>
        </w:rPr>
        <w:t>Director, IQAC</w:t>
      </w:r>
    </w:p>
    <w:p w14:paraId="1FD8ED47">
      <w:pPr>
        <w:spacing w:line="360" w:lineRule="auto"/>
        <w:jc w:val="center"/>
        <w:rPr>
          <w:rFonts w:ascii="Arial" w:hAnsi="Arial" w:cs="Arial"/>
          <w:b/>
          <w:bCs/>
        </w:rPr>
      </w:pPr>
      <w:r>
        <w:rPr>
          <w:rFonts w:ascii="Arial" w:hAnsi="Arial" w:cs="Arial"/>
        </w:rPr>
        <w:t>United International University</w:t>
      </w:r>
    </w:p>
    <w:bookmarkEnd w:id="3"/>
    <w:p w14:paraId="1FD8ED48">
      <w:pPr>
        <w:spacing w:line="360" w:lineRule="auto"/>
        <w:jc w:val="center"/>
        <w:rPr>
          <w:rFonts w:ascii="Arial" w:hAnsi="Arial" w:cs="Arial"/>
          <w:b/>
          <w:bCs/>
        </w:rPr>
      </w:pPr>
    </w:p>
    <w:p w14:paraId="1FD8ED49">
      <w:pPr>
        <w:spacing w:line="360" w:lineRule="auto"/>
        <w:jc w:val="center"/>
        <w:rPr>
          <w:rFonts w:ascii="Arial" w:hAnsi="Arial" w:cs="Arial"/>
        </w:rPr>
      </w:pPr>
      <w:r>
        <w:rPr>
          <w:rFonts w:ascii="Arial" w:hAnsi="Arial" w:cs="Arial"/>
          <w:b/>
          <w:bCs/>
        </w:rPr>
        <w:t>Submitted by:</w:t>
      </w:r>
    </w:p>
    <w:p w14:paraId="1FD8ED4A">
      <w:pPr>
        <w:spacing w:after="0" w:line="360" w:lineRule="auto"/>
        <w:jc w:val="center"/>
        <w:rPr>
          <w:rFonts w:ascii="Arial" w:hAnsi="Arial" w:cs="Arial"/>
        </w:rPr>
      </w:pPr>
      <w:r>
        <w:rPr>
          <w:rFonts w:ascii="Arial" w:hAnsi="Arial" w:cs="Arial"/>
        </w:rPr>
        <w:t>Jasmin Ara Zarin</w:t>
      </w:r>
    </w:p>
    <w:p w14:paraId="1FD8ED4B">
      <w:pPr>
        <w:spacing w:after="0" w:line="360" w:lineRule="auto"/>
        <w:jc w:val="center"/>
        <w:rPr>
          <w:rFonts w:ascii="Arial" w:hAnsi="Arial" w:cs="Arial"/>
        </w:rPr>
      </w:pPr>
      <w:r>
        <w:rPr>
          <w:rFonts w:ascii="Arial" w:hAnsi="Arial" w:cs="Arial"/>
        </w:rPr>
        <w:t>ID: 114 221 011</w:t>
      </w:r>
    </w:p>
    <w:p w14:paraId="1FD8ED4C">
      <w:pPr>
        <w:spacing w:after="0" w:line="360" w:lineRule="auto"/>
        <w:jc w:val="center"/>
        <w:rPr>
          <w:rFonts w:ascii="Arial" w:hAnsi="Arial" w:cs="Arial"/>
        </w:rPr>
      </w:pPr>
      <w:r>
        <w:rPr>
          <w:rFonts w:ascii="Arial" w:hAnsi="Arial" w:cs="Arial"/>
        </w:rPr>
        <w:t>Major: BBA in AIS</w:t>
      </w:r>
    </w:p>
    <w:p w14:paraId="1FD8ED4D">
      <w:pPr>
        <w:spacing w:after="0" w:line="360" w:lineRule="auto"/>
        <w:jc w:val="center"/>
        <w:rPr>
          <w:rFonts w:ascii="Arial" w:hAnsi="Arial" w:cs="Arial"/>
        </w:rPr>
      </w:pPr>
      <w:r>
        <w:rPr>
          <w:rFonts w:ascii="Arial" w:hAnsi="Arial" w:cs="Arial"/>
        </w:rPr>
        <w:t>Registration Trimester: Summer 2025</w:t>
      </w:r>
    </w:p>
    <w:p w14:paraId="1FD8ED4E">
      <w:pPr>
        <w:tabs>
          <w:tab w:val="left" w:pos="3960"/>
          <w:tab w:val="center" w:pos="4320"/>
        </w:tabs>
        <w:spacing w:line="360" w:lineRule="auto"/>
        <w:jc w:val="center"/>
        <w:rPr>
          <w:rFonts w:ascii="Arial" w:hAnsi="Arial" w:cs="Arial"/>
        </w:rPr>
      </w:pPr>
      <w:r>
        <w:rPr>
          <w:rFonts w:ascii="Arial" w:hAnsi="Arial" w:cs="Arial"/>
          <w:b/>
          <w:bCs/>
        </w:rPr>
        <w:drawing>
          <wp:anchor distT="0" distB="0" distL="114300" distR="114300" simplePos="0" relativeHeight="251660288" behindDoc="0" locked="0" layoutInCell="1" allowOverlap="1">
            <wp:simplePos x="0" y="0"/>
            <wp:positionH relativeFrom="margin">
              <wp:align>center</wp:align>
            </wp:positionH>
            <wp:positionV relativeFrom="paragraph">
              <wp:posOffset>250825</wp:posOffset>
            </wp:positionV>
            <wp:extent cx="991870" cy="941705"/>
            <wp:effectExtent l="0" t="0" r="0" b="0"/>
            <wp:wrapNone/>
            <wp:docPr id="1006366125" name="Picture 1006366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66125" name="Picture 10063661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991772" cy="941767"/>
                    </a:xfrm>
                    <a:prstGeom prst="rect">
                      <a:avLst/>
                    </a:prstGeom>
                    <a:noFill/>
                  </pic:spPr>
                </pic:pic>
              </a:graphicData>
            </a:graphic>
          </wp:anchor>
        </w:drawing>
      </w:r>
    </w:p>
    <w:p w14:paraId="1FD8ED4F">
      <w:pPr>
        <w:spacing w:line="360" w:lineRule="auto"/>
        <w:jc w:val="center"/>
        <w:rPr>
          <w:rFonts w:ascii="Arial" w:hAnsi="Arial" w:cs="Arial"/>
        </w:rPr>
      </w:pPr>
    </w:p>
    <w:p w14:paraId="1FD8ED50">
      <w:pPr>
        <w:spacing w:line="360" w:lineRule="auto"/>
        <w:jc w:val="center"/>
        <w:rPr>
          <w:rFonts w:ascii="Arial" w:hAnsi="Arial" w:cs="Arial"/>
          <w:b/>
          <w:bCs/>
        </w:rPr>
      </w:pPr>
    </w:p>
    <w:p w14:paraId="1FD8ED51">
      <w:pPr>
        <w:spacing w:line="360" w:lineRule="auto"/>
        <w:jc w:val="center"/>
        <w:rPr>
          <w:rFonts w:ascii="Arial" w:hAnsi="Arial" w:cs="Arial"/>
          <w:b/>
          <w:bCs/>
        </w:rPr>
      </w:pPr>
    </w:p>
    <w:p w14:paraId="1FD8ED52">
      <w:pPr>
        <w:spacing w:line="360" w:lineRule="auto"/>
        <w:jc w:val="center"/>
        <w:rPr>
          <w:rFonts w:ascii="Arial" w:hAnsi="Arial" w:cs="Arial"/>
          <w:b/>
          <w:bCs/>
          <w:sz w:val="32"/>
          <w:szCs w:val="32"/>
        </w:rPr>
      </w:pPr>
      <w:bookmarkStart w:id="4" w:name="OLE_LINK321"/>
      <w:bookmarkStart w:id="5" w:name="OLE_LINK322"/>
      <w:r>
        <w:rPr>
          <w:rFonts w:ascii="Arial" w:hAnsi="Arial" w:cs="Arial"/>
          <w:b/>
          <w:bCs/>
          <w:sz w:val="32"/>
          <w:szCs w:val="32"/>
        </w:rPr>
        <w:t>School of Business and Economics</w:t>
      </w:r>
    </w:p>
    <w:bookmarkEnd w:id="4"/>
    <w:bookmarkEnd w:id="5"/>
    <w:p w14:paraId="1FD8ED53">
      <w:pPr>
        <w:spacing w:line="360" w:lineRule="auto"/>
        <w:jc w:val="center"/>
        <w:rPr>
          <w:rFonts w:ascii="Arial" w:hAnsi="Arial" w:cs="Arial"/>
          <w:b/>
          <w:bCs/>
          <w:sz w:val="40"/>
          <w:szCs w:val="40"/>
        </w:rPr>
      </w:pPr>
      <w:bookmarkStart w:id="6" w:name="OLE_LINK326"/>
      <w:bookmarkStart w:id="7" w:name="OLE_LINK325"/>
      <w:r>
        <w:rPr>
          <w:rFonts w:ascii="Arial" w:hAnsi="Arial" w:cs="Arial"/>
          <w:b/>
          <w:bCs/>
          <w:sz w:val="40"/>
          <w:szCs w:val="40"/>
        </w:rPr>
        <w:t xml:space="preserve">United </w:t>
      </w:r>
      <w:r>
        <w:rPr>
          <w:rFonts w:ascii="Arial" w:hAnsi="Arial" w:cs="Arial"/>
          <w:sz w:val="40"/>
          <w:szCs w:val="40"/>
        </w:rPr>
        <w:t>International</w:t>
      </w:r>
      <w:r>
        <w:rPr>
          <w:rFonts w:ascii="Arial" w:hAnsi="Arial" w:cs="Arial"/>
          <w:b/>
          <w:bCs/>
          <w:sz w:val="40"/>
          <w:szCs w:val="40"/>
        </w:rPr>
        <w:t xml:space="preserve"> University</w:t>
      </w:r>
    </w:p>
    <w:bookmarkEnd w:id="6"/>
    <w:bookmarkEnd w:id="7"/>
    <w:p w14:paraId="1FD8ED54">
      <w:pPr>
        <w:spacing w:line="360" w:lineRule="auto"/>
        <w:jc w:val="center"/>
        <w:rPr>
          <w:rFonts w:ascii="Arial" w:hAnsi="Arial" w:cs="Arial"/>
          <w:b/>
          <w:bCs/>
        </w:rPr>
      </w:pPr>
    </w:p>
    <w:p w14:paraId="1FD8ED55">
      <w:pPr>
        <w:spacing w:line="360" w:lineRule="auto"/>
        <w:jc w:val="center"/>
        <w:rPr>
          <w:rFonts w:ascii="Arial" w:hAnsi="Arial" w:cs="Arial"/>
          <w:b/>
          <w:bCs/>
        </w:rPr>
        <w:sectPr>
          <w:headerReference r:id="rId5" w:type="default"/>
          <w:footerReference r:id="rId6" w:type="default"/>
          <w:pgSz w:w="12240" w:h="15840"/>
          <w:pgMar w:top="1440" w:right="1440" w:bottom="1440" w:left="1440" w:header="720" w:footer="720" w:gutter="0"/>
          <w:pgNumType w:fmt="lowerRoman" w:start="1"/>
          <w:cols w:space="720" w:num="1"/>
          <w:docGrid w:linePitch="360" w:charSpace="0"/>
        </w:sectPr>
      </w:pPr>
      <w:r>
        <w:rPr>
          <w:rFonts w:ascii="Arial" w:hAnsi="Arial" w:cs="Arial"/>
          <w:b/>
          <w:bCs/>
        </w:rPr>
        <w:t>Date</w:t>
      </w:r>
      <w:r>
        <w:rPr>
          <w:rFonts w:ascii="Arial" w:hAnsi="Arial" w:eastAsia="Arial" w:cs="Arial"/>
          <w:b/>
          <w:bCs/>
        </w:rPr>
        <w:t xml:space="preserve"> of submission: </w:t>
      </w:r>
      <w:r>
        <w:rPr>
          <w:rFonts w:ascii="Arial" w:hAnsi="Arial" w:cs="Arial"/>
          <w:b/>
          <w:bCs/>
        </w:rPr>
        <w:t>November 22</w:t>
      </w:r>
      <w:r>
        <w:rPr>
          <w:rFonts w:ascii="Arial" w:hAnsi="Arial" w:eastAsia="Arial" w:cs="Arial"/>
          <w:b/>
          <w:bCs/>
        </w:rPr>
        <w:t>, 202</w:t>
      </w:r>
      <w:r>
        <w:rPr>
          <w:rFonts w:ascii="Arial" w:hAnsi="Arial" w:cs="Arial"/>
          <w:b/>
          <w:bCs/>
        </w:rPr>
        <w:t>5</w:t>
      </w:r>
    </w:p>
    <w:p w14:paraId="1FD8ED56">
      <w:pPr>
        <w:tabs>
          <w:tab w:val="left" w:pos="5860"/>
        </w:tabs>
        <w:spacing w:line="360" w:lineRule="auto"/>
        <w:rPr>
          <w:rFonts w:ascii="Arial" w:hAnsi="Arial" w:cs="Arial"/>
          <w:b/>
          <w:bCs/>
        </w:rPr>
      </w:pPr>
      <w:r>
        <w:rPr>
          <w:rFonts w:ascii="Arial" w:hAnsi="Arial" w:cs="Arial"/>
          <w:b/>
          <w:bCs/>
        </w:rPr>
        <w:tab/>
      </w:r>
    </w:p>
    <w:p w14:paraId="1FD8ED57">
      <w:pPr>
        <w:pStyle w:val="2"/>
        <w:jc w:val="center"/>
        <w:rPr>
          <w:rFonts w:ascii="Arial" w:hAnsi="Arial" w:eastAsia="Arial" w:cs="Arial"/>
          <w:sz w:val="32"/>
          <w:szCs w:val="32"/>
        </w:rPr>
      </w:pPr>
      <w:bookmarkStart w:id="8" w:name="_Toc214714410"/>
      <w:r>
        <w:rPr>
          <w:rFonts w:ascii="Arial" w:hAnsi="Arial" w:eastAsia="Arial" w:cs="Arial"/>
          <w:sz w:val="32"/>
          <w:szCs w:val="32"/>
        </w:rPr>
        <w:t>Letter of Transmittal</w:t>
      </w:r>
      <w:bookmarkEnd w:id="8"/>
    </w:p>
    <w:p w14:paraId="1FD8ED58"/>
    <w:p w14:paraId="1FD8ED59">
      <w:pPr>
        <w:spacing w:line="360" w:lineRule="auto"/>
        <w:jc w:val="both"/>
        <w:rPr>
          <w:rFonts w:ascii="Arial" w:hAnsi="Arial" w:cs="Arial"/>
        </w:rPr>
      </w:pPr>
      <w:r>
        <w:rPr>
          <w:rFonts w:ascii="Arial" w:hAnsi="Arial" w:eastAsia="Arial" w:cs="Arial"/>
        </w:rPr>
        <w:t>December 3, 2024</w:t>
      </w:r>
    </w:p>
    <w:p w14:paraId="1FD8ED5A">
      <w:pPr>
        <w:spacing w:after="200" w:line="360" w:lineRule="auto"/>
        <w:jc w:val="both"/>
        <w:rPr>
          <w:rFonts w:ascii="Arial" w:hAnsi="Arial" w:cs="Arial"/>
        </w:rPr>
      </w:pPr>
      <w:r>
        <w:rPr>
          <w:rFonts w:ascii="Arial" w:hAnsi="Arial" w:cs="Arial"/>
        </w:rPr>
        <w:t>Dr. Mofijul Hoq Masum, FCMA, ITP</w:t>
      </w:r>
    </w:p>
    <w:p w14:paraId="1FD8ED5B">
      <w:pPr>
        <w:spacing w:after="200" w:line="360" w:lineRule="auto"/>
        <w:jc w:val="both"/>
        <w:rPr>
          <w:rFonts w:ascii="Arial" w:hAnsi="Arial" w:cs="Arial"/>
        </w:rPr>
      </w:pPr>
      <w:r>
        <w:rPr>
          <w:rFonts w:ascii="Arial" w:hAnsi="Arial" w:cs="Arial"/>
        </w:rPr>
        <w:t>Associate Professor (AIS) &amp; Director, IQAC</w:t>
      </w:r>
    </w:p>
    <w:p w14:paraId="1FD8ED5C">
      <w:pPr>
        <w:spacing w:line="360" w:lineRule="auto"/>
        <w:jc w:val="both"/>
        <w:rPr>
          <w:rFonts w:ascii="Arial" w:hAnsi="Arial" w:eastAsia="Arial" w:cs="Arial"/>
        </w:rPr>
      </w:pPr>
      <w:r>
        <w:rPr>
          <w:rFonts w:ascii="Arial" w:hAnsi="Arial" w:eastAsia="Arial" w:cs="Arial"/>
        </w:rPr>
        <w:t>SoBE, UIU</w:t>
      </w:r>
    </w:p>
    <w:p w14:paraId="1FD8ED5D">
      <w:pPr>
        <w:spacing w:line="360" w:lineRule="auto"/>
        <w:jc w:val="both"/>
        <w:rPr>
          <w:rFonts w:ascii="Arial" w:hAnsi="Arial" w:cs="Arial"/>
          <w:b/>
          <w:bCs/>
        </w:rPr>
      </w:pPr>
      <w:r>
        <w:rPr>
          <w:rFonts w:ascii="Arial" w:hAnsi="Arial" w:eastAsia="Arial" w:cs="Arial"/>
        </w:rPr>
        <w:t>Subject: Submission of project report</w:t>
      </w:r>
      <w:r>
        <w:rPr>
          <w:rFonts w:ascii="Arial" w:hAnsi="Arial" w:cs="Arial"/>
        </w:rPr>
        <w:t xml:space="preserve"> “</w:t>
      </w:r>
      <w:r>
        <w:rPr>
          <w:rFonts w:ascii="Arial" w:hAnsi="Arial" w:cs="Arial"/>
          <w:b/>
          <w:bCs/>
        </w:rPr>
        <w:t>AI Disclosures in Accounting”</w:t>
      </w:r>
    </w:p>
    <w:p w14:paraId="1FD8ED5E">
      <w:pPr>
        <w:spacing w:line="360" w:lineRule="auto"/>
        <w:jc w:val="both"/>
        <w:rPr>
          <w:rFonts w:ascii="Arial" w:hAnsi="Arial" w:cs="Arial"/>
        </w:rPr>
      </w:pPr>
    </w:p>
    <w:p w14:paraId="1FD8ED5F">
      <w:pPr>
        <w:tabs>
          <w:tab w:val="left" w:pos="7080"/>
        </w:tabs>
        <w:spacing w:line="360" w:lineRule="auto"/>
        <w:jc w:val="both"/>
        <w:rPr>
          <w:rFonts w:ascii="Arial" w:hAnsi="Arial" w:cs="Arial"/>
        </w:rPr>
      </w:pPr>
      <w:r>
        <w:rPr>
          <w:rFonts w:ascii="Arial" w:hAnsi="Arial" w:eastAsia="Arial" w:cs="Arial"/>
        </w:rPr>
        <w:t>Dear Sir</w:t>
      </w:r>
      <w:r>
        <w:rPr>
          <w:rFonts w:ascii="Arial" w:hAnsi="Arial" w:cs="Arial"/>
        </w:rPr>
        <w:t>,</w:t>
      </w:r>
      <w:r>
        <w:rPr>
          <w:rFonts w:ascii="Arial" w:hAnsi="Arial" w:cs="Arial"/>
        </w:rPr>
        <w:tab/>
      </w:r>
    </w:p>
    <w:p w14:paraId="1FD8ED60">
      <w:pPr>
        <w:spacing w:line="360" w:lineRule="auto"/>
        <w:jc w:val="both"/>
        <w:rPr>
          <w:rFonts w:ascii="Arial" w:hAnsi="Arial" w:cs="Arial"/>
        </w:rPr>
      </w:pPr>
      <w:r>
        <w:rPr>
          <w:rFonts w:ascii="Arial" w:hAnsi="Arial" w:eastAsia="Arial" w:cs="Arial"/>
        </w:rPr>
        <w:t>With due respect, I am pleased to submit my project report titled "</w:t>
      </w:r>
      <w:r>
        <w:rPr>
          <w:rFonts w:ascii="Arial" w:hAnsi="Arial" w:eastAsia="Arial" w:cs="Arial"/>
          <w:b/>
          <w:bCs/>
        </w:rPr>
        <w:t xml:space="preserve">Artificial Intelligence Disclosures in </w:t>
      </w:r>
      <w:r>
        <w:rPr>
          <w:rFonts w:ascii="Arial" w:hAnsi="Arial" w:cs="Arial"/>
          <w:b/>
          <w:bCs/>
        </w:rPr>
        <w:t>Accounting</w:t>
      </w:r>
      <w:r>
        <w:rPr>
          <w:rFonts w:ascii="Arial" w:hAnsi="Arial" w:eastAsia="Arial" w:cs="Arial"/>
        </w:rPr>
        <w:t>". This report has been prepared in partial fulfillment of the requirements of the Bachelor of Business Administration program at United International University.</w:t>
      </w:r>
    </w:p>
    <w:p w14:paraId="1FD8ED61">
      <w:pPr>
        <w:spacing w:line="360" w:lineRule="auto"/>
        <w:jc w:val="both"/>
        <w:rPr>
          <w:rFonts w:ascii="Arial" w:hAnsi="Arial" w:cs="Arial"/>
        </w:rPr>
      </w:pPr>
      <w:r>
        <w:rPr>
          <w:rFonts w:ascii="Arial" w:hAnsi="Arial" w:eastAsia="Arial" w:cs="Arial"/>
        </w:rPr>
        <w:t xml:space="preserve">The study examines the use of AI-related keywords in the annual reports of top-performing firms listed on seven South Asian stock exchanges over the period 2020–2024. </w:t>
      </w:r>
    </w:p>
    <w:p w14:paraId="1FD8ED62">
      <w:pPr>
        <w:spacing w:line="360" w:lineRule="auto"/>
        <w:jc w:val="both"/>
        <w:rPr>
          <w:rFonts w:ascii="Arial" w:hAnsi="Arial" w:cs="Arial"/>
        </w:rPr>
      </w:pPr>
      <w:r>
        <w:rPr>
          <w:rFonts w:ascii="Arial" w:hAnsi="Arial" w:cs="Arial" w:eastAsiaTheme="majorEastAsia"/>
          <w:bCs/>
          <w:lang w:val="en-GB"/>
        </w:rPr>
        <w:t xml:space="preserve">I tried </w:t>
      </w:r>
      <w:r>
        <w:rPr>
          <w:rFonts w:ascii="Arial" w:hAnsi="Arial" w:cs="Arial" w:eastAsiaTheme="majorEastAsia"/>
          <w:bCs/>
        </w:rPr>
        <w:t>to give my very best and utmost effort regarding the completion of my report.</w:t>
      </w:r>
      <w:r>
        <w:rPr>
          <w:rFonts w:ascii="Arial" w:hAnsi="Arial" w:cs="Arial" w:eastAsiaTheme="majorEastAsia"/>
          <w:bCs/>
          <w:lang w:val="en-GB"/>
        </w:rPr>
        <w:t xml:space="preserve"> It would </w:t>
      </w:r>
      <w:r>
        <w:rPr>
          <w:rFonts w:ascii="Arial" w:hAnsi="Arial" w:cs="Arial" w:eastAsiaTheme="majorEastAsia"/>
          <w:bCs/>
        </w:rPr>
        <w:t xml:space="preserve">have </w:t>
      </w:r>
      <w:r>
        <w:rPr>
          <w:rFonts w:ascii="Arial" w:hAnsi="Arial" w:cs="Arial" w:eastAsiaTheme="majorEastAsia"/>
          <w:bCs/>
          <w:lang w:val="en-GB"/>
        </w:rPr>
        <w:t>be</w:t>
      </w:r>
      <w:r>
        <w:rPr>
          <w:rFonts w:ascii="Arial" w:hAnsi="Arial" w:cs="Arial" w:eastAsiaTheme="majorEastAsia"/>
          <w:bCs/>
        </w:rPr>
        <w:t>en</w:t>
      </w:r>
      <w:r>
        <w:rPr>
          <w:rFonts w:ascii="Arial" w:hAnsi="Arial" w:cs="Arial" w:eastAsiaTheme="majorEastAsia"/>
          <w:bCs/>
          <w:lang w:val="en-GB"/>
        </w:rPr>
        <w:t xml:space="preserve"> </w:t>
      </w:r>
      <w:r>
        <w:rPr>
          <w:rFonts w:ascii="Arial" w:hAnsi="Arial" w:cs="Arial" w:eastAsiaTheme="majorEastAsia"/>
          <w:bCs/>
        </w:rPr>
        <w:t xml:space="preserve">almost </w:t>
      </w:r>
      <w:r>
        <w:rPr>
          <w:rFonts w:ascii="Arial" w:hAnsi="Arial" w:cs="Arial" w:eastAsiaTheme="majorEastAsia"/>
          <w:bCs/>
          <w:lang w:val="en-GB"/>
        </w:rPr>
        <w:t>impossible</w:t>
      </w:r>
      <w:r>
        <w:rPr>
          <w:rFonts w:ascii="Arial" w:hAnsi="Arial" w:cs="Arial" w:eastAsiaTheme="majorEastAsia"/>
          <w:bCs/>
        </w:rPr>
        <w:t xml:space="preserve"> to complete this report without your follow-up and guidance</w:t>
      </w:r>
      <w:r>
        <w:rPr>
          <w:rFonts w:ascii="Arial" w:hAnsi="Arial" w:eastAsia="Arial" w:cs="Arial"/>
        </w:rPr>
        <w:t xml:space="preserve">. I sincerely hope that this report meets your expectations. I would be grateful for your kind </w:t>
      </w:r>
      <w:r>
        <w:rPr>
          <w:rFonts w:ascii="Arial" w:hAnsi="Arial" w:cs="Arial"/>
        </w:rPr>
        <w:t>support and consideration.</w:t>
      </w:r>
    </w:p>
    <w:p w14:paraId="1FD8ED63">
      <w:pPr>
        <w:spacing w:line="360" w:lineRule="auto"/>
        <w:jc w:val="both"/>
        <w:rPr>
          <w:rFonts w:ascii="Arial" w:hAnsi="Arial" w:cs="Arial"/>
        </w:rPr>
      </w:pPr>
      <w:r>
        <w:rPr>
          <w:rFonts w:ascii="Arial" w:hAnsi="Arial" w:cs="Arial"/>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14605</wp:posOffset>
                </wp:positionV>
                <wp:extent cx="1765300" cy="635000"/>
                <wp:effectExtent l="0" t="0" r="6350" b="0"/>
                <wp:wrapNone/>
                <wp:docPr id="773213464" name="Rectangle 8"/>
                <wp:cNvGraphicFramePr/>
                <a:graphic xmlns:a="http://schemas.openxmlformats.org/drawingml/2006/main">
                  <a:graphicData uri="http://schemas.microsoft.com/office/word/2010/wordprocessingShape">
                    <wps:wsp>
                      <wps:cNvSpPr/>
                      <wps:spPr>
                        <a:xfrm>
                          <a:off x="0" y="0"/>
                          <a:ext cx="1765300" cy="635000"/>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8" o:spid="_x0000_s1026" o:spt="1" style="position:absolute;left:0pt;margin-left:0pt;margin-top:1.15pt;height:50pt;width:139pt;z-index:251661312;v-text-anchor:middle;mso-width-relative:page;mso-height-relative:page;" filled="t" stroked="f" coordsize="21600,21600" o:gfxdata="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">
                <v:fill type="frame" on="t" focussize="0,0" recolor="t" rotate="t" r:id="rId10"/>
                <v:stroke on="f" weight="1pt" miterlimit="8" joinstyle="miter"/>
                <v:imagedata o:title=""/>
                <o:lock v:ext="edit" aspectratio="f"/>
              </v:rect>
            </w:pict>
          </mc:Fallback>
        </mc:AlternateContent>
      </w:r>
    </w:p>
    <w:p w14:paraId="1FD8ED64">
      <w:pPr>
        <w:spacing w:line="360" w:lineRule="auto"/>
        <w:jc w:val="both"/>
        <w:rPr>
          <w:rFonts w:ascii="Arial" w:hAnsi="Arial" w:cs="Arial"/>
        </w:rPr>
      </w:pPr>
    </w:p>
    <w:p w14:paraId="1FD8ED65">
      <w:pPr>
        <w:tabs>
          <w:tab w:val="left" w:pos="3723"/>
        </w:tabs>
        <w:spacing w:line="360" w:lineRule="auto"/>
        <w:jc w:val="both"/>
        <w:rPr>
          <w:rFonts w:ascii="Arial" w:hAnsi="Arial" w:cs="Arial"/>
        </w:rPr>
      </w:pPr>
      <w:r>
        <w:rPr>
          <w:rFonts w:ascii="Arial" w:hAnsi="Arial" w:eastAsia="Arial" w:cs="Arial"/>
        </w:rPr>
        <w:t>Sincerely Yours,</w:t>
      </w:r>
      <w:r>
        <w:rPr>
          <w:rFonts w:ascii="Arial" w:hAnsi="Arial" w:eastAsia="Arial" w:cs="Arial"/>
        </w:rPr>
        <w:tab/>
      </w:r>
    </w:p>
    <w:p w14:paraId="1FD8ED66">
      <w:pPr>
        <w:spacing w:line="360" w:lineRule="auto"/>
        <w:jc w:val="both"/>
        <w:rPr>
          <w:rFonts w:ascii="Arial" w:hAnsi="Arial" w:cs="Arial"/>
        </w:rPr>
      </w:pPr>
      <w:r>
        <w:rPr>
          <w:rFonts w:ascii="Arial" w:hAnsi="Arial" w:cs="Arial"/>
        </w:rPr>
        <w:t>Jasmin Ara Zarin</w:t>
      </w:r>
    </w:p>
    <w:p w14:paraId="1FD8ED67">
      <w:pPr>
        <w:spacing w:line="360" w:lineRule="auto"/>
        <w:jc w:val="both"/>
        <w:rPr>
          <w:rFonts w:ascii="Arial" w:hAnsi="Arial" w:cs="Arial"/>
        </w:rPr>
      </w:pPr>
      <w:r>
        <w:rPr>
          <w:rFonts w:ascii="Arial" w:hAnsi="Arial" w:eastAsia="Arial" w:cs="Arial"/>
        </w:rPr>
        <w:t xml:space="preserve">ID: </w:t>
      </w:r>
      <w:r>
        <w:rPr>
          <w:rFonts w:ascii="Arial" w:hAnsi="Arial" w:cs="Arial"/>
        </w:rPr>
        <w:t>114 221 011</w:t>
      </w:r>
    </w:p>
    <w:p w14:paraId="1FD8ED68">
      <w:pPr>
        <w:pStyle w:val="2"/>
        <w:jc w:val="center"/>
        <w:rPr>
          <w:rFonts w:ascii="Arial" w:hAnsi="Arial" w:cs="Arial"/>
        </w:rPr>
      </w:pPr>
      <w:r>
        <w:rPr>
          <w:rFonts w:eastAsia="Arial"/>
        </w:rPr>
        <w:br w:type="page"/>
      </w:r>
      <w:bookmarkStart w:id="9" w:name="_Toc214714411"/>
      <w:r>
        <w:rPr>
          <w:rFonts w:ascii="Arial" w:hAnsi="Arial" w:eastAsia="Arial" w:cs="Arial"/>
          <w:sz w:val="32"/>
          <w:szCs w:val="32"/>
        </w:rPr>
        <w:t>Certification of Similarity Index</w:t>
      </w:r>
      <w:bookmarkEnd w:id="9"/>
    </w:p>
    <w:p w14:paraId="1FD8ED69">
      <w:pPr>
        <w:spacing w:line="360" w:lineRule="auto"/>
        <w:jc w:val="both"/>
        <w:rPr>
          <w:rFonts w:ascii="Arial" w:hAnsi="Arial" w:cs="Arial"/>
          <w:b/>
          <w:bCs/>
        </w:rPr>
      </w:pPr>
    </w:p>
    <w:p w14:paraId="1FD8ED6A">
      <w:pPr>
        <w:spacing w:line="360" w:lineRule="auto"/>
        <w:jc w:val="center"/>
        <w:rPr>
          <w:rFonts w:ascii="Arial" w:hAnsi="Arial" w:cs="Arial"/>
        </w:rPr>
      </w:pPr>
      <w:r>
        <w:rPr>
          <w:rFonts w:ascii="Arial" w:hAnsi="Arial" w:eastAsia="Arial" w:cs="Arial"/>
        </w:rPr>
        <w:drawing>
          <wp:inline distT="0" distB="0" distL="0" distR="0">
            <wp:extent cx="5295900" cy="6859905"/>
            <wp:effectExtent l="0" t="0" r="0" b="0"/>
            <wp:docPr id="502965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65750" name="Picture 1"/>
                    <pic:cNvPicPr>
                      <a:picLocks noChangeAspect="1"/>
                    </pic:cNvPicPr>
                  </pic:nvPicPr>
                  <pic:blipFill>
                    <a:blip r:embed="rId11"/>
                    <a:stretch>
                      <a:fillRect/>
                    </a:stretch>
                  </pic:blipFill>
                  <pic:spPr>
                    <a:xfrm>
                      <a:off x="0" y="0"/>
                      <a:ext cx="5304563" cy="6871277"/>
                    </a:xfrm>
                    <a:prstGeom prst="rect">
                      <a:avLst/>
                    </a:prstGeom>
                  </pic:spPr>
                </pic:pic>
              </a:graphicData>
            </a:graphic>
          </wp:inline>
        </w:drawing>
      </w:r>
    </w:p>
    <w:p w14:paraId="1FD8ED6B">
      <w:pPr>
        <w:spacing w:line="360" w:lineRule="auto"/>
        <w:jc w:val="both"/>
        <w:rPr>
          <w:rFonts w:ascii="Arial" w:hAnsi="Arial" w:eastAsia="Arial" w:cs="Arial"/>
          <w:color w:val="2F5597" w:themeColor="accent1" w:themeShade="BF"/>
        </w:rPr>
      </w:pPr>
      <w:r>
        <w:rPr>
          <w:rFonts w:ascii="Arial" w:hAnsi="Arial" w:eastAsia="Arial" w:cs="Arial"/>
        </w:rPr>
        <w:br w:type="page"/>
      </w:r>
    </w:p>
    <w:p w14:paraId="1FD8ED6C">
      <w:pPr>
        <w:pStyle w:val="2"/>
        <w:jc w:val="center"/>
        <w:rPr>
          <w:rFonts w:ascii="Arial" w:hAnsi="Arial" w:eastAsia="Arial" w:cs="Arial"/>
          <w:sz w:val="32"/>
          <w:szCs w:val="32"/>
        </w:rPr>
      </w:pPr>
      <w:bookmarkStart w:id="10" w:name="_Toc214714412"/>
      <w:r>
        <w:rPr>
          <w:rFonts w:ascii="Arial" w:hAnsi="Arial" w:eastAsia="Arial" w:cs="Arial"/>
          <w:sz w:val="32"/>
          <w:szCs w:val="32"/>
        </w:rPr>
        <w:t>Declaration of the Student</w:t>
      </w:r>
      <w:bookmarkEnd w:id="10"/>
    </w:p>
    <w:p w14:paraId="1FD8ED6D">
      <w:pPr>
        <w:spacing w:line="360" w:lineRule="auto"/>
        <w:jc w:val="both"/>
        <w:rPr>
          <w:rFonts w:ascii="Arial" w:hAnsi="Arial" w:cs="Arial"/>
        </w:rPr>
      </w:pPr>
    </w:p>
    <w:p w14:paraId="1FD8ED6E">
      <w:pPr>
        <w:spacing w:line="360" w:lineRule="auto"/>
        <w:jc w:val="both"/>
        <w:rPr>
          <w:rFonts w:ascii="Arial" w:hAnsi="Arial" w:cs="Arial"/>
        </w:rPr>
      </w:pPr>
      <w:r>
        <w:rPr>
          <w:rFonts w:ascii="Arial" w:hAnsi="Arial" w:eastAsia="Arial" w:cs="Arial"/>
        </w:rPr>
        <w:t xml:space="preserve">I, </w:t>
      </w:r>
      <w:r>
        <w:rPr>
          <w:rFonts w:ascii="Arial" w:hAnsi="Arial" w:cs="Arial"/>
        </w:rPr>
        <w:t>Jasmin Ara Zarin (ID: 114221011)</w:t>
      </w:r>
      <w:r>
        <w:rPr>
          <w:rFonts w:ascii="Arial" w:hAnsi="Arial" w:eastAsia="Arial" w:cs="Arial"/>
        </w:rPr>
        <w:t>,</w:t>
      </w:r>
      <w:r>
        <w:rPr>
          <w:rFonts w:ascii="Arial" w:hAnsi="Arial" w:cs="Arial"/>
        </w:rPr>
        <w:t xml:space="preserve"> a student of the Bachelor of Business Administration in Accounting and Information Systems (AIS) program, majoring in Accounting and Information System at United International University, I am delighted to </w:t>
      </w:r>
      <w:r>
        <w:rPr>
          <w:rFonts w:ascii="Arial" w:hAnsi="Arial" w:eastAsia="Arial" w:cs="Arial"/>
        </w:rPr>
        <w:t xml:space="preserve">declare that the project report titled "Artificial Intelligence Disclosures in </w:t>
      </w:r>
      <w:r>
        <w:rPr>
          <w:rFonts w:ascii="Arial" w:hAnsi="Arial" w:cs="Arial"/>
        </w:rPr>
        <w:t>Accounting</w:t>
      </w:r>
      <w:r>
        <w:rPr>
          <w:rFonts w:ascii="Arial" w:hAnsi="Arial" w:eastAsia="Arial" w:cs="Arial"/>
        </w:rPr>
        <w:t>" has been prepared and submitted by me</w:t>
      </w:r>
      <w:r>
        <w:rPr>
          <w:rFonts w:ascii="Arial" w:hAnsi="Arial" w:cs="Arial"/>
        </w:rPr>
        <w:t xml:space="preserve"> and is done by me under the supervision of Dr. Mofijul Hoq Masum, FCMA, ITP. </w:t>
      </w:r>
      <w:r>
        <w:rPr>
          <w:rFonts w:ascii="Arial" w:hAnsi="Arial" w:eastAsia="Arial" w:cs="Arial"/>
        </w:rPr>
        <w:t>As a requirement for the Bachelor of Business Administration degree at United International University.</w:t>
      </w:r>
    </w:p>
    <w:p w14:paraId="1FD8ED6F">
      <w:pPr>
        <w:spacing w:line="360" w:lineRule="auto"/>
        <w:jc w:val="both"/>
        <w:rPr>
          <w:rFonts w:ascii="Arial" w:hAnsi="Arial" w:eastAsia="Arial" w:cs="Arial"/>
        </w:rPr>
      </w:pPr>
      <w:r>
        <w:rPr>
          <w:rFonts w:ascii="Arial" w:hAnsi="Arial" w:eastAsia="Arial" w:cs="Arial"/>
        </w:rPr>
        <w:t>This report has not been submitted, in whole or in part, to any other university, institute, or examination body for any academic or professional degree, diploma, or certificate. Except where explicitly stated, the analysis, interpretations, and conclusions presented in this report are based on my own work.</w:t>
      </w:r>
    </w:p>
    <w:p w14:paraId="1FD8ED70">
      <w:pPr>
        <w:spacing w:line="360" w:lineRule="auto"/>
        <w:jc w:val="both"/>
        <w:rPr>
          <w:rFonts w:ascii="Arial" w:hAnsi="Arial" w:eastAsia="Arial" w:cs="Arial"/>
        </w:rPr>
      </w:pPr>
    </w:p>
    <w:p w14:paraId="1FD8ED71">
      <w:pPr>
        <w:spacing w:line="360" w:lineRule="auto"/>
        <w:jc w:val="both"/>
        <w:rPr>
          <w:rFonts w:ascii="Arial" w:hAnsi="Arial" w:eastAsia="Arial" w:cs="Arial"/>
        </w:rPr>
      </w:pPr>
    </w:p>
    <w:p w14:paraId="1FD8ED72">
      <w:pPr>
        <w:spacing w:line="360" w:lineRule="auto"/>
        <w:jc w:val="both"/>
        <w:rPr>
          <w:rFonts w:ascii="Arial" w:hAnsi="Arial" w:eastAsia="Arial" w:cs="Arial"/>
        </w:rPr>
      </w:pPr>
    </w:p>
    <w:p w14:paraId="1FD8ED73">
      <w:pPr>
        <w:spacing w:line="360" w:lineRule="auto"/>
        <w:jc w:val="both"/>
        <w:rPr>
          <w:rFonts w:ascii="Arial" w:hAnsi="Arial" w:eastAsia="Arial" w:cs="Arial"/>
        </w:rPr>
      </w:pPr>
    </w:p>
    <w:p w14:paraId="1FD8ED74">
      <w:pPr>
        <w:spacing w:line="360" w:lineRule="auto"/>
        <w:jc w:val="both"/>
        <w:rPr>
          <w:rFonts w:ascii="Arial" w:hAnsi="Arial" w:eastAsia="Arial" w:cs="Arial"/>
        </w:rPr>
      </w:pPr>
    </w:p>
    <w:p w14:paraId="1FD8ED75">
      <w:pPr>
        <w:spacing w:line="360" w:lineRule="auto"/>
        <w:jc w:val="both"/>
        <w:rPr>
          <w:rFonts w:ascii="Arial" w:hAnsi="Arial" w:eastAsia="Arial" w:cs="Arial"/>
        </w:rPr>
      </w:pPr>
    </w:p>
    <w:p w14:paraId="1FD8ED76">
      <w:pPr>
        <w:spacing w:line="360" w:lineRule="auto"/>
        <w:jc w:val="both"/>
        <w:rPr>
          <w:rFonts w:ascii="Arial" w:hAnsi="Arial" w:eastAsia="Arial" w:cs="Arial"/>
        </w:rPr>
      </w:pPr>
      <w:r>
        <w:rPr>
          <w:rFonts w:ascii="Arial" w:hAnsi="Arial" w:cs="Arial"/>
        </w:rPr>
        <mc:AlternateContent>
          <mc:Choice Requires="wps">
            <w:drawing>
              <wp:anchor distT="0" distB="0" distL="114300" distR="114300" simplePos="0" relativeHeight="251662336" behindDoc="0" locked="0" layoutInCell="1" allowOverlap="1">
                <wp:simplePos x="0" y="0"/>
                <wp:positionH relativeFrom="column">
                  <wp:posOffset>22225</wp:posOffset>
                </wp:positionH>
                <wp:positionV relativeFrom="paragraph">
                  <wp:posOffset>99060</wp:posOffset>
                </wp:positionV>
                <wp:extent cx="1765300" cy="635000"/>
                <wp:effectExtent l="0" t="0" r="6350" b="0"/>
                <wp:wrapNone/>
                <wp:docPr id="343195411" name="Rectangle 8"/>
                <wp:cNvGraphicFramePr/>
                <a:graphic xmlns:a="http://schemas.openxmlformats.org/drawingml/2006/main">
                  <a:graphicData uri="http://schemas.microsoft.com/office/word/2010/wordprocessingShape">
                    <wps:wsp>
                      <wps:cNvSpPr/>
                      <wps:spPr>
                        <a:xfrm>
                          <a:off x="0" y="0"/>
                          <a:ext cx="1765300" cy="635000"/>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8" o:spid="_x0000_s1026" o:spt="1" style="position:absolute;left:0pt;margin-left:1.75pt;margin-top:7.8pt;height:50pt;width:139pt;z-index:251662336;v-text-anchor:middle;mso-width-relative:page;mso-height-relative:page;" filled="t" stroked="f" coordsize="21600,21600" o:gfxdata="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">
                <v:fill type="frame" on="t" focussize="0,0" recolor="t" rotate="t" r:id="rId10"/>
                <v:stroke on="f" weight="1pt" miterlimit="8" joinstyle="miter"/>
                <v:imagedata o:title=""/>
                <o:lock v:ext="edit" aspectratio="f"/>
              </v:rect>
            </w:pict>
          </mc:Fallback>
        </mc:AlternateContent>
      </w:r>
    </w:p>
    <w:p w14:paraId="1FD8ED77">
      <w:pPr>
        <w:spacing w:line="360" w:lineRule="auto"/>
        <w:jc w:val="both"/>
        <w:rPr>
          <w:rFonts w:ascii="Arial" w:hAnsi="Arial" w:eastAsia="Arial" w:cs="Arial"/>
        </w:rPr>
      </w:pPr>
    </w:p>
    <w:p w14:paraId="1FD8ED78">
      <w:pPr>
        <w:spacing w:line="360" w:lineRule="auto"/>
        <w:jc w:val="both"/>
        <w:rPr>
          <w:rFonts w:ascii="Arial" w:hAnsi="Arial" w:eastAsia="Arial" w:cs="Arial"/>
        </w:rPr>
      </w:pPr>
    </w:p>
    <w:p w14:paraId="1FD8ED79">
      <w:pPr>
        <w:spacing w:line="360" w:lineRule="auto"/>
        <w:jc w:val="both"/>
        <w:rPr>
          <w:rFonts w:ascii="Arial" w:hAnsi="Arial" w:cs="Arial"/>
        </w:rPr>
      </w:pPr>
      <w:r>
        <w:rPr>
          <w:rFonts w:ascii="Arial" w:hAnsi="Arial" w:cs="Arial"/>
        </w:rPr>
        <w:t>Jasmin Ara Zarin</w:t>
      </w:r>
    </w:p>
    <w:p w14:paraId="1FD8ED7A">
      <w:pPr>
        <w:spacing w:line="360" w:lineRule="auto"/>
        <w:jc w:val="both"/>
        <w:rPr>
          <w:rFonts w:ascii="Arial" w:hAnsi="Arial" w:cs="Arial"/>
        </w:rPr>
      </w:pPr>
      <w:r>
        <w:rPr>
          <w:rFonts w:ascii="Arial" w:hAnsi="Arial" w:eastAsia="Arial" w:cs="Arial"/>
        </w:rPr>
        <w:t xml:space="preserve">ID: </w:t>
      </w:r>
      <w:r>
        <w:rPr>
          <w:rFonts w:ascii="Arial" w:hAnsi="Arial" w:cs="Arial"/>
        </w:rPr>
        <w:t>114 221 011</w:t>
      </w:r>
    </w:p>
    <w:p w14:paraId="1FD8ED7B">
      <w:pPr>
        <w:rPr>
          <w:rFonts w:ascii="Arial" w:hAnsi="Arial" w:eastAsia="Arial" w:cs="Arial"/>
        </w:rPr>
      </w:pPr>
    </w:p>
    <w:p w14:paraId="1FD8ED7C">
      <w:pPr>
        <w:spacing w:line="360" w:lineRule="auto"/>
        <w:jc w:val="both"/>
        <w:rPr>
          <w:rFonts w:ascii="Arial" w:hAnsi="Arial" w:cs="Arial"/>
        </w:rPr>
      </w:pPr>
    </w:p>
    <w:p w14:paraId="1FD8ED7D">
      <w:pPr>
        <w:pStyle w:val="2"/>
        <w:spacing w:line="360" w:lineRule="auto"/>
        <w:jc w:val="center"/>
        <w:rPr>
          <w:rFonts w:ascii="Arial" w:hAnsi="Arial" w:eastAsia="Arial" w:cs="Arial"/>
          <w:sz w:val="24"/>
          <w:szCs w:val="24"/>
        </w:rPr>
      </w:pPr>
      <w:bookmarkStart w:id="11" w:name="_Toc214714413"/>
      <w:r>
        <w:rPr>
          <w:rFonts w:ascii="Arial" w:hAnsi="Arial" w:eastAsia="Arial" w:cs="Arial"/>
          <w:sz w:val="32"/>
          <w:szCs w:val="32"/>
        </w:rPr>
        <w:t>Acknowledgement</w:t>
      </w:r>
      <w:bookmarkEnd w:id="11"/>
    </w:p>
    <w:p w14:paraId="1FD8ED7E">
      <w:pPr>
        <w:spacing w:line="360" w:lineRule="auto"/>
        <w:jc w:val="both"/>
        <w:rPr>
          <w:rFonts w:ascii="Arial" w:hAnsi="Arial" w:cs="Arial"/>
        </w:rPr>
      </w:pPr>
    </w:p>
    <w:p w14:paraId="1FD8ED7F">
      <w:pPr>
        <w:spacing w:line="360" w:lineRule="auto"/>
        <w:jc w:val="both"/>
        <w:rPr>
          <w:rFonts w:ascii="Arial" w:hAnsi="Arial" w:cs="Arial"/>
        </w:rPr>
      </w:pPr>
      <w:r>
        <w:rPr>
          <w:rFonts w:ascii="Arial" w:hAnsi="Arial" w:eastAsia="Arial" w:cs="Arial"/>
        </w:rPr>
        <w:t>First and foremost, I am grateful to the Almighty for giving me the strength, ability, and opportunity to complete this project report</w:t>
      </w:r>
      <w:r>
        <w:rPr>
          <w:rFonts w:ascii="Arial" w:hAnsi="Arial" w:cs="Arial"/>
        </w:rPr>
        <w:t xml:space="preserve"> </w:t>
      </w:r>
      <w:r>
        <w:rPr>
          <w:rFonts w:ascii="Arial" w:hAnsi="Arial" w:cs="Arial"/>
          <w:color w:val="0E101A"/>
        </w:rPr>
        <w:t>successfully as per the requirements.</w:t>
      </w:r>
    </w:p>
    <w:p w14:paraId="1FD8ED80">
      <w:pPr>
        <w:spacing w:line="360" w:lineRule="auto"/>
        <w:jc w:val="both"/>
        <w:rPr>
          <w:rFonts w:ascii="Arial" w:hAnsi="Arial" w:cs="Arial"/>
          <w:color w:val="0E101A"/>
        </w:rPr>
      </w:pPr>
      <w:r>
        <w:rPr>
          <w:rFonts w:ascii="Arial" w:hAnsi="Arial" w:eastAsia="Arial" w:cs="Arial"/>
        </w:rPr>
        <w:t xml:space="preserve">I would like to express my sincere gratitude to my respected faculty </w:t>
      </w:r>
      <w:r>
        <w:rPr>
          <w:rFonts w:ascii="Arial" w:hAnsi="Arial" w:cs="Arial"/>
        </w:rPr>
        <w:t xml:space="preserve">Dr. Mofijul Hoq Masum (FCMA, ITP) for his </w:t>
      </w:r>
      <w:r>
        <w:rPr>
          <w:rFonts w:ascii="Arial" w:hAnsi="Arial" w:eastAsia="Arial" w:cs="Arial"/>
        </w:rPr>
        <w:t>continuous guidance, valuable suggestions throughout the preparation of this report. Without his support, this work would not have been possible.</w:t>
      </w:r>
      <w:r>
        <w:rPr>
          <w:rFonts w:ascii="Arial" w:hAnsi="Arial" w:cs="Arial"/>
        </w:rPr>
        <w:t xml:space="preserve"> </w:t>
      </w:r>
      <w:r>
        <w:rPr>
          <w:rFonts w:ascii="Arial" w:hAnsi="Arial" w:cs="Arial"/>
          <w:color w:val="0E101A"/>
        </w:rPr>
        <w:t xml:space="preserve">His supervision and guidance shaped every phase of the report. </w:t>
      </w:r>
      <w:r>
        <w:rPr>
          <w:rFonts w:ascii="Arial" w:hAnsi="Arial" w:cs="Arial"/>
        </w:rPr>
        <w:t>I have had the privilege to learn from during my undergraduate studies. I also had the opportunity to take a course under his supervision, for which I am extremely grateful. His mentorship has been truly invaluable throughout my academic journey. Once</w:t>
      </w:r>
      <w:r>
        <w:rPr>
          <w:rFonts w:ascii="Arial" w:hAnsi="Arial" w:cs="Arial"/>
          <w:spacing w:val="29"/>
        </w:rPr>
        <w:t xml:space="preserve"> </w:t>
      </w:r>
      <w:r>
        <w:rPr>
          <w:rFonts w:ascii="Arial" w:hAnsi="Arial" w:cs="Arial"/>
        </w:rPr>
        <w:t>again,</w:t>
      </w:r>
      <w:r>
        <w:rPr>
          <w:rFonts w:ascii="Arial" w:hAnsi="Arial" w:cs="Arial"/>
          <w:spacing w:val="28"/>
        </w:rPr>
        <w:t xml:space="preserve"> </w:t>
      </w:r>
      <w:r>
        <w:rPr>
          <w:rFonts w:ascii="Arial" w:hAnsi="Arial" w:cs="Arial"/>
        </w:rPr>
        <w:t>thank</w:t>
      </w:r>
      <w:r>
        <w:rPr>
          <w:rFonts w:ascii="Arial" w:hAnsi="Arial" w:cs="Arial"/>
          <w:spacing w:val="27"/>
        </w:rPr>
        <w:t xml:space="preserve"> </w:t>
      </w:r>
      <w:r>
        <w:rPr>
          <w:rFonts w:ascii="Arial" w:hAnsi="Arial" w:cs="Arial"/>
        </w:rPr>
        <w:t>you</w:t>
      </w:r>
      <w:r>
        <w:rPr>
          <w:rFonts w:ascii="Arial" w:hAnsi="Arial" w:cs="Arial"/>
          <w:spacing w:val="30"/>
        </w:rPr>
        <w:t xml:space="preserve"> </w:t>
      </w:r>
      <w:r>
        <w:rPr>
          <w:rFonts w:ascii="Arial" w:hAnsi="Arial" w:cs="Arial"/>
        </w:rPr>
        <w:t>for</w:t>
      </w:r>
      <w:r>
        <w:rPr>
          <w:rFonts w:ascii="Arial" w:hAnsi="Arial" w:cs="Arial"/>
          <w:spacing w:val="27"/>
        </w:rPr>
        <w:t xml:space="preserve"> </w:t>
      </w:r>
      <w:r>
        <w:rPr>
          <w:rFonts w:ascii="Arial" w:hAnsi="Arial" w:cs="Arial"/>
        </w:rPr>
        <w:t>your</w:t>
      </w:r>
      <w:r>
        <w:rPr>
          <w:rFonts w:ascii="Arial" w:hAnsi="Arial" w:cs="Arial"/>
          <w:spacing w:val="27"/>
        </w:rPr>
        <w:t xml:space="preserve"> </w:t>
      </w:r>
      <w:r>
        <w:rPr>
          <w:rFonts w:ascii="Arial" w:hAnsi="Arial" w:cs="Arial"/>
        </w:rPr>
        <w:t>unwavering</w:t>
      </w:r>
      <w:r>
        <w:rPr>
          <w:rFonts w:ascii="Arial" w:hAnsi="Arial" w:cs="Arial"/>
          <w:spacing w:val="27"/>
        </w:rPr>
        <w:t xml:space="preserve"> </w:t>
      </w:r>
      <w:r>
        <w:rPr>
          <w:rFonts w:ascii="Arial" w:hAnsi="Arial" w:cs="Arial"/>
        </w:rPr>
        <w:t>support.</w:t>
      </w:r>
      <w:r>
        <w:rPr>
          <w:rFonts w:ascii="Arial" w:hAnsi="Arial" w:cs="Arial"/>
          <w:spacing w:val="27"/>
        </w:rPr>
        <w:t xml:space="preserve"> </w:t>
      </w:r>
      <w:r>
        <w:rPr>
          <w:rFonts w:ascii="Arial" w:hAnsi="Arial" w:cs="Arial"/>
        </w:rPr>
        <w:t>I</w:t>
      </w:r>
      <w:r>
        <w:rPr>
          <w:rFonts w:ascii="Arial" w:hAnsi="Arial" w:cs="Arial"/>
          <w:spacing w:val="27"/>
        </w:rPr>
        <w:t xml:space="preserve"> </w:t>
      </w:r>
      <w:r>
        <w:rPr>
          <w:rFonts w:ascii="Arial" w:hAnsi="Arial" w:cs="Arial"/>
        </w:rPr>
        <w:t>look</w:t>
      </w:r>
      <w:r>
        <w:rPr>
          <w:rFonts w:ascii="Arial" w:hAnsi="Arial" w:cs="Arial"/>
          <w:spacing w:val="28"/>
        </w:rPr>
        <w:t xml:space="preserve"> </w:t>
      </w:r>
      <w:r>
        <w:rPr>
          <w:rFonts w:ascii="Arial" w:hAnsi="Arial" w:cs="Arial"/>
        </w:rPr>
        <w:t>forward</w:t>
      </w:r>
      <w:r>
        <w:rPr>
          <w:rFonts w:ascii="Arial" w:hAnsi="Arial" w:cs="Arial"/>
          <w:spacing w:val="27"/>
        </w:rPr>
        <w:t xml:space="preserve"> </w:t>
      </w:r>
      <w:r>
        <w:rPr>
          <w:rFonts w:ascii="Arial" w:hAnsi="Arial" w:cs="Arial"/>
        </w:rPr>
        <w:t>to</w:t>
      </w:r>
      <w:r>
        <w:rPr>
          <w:rFonts w:ascii="Arial" w:hAnsi="Arial" w:cs="Arial"/>
          <w:spacing w:val="28"/>
        </w:rPr>
        <w:t xml:space="preserve"> </w:t>
      </w:r>
      <w:r>
        <w:rPr>
          <w:rFonts w:ascii="Arial" w:hAnsi="Arial" w:cs="Arial"/>
        </w:rPr>
        <w:t>staying</w:t>
      </w:r>
      <w:r>
        <w:rPr>
          <w:rFonts w:ascii="Arial" w:hAnsi="Arial" w:cs="Arial"/>
          <w:spacing w:val="27"/>
        </w:rPr>
        <w:t xml:space="preserve"> </w:t>
      </w:r>
      <w:r>
        <w:rPr>
          <w:rFonts w:ascii="Arial" w:hAnsi="Arial" w:cs="Arial"/>
        </w:rPr>
        <w:t>connected</w:t>
      </w:r>
      <w:r>
        <w:rPr>
          <w:rFonts w:ascii="Arial" w:hAnsi="Arial" w:cs="Arial"/>
          <w:spacing w:val="29"/>
        </w:rPr>
        <w:t xml:space="preserve"> </w:t>
      </w:r>
      <w:r>
        <w:rPr>
          <w:rFonts w:ascii="Arial" w:hAnsi="Arial" w:cs="Arial"/>
        </w:rPr>
        <w:t>and continuing to learn from your expertise.</w:t>
      </w:r>
      <w:r>
        <w:rPr>
          <w:rFonts w:ascii="Arial" w:hAnsi="Arial" w:cs="Arial"/>
          <w:color w:val="0E101A"/>
        </w:rPr>
        <w:t xml:space="preserve"> </w:t>
      </w:r>
      <w:r>
        <w:rPr>
          <w:rFonts w:ascii="Arial" w:hAnsi="Arial" w:eastAsia="Arial" w:cs="Arial"/>
        </w:rPr>
        <w:t>My heartfelt thanks also go to the faculty members and administrative staff of the School of Business and Economics.</w:t>
      </w:r>
    </w:p>
    <w:p w14:paraId="1FD8ED81">
      <w:pPr>
        <w:spacing w:line="360" w:lineRule="auto"/>
        <w:jc w:val="both"/>
        <w:rPr>
          <w:rFonts w:ascii="Arial" w:hAnsi="Arial" w:cs="Arial"/>
        </w:rPr>
      </w:pPr>
    </w:p>
    <w:p w14:paraId="1FD8ED82">
      <w:pPr>
        <w:spacing w:line="360" w:lineRule="auto"/>
        <w:jc w:val="both"/>
        <w:rPr>
          <w:rFonts w:ascii="Arial" w:hAnsi="Arial" w:eastAsia="Arial" w:cs="Arial"/>
          <w:color w:val="2F5597" w:themeColor="accent1" w:themeShade="BF"/>
        </w:rPr>
      </w:pPr>
      <w:r>
        <w:rPr>
          <w:rFonts w:ascii="Arial" w:hAnsi="Arial" w:eastAsia="Arial" w:cs="Arial"/>
        </w:rPr>
        <w:br w:type="page"/>
      </w:r>
    </w:p>
    <w:p w14:paraId="1FD8ED83">
      <w:pPr>
        <w:pStyle w:val="2"/>
        <w:jc w:val="center"/>
        <w:rPr>
          <w:rFonts w:ascii="Arial" w:hAnsi="Arial" w:eastAsia="Arial" w:cs="Arial"/>
          <w:sz w:val="32"/>
          <w:szCs w:val="32"/>
        </w:rPr>
      </w:pPr>
      <w:bookmarkStart w:id="12" w:name="_Toc214714414"/>
      <w:r>
        <w:rPr>
          <w:rFonts w:ascii="Arial" w:hAnsi="Arial" w:eastAsia="Arial" w:cs="Arial"/>
          <w:sz w:val="32"/>
          <w:szCs w:val="32"/>
        </w:rPr>
        <w:t>Abstract</w:t>
      </w:r>
      <w:bookmarkEnd w:id="12"/>
    </w:p>
    <w:p w14:paraId="1FD8ED84">
      <w:pPr>
        <w:spacing w:line="360" w:lineRule="auto"/>
        <w:jc w:val="both"/>
        <w:rPr>
          <w:rFonts w:ascii="Arial" w:hAnsi="Arial" w:eastAsia="Arial" w:cs="Arial"/>
        </w:rPr>
      </w:pPr>
    </w:p>
    <w:p w14:paraId="1FD8ED85">
      <w:pPr>
        <w:spacing w:line="360" w:lineRule="auto"/>
        <w:jc w:val="both"/>
        <w:rPr>
          <w:rFonts w:ascii="Arial" w:hAnsi="Arial" w:cs="Arial"/>
        </w:rPr>
      </w:pPr>
      <w:r>
        <w:rPr>
          <w:rFonts w:ascii="Arial" w:hAnsi="Arial" w:cs="Arial"/>
        </w:rPr>
        <w:t>This paper will examine the level and character of Artificial Intelligence (AI)-related disclosures by the leading-performing companies in seven South Asian stock markets in 2020-24. Even though the world is researching more on AI communication, the limiting empirical evidence is found in the emerging South Asian markets. Based on the Stakeholder Theory, the report will study how businesses utilize AI, automation, analytics, and other technological terminologies to communicate innovation, transparency and strategic preparedness to investors and stakeholders at large. The research is structured in content-analysis. Annual and sustainability reports of the ten highest gainers of each of the exchanges; NSE (India), PSX (Pakistan), DSE (Bangladesh), CSE (Sri Lanka), NEPSE (Nepal), RSEB (Bhutan), and MSE (Maldives) have been checked. The AI-related disclosures were also extracted, classified, and counted manually to define any disclosure patterns on a keyword level as well as the firm level. To depict the usage as well as the adoption of AI by the companies in each exchange, charts were created. The results show significant inequalities in the region. India has the highest and the most diverse AI disclosure whereas Pakistan and Bangladesh have a moderate but uneven participation. The references in Sri Lanka, Nepal and Bhutan and the Maldives are minimal, implying early adoption or symbolic adoption. In all markets, the words of Analytics, Automation, and AI are most frequently used, and such advanced concepts as Deep Learning and Expert Systems are very rarity. On the whole, the paper finds that AI disclosure in South Asia is skewed and strongly tied to the maturity of the markets and the capabilities of a firm, which demonstrates the necessity to introduce more transparent and standardized reporting frameworks.</w:t>
      </w:r>
    </w:p>
    <w:p w14:paraId="1FD8ED86">
      <w:pPr>
        <w:rPr>
          <w:rFonts w:ascii="Arial" w:hAnsi="Arial" w:cs="Arial"/>
        </w:rPr>
      </w:pPr>
    </w:p>
    <w:p w14:paraId="1FD8ED87">
      <w:pPr>
        <w:spacing w:line="360" w:lineRule="auto"/>
        <w:rPr>
          <w:rFonts w:ascii="Arial" w:hAnsi="Arial" w:cs="Arial"/>
        </w:rPr>
      </w:pPr>
      <w:r>
        <w:rPr>
          <w:rFonts w:ascii="Arial" w:hAnsi="Arial" w:cs="Arial"/>
          <w:b/>
          <w:bCs/>
        </w:rPr>
        <w:t>Keywords-</w:t>
      </w:r>
      <w:r>
        <w:rPr>
          <w:rFonts w:ascii="Arial" w:hAnsi="Arial" w:cs="Arial"/>
        </w:rPr>
        <w:t xml:space="preserve"> Artificial Intelligence, South Asian Stock Market, Content analysis, Machine Learning, Analytics, Big Data.</w:t>
      </w:r>
    </w:p>
    <w:p w14:paraId="1FD8ED88">
      <w:pPr>
        <w:rPr>
          <w:rFonts w:ascii="Arial" w:hAnsi="Arial" w:cs="Arial"/>
        </w:rPr>
      </w:pPr>
      <w:r>
        <w:rPr>
          <w:rFonts w:ascii="Arial" w:hAnsi="Arial" w:cs="Arial"/>
        </w:rPr>
        <w:br w:type="page"/>
      </w:r>
    </w:p>
    <w:p w14:paraId="1FD8ED89">
      <w:pPr>
        <w:spacing w:line="360" w:lineRule="auto"/>
        <w:jc w:val="both"/>
        <w:rPr>
          <w:rFonts w:ascii="Arial" w:hAnsi="Arial" w:cs="Arial"/>
        </w:rPr>
      </w:pPr>
    </w:p>
    <w:sdt>
      <w:sdtPr>
        <w:rPr>
          <w:rFonts w:ascii="Arial" w:hAnsi="Arial" w:cs="Arial"/>
          <w:b/>
          <w:bCs/>
        </w:rPr>
        <w:id w:val="2118318078"/>
        <w:docPartObj>
          <w:docPartGallery w:val="Table of Contents"/>
          <w:docPartUnique/>
        </w:docPartObj>
      </w:sdtPr>
      <w:sdtEndPr>
        <w:rPr>
          <w:rFonts w:asciiTheme="minorHAnsi" w:hAnsiTheme="minorHAnsi" w:cstheme="minorBidi"/>
          <w:b/>
          <w:bCs/>
        </w:rPr>
      </w:sdtEndPr>
      <w:sdtContent>
        <w:p w14:paraId="1FD8ED8A">
          <w:pPr>
            <w:spacing w:line="360" w:lineRule="auto"/>
            <w:jc w:val="center"/>
            <w:rPr>
              <w:rFonts w:ascii="Arial" w:hAnsi="Arial" w:cs="Arial"/>
              <w:b/>
              <w:bCs/>
              <w:color w:val="4472C4" w:themeColor="accent1"/>
              <w14:textFill>
                <w14:solidFill>
                  <w14:schemeClr w14:val="accent1"/>
                </w14:solidFill>
              </w14:textFill>
            </w:rPr>
          </w:pPr>
          <w:r>
            <w:rPr>
              <w:rFonts w:ascii="Arial" w:hAnsi="Arial" w:cs="Arial"/>
              <w:b/>
              <w:bCs/>
              <w:color w:val="4472C4" w:themeColor="accent1"/>
              <w14:textFill>
                <w14:solidFill>
                  <w14:schemeClr w14:val="accent1"/>
                </w14:solidFill>
              </w14:textFill>
            </w:rPr>
            <w:t>Table of Contents</w:t>
          </w:r>
        </w:p>
        <w:p w14:paraId="1FD8ED8B">
          <w:pPr>
            <w:spacing w:line="360" w:lineRule="auto"/>
            <w:rPr>
              <w:rFonts w:ascii="Arial" w:hAnsi="Arial" w:cs="Arial"/>
            </w:rPr>
          </w:pPr>
        </w:p>
        <w:p w14:paraId="1FD8ED8C">
          <w:pPr>
            <w:pStyle w:val="23"/>
            <w:tabs>
              <w:tab w:val="right" w:leader="dot" w:pos="9350"/>
            </w:tabs>
            <w:rPr>
              <w:rFonts w:eastAsiaTheme="minorEastAsia"/>
            </w:rPr>
          </w:pPr>
          <w:r>
            <w:rPr>
              <w:rFonts w:ascii="Arial" w:hAnsi="Arial" w:cs="Arial"/>
            </w:rPr>
            <w:fldChar w:fldCharType="begin"/>
          </w:r>
          <w:r>
            <w:rPr>
              <w:rFonts w:ascii="Arial" w:hAnsi="Arial" w:cs="Arial"/>
            </w:rPr>
            <w:instrText xml:space="preserve"> TOC \o "1-3" \h \z \u </w:instrText>
          </w:r>
          <w:r>
            <w:rPr>
              <w:rFonts w:ascii="Arial" w:hAnsi="Arial" w:cs="Arial"/>
            </w:rPr>
            <w:fldChar w:fldCharType="separate"/>
          </w:r>
          <w:r>
            <w:fldChar w:fldCharType="begin"/>
          </w:r>
          <w:r>
            <w:instrText xml:space="preserve"> HYPERLINK \l "_Toc214714410" </w:instrText>
          </w:r>
          <w:r>
            <w:fldChar w:fldCharType="separate"/>
          </w:r>
          <w:r>
            <w:rPr>
              <w:rStyle w:val="17"/>
              <w:rFonts w:ascii="Arial" w:hAnsi="Arial" w:eastAsia="Arial" w:cs="Arial"/>
            </w:rPr>
            <w:t>Letter of Transmittal</w:t>
          </w:r>
          <w:r>
            <w:tab/>
          </w:r>
          <w:r>
            <w:fldChar w:fldCharType="begin"/>
          </w:r>
          <w:r>
            <w:instrText xml:space="preserve"> PAGEREF _Toc214714410 \h </w:instrText>
          </w:r>
          <w:r>
            <w:fldChar w:fldCharType="separate"/>
          </w:r>
          <w:r>
            <w:t>ii</w:t>
          </w:r>
          <w:r>
            <w:fldChar w:fldCharType="end"/>
          </w:r>
          <w:r>
            <w:fldChar w:fldCharType="end"/>
          </w:r>
        </w:p>
        <w:p w14:paraId="1FD8ED8D">
          <w:pPr>
            <w:pStyle w:val="23"/>
            <w:tabs>
              <w:tab w:val="right" w:leader="dot" w:pos="9350"/>
            </w:tabs>
            <w:rPr>
              <w:rFonts w:eastAsiaTheme="minorEastAsia"/>
            </w:rPr>
          </w:pPr>
          <w:r>
            <w:fldChar w:fldCharType="begin"/>
          </w:r>
          <w:r>
            <w:instrText xml:space="preserve"> HYPERLINK \l "_Toc214714411" </w:instrText>
          </w:r>
          <w:r>
            <w:fldChar w:fldCharType="separate"/>
          </w:r>
          <w:r>
            <w:rPr>
              <w:rStyle w:val="17"/>
              <w:rFonts w:ascii="Arial" w:hAnsi="Arial" w:eastAsia="Arial" w:cs="Arial"/>
            </w:rPr>
            <w:t>Certification of Similarity Index</w:t>
          </w:r>
          <w:r>
            <w:tab/>
          </w:r>
          <w:r>
            <w:fldChar w:fldCharType="begin"/>
          </w:r>
          <w:r>
            <w:instrText xml:space="preserve"> PAGEREF _Toc214714411 \h </w:instrText>
          </w:r>
          <w:r>
            <w:fldChar w:fldCharType="separate"/>
          </w:r>
          <w:r>
            <w:t>iii</w:t>
          </w:r>
          <w:r>
            <w:fldChar w:fldCharType="end"/>
          </w:r>
          <w:r>
            <w:fldChar w:fldCharType="end"/>
          </w:r>
        </w:p>
        <w:p w14:paraId="1FD8ED8E">
          <w:pPr>
            <w:pStyle w:val="23"/>
            <w:tabs>
              <w:tab w:val="right" w:leader="dot" w:pos="9350"/>
            </w:tabs>
            <w:rPr>
              <w:rFonts w:eastAsiaTheme="minorEastAsia"/>
            </w:rPr>
          </w:pPr>
          <w:r>
            <w:fldChar w:fldCharType="begin"/>
          </w:r>
          <w:r>
            <w:instrText xml:space="preserve"> HYPERLINK \l "_Toc214714412" </w:instrText>
          </w:r>
          <w:r>
            <w:fldChar w:fldCharType="separate"/>
          </w:r>
          <w:r>
            <w:rPr>
              <w:rStyle w:val="17"/>
              <w:rFonts w:ascii="Arial" w:hAnsi="Arial" w:eastAsia="Arial" w:cs="Arial"/>
            </w:rPr>
            <w:t>Declaration of the Student</w:t>
          </w:r>
          <w:r>
            <w:tab/>
          </w:r>
          <w:r>
            <w:fldChar w:fldCharType="begin"/>
          </w:r>
          <w:r>
            <w:instrText xml:space="preserve"> PAGEREF _Toc214714412 \h </w:instrText>
          </w:r>
          <w:r>
            <w:fldChar w:fldCharType="separate"/>
          </w:r>
          <w:r>
            <w:t>iv</w:t>
          </w:r>
          <w:r>
            <w:fldChar w:fldCharType="end"/>
          </w:r>
          <w:r>
            <w:fldChar w:fldCharType="end"/>
          </w:r>
        </w:p>
        <w:p w14:paraId="1FD8ED8F">
          <w:pPr>
            <w:pStyle w:val="23"/>
            <w:tabs>
              <w:tab w:val="right" w:leader="dot" w:pos="9350"/>
            </w:tabs>
            <w:rPr>
              <w:rFonts w:eastAsiaTheme="minorEastAsia"/>
            </w:rPr>
          </w:pPr>
          <w:r>
            <w:fldChar w:fldCharType="begin"/>
          </w:r>
          <w:r>
            <w:instrText xml:space="preserve"> HYPERLINK \l "_Toc214714413" </w:instrText>
          </w:r>
          <w:r>
            <w:fldChar w:fldCharType="separate"/>
          </w:r>
          <w:r>
            <w:rPr>
              <w:rStyle w:val="17"/>
              <w:rFonts w:ascii="Arial" w:hAnsi="Arial" w:eastAsia="Arial" w:cs="Arial"/>
            </w:rPr>
            <w:t>Acknowledgement</w:t>
          </w:r>
          <w:r>
            <w:tab/>
          </w:r>
          <w:r>
            <w:fldChar w:fldCharType="begin"/>
          </w:r>
          <w:r>
            <w:instrText xml:space="preserve"> PAGEREF _Toc214714413 \h </w:instrText>
          </w:r>
          <w:r>
            <w:fldChar w:fldCharType="separate"/>
          </w:r>
          <w:r>
            <w:t>v</w:t>
          </w:r>
          <w:r>
            <w:fldChar w:fldCharType="end"/>
          </w:r>
          <w:r>
            <w:fldChar w:fldCharType="end"/>
          </w:r>
        </w:p>
        <w:p w14:paraId="1FD8ED90">
          <w:pPr>
            <w:pStyle w:val="23"/>
            <w:tabs>
              <w:tab w:val="right" w:leader="dot" w:pos="9350"/>
            </w:tabs>
            <w:rPr>
              <w:rFonts w:eastAsiaTheme="minorEastAsia"/>
            </w:rPr>
          </w:pPr>
          <w:r>
            <w:fldChar w:fldCharType="begin"/>
          </w:r>
          <w:r>
            <w:instrText xml:space="preserve"> HYPERLINK \l "_Toc214714414" </w:instrText>
          </w:r>
          <w:r>
            <w:fldChar w:fldCharType="separate"/>
          </w:r>
          <w:r>
            <w:rPr>
              <w:rStyle w:val="17"/>
              <w:rFonts w:ascii="Arial" w:hAnsi="Arial" w:eastAsia="Arial" w:cs="Arial"/>
            </w:rPr>
            <w:t>Abstract</w:t>
          </w:r>
          <w:r>
            <w:tab/>
          </w:r>
          <w:r>
            <w:fldChar w:fldCharType="begin"/>
          </w:r>
          <w:r>
            <w:instrText xml:space="preserve"> PAGEREF _Toc214714414 \h </w:instrText>
          </w:r>
          <w:r>
            <w:fldChar w:fldCharType="separate"/>
          </w:r>
          <w:r>
            <w:t>vi</w:t>
          </w:r>
          <w:r>
            <w:fldChar w:fldCharType="end"/>
          </w:r>
          <w:r>
            <w:fldChar w:fldCharType="end"/>
          </w:r>
        </w:p>
        <w:p w14:paraId="1FD8ED91">
          <w:pPr>
            <w:pStyle w:val="23"/>
            <w:tabs>
              <w:tab w:val="right" w:leader="dot" w:pos="9350"/>
            </w:tabs>
            <w:rPr>
              <w:rFonts w:eastAsiaTheme="minorEastAsia"/>
            </w:rPr>
          </w:pPr>
          <w:r>
            <w:fldChar w:fldCharType="begin"/>
          </w:r>
          <w:r>
            <w:instrText xml:space="preserve"> HYPERLINK \l "_Toc214714415" </w:instrText>
          </w:r>
          <w:r>
            <w:fldChar w:fldCharType="separate"/>
          </w:r>
          <w:r>
            <w:rPr>
              <w:rStyle w:val="17"/>
              <w:rFonts w:ascii="Arial" w:hAnsi="Arial" w:eastAsia="Arial" w:cs="Arial"/>
            </w:rPr>
            <w:t>List of Figures</w:t>
          </w:r>
          <w:r>
            <w:tab/>
          </w:r>
          <w:r>
            <w:fldChar w:fldCharType="begin"/>
          </w:r>
          <w:r>
            <w:instrText xml:space="preserve"> PAGEREF _Toc214714415 \h </w:instrText>
          </w:r>
          <w:r>
            <w:fldChar w:fldCharType="separate"/>
          </w:r>
          <w:r>
            <w:t>ix</w:t>
          </w:r>
          <w:r>
            <w:fldChar w:fldCharType="end"/>
          </w:r>
          <w:r>
            <w:fldChar w:fldCharType="end"/>
          </w:r>
        </w:p>
        <w:p w14:paraId="1FD8ED92">
          <w:pPr>
            <w:pStyle w:val="23"/>
            <w:tabs>
              <w:tab w:val="right" w:leader="dot" w:pos="9350"/>
            </w:tabs>
            <w:rPr>
              <w:rFonts w:eastAsiaTheme="minorEastAsia"/>
            </w:rPr>
          </w:pPr>
          <w:r>
            <w:fldChar w:fldCharType="begin"/>
          </w:r>
          <w:r>
            <w:instrText xml:space="preserve"> HYPERLINK \l "_Toc214714416" </w:instrText>
          </w:r>
          <w:r>
            <w:fldChar w:fldCharType="separate"/>
          </w:r>
          <w:r>
            <w:rPr>
              <w:rStyle w:val="17"/>
              <w:rFonts w:ascii="Arial" w:hAnsi="Arial" w:eastAsia="Arial" w:cs="Arial"/>
            </w:rPr>
            <w:t>List of Tables</w:t>
          </w:r>
          <w:r>
            <w:tab/>
          </w:r>
          <w:r>
            <w:fldChar w:fldCharType="begin"/>
          </w:r>
          <w:r>
            <w:instrText xml:space="preserve"> PAGEREF _Toc214714416 \h </w:instrText>
          </w:r>
          <w:r>
            <w:fldChar w:fldCharType="separate"/>
          </w:r>
          <w:r>
            <w:t>xi</w:t>
          </w:r>
          <w:r>
            <w:fldChar w:fldCharType="end"/>
          </w:r>
          <w:r>
            <w:fldChar w:fldCharType="end"/>
          </w:r>
        </w:p>
        <w:p w14:paraId="1FD8ED93">
          <w:pPr>
            <w:pStyle w:val="23"/>
            <w:tabs>
              <w:tab w:val="right" w:leader="dot" w:pos="9350"/>
            </w:tabs>
            <w:rPr>
              <w:rFonts w:eastAsiaTheme="minorEastAsia"/>
            </w:rPr>
          </w:pPr>
          <w:r>
            <w:fldChar w:fldCharType="begin"/>
          </w:r>
          <w:r>
            <w:instrText xml:space="preserve"> HYPERLINK \l "_Toc214714417" </w:instrText>
          </w:r>
          <w:r>
            <w:fldChar w:fldCharType="separate"/>
          </w:r>
          <w:r>
            <w:rPr>
              <w:rStyle w:val="17"/>
              <w:rFonts w:ascii="Arial" w:hAnsi="Arial" w:eastAsia="Arial" w:cs="Arial"/>
            </w:rPr>
            <w:t>List of Acronyms &amp; Abbreviations</w:t>
          </w:r>
          <w:r>
            <w:tab/>
          </w:r>
          <w:r>
            <w:fldChar w:fldCharType="begin"/>
          </w:r>
          <w:r>
            <w:instrText xml:space="preserve"> PAGEREF _Toc214714417 \h </w:instrText>
          </w:r>
          <w:r>
            <w:fldChar w:fldCharType="separate"/>
          </w:r>
          <w:r>
            <w:t>xii</w:t>
          </w:r>
          <w:r>
            <w:fldChar w:fldCharType="end"/>
          </w:r>
          <w:r>
            <w:fldChar w:fldCharType="end"/>
          </w:r>
        </w:p>
        <w:p w14:paraId="1FD8ED94">
          <w:pPr>
            <w:pStyle w:val="23"/>
            <w:tabs>
              <w:tab w:val="right" w:leader="dot" w:pos="9350"/>
            </w:tabs>
            <w:rPr>
              <w:rFonts w:eastAsiaTheme="minorEastAsia"/>
            </w:rPr>
          </w:pPr>
          <w:r>
            <w:fldChar w:fldCharType="begin"/>
          </w:r>
          <w:r>
            <w:instrText xml:space="preserve"> HYPERLINK \l "_Toc214714418" </w:instrText>
          </w:r>
          <w:r>
            <w:fldChar w:fldCharType="separate"/>
          </w:r>
          <w:r>
            <w:rPr>
              <w:rStyle w:val="17"/>
              <w:rFonts w:ascii="Arial" w:hAnsi="Arial" w:eastAsia="Arial" w:cs="Arial"/>
            </w:rPr>
            <w:t>CHAPTER I: INTRODUCTION</w:t>
          </w:r>
          <w:r>
            <w:tab/>
          </w:r>
          <w:r>
            <w:fldChar w:fldCharType="begin"/>
          </w:r>
          <w:r>
            <w:instrText xml:space="preserve"> PAGEREF _Toc214714418 \h </w:instrText>
          </w:r>
          <w:r>
            <w:fldChar w:fldCharType="separate"/>
          </w:r>
          <w:r>
            <w:t>1</w:t>
          </w:r>
          <w:r>
            <w:fldChar w:fldCharType="end"/>
          </w:r>
          <w:r>
            <w:fldChar w:fldCharType="end"/>
          </w:r>
        </w:p>
        <w:p w14:paraId="1FD8ED95">
          <w:pPr>
            <w:pStyle w:val="24"/>
            <w:tabs>
              <w:tab w:val="right" w:leader="dot" w:pos="9350"/>
            </w:tabs>
            <w:rPr>
              <w:rFonts w:eastAsiaTheme="minorEastAsia"/>
            </w:rPr>
          </w:pPr>
          <w:r>
            <w:fldChar w:fldCharType="begin"/>
          </w:r>
          <w:r>
            <w:instrText xml:space="preserve"> HYPERLINK \l "_Toc214714419" </w:instrText>
          </w:r>
          <w:r>
            <w:fldChar w:fldCharType="separate"/>
          </w:r>
          <w:r>
            <w:rPr>
              <w:rStyle w:val="17"/>
            </w:rPr>
            <w:t>1.1 Background of the Study</w:t>
          </w:r>
          <w:r>
            <w:tab/>
          </w:r>
          <w:r>
            <w:fldChar w:fldCharType="begin"/>
          </w:r>
          <w:r>
            <w:instrText xml:space="preserve"> PAGEREF _Toc214714419 \h </w:instrText>
          </w:r>
          <w:r>
            <w:fldChar w:fldCharType="separate"/>
          </w:r>
          <w:r>
            <w:t>1</w:t>
          </w:r>
          <w:r>
            <w:fldChar w:fldCharType="end"/>
          </w:r>
          <w:r>
            <w:fldChar w:fldCharType="end"/>
          </w:r>
        </w:p>
        <w:p w14:paraId="1FD8ED96">
          <w:pPr>
            <w:pStyle w:val="24"/>
            <w:tabs>
              <w:tab w:val="left" w:pos="960"/>
              <w:tab w:val="right" w:leader="dot" w:pos="9350"/>
            </w:tabs>
            <w:rPr>
              <w:rFonts w:eastAsiaTheme="minorEastAsia"/>
            </w:rPr>
          </w:pPr>
          <w:r>
            <w:fldChar w:fldCharType="begin"/>
          </w:r>
          <w:r>
            <w:instrText xml:space="preserve"> HYPERLINK \l "_Toc214714420" </w:instrText>
          </w:r>
          <w:r>
            <w:fldChar w:fldCharType="separate"/>
          </w:r>
          <w:r>
            <w:rPr>
              <w:rStyle w:val="17"/>
            </w:rPr>
            <w:t>1.2</w:t>
          </w:r>
          <w:r>
            <w:rPr>
              <w:rFonts w:eastAsiaTheme="minorEastAsia"/>
            </w:rPr>
            <w:tab/>
          </w:r>
          <w:r>
            <w:rPr>
              <w:rStyle w:val="17"/>
            </w:rPr>
            <w:t>Research Gap</w:t>
          </w:r>
          <w:r>
            <w:tab/>
          </w:r>
          <w:r>
            <w:fldChar w:fldCharType="begin"/>
          </w:r>
          <w:r>
            <w:instrText xml:space="preserve"> PAGEREF _Toc214714420 \h </w:instrText>
          </w:r>
          <w:r>
            <w:fldChar w:fldCharType="separate"/>
          </w:r>
          <w:r>
            <w:t>1</w:t>
          </w:r>
          <w:r>
            <w:fldChar w:fldCharType="end"/>
          </w:r>
          <w:r>
            <w:fldChar w:fldCharType="end"/>
          </w:r>
        </w:p>
        <w:p w14:paraId="1FD8ED97">
          <w:pPr>
            <w:pStyle w:val="24"/>
            <w:tabs>
              <w:tab w:val="left" w:pos="960"/>
              <w:tab w:val="right" w:leader="dot" w:pos="9350"/>
            </w:tabs>
            <w:rPr>
              <w:rFonts w:eastAsiaTheme="minorEastAsia"/>
            </w:rPr>
          </w:pPr>
          <w:r>
            <w:fldChar w:fldCharType="begin"/>
          </w:r>
          <w:r>
            <w:instrText xml:space="preserve"> HYPERLINK \l "_Toc214714421" </w:instrText>
          </w:r>
          <w:r>
            <w:fldChar w:fldCharType="separate"/>
          </w:r>
          <w:r>
            <w:rPr>
              <w:rStyle w:val="17"/>
            </w:rPr>
            <w:t>1.3</w:t>
          </w:r>
          <w:r>
            <w:rPr>
              <w:rFonts w:eastAsiaTheme="minorEastAsia"/>
            </w:rPr>
            <w:tab/>
          </w:r>
          <w:r>
            <w:rPr>
              <w:rStyle w:val="17"/>
            </w:rPr>
            <w:t>Objectives of the Study</w:t>
          </w:r>
          <w:r>
            <w:tab/>
          </w:r>
          <w:r>
            <w:fldChar w:fldCharType="begin"/>
          </w:r>
          <w:r>
            <w:instrText xml:space="preserve"> PAGEREF _Toc214714421 \h </w:instrText>
          </w:r>
          <w:r>
            <w:fldChar w:fldCharType="separate"/>
          </w:r>
          <w:r>
            <w:t>2</w:t>
          </w:r>
          <w:r>
            <w:fldChar w:fldCharType="end"/>
          </w:r>
          <w:r>
            <w:fldChar w:fldCharType="end"/>
          </w:r>
        </w:p>
        <w:p w14:paraId="1FD8ED98">
          <w:pPr>
            <w:pStyle w:val="24"/>
            <w:tabs>
              <w:tab w:val="left" w:pos="960"/>
              <w:tab w:val="right" w:leader="dot" w:pos="9350"/>
            </w:tabs>
            <w:rPr>
              <w:rFonts w:eastAsiaTheme="minorEastAsia"/>
            </w:rPr>
          </w:pPr>
          <w:r>
            <w:fldChar w:fldCharType="begin"/>
          </w:r>
          <w:r>
            <w:instrText xml:space="preserve"> HYPERLINK \l "_Toc214714422" </w:instrText>
          </w:r>
          <w:r>
            <w:fldChar w:fldCharType="separate"/>
          </w:r>
          <w:r>
            <w:rPr>
              <w:rStyle w:val="17"/>
            </w:rPr>
            <w:t>1.4</w:t>
          </w:r>
          <w:r>
            <w:rPr>
              <w:rFonts w:eastAsiaTheme="minorEastAsia"/>
            </w:rPr>
            <w:tab/>
          </w:r>
          <w:r>
            <w:rPr>
              <w:rStyle w:val="17"/>
            </w:rPr>
            <w:t>Scope and limitation of the Study</w:t>
          </w:r>
          <w:r>
            <w:tab/>
          </w:r>
          <w:r>
            <w:fldChar w:fldCharType="begin"/>
          </w:r>
          <w:r>
            <w:instrText xml:space="preserve"> PAGEREF _Toc214714422 \h </w:instrText>
          </w:r>
          <w:r>
            <w:fldChar w:fldCharType="separate"/>
          </w:r>
          <w:r>
            <w:t>2</w:t>
          </w:r>
          <w:r>
            <w:fldChar w:fldCharType="end"/>
          </w:r>
          <w:r>
            <w:fldChar w:fldCharType="end"/>
          </w:r>
        </w:p>
        <w:p w14:paraId="1FD8ED99">
          <w:pPr>
            <w:pStyle w:val="23"/>
            <w:tabs>
              <w:tab w:val="right" w:leader="dot" w:pos="9350"/>
            </w:tabs>
            <w:rPr>
              <w:rFonts w:eastAsiaTheme="minorEastAsia"/>
            </w:rPr>
          </w:pPr>
          <w:r>
            <w:fldChar w:fldCharType="begin"/>
          </w:r>
          <w:r>
            <w:instrText xml:space="preserve"> HYPERLINK \l "_Toc214714423" </w:instrText>
          </w:r>
          <w:r>
            <w:fldChar w:fldCharType="separate"/>
          </w:r>
          <w:r>
            <w:rPr>
              <w:rStyle w:val="17"/>
              <w:rFonts w:ascii="Arial" w:hAnsi="Arial" w:eastAsia="Arial" w:cs="Arial"/>
            </w:rPr>
            <w:t>CHAPTER II: REVIEW OF THE LITERATURE</w:t>
          </w:r>
          <w:r>
            <w:tab/>
          </w:r>
          <w:r>
            <w:fldChar w:fldCharType="begin"/>
          </w:r>
          <w:r>
            <w:instrText xml:space="preserve"> PAGEREF _Toc214714423 \h </w:instrText>
          </w:r>
          <w:r>
            <w:fldChar w:fldCharType="separate"/>
          </w:r>
          <w:r>
            <w:t>4</w:t>
          </w:r>
          <w:r>
            <w:fldChar w:fldCharType="end"/>
          </w:r>
          <w:r>
            <w:fldChar w:fldCharType="end"/>
          </w:r>
        </w:p>
        <w:p w14:paraId="1FD8ED9A">
          <w:pPr>
            <w:pStyle w:val="24"/>
            <w:tabs>
              <w:tab w:val="right" w:leader="dot" w:pos="9350"/>
            </w:tabs>
            <w:rPr>
              <w:rFonts w:eastAsiaTheme="minorEastAsia"/>
            </w:rPr>
          </w:pPr>
          <w:r>
            <w:fldChar w:fldCharType="begin"/>
          </w:r>
          <w:r>
            <w:instrText xml:space="preserve"> HYPERLINK \l "_Toc214714424" </w:instrText>
          </w:r>
          <w:r>
            <w:fldChar w:fldCharType="separate"/>
          </w:r>
          <w:r>
            <w:rPr>
              <w:rStyle w:val="17"/>
            </w:rPr>
            <w:t>2.1 Integrating AI Disclosures in Business &amp; Stakeholder Theory</w:t>
          </w:r>
          <w:r>
            <w:tab/>
          </w:r>
          <w:r>
            <w:fldChar w:fldCharType="begin"/>
          </w:r>
          <w:r>
            <w:instrText xml:space="preserve"> PAGEREF _Toc214714424 \h </w:instrText>
          </w:r>
          <w:r>
            <w:fldChar w:fldCharType="separate"/>
          </w:r>
          <w:r>
            <w:t>4</w:t>
          </w:r>
          <w:r>
            <w:fldChar w:fldCharType="end"/>
          </w:r>
          <w:r>
            <w:fldChar w:fldCharType="end"/>
          </w:r>
        </w:p>
        <w:p w14:paraId="1FD8ED9B">
          <w:pPr>
            <w:pStyle w:val="24"/>
            <w:tabs>
              <w:tab w:val="right" w:leader="dot" w:pos="9350"/>
            </w:tabs>
            <w:rPr>
              <w:rFonts w:eastAsiaTheme="minorEastAsia"/>
            </w:rPr>
          </w:pPr>
          <w:r>
            <w:fldChar w:fldCharType="begin"/>
          </w:r>
          <w:r>
            <w:instrText xml:space="preserve"> HYPERLINK \l "_Toc214714425" </w:instrText>
          </w:r>
          <w:r>
            <w:fldChar w:fldCharType="separate"/>
          </w:r>
          <w:r>
            <w:rPr>
              <w:rStyle w:val="17"/>
              <w:lang w:val="en-AU"/>
            </w:rPr>
            <w:t>2.2 Empirical Insights on AI related Disclosures</w:t>
          </w:r>
          <w:r>
            <w:tab/>
          </w:r>
          <w:r>
            <w:fldChar w:fldCharType="begin"/>
          </w:r>
          <w:r>
            <w:instrText xml:space="preserve"> PAGEREF _Toc214714425 \h </w:instrText>
          </w:r>
          <w:r>
            <w:fldChar w:fldCharType="separate"/>
          </w:r>
          <w:r>
            <w:t>6</w:t>
          </w:r>
          <w:r>
            <w:fldChar w:fldCharType="end"/>
          </w:r>
          <w:r>
            <w:fldChar w:fldCharType="end"/>
          </w:r>
        </w:p>
        <w:p w14:paraId="1FD8ED9C">
          <w:pPr>
            <w:pStyle w:val="24"/>
            <w:tabs>
              <w:tab w:val="right" w:leader="dot" w:pos="9350"/>
            </w:tabs>
            <w:rPr>
              <w:rFonts w:eastAsiaTheme="minorEastAsia"/>
            </w:rPr>
          </w:pPr>
          <w:r>
            <w:fldChar w:fldCharType="begin"/>
          </w:r>
          <w:r>
            <w:instrText xml:space="preserve"> HYPERLINK \l "_Toc214714426" </w:instrText>
          </w:r>
          <w:r>
            <w:fldChar w:fldCharType="separate"/>
          </w:r>
          <w:r>
            <w:rPr>
              <w:rStyle w:val="17"/>
              <w:lang w:val="en-AU"/>
            </w:rPr>
            <w:t>2.3 AI disclosures trend in the South Asian Market</w:t>
          </w:r>
          <w:r>
            <w:tab/>
          </w:r>
          <w:r>
            <w:fldChar w:fldCharType="begin"/>
          </w:r>
          <w:r>
            <w:instrText xml:space="preserve"> PAGEREF _Toc214714426 \h </w:instrText>
          </w:r>
          <w:r>
            <w:fldChar w:fldCharType="separate"/>
          </w:r>
          <w:r>
            <w:t>6</w:t>
          </w:r>
          <w:r>
            <w:fldChar w:fldCharType="end"/>
          </w:r>
          <w:r>
            <w:fldChar w:fldCharType="end"/>
          </w:r>
        </w:p>
        <w:p w14:paraId="1FD8ED9D">
          <w:pPr>
            <w:pStyle w:val="24"/>
            <w:tabs>
              <w:tab w:val="right" w:leader="dot" w:pos="9350"/>
            </w:tabs>
            <w:rPr>
              <w:rFonts w:eastAsiaTheme="minorEastAsia"/>
            </w:rPr>
          </w:pPr>
          <w:r>
            <w:fldChar w:fldCharType="begin"/>
          </w:r>
          <w:r>
            <w:instrText xml:space="preserve"> HYPERLINK \l "_Toc214714427" </w:instrText>
          </w:r>
          <w:r>
            <w:fldChar w:fldCharType="separate"/>
          </w:r>
          <w:r>
            <w:rPr>
              <w:rStyle w:val="17"/>
            </w:rPr>
            <w:t>2.4 Keyword Narratives</w:t>
          </w:r>
          <w:r>
            <w:tab/>
          </w:r>
          <w:r>
            <w:fldChar w:fldCharType="begin"/>
          </w:r>
          <w:r>
            <w:instrText xml:space="preserve"> PAGEREF _Toc214714427 \h </w:instrText>
          </w:r>
          <w:r>
            <w:fldChar w:fldCharType="separate"/>
          </w:r>
          <w:r>
            <w:t>7</w:t>
          </w:r>
          <w:r>
            <w:fldChar w:fldCharType="end"/>
          </w:r>
          <w:r>
            <w:fldChar w:fldCharType="end"/>
          </w:r>
        </w:p>
        <w:p w14:paraId="1FD8ED9E">
          <w:pPr>
            <w:pStyle w:val="23"/>
            <w:tabs>
              <w:tab w:val="right" w:leader="dot" w:pos="9350"/>
            </w:tabs>
            <w:rPr>
              <w:rFonts w:eastAsiaTheme="minorEastAsia"/>
            </w:rPr>
          </w:pPr>
          <w:r>
            <w:fldChar w:fldCharType="begin"/>
          </w:r>
          <w:r>
            <w:instrText xml:space="preserve"> HYPERLINK \l "_Toc214714428" </w:instrText>
          </w:r>
          <w:r>
            <w:fldChar w:fldCharType="separate"/>
          </w:r>
          <w:r>
            <w:rPr>
              <w:rStyle w:val="17"/>
              <w:rFonts w:ascii="Arial" w:hAnsi="Arial" w:eastAsia="Arial" w:cs="Arial"/>
            </w:rPr>
            <w:t>CHAPTER III: RESEARCH METHODS</w:t>
          </w:r>
          <w:r>
            <w:tab/>
          </w:r>
          <w:r>
            <w:fldChar w:fldCharType="begin"/>
          </w:r>
          <w:r>
            <w:instrText xml:space="preserve"> PAGEREF _Toc214714428 \h </w:instrText>
          </w:r>
          <w:r>
            <w:fldChar w:fldCharType="separate"/>
          </w:r>
          <w:r>
            <w:t>11</w:t>
          </w:r>
          <w:r>
            <w:fldChar w:fldCharType="end"/>
          </w:r>
          <w:r>
            <w:fldChar w:fldCharType="end"/>
          </w:r>
        </w:p>
        <w:p w14:paraId="1FD8ED9F">
          <w:pPr>
            <w:pStyle w:val="24"/>
            <w:tabs>
              <w:tab w:val="right" w:leader="dot" w:pos="9350"/>
            </w:tabs>
            <w:rPr>
              <w:rFonts w:eastAsiaTheme="minorEastAsia"/>
            </w:rPr>
          </w:pPr>
          <w:r>
            <w:fldChar w:fldCharType="begin"/>
          </w:r>
          <w:r>
            <w:instrText xml:space="preserve"> HYPERLINK \l "_Toc214714429" </w:instrText>
          </w:r>
          <w:r>
            <w:fldChar w:fldCharType="separate"/>
          </w:r>
          <w:r>
            <w:rPr>
              <w:rStyle w:val="17"/>
              <w:lang w:val="en-AU"/>
            </w:rPr>
            <w:t>3.1 Research Design</w:t>
          </w:r>
          <w:r>
            <w:tab/>
          </w:r>
          <w:r>
            <w:fldChar w:fldCharType="begin"/>
          </w:r>
          <w:r>
            <w:instrText xml:space="preserve"> PAGEREF _Toc214714429 \h </w:instrText>
          </w:r>
          <w:r>
            <w:fldChar w:fldCharType="separate"/>
          </w:r>
          <w:r>
            <w:t>11</w:t>
          </w:r>
          <w:r>
            <w:fldChar w:fldCharType="end"/>
          </w:r>
          <w:r>
            <w:fldChar w:fldCharType="end"/>
          </w:r>
        </w:p>
        <w:p w14:paraId="1FD8EDA0">
          <w:pPr>
            <w:pStyle w:val="23"/>
            <w:tabs>
              <w:tab w:val="right" w:leader="dot" w:pos="9350"/>
            </w:tabs>
            <w:rPr>
              <w:rFonts w:eastAsiaTheme="minorEastAsia"/>
            </w:rPr>
          </w:pPr>
          <w:r>
            <w:fldChar w:fldCharType="begin"/>
          </w:r>
          <w:r>
            <w:instrText xml:space="preserve"> HYPERLINK \l "_Toc214714430" </w:instrText>
          </w:r>
          <w:r>
            <w:fldChar w:fldCharType="separate"/>
          </w:r>
          <w:r>
            <w:rPr>
              <w:rStyle w:val="17"/>
              <w:rFonts w:ascii="Arial" w:hAnsi="Arial" w:eastAsia="Arial" w:cs="Arial"/>
            </w:rPr>
            <w:t>CHAPTER IV: RESEARCH FINDINGS &amp; ANALYSIS</w:t>
          </w:r>
          <w:r>
            <w:tab/>
          </w:r>
          <w:r>
            <w:fldChar w:fldCharType="begin"/>
          </w:r>
          <w:r>
            <w:instrText xml:space="preserve"> PAGEREF _Toc214714430 \h </w:instrText>
          </w:r>
          <w:r>
            <w:fldChar w:fldCharType="separate"/>
          </w:r>
          <w:r>
            <w:t>17</w:t>
          </w:r>
          <w:r>
            <w:fldChar w:fldCharType="end"/>
          </w:r>
          <w:r>
            <w:fldChar w:fldCharType="end"/>
          </w:r>
        </w:p>
        <w:p w14:paraId="1FD8EDA1">
          <w:pPr>
            <w:pStyle w:val="23"/>
            <w:tabs>
              <w:tab w:val="right" w:leader="dot" w:pos="9350"/>
            </w:tabs>
            <w:rPr>
              <w:rFonts w:eastAsiaTheme="minorEastAsia"/>
            </w:rPr>
          </w:pPr>
          <w:r>
            <w:fldChar w:fldCharType="begin"/>
          </w:r>
          <w:r>
            <w:instrText xml:space="preserve"> HYPERLINK \l "_Toc214714431" </w:instrText>
          </w:r>
          <w:r>
            <w:fldChar w:fldCharType="separate"/>
          </w:r>
          <w:r>
            <w:rPr>
              <w:rStyle w:val="17"/>
              <w:rFonts w:ascii="Arial" w:hAnsi="Arial" w:eastAsia="Arial" w:cs="Arial"/>
            </w:rPr>
            <w:t>CHAPTER V: DISCUSSION</w:t>
          </w:r>
          <w:r>
            <w:tab/>
          </w:r>
          <w:r>
            <w:fldChar w:fldCharType="begin"/>
          </w:r>
          <w:r>
            <w:instrText xml:space="preserve"> PAGEREF _Toc214714431 \h </w:instrText>
          </w:r>
          <w:r>
            <w:fldChar w:fldCharType="separate"/>
          </w:r>
          <w:r>
            <w:t>47</w:t>
          </w:r>
          <w:r>
            <w:fldChar w:fldCharType="end"/>
          </w:r>
          <w:r>
            <w:fldChar w:fldCharType="end"/>
          </w:r>
        </w:p>
        <w:p w14:paraId="1FD8EDA2">
          <w:pPr>
            <w:pStyle w:val="24"/>
            <w:tabs>
              <w:tab w:val="right" w:leader="dot" w:pos="9350"/>
            </w:tabs>
            <w:rPr>
              <w:rFonts w:eastAsiaTheme="minorEastAsia"/>
            </w:rPr>
          </w:pPr>
          <w:r>
            <w:fldChar w:fldCharType="begin"/>
          </w:r>
          <w:r>
            <w:instrText xml:space="preserve"> HYPERLINK \l "_Toc214714432" </w:instrText>
          </w:r>
          <w:r>
            <w:fldChar w:fldCharType="separate"/>
          </w:r>
          <w:r>
            <w:rPr>
              <w:rStyle w:val="17"/>
            </w:rPr>
            <w:t>5.1 Conclusion</w:t>
          </w:r>
          <w:r>
            <w:tab/>
          </w:r>
          <w:r>
            <w:fldChar w:fldCharType="begin"/>
          </w:r>
          <w:r>
            <w:instrText xml:space="preserve"> PAGEREF _Toc214714432 \h </w:instrText>
          </w:r>
          <w:r>
            <w:fldChar w:fldCharType="separate"/>
          </w:r>
          <w:r>
            <w:t>47</w:t>
          </w:r>
          <w:r>
            <w:fldChar w:fldCharType="end"/>
          </w:r>
          <w:r>
            <w:fldChar w:fldCharType="end"/>
          </w:r>
        </w:p>
        <w:p w14:paraId="1FD8EDA3">
          <w:pPr>
            <w:pStyle w:val="24"/>
            <w:tabs>
              <w:tab w:val="right" w:leader="dot" w:pos="9350"/>
            </w:tabs>
            <w:rPr>
              <w:rFonts w:eastAsiaTheme="minorEastAsia"/>
            </w:rPr>
          </w:pPr>
          <w:r>
            <w:fldChar w:fldCharType="begin"/>
          </w:r>
          <w:r>
            <w:instrText xml:space="preserve"> HYPERLINK \l "_Toc214714433" </w:instrText>
          </w:r>
          <w:r>
            <w:fldChar w:fldCharType="separate"/>
          </w:r>
          <w:r>
            <w:rPr>
              <w:rStyle w:val="17"/>
            </w:rPr>
            <w:t>5.2 Limitation</w:t>
          </w:r>
          <w:r>
            <w:tab/>
          </w:r>
          <w:r>
            <w:fldChar w:fldCharType="begin"/>
          </w:r>
          <w:r>
            <w:instrText xml:space="preserve"> PAGEREF _Toc214714433 \h </w:instrText>
          </w:r>
          <w:r>
            <w:fldChar w:fldCharType="separate"/>
          </w:r>
          <w:r>
            <w:t>48</w:t>
          </w:r>
          <w:r>
            <w:fldChar w:fldCharType="end"/>
          </w:r>
          <w:r>
            <w:fldChar w:fldCharType="end"/>
          </w:r>
        </w:p>
        <w:p w14:paraId="1FD8EDA4">
          <w:pPr>
            <w:pStyle w:val="24"/>
            <w:tabs>
              <w:tab w:val="right" w:leader="dot" w:pos="9350"/>
            </w:tabs>
            <w:rPr>
              <w:rFonts w:eastAsiaTheme="minorEastAsia"/>
            </w:rPr>
          </w:pPr>
          <w:r>
            <w:fldChar w:fldCharType="begin"/>
          </w:r>
          <w:r>
            <w:instrText xml:space="preserve"> HYPERLINK \l "_Toc214714434" </w:instrText>
          </w:r>
          <w:r>
            <w:fldChar w:fldCharType="separate"/>
          </w:r>
          <w:r>
            <w:rPr>
              <w:rStyle w:val="17"/>
            </w:rPr>
            <w:t>5.3 Scope for Future Study</w:t>
          </w:r>
          <w:r>
            <w:tab/>
          </w:r>
          <w:r>
            <w:fldChar w:fldCharType="begin"/>
          </w:r>
          <w:r>
            <w:instrText xml:space="preserve"> PAGEREF _Toc214714434 \h </w:instrText>
          </w:r>
          <w:r>
            <w:fldChar w:fldCharType="separate"/>
          </w:r>
          <w:r>
            <w:t>48</w:t>
          </w:r>
          <w:r>
            <w:fldChar w:fldCharType="end"/>
          </w:r>
          <w:r>
            <w:fldChar w:fldCharType="end"/>
          </w:r>
        </w:p>
        <w:p w14:paraId="1FD8EDA5">
          <w:pPr>
            <w:pStyle w:val="23"/>
            <w:tabs>
              <w:tab w:val="right" w:leader="dot" w:pos="9350"/>
            </w:tabs>
            <w:rPr>
              <w:rFonts w:eastAsiaTheme="minorEastAsia"/>
            </w:rPr>
          </w:pPr>
          <w:r>
            <w:fldChar w:fldCharType="begin"/>
          </w:r>
          <w:r>
            <w:instrText xml:space="preserve"> HYPERLINK \l "_Toc214714435" </w:instrText>
          </w:r>
          <w:r>
            <w:fldChar w:fldCharType="separate"/>
          </w:r>
          <w:r>
            <w:rPr>
              <w:rStyle w:val="17"/>
              <w:rFonts w:ascii="Arial" w:hAnsi="Arial" w:cs="Arial"/>
            </w:rPr>
            <w:t>References</w:t>
          </w:r>
          <w:r>
            <w:tab/>
          </w:r>
          <w:r>
            <w:fldChar w:fldCharType="begin"/>
          </w:r>
          <w:r>
            <w:instrText xml:space="preserve"> PAGEREF _Toc214714435 \h </w:instrText>
          </w:r>
          <w:r>
            <w:fldChar w:fldCharType="separate"/>
          </w:r>
          <w:r>
            <w:t>49</w:t>
          </w:r>
          <w:r>
            <w:fldChar w:fldCharType="end"/>
          </w:r>
          <w:r>
            <w:fldChar w:fldCharType="end"/>
          </w:r>
        </w:p>
        <w:p w14:paraId="1FD8EDA6">
          <w:pPr>
            <w:pStyle w:val="23"/>
            <w:tabs>
              <w:tab w:val="right" w:leader="dot" w:pos="9350"/>
            </w:tabs>
            <w:rPr>
              <w:rFonts w:eastAsiaTheme="minorEastAsia"/>
            </w:rPr>
          </w:pPr>
          <w:r>
            <w:fldChar w:fldCharType="begin"/>
          </w:r>
          <w:r>
            <w:instrText xml:space="preserve"> HYPERLINK \l "_Toc214714436" </w:instrText>
          </w:r>
          <w:r>
            <w:fldChar w:fldCharType="separate"/>
          </w:r>
          <w:r>
            <w:rPr>
              <w:rStyle w:val="17"/>
              <w:rFonts w:ascii="Arial" w:hAnsi="Arial" w:eastAsia="Arial" w:cs="Arial"/>
            </w:rPr>
            <w:t>Appendix-A:</w:t>
          </w:r>
          <w:r>
            <w:tab/>
          </w:r>
          <w:r>
            <w:fldChar w:fldCharType="begin"/>
          </w:r>
          <w:r>
            <w:instrText xml:space="preserve"> PAGEREF _Toc214714436 \h </w:instrText>
          </w:r>
          <w:r>
            <w:fldChar w:fldCharType="separate"/>
          </w:r>
          <w:r>
            <w:t>56</w:t>
          </w:r>
          <w:r>
            <w:fldChar w:fldCharType="end"/>
          </w:r>
          <w:r>
            <w:fldChar w:fldCharType="end"/>
          </w:r>
        </w:p>
        <w:p w14:paraId="1FD8EDA7">
          <w:pPr>
            <w:spacing w:line="360" w:lineRule="auto"/>
          </w:pPr>
          <w:r>
            <w:rPr>
              <w:rFonts w:ascii="Arial" w:hAnsi="Arial" w:cs="Arial"/>
              <w:b/>
              <w:bCs/>
            </w:rPr>
            <w:fldChar w:fldCharType="end"/>
          </w:r>
        </w:p>
      </w:sdtContent>
    </w:sdt>
    <w:p w14:paraId="1FD8EDA8">
      <w:pPr>
        <w:rPr>
          <w:rFonts w:ascii="Arial" w:hAnsi="Arial" w:cs="Arial"/>
        </w:rPr>
      </w:pPr>
      <w:r>
        <w:rPr>
          <w:rFonts w:ascii="Arial" w:hAnsi="Arial" w:cs="Arial"/>
        </w:rPr>
        <w:br w:type="page"/>
      </w:r>
    </w:p>
    <w:p w14:paraId="1FD8EDA9">
      <w:pPr>
        <w:pStyle w:val="2"/>
        <w:jc w:val="center"/>
        <w:rPr>
          <w:rFonts w:ascii="Arial" w:hAnsi="Arial" w:cs="Arial"/>
          <w:sz w:val="32"/>
          <w:szCs w:val="32"/>
        </w:rPr>
      </w:pPr>
      <w:bookmarkStart w:id="13" w:name="_Toc214714415"/>
      <w:r>
        <w:rPr>
          <w:rFonts w:ascii="Arial" w:hAnsi="Arial" w:eastAsia="Arial" w:cs="Arial"/>
          <w:sz w:val="32"/>
          <w:szCs w:val="32"/>
        </w:rPr>
        <w:t>List of Figures</w:t>
      </w:r>
      <w:bookmarkEnd w:id="13"/>
    </w:p>
    <w:p w14:paraId="1FD8EDAA">
      <w:pPr>
        <w:spacing w:line="360" w:lineRule="auto"/>
        <w:jc w:val="both"/>
        <w:rPr>
          <w:rFonts w:ascii="Arial" w:hAnsi="Arial" w:cs="Arial"/>
        </w:rPr>
      </w:pPr>
    </w:p>
    <w:p w14:paraId="1FD8EDAB">
      <w:pPr>
        <w:spacing w:line="360" w:lineRule="auto"/>
        <w:jc w:val="both"/>
        <w:rPr>
          <w:rFonts w:ascii="Arial" w:hAnsi="Arial" w:cs="Arial"/>
          <w:b/>
          <w:bCs/>
        </w:rPr>
      </w:pPr>
      <w:r>
        <w:rPr>
          <w:rFonts w:ascii="Arial" w:hAnsi="Arial" w:cs="Arial"/>
          <w:b/>
          <w:bCs/>
        </w:rPr>
        <w:t>Figure 1: Research Process</w:t>
      </w:r>
    </w:p>
    <w:p w14:paraId="1FD8EDAC">
      <w:pPr>
        <w:spacing w:line="360" w:lineRule="auto"/>
        <w:jc w:val="both"/>
        <w:rPr>
          <w:rFonts w:ascii="Arial" w:hAnsi="Arial" w:cs="Arial"/>
          <w:b/>
          <w:bCs/>
        </w:rPr>
      </w:pPr>
      <w:r>
        <w:rPr>
          <w:rFonts w:ascii="Arial" w:hAnsi="Arial" w:cs="Arial"/>
          <w:b/>
          <w:bCs/>
        </w:rPr>
        <w:t>Figure 2: Comparative Overview of AI Disclosures in South Asian Exchanges</w:t>
      </w:r>
    </w:p>
    <w:p w14:paraId="1FD8EDAD">
      <w:pPr>
        <w:spacing w:line="360" w:lineRule="auto"/>
        <w:rPr>
          <w:rFonts w:ascii="Arial" w:hAnsi="Arial" w:cs="Arial"/>
          <w:b/>
          <w:bCs/>
        </w:rPr>
      </w:pPr>
      <w:r>
        <w:rPr>
          <w:rFonts w:ascii="Arial" w:hAnsi="Arial" w:cs="Arial"/>
          <w:b/>
          <w:bCs/>
        </w:rPr>
        <w:t>Figure 3: The Yearly Growth Trajectory of AI Disclosures Among Exchanges</w:t>
      </w:r>
    </w:p>
    <w:p w14:paraId="1FD8EDAE">
      <w:pPr>
        <w:spacing w:line="360" w:lineRule="auto"/>
        <w:rPr>
          <w:rFonts w:ascii="Arial" w:hAnsi="Arial" w:cs="Arial"/>
          <w:b/>
          <w:bCs/>
        </w:rPr>
      </w:pPr>
      <w:r>
        <w:rPr>
          <w:rFonts w:ascii="Arial" w:hAnsi="Arial" w:cs="Arial"/>
          <w:b/>
          <w:bCs/>
        </w:rPr>
        <w:t>Figure 4: Trend of Disclosure Frequency from 2020 to 2024</w:t>
      </w:r>
    </w:p>
    <w:p w14:paraId="1FD8EDAF">
      <w:pPr>
        <w:spacing w:line="360" w:lineRule="auto"/>
        <w:rPr>
          <w:rFonts w:ascii="Arial" w:hAnsi="Arial" w:cs="Arial"/>
          <w:b/>
          <w:bCs/>
        </w:rPr>
      </w:pPr>
      <w:r>
        <w:rPr>
          <w:rFonts w:ascii="Arial" w:hAnsi="Arial" w:cs="Arial"/>
          <w:b/>
          <w:bCs/>
        </w:rPr>
        <w:t>Figure 5: Comparative Growth of Major Keywords Over Time</w:t>
      </w:r>
    </w:p>
    <w:p w14:paraId="1FD8EDB0">
      <w:pPr>
        <w:spacing w:line="360" w:lineRule="auto"/>
        <w:rPr>
          <w:rFonts w:ascii="Arial" w:hAnsi="Arial" w:cs="Arial"/>
          <w:b/>
          <w:bCs/>
        </w:rPr>
      </w:pPr>
      <w:r>
        <w:rPr>
          <w:rFonts w:ascii="Arial" w:hAnsi="Arial" w:cs="Arial"/>
          <w:b/>
          <w:bCs/>
        </w:rPr>
        <w:t>Figure 6: Yearly Disclosure Patterns of the Top Five Technology Keywords (2020–2024)</w:t>
      </w:r>
    </w:p>
    <w:p w14:paraId="1FD8EDB1">
      <w:pPr>
        <w:spacing w:line="360" w:lineRule="auto"/>
        <w:rPr>
          <w:rFonts w:ascii="Arial" w:hAnsi="Arial" w:cs="Arial"/>
          <w:b/>
          <w:bCs/>
        </w:rPr>
      </w:pPr>
      <w:r>
        <w:rPr>
          <w:rFonts w:ascii="Arial" w:hAnsi="Arial" w:cs="Arial"/>
          <w:b/>
          <w:bCs/>
        </w:rPr>
        <w:t>Figure 7: Yearly Total vs 3 years moving Average</w:t>
      </w:r>
    </w:p>
    <w:p w14:paraId="1FD8EDB2">
      <w:pPr>
        <w:spacing w:line="360" w:lineRule="auto"/>
        <w:rPr>
          <w:rFonts w:ascii="Arial" w:hAnsi="Arial" w:cs="Arial"/>
          <w:b/>
          <w:bCs/>
        </w:rPr>
      </w:pPr>
      <w:r>
        <w:rPr>
          <w:rFonts w:ascii="Arial" w:hAnsi="Arial" w:cs="Arial"/>
          <w:b/>
          <w:bCs/>
        </w:rPr>
        <w:t>Figure 8: Comparative Disclosure Leading Reporting Companies among all the exchanges</w:t>
      </w:r>
    </w:p>
    <w:p w14:paraId="1FD8EDB3">
      <w:pPr>
        <w:spacing w:line="360" w:lineRule="auto"/>
        <w:rPr>
          <w:rFonts w:ascii="Arial" w:hAnsi="Arial" w:cs="Arial"/>
          <w:b/>
          <w:bCs/>
        </w:rPr>
      </w:pPr>
      <w:r>
        <w:rPr>
          <w:rFonts w:ascii="Arial" w:hAnsi="Arial" w:cs="Arial"/>
          <w:b/>
          <w:bCs/>
        </w:rPr>
        <w:t>Figure 9: Growth and integration of Artificial Intelligence across major sectors.</w:t>
      </w:r>
    </w:p>
    <w:p w14:paraId="1FD8EDB4">
      <w:pPr>
        <w:spacing w:line="360" w:lineRule="auto"/>
        <w:rPr>
          <w:rFonts w:ascii="Arial" w:hAnsi="Arial" w:cs="Arial"/>
          <w:b/>
          <w:bCs/>
        </w:rPr>
      </w:pPr>
      <w:r>
        <w:rPr>
          <w:rFonts w:ascii="Arial" w:hAnsi="Arial" w:cs="Arial"/>
          <w:b/>
          <w:bCs/>
        </w:rPr>
        <w:t>Figure 10s: Shift in Technology (AI integration) 2020 to 2024</w:t>
      </w:r>
    </w:p>
    <w:p w14:paraId="1FD8EDB5">
      <w:pPr>
        <w:spacing w:line="360" w:lineRule="auto"/>
        <w:rPr>
          <w:rFonts w:ascii="Arial" w:hAnsi="Arial" w:cs="Arial"/>
          <w:b/>
          <w:bCs/>
        </w:rPr>
      </w:pPr>
      <w:r>
        <w:rPr>
          <w:rFonts w:ascii="Arial" w:hAnsi="Arial" w:cs="Arial"/>
          <w:b/>
          <w:bCs/>
        </w:rPr>
        <w:t>Figure 11: Expansion of Machine Learning adoption in diverse applications.</w:t>
      </w:r>
    </w:p>
    <w:p w14:paraId="1FD8EDB6">
      <w:pPr>
        <w:spacing w:line="360" w:lineRule="auto"/>
        <w:rPr>
          <w:rFonts w:ascii="Arial" w:hAnsi="Arial" w:cs="Arial"/>
          <w:b/>
          <w:bCs/>
        </w:rPr>
      </w:pPr>
      <w:r>
        <w:rPr>
          <w:rFonts w:ascii="Arial" w:hAnsi="Arial" w:cs="Arial"/>
          <w:b/>
          <w:bCs/>
        </w:rPr>
        <w:t>Figure 12: Deep Learning Disclosure Frequency Across The Stock Exchanges</w:t>
      </w:r>
    </w:p>
    <w:p w14:paraId="1FD8EDB7">
      <w:pPr>
        <w:spacing w:line="360" w:lineRule="auto"/>
        <w:jc w:val="both"/>
        <w:rPr>
          <w:rFonts w:ascii="Arial" w:hAnsi="Arial" w:cs="Arial"/>
          <w:b/>
          <w:bCs/>
        </w:rPr>
      </w:pPr>
      <w:r>
        <w:rPr>
          <w:rFonts w:ascii="Arial" w:hAnsi="Arial" w:cs="Arial"/>
          <w:b/>
          <w:bCs/>
        </w:rPr>
        <w:t>Figure 13: RPA Adoption Levels Across the Markets</w:t>
      </w:r>
    </w:p>
    <w:p w14:paraId="1FD8EDB8">
      <w:pPr>
        <w:spacing w:line="360" w:lineRule="auto"/>
        <w:jc w:val="both"/>
        <w:rPr>
          <w:rFonts w:ascii="Arial" w:hAnsi="Arial" w:cs="Arial"/>
          <w:b/>
          <w:bCs/>
        </w:rPr>
      </w:pPr>
      <w:r>
        <w:rPr>
          <w:rFonts w:ascii="Arial" w:hAnsi="Arial" w:cs="Arial"/>
          <w:b/>
          <w:bCs/>
        </w:rPr>
        <w:t>Figure 14: NLP disclosures Across Exchanges</w:t>
      </w:r>
    </w:p>
    <w:p w14:paraId="1FD8EDB9">
      <w:pPr>
        <w:spacing w:line="360" w:lineRule="auto"/>
        <w:jc w:val="both"/>
        <w:rPr>
          <w:rFonts w:ascii="Arial" w:hAnsi="Arial" w:cs="Arial"/>
          <w:b/>
          <w:bCs/>
        </w:rPr>
      </w:pPr>
      <w:r>
        <w:rPr>
          <w:rFonts w:ascii="Arial" w:hAnsi="Arial" w:cs="Arial"/>
          <w:b/>
          <w:bCs/>
        </w:rPr>
        <w:t>Figure 15:</w:t>
      </w:r>
      <w:r>
        <w:rPr>
          <w:rFonts w:ascii="Arial" w:hAnsi="Arial" w:cs="Arial"/>
        </w:rPr>
        <w:t xml:space="preserve"> </w:t>
      </w:r>
      <w:r>
        <w:rPr>
          <w:rFonts w:ascii="Arial" w:hAnsi="Arial" w:cs="Arial"/>
          <w:b/>
          <w:bCs/>
        </w:rPr>
        <w:t>Variation in Automated System Disclosures</w:t>
      </w:r>
    </w:p>
    <w:p w14:paraId="1FD8EDBA">
      <w:pPr>
        <w:spacing w:line="360" w:lineRule="auto"/>
        <w:jc w:val="both"/>
        <w:rPr>
          <w:rFonts w:ascii="Arial" w:hAnsi="Arial" w:cs="Arial"/>
          <w:b/>
          <w:bCs/>
        </w:rPr>
      </w:pPr>
      <w:r>
        <w:rPr>
          <w:rFonts w:ascii="Arial" w:hAnsi="Arial" w:cs="Arial"/>
          <w:b/>
          <w:bCs/>
        </w:rPr>
        <w:t>Figure 16:</w:t>
      </w:r>
      <w:r>
        <w:rPr>
          <w:rFonts w:ascii="Arial" w:hAnsi="Arial" w:cs="Arial"/>
        </w:rPr>
        <w:t xml:space="preserve"> </w:t>
      </w:r>
      <w:r>
        <w:rPr>
          <w:rFonts w:ascii="Arial" w:hAnsi="Arial" w:cs="Arial"/>
          <w:b/>
          <w:bCs/>
        </w:rPr>
        <w:t>Comparative Frequency of Analytics</w:t>
      </w:r>
    </w:p>
    <w:p w14:paraId="1FD8EDBB">
      <w:pPr>
        <w:spacing w:line="360" w:lineRule="auto"/>
        <w:jc w:val="both"/>
        <w:rPr>
          <w:rFonts w:ascii="Arial" w:hAnsi="Arial" w:cs="Arial"/>
          <w:b/>
          <w:bCs/>
        </w:rPr>
      </w:pPr>
      <w:r>
        <w:rPr>
          <w:rFonts w:ascii="Arial" w:hAnsi="Arial" w:cs="Arial"/>
          <w:b/>
          <w:bCs/>
        </w:rPr>
        <w:t>Figure 17:</w:t>
      </w:r>
      <w:r>
        <w:rPr>
          <w:rFonts w:ascii="Arial" w:hAnsi="Arial" w:cs="Arial"/>
        </w:rPr>
        <w:t xml:space="preserve"> </w:t>
      </w:r>
      <w:r>
        <w:rPr>
          <w:rFonts w:ascii="Arial" w:hAnsi="Arial" w:cs="Arial"/>
          <w:b/>
          <w:bCs/>
        </w:rPr>
        <w:t>Big Data Adoption as a Marker of Digital Readiness Across Exchanges</w:t>
      </w:r>
    </w:p>
    <w:p w14:paraId="1FD8EDBC">
      <w:pPr>
        <w:spacing w:line="360" w:lineRule="auto"/>
        <w:jc w:val="both"/>
        <w:rPr>
          <w:rFonts w:ascii="Arial" w:hAnsi="Arial" w:cs="Arial"/>
          <w:b/>
          <w:bCs/>
        </w:rPr>
      </w:pPr>
      <w:r>
        <w:rPr>
          <w:rFonts w:ascii="Arial" w:hAnsi="Arial" w:cs="Arial"/>
          <w:b/>
          <w:bCs/>
        </w:rPr>
        <w:t>Figure 18: DSE – Most Frequently Disclosed AI Keywords</w:t>
      </w:r>
    </w:p>
    <w:p w14:paraId="1FD8EDBD">
      <w:pPr>
        <w:spacing w:line="360" w:lineRule="auto"/>
        <w:rPr>
          <w:rFonts w:ascii="Arial" w:hAnsi="Arial" w:cs="Arial"/>
          <w:b/>
          <w:bCs/>
        </w:rPr>
      </w:pPr>
      <w:r>
        <w:rPr>
          <w:rFonts w:ascii="Arial" w:hAnsi="Arial" w:cs="Arial"/>
          <w:b/>
          <w:bCs/>
        </w:rPr>
        <w:t>Figure 19:</w:t>
      </w:r>
      <w:r>
        <w:rPr>
          <w:rFonts w:ascii="Arial" w:hAnsi="Arial" w:cs="Arial"/>
        </w:rPr>
        <w:t xml:space="preserve"> </w:t>
      </w:r>
      <w:r>
        <w:rPr>
          <w:rFonts w:ascii="Arial" w:hAnsi="Arial" w:cs="Arial"/>
          <w:b/>
          <w:bCs/>
        </w:rPr>
        <w:t>DSE – Companies with Highest AI Disclosures</w:t>
      </w:r>
      <w:r>
        <w:rPr>
          <w:rFonts w:ascii="Arial" w:hAnsi="Arial" w:cs="Arial"/>
          <w:b/>
          <w:bCs/>
        </w:rPr>
        <w:br w:type="textWrapping"/>
      </w:r>
      <w:r>
        <w:rPr>
          <w:rFonts w:ascii="Arial" w:hAnsi="Arial" w:cs="Arial"/>
          <w:b/>
          <w:bCs/>
        </w:rPr>
        <w:t>Figure 20:</w:t>
      </w:r>
      <w:r>
        <w:rPr>
          <w:rFonts w:ascii="Arial" w:hAnsi="Arial" w:cs="Arial"/>
        </w:rPr>
        <w:t xml:space="preserve"> </w:t>
      </w:r>
      <w:r>
        <w:rPr>
          <w:rFonts w:ascii="Arial" w:hAnsi="Arial" w:cs="Arial"/>
          <w:b/>
          <w:bCs/>
        </w:rPr>
        <w:t>CSE – Most Frequently Disclosed AI Keywords</w:t>
      </w:r>
    </w:p>
    <w:p w14:paraId="1FD8EDBE">
      <w:pPr>
        <w:spacing w:line="360" w:lineRule="auto"/>
        <w:rPr>
          <w:rFonts w:ascii="Arial" w:hAnsi="Arial" w:cs="Arial"/>
          <w:b/>
          <w:bCs/>
        </w:rPr>
      </w:pPr>
      <w:r>
        <w:rPr>
          <w:rFonts w:ascii="Arial" w:hAnsi="Arial" w:cs="Arial"/>
          <w:b/>
          <w:bCs/>
        </w:rPr>
        <w:t>Figure 21:</w:t>
      </w:r>
      <w:r>
        <w:rPr>
          <w:rFonts w:ascii="Arial" w:hAnsi="Arial" w:cs="Arial"/>
        </w:rPr>
        <w:t xml:space="preserve"> </w:t>
      </w:r>
      <w:r>
        <w:rPr>
          <w:rFonts w:ascii="Arial" w:hAnsi="Arial" w:cs="Arial"/>
          <w:b/>
          <w:bCs/>
        </w:rPr>
        <w:t>CSE – Companies with Highest AI Disclosures</w:t>
      </w:r>
    </w:p>
    <w:p w14:paraId="1FD8EDBF">
      <w:pPr>
        <w:spacing w:line="360" w:lineRule="auto"/>
        <w:rPr>
          <w:rFonts w:ascii="Arial" w:hAnsi="Arial" w:cs="Arial"/>
          <w:b/>
          <w:bCs/>
        </w:rPr>
      </w:pPr>
      <w:r>
        <w:rPr>
          <w:rFonts w:ascii="Arial" w:hAnsi="Arial" w:cs="Arial"/>
          <w:b/>
          <w:bCs/>
        </w:rPr>
        <w:t>Figure 22:</w:t>
      </w:r>
      <w:r>
        <w:rPr>
          <w:rFonts w:ascii="Arial" w:hAnsi="Arial" w:cs="Arial"/>
        </w:rPr>
        <w:t xml:space="preserve"> </w:t>
      </w:r>
      <w:r>
        <w:rPr>
          <w:rFonts w:ascii="Arial" w:hAnsi="Arial" w:cs="Arial"/>
          <w:b/>
          <w:bCs/>
        </w:rPr>
        <w:t>NEPSE – Most Frequently Disclosed AI Keywords</w:t>
      </w:r>
    </w:p>
    <w:p w14:paraId="1FD8EDC0">
      <w:pPr>
        <w:spacing w:line="360" w:lineRule="auto"/>
        <w:rPr>
          <w:rFonts w:ascii="Arial" w:hAnsi="Arial" w:cs="Arial"/>
          <w:b/>
          <w:bCs/>
        </w:rPr>
      </w:pPr>
      <w:r>
        <w:rPr>
          <w:rFonts w:ascii="Arial" w:hAnsi="Arial" w:cs="Arial"/>
          <w:b/>
          <w:bCs/>
        </w:rPr>
        <w:t>Figure 23:</w:t>
      </w:r>
      <w:r>
        <w:rPr>
          <w:rFonts w:ascii="Arial" w:hAnsi="Arial" w:cs="Arial"/>
        </w:rPr>
        <w:t xml:space="preserve"> </w:t>
      </w:r>
      <w:r>
        <w:rPr>
          <w:rFonts w:ascii="Arial" w:hAnsi="Arial" w:cs="Arial"/>
          <w:b/>
          <w:bCs/>
        </w:rPr>
        <w:t>NEPSE – Companies with Highest AI Disclosures</w:t>
      </w:r>
    </w:p>
    <w:p w14:paraId="1FD8EDC1">
      <w:pPr>
        <w:spacing w:line="360" w:lineRule="auto"/>
        <w:rPr>
          <w:rFonts w:ascii="Arial" w:hAnsi="Arial" w:cs="Arial"/>
          <w:b/>
          <w:bCs/>
        </w:rPr>
      </w:pPr>
      <w:r>
        <w:rPr>
          <w:rFonts w:ascii="Arial" w:hAnsi="Arial" w:cs="Arial"/>
          <w:b/>
          <w:bCs/>
        </w:rPr>
        <w:t>Figure 24: MSE – Most Frequently Disclosed AI Keywords</w:t>
      </w:r>
    </w:p>
    <w:p w14:paraId="1FD8EDC2">
      <w:pPr>
        <w:spacing w:line="360" w:lineRule="auto"/>
        <w:rPr>
          <w:rFonts w:ascii="Arial" w:hAnsi="Arial" w:cs="Arial"/>
          <w:b/>
          <w:bCs/>
        </w:rPr>
      </w:pPr>
      <w:r>
        <w:rPr>
          <w:rFonts w:ascii="Arial" w:hAnsi="Arial" w:cs="Arial"/>
          <w:b/>
          <w:bCs/>
        </w:rPr>
        <w:t>Figure 25: MSE – Companies with Highest AI Disclosures</w:t>
      </w:r>
    </w:p>
    <w:p w14:paraId="1FD8EDC3">
      <w:pPr>
        <w:spacing w:line="360" w:lineRule="auto"/>
        <w:rPr>
          <w:rFonts w:ascii="Arial" w:hAnsi="Arial" w:cs="Arial"/>
          <w:b/>
          <w:bCs/>
        </w:rPr>
      </w:pPr>
      <w:r>
        <w:rPr>
          <w:rFonts w:ascii="Arial" w:hAnsi="Arial" w:cs="Arial"/>
          <w:b/>
          <w:bCs/>
        </w:rPr>
        <w:t>Figure 26:</w:t>
      </w:r>
      <w:r>
        <w:rPr>
          <w:rFonts w:ascii="Arial" w:hAnsi="Arial" w:cs="Arial"/>
        </w:rPr>
        <w:t xml:space="preserve"> </w:t>
      </w:r>
      <w:r>
        <w:rPr>
          <w:rFonts w:ascii="Arial" w:hAnsi="Arial" w:cs="Arial"/>
          <w:b/>
          <w:bCs/>
        </w:rPr>
        <w:t>PSX – Most Frequently Disclosed AI Keywords</w:t>
      </w:r>
    </w:p>
    <w:p w14:paraId="1FD8EDC4">
      <w:pPr>
        <w:spacing w:line="360" w:lineRule="auto"/>
        <w:rPr>
          <w:rFonts w:ascii="Arial" w:hAnsi="Arial" w:cs="Arial"/>
          <w:b/>
          <w:bCs/>
        </w:rPr>
      </w:pPr>
      <w:r>
        <w:rPr>
          <w:rFonts w:ascii="Arial" w:hAnsi="Arial" w:cs="Arial"/>
          <w:b/>
          <w:bCs/>
        </w:rPr>
        <w:t>Figure 27: PSX – Companies with Highest AI Disclosures</w:t>
      </w:r>
    </w:p>
    <w:p w14:paraId="1FD8EDC5">
      <w:pPr>
        <w:spacing w:line="360" w:lineRule="auto"/>
        <w:rPr>
          <w:rFonts w:ascii="Arial" w:hAnsi="Arial" w:cs="Arial"/>
          <w:b/>
          <w:bCs/>
        </w:rPr>
      </w:pPr>
      <w:r>
        <w:rPr>
          <w:rFonts w:ascii="Arial" w:hAnsi="Arial" w:cs="Arial"/>
          <w:b/>
          <w:bCs/>
        </w:rPr>
        <w:t>Figure 28:</w:t>
      </w:r>
      <w:r>
        <w:rPr>
          <w:rFonts w:ascii="Arial" w:hAnsi="Arial" w:cs="Arial"/>
        </w:rPr>
        <w:t xml:space="preserve"> </w:t>
      </w:r>
      <w:r>
        <w:rPr>
          <w:rFonts w:ascii="Arial" w:hAnsi="Arial" w:cs="Arial"/>
          <w:b/>
          <w:bCs/>
        </w:rPr>
        <w:t>NSE – Most Frequently Disclosed AI Keywords</w:t>
      </w:r>
    </w:p>
    <w:p w14:paraId="1FD8EDC6">
      <w:pPr>
        <w:spacing w:line="360" w:lineRule="auto"/>
        <w:rPr>
          <w:rFonts w:ascii="Arial" w:hAnsi="Arial" w:cs="Arial"/>
          <w:b/>
          <w:bCs/>
        </w:rPr>
      </w:pPr>
      <w:r>
        <w:rPr>
          <w:rFonts w:ascii="Arial" w:hAnsi="Arial" w:cs="Arial"/>
          <w:b/>
          <w:bCs/>
        </w:rPr>
        <w:t>Figure 29:</w:t>
      </w:r>
      <w:r>
        <w:rPr>
          <w:rFonts w:ascii="Arial" w:hAnsi="Arial" w:cs="Arial"/>
        </w:rPr>
        <w:t xml:space="preserve"> </w:t>
      </w:r>
      <w:r>
        <w:rPr>
          <w:rFonts w:ascii="Arial" w:hAnsi="Arial" w:cs="Arial"/>
          <w:b/>
          <w:bCs/>
        </w:rPr>
        <w:t>NSE – Companies with Highest AI Disclosures</w:t>
      </w:r>
    </w:p>
    <w:p w14:paraId="1FD8EDC7">
      <w:pPr>
        <w:spacing w:line="360" w:lineRule="auto"/>
        <w:rPr>
          <w:rFonts w:ascii="Arial" w:hAnsi="Arial" w:cs="Arial"/>
          <w:b/>
          <w:bCs/>
        </w:rPr>
      </w:pPr>
      <w:r>
        <w:rPr>
          <w:rFonts w:ascii="Arial" w:hAnsi="Arial" w:cs="Arial"/>
          <w:b/>
          <w:bCs/>
        </w:rPr>
        <w:t>Figure 30:</w:t>
      </w:r>
      <w:r>
        <w:rPr>
          <w:rFonts w:ascii="Arial" w:hAnsi="Arial" w:cs="Arial"/>
        </w:rPr>
        <w:t xml:space="preserve"> </w:t>
      </w:r>
      <w:r>
        <w:rPr>
          <w:rFonts w:ascii="Arial" w:hAnsi="Arial" w:cs="Arial"/>
          <w:b/>
          <w:bCs/>
        </w:rPr>
        <w:t>RSEB – Most Frequently Disclosed AI Keywords</w:t>
      </w:r>
    </w:p>
    <w:p w14:paraId="1FD8EDC8">
      <w:pPr>
        <w:spacing w:line="360" w:lineRule="auto"/>
        <w:rPr>
          <w:rFonts w:ascii="Arial" w:hAnsi="Arial" w:cs="Arial"/>
          <w:b/>
          <w:bCs/>
        </w:rPr>
      </w:pPr>
      <w:r>
        <w:rPr>
          <w:rFonts w:ascii="Arial" w:hAnsi="Arial" w:cs="Arial"/>
          <w:b/>
          <w:bCs/>
        </w:rPr>
        <w:t>Figure 31:</w:t>
      </w:r>
      <w:r>
        <w:t xml:space="preserve"> </w:t>
      </w:r>
      <w:r>
        <w:rPr>
          <w:rFonts w:ascii="Arial" w:hAnsi="Arial" w:cs="Arial"/>
          <w:b/>
          <w:bCs/>
        </w:rPr>
        <w:t>RESB – Companies with Highest AI Disclosures</w:t>
      </w:r>
    </w:p>
    <w:p w14:paraId="1FD8EDC9">
      <w:pPr>
        <w:spacing w:line="360" w:lineRule="auto"/>
        <w:rPr>
          <w:rFonts w:ascii="Arial" w:hAnsi="Arial" w:cs="Arial"/>
          <w:b/>
          <w:bCs/>
        </w:rPr>
      </w:pPr>
    </w:p>
    <w:p w14:paraId="1FD8EDCA">
      <w:pPr>
        <w:spacing w:line="360" w:lineRule="auto"/>
        <w:rPr>
          <w:rFonts w:ascii="Arial" w:hAnsi="Arial" w:cs="Arial"/>
          <w:b/>
          <w:bCs/>
        </w:rPr>
      </w:pPr>
    </w:p>
    <w:p w14:paraId="1FD8EDCB">
      <w:pPr>
        <w:spacing w:line="360" w:lineRule="auto"/>
        <w:jc w:val="both"/>
        <w:rPr>
          <w:rFonts w:ascii="Arial" w:hAnsi="Arial" w:cs="Arial"/>
        </w:rPr>
      </w:pPr>
    </w:p>
    <w:p w14:paraId="1FD8EDCC">
      <w:pPr>
        <w:rPr>
          <w:rFonts w:ascii="Arial" w:hAnsi="Arial" w:eastAsia="Arial" w:cs="Arial"/>
          <w:color w:val="2F5597" w:themeColor="accent1" w:themeShade="BF"/>
          <w:sz w:val="32"/>
          <w:szCs w:val="32"/>
        </w:rPr>
      </w:pPr>
      <w:r>
        <w:rPr>
          <w:rFonts w:ascii="Arial" w:hAnsi="Arial" w:eastAsia="Arial" w:cs="Arial"/>
          <w:sz w:val="32"/>
          <w:szCs w:val="32"/>
        </w:rPr>
        <w:br w:type="page"/>
      </w:r>
    </w:p>
    <w:p w14:paraId="1FD8EDCD">
      <w:pPr>
        <w:pStyle w:val="2"/>
        <w:jc w:val="center"/>
        <w:rPr>
          <w:rFonts w:ascii="Arial" w:hAnsi="Arial" w:cs="Arial"/>
          <w:sz w:val="32"/>
          <w:szCs w:val="32"/>
        </w:rPr>
      </w:pPr>
      <w:bookmarkStart w:id="14" w:name="_Toc214714416"/>
      <w:r>
        <w:rPr>
          <w:rFonts w:ascii="Arial" w:hAnsi="Arial" w:eastAsia="Arial" w:cs="Arial"/>
          <w:sz w:val="32"/>
          <w:szCs w:val="32"/>
        </w:rPr>
        <w:t>List of Tables</w:t>
      </w:r>
      <w:bookmarkEnd w:id="14"/>
    </w:p>
    <w:p w14:paraId="1FD8EDCE">
      <w:pPr>
        <w:rPr>
          <w:rFonts w:ascii="Arial" w:hAnsi="Arial" w:cs="Arial"/>
          <w:b/>
          <w:bCs/>
        </w:rPr>
      </w:pPr>
    </w:p>
    <w:p w14:paraId="1FD8EDCF">
      <w:pPr>
        <w:rPr>
          <w:rFonts w:ascii="Arial" w:hAnsi="Arial" w:cs="Arial"/>
          <w:b/>
          <w:bCs/>
        </w:rPr>
      </w:pPr>
      <w:r>
        <w:rPr>
          <w:rFonts w:ascii="Arial" w:hAnsi="Arial" w:cs="Arial"/>
          <w:b/>
          <w:bCs/>
        </w:rPr>
        <w:t>Table 1: Key Findings</w:t>
      </w:r>
    </w:p>
    <w:p w14:paraId="1FD8EDD0">
      <w:pPr>
        <w:spacing w:line="360" w:lineRule="auto"/>
        <w:jc w:val="both"/>
        <w:rPr>
          <w:rFonts w:ascii="Arial" w:hAnsi="Arial" w:cs="Arial"/>
          <w:b/>
          <w:bCs/>
        </w:rPr>
      </w:pPr>
      <w:r>
        <w:rPr>
          <w:rFonts w:ascii="Arial" w:hAnsi="Arial" w:cs="Arial"/>
          <w:b/>
          <w:bCs/>
        </w:rPr>
        <w:t>Table 2: Key words and Comments</w:t>
      </w:r>
    </w:p>
    <w:p w14:paraId="1FD8EDD1">
      <w:pPr>
        <w:rPr>
          <w:rFonts w:ascii="Arial" w:hAnsi="Arial" w:eastAsia="Arial" w:cs="Arial"/>
        </w:rPr>
      </w:pPr>
      <w:r>
        <w:rPr>
          <w:rFonts w:ascii="Arial" w:hAnsi="Arial" w:eastAsia="Arial" w:cs="Arial"/>
        </w:rPr>
        <w:br w:type="page"/>
      </w:r>
    </w:p>
    <w:p w14:paraId="1FD8EDD2">
      <w:pPr>
        <w:pStyle w:val="2"/>
        <w:jc w:val="center"/>
        <w:rPr>
          <w:rFonts w:ascii="Arial" w:hAnsi="Arial" w:cs="Arial"/>
          <w:sz w:val="32"/>
          <w:szCs w:val="32"/>
        </w:rPr>
      </w:pPr>
      <w:bookmarkStart w:id="15" w:name="_Toc214714417"/>
      <w:r>
        <w:rPr>
          <w:rFonts w:ascii="Arial" w:hAnsi="Arial" w:eastAsia="Arial" w:cs="Arial"/>
          <w:sz w:val="32"/>
          <w:szCs w:val="32"/>
        </w:rPr>
        <w:t>List of Acronyms &amp; Abbreviations</w:t>
      </w:r>
      <w:bookmarkEnd w:id="15"/>
    </w:p>
    <w:p w14:paraId="1FD8EDD3">
      <w:pPr>
        <w:spacing w:line="360" w:lineRule="auto"/>
        <w:jc w:val="both"/>
        <w:rPr>
          <w:rFonts w:ascii="Arial" w:hAnsi="Arial" w:cs="Arial"/>
        </w:rPr>
      </w:pPr>
    </w:p>
    <w:p w14:paraId="1FD8EDD4">
      <w:pPr>
        <w:rPr>
          <w:rFonts w:ascii="Arial" w:hAnsi="Arial" w:eastAsia="Arial" w:cs="Arial"/>
        </w:rPr>
      </w:pPr>
      <w:r>
        <w:rPr>
          <w:rFonts w:ascii="Arial" w:hAnsi="Arial" w:eastAsia="Arial" w:cs="Arial"/>
          <w:b/>
          <w:bCs/>
        </w:rPr>
        <w:t>NSE</w:t>
      </w:r>
      <w:r>
        <w:rPr>
          <w:rFonts w:ascii="Arial" w:hAnsi="Arial" w:eastAsia="Arial" w:cs="Arial"/>
        </w:rPr>
        <w:t xml:space="preserve"> – National Stock Exchange of India</w:t>
      </w:r>
    </w:p>
    <w:p w14:paraId="1FD8EDD5">
      <w:pPr>
        <w:rPr>
          <w:rFonts w:ascii="Arial" w:hAnsi="Arial" w:eastAsia="Arial" w:cs="Arial"/>
        </w:rPr>
      </w:pPr>
      <w:r>
        <w:rPr>
          <w:rFonts w:ascii="Arial" w:hAnsi="Arial" w:eastAsia="Arial" w:cs="Arial"/>
          <w:b/>
          <w:bCs/>
        </w:rPr>
        <w:t>PSX</w:t>
      </w:r>
      <w:r>
        <w:rPr>
          <w:rFonts w:ascii="Arial" w:hAnsi="Arial" w:eastAsia="Arial" w:cs="Arial"/>
        </w:rPr>
        <w:t xml:space="preserve"> – Pakistan Stock Exchange</w:t>
      </w:r>
    </w:p>
    <w:p w14:paraId="1FD8EDD6">
      <w:pPr>
        <w:rPr>
          <w:rFonts w:ascii="Arial" w:hAnsi="Arial" w:eastAsia="Arial" w:cs="Arial"/>
        </w:rPr>
      </w:pPr>
      <w:r>
        <w:rPr>
          <w:rFonts w:ascii="Arial" w:hAnsi="Arial" w:eastAsia="Arial" w:cs="Arial"/>
          <w:b/>
          <w:bCs/>
        </w:rPr>
        <w:t>DSE</w:t>
      </w:r>
      <w:r>
        <w:rPr>
          <w:rFonts w:ascii="Arial" w:hAnsi="Arial" w:eastAsia="Arial" w:cs="Arial"/>
        </w:rPr>
        <w:t xml:space="preserve"> – Dhaka Stock Exchange</w:t>
      </w:r>
    </w:p>
    <w:p w14:paraId="1FD8EDD7">
      <w:pPr>
        <w:rPr>
          <w:rFonts w:ascii="Arial" w:hAnsi="Arial" w:eastAsia="Arial" w:cs="Arial"/>
        </w:rPr>
      </w:pPr>
      <w:r>
        <w:rPr>
          <w:rFonts w:ascii="Arial" w:hAnsi="Arial" w:eastAsia="Arial" w:cs="Arial"/>
          <w:b/>
          <w:bCs/>
        </w:rPr>
        <w:t>CSE</w:t>
      </w:r>
      <w:r>
        <w:rPr>
          <w:rFonts w:ascii="Arial" w:hAnsi="Arial" w:eastAsia="Arial" w:cs="Arial"/>
        </w:rPr>
        <w:t xml:space="preserve"> – Colombo Stock Exchange</w:t>
      </w:r>
    </w:p>
    <w:p w14:paraId="1FD8EDD8">
      <w:pPr>
        <w:rPr>
          <w:rFonts w:ascii="Arial" w:hAnsi="Arial" w:eastAsia="Arial" w:cs="Arial"/>
        </w:rPr>
      </w:pPr>
      <w:r>
        <w:rPr>
          <w:rFonts w:ascii="Arial" w:hAnsi="Arial" w:eastAsia="Arial" w:cs="Arial"/>
          <w:b/>
          <w:bCs/>
        </w:rPr>
        <w:t>NEPSE</w:t>
      </w:r>
      <w:r>
        <w:rPr>
          <w:rFonts w:ascii="Arial" w:hAnsi="Arial" w:eastAsia="Arial" w:cs="Arial"/>
        </w:rPr>
        <w:t xml:space="preserve"> – Nepal Stock Exchange</w:t>
      </w:r>
    </w:p>
    <w:p w14:paraId="1FD8EDD9">
      <w:pPr>
        <w:rPr>
          <w:rFonts w:ascii="Arial" w:hAnsi="Arial" w:eastAsia="Arial" w:cs="Arial"/>
        </w:rPr>
      </w:pPr>
      <w:r>
        <w:rPr>
          <w:rFonts w:ascii="Arial" w:hAnsi="Arial" w:eastAsia="Arial" w:cs="Arial"/>
          <w:b/>
          <w:bCs/>
        </w:rPr>
        <w:t>RSEB</w:t>
      </w:r>
      <w:r>
        <w:rPr>
          <w:rFonts w:ascii="Arial" w:hAnsi="Arial" w:eastAsia="Arial" w:cs="Arial"/>
        </w:rPr>
        <w:t xml:space="preserve"> – Royal Securities Exchange of Bhutan</w:t>
      </w:r>
    </w:p>
    <w:p w14:paraId="1FD8EDDA">
      <w:pPr>
        <w:rPr>
          <w:rFonts w:ascii="Arial" w:hAnsi="Arial" w:eastAsia="Arial" w:cs="Arial"/>
        </w:rPr>
      </w:pPr>
      <w:r>
        <w:rPr>
          <w:rFonts w:ascii="Arial" w:hAnsi="Arial" w:eastAsia="Arial" w:cs="Arial"/>
          <w:b/>
          <w:bCs/>
        </w:rPr>
        <w:t>MSE</w:t>
      </w:r>
      <w:r>
        <w:rPr>
          <w:rFonts w:ascii="Arial" w:hAnsi="Arial" w:eastAsia="Arial" w:cs="Arial"/>
        </w:rPr>
        <w:t xml:space="preserve"> – Maldives Stock Exchange</w:t>
      </w:r>
    </w:p>
    <w:p w14:paraId="1FD8EDDB">
      <w:pPr>
        <w:rPr>
          <w:rFonts w:ascii="Arial" w:hAnsi="Arial" w:eastAsia="Arial" w:cs="Arial"/>
        </w:rPr>
      </w:pPr>
      <w:r>
        <w:rPr>
          <w:rFonts w:ascii="Arial" w:hAnsi="Arial" w:eastAsia="Arial" w:cs="Arial"/>
          <w:b/>
          <w:bCs/>
        </w:rPr>
        <w:t>ASE</w:t>
      </w:r>
      <w:r>
        <w:rPr>
          <w:rFonts w:ascii="Arial" w:hAnsi="Arial" w:eastAsia="Arial" w:cs="Arial"/>
        </w:rPr>
        <w:t xml:space="preserve"> – Afghanistan Stock Exchange</w:t>
      </w:r>
    </w:p>
    <w:p w14:paraId="1FD8EDDC">
      <w:pPr>
        <w:rPr>
          <w:rFonts w:ascii="Arial" w:hAnsi="Arial" w:eastAsia="Arial" w:cs="Arial"/>
        </w:rPr>
      </w:pPr>
      <w:r>
        <w:rPr>
          <w:rFonts w:ascii="Arial" w:hAnsi="Arial" w:eastAsia="Arial" w:cs="Arial"/>
          <w:b/>
          <w:bCs/>
        </w:rPr>
        <w:t>AI</w:t>
      </w:r>
      <w:r>
        <w:rPr>
          <w:rFonts w:ascii="Arial" w:hAnsi="Arial" w:eastAsia="Arial" w:cs="Arial"/>
        </w:rPr>
        <w:t xml:space="preserve"> – Artificial Intelligence</w:t>
      </w:r>
    </w:p>
    <w:p w14:paraId="1FD8EDDD">
      <w:pPr>
        <w:rPr>
          <w:rFonts w:ascii="Arial" w:hAnsi="Arial" w:eastAsia="Arial" w:cs="Arial"/>
        </w:rPr>
      </w:pPr>
      <w:r>
        <w:rPr>
          <w:rFonts w:ascii="Arial" w:hAnsi="Arial" w:eastAsia="Arial" w:cs="Arial"/>
          <w:b/>
          <w:bCs/>
        </w:rPr>
        <w:t>ML</w:t>
      </w:r>
      <w:r>
        <w:rPr>
          <w:rFonts w:ascii="Arial" w:hAnsi="Arial" w:eastAsia="Arial" w:cs="Arial"/>
        </w:rPr>
        <w:t xml:space="preserve"> – Machine Learning</w:t>
      </w:r>
    </w:p>
    <w:p w14:paraId="1FD8EDDE">
      <w:pPr>
        <w:rPr>
          <w:rFonts w:ascii="Arial" w:hAnsi="Arial" w:eastAsia="Arial" w:cs="Arial"/>
        </w:rPr>
      </w:pPr>
      <w:r>
        <w:rPr>
          <w:rFonts w:ascii="Arial" w:hAnsi="Arial" w:eastAsia="Arial" w:cs="Arial"/>
          <w:b/>
          <w:bCs/>
        </w:rPr>
        <w:t>DL</w:t>
      </w:r>
      <w:r>
        <w:rPr>
          <w:rFonts w:ascii="Arial" w:hAnsi="Arial" w:eastAsia="Arial" w:cs="Arial"/>
        </w:rPr>
        <w:t xml:space="preserve"> – Deep Learning</w:t>
      </w:r>
    </w:p>
    <w:p w14:paraId="1FD8EDDF">
      <w:pPr>
        <w:rPr>
          <w:rFonts w:ascii="Arial" w:hAnsi="Arial" w:eastAsia="Arial" w:cs="Arial"/>
        </w:rPr>
      </w:pPr>
      <w:r>
        <w:rPr>
          <w:rFonts w:ascii="Arial" w:hAnsi="Arial" w:eastAsia="Arial" w:cs="Arial"/>
          <w:b/>
          <w:bCs/>
        </w:rPr>
        <w:t>RPA</w:t>
      </w:r>
      <w:r>
        <w:rPr>
          <w:rFonts w:ascii="Arial" w:hAnsi="Arial" w:eastAsia="Arial" w:cs="Arial"/>
        </w:rPr>
        <w:t xml:space="preserve"> – Robotic Process Automation</w:t>
      </w:r>
    </w:p>
    <w:p w14:paraId="1FD8EDE0">
      <w:pPr>
        <w:rPr>
          <w:rFonts w:ascii="Arial" w:hAnsi="Arial" w:eastAsia="Arial" w:cs="Arial"/>
        </w:rPr>
      </w:pPr>
      <w:r>
        <w:rPr>
          <w:rFonts w:ascii="Arial" w:hAnsi="Arial" w:eastAsia="Arial" w:cs="Arial"/>
          <w:b/>
          <w:bCs/>
        </w:rPr>
        <w:t>NLP</w:t>
      </w:r>
      <w:r>
        <w:rPr>
          <w:rFonts w:ascii="Arial" w:hAnsi="Arial" w:eastAsia="Arial" w:cs="Arial"/>
        </w:rPr>
        <w:t xml:space="preserve"> – Natural Language Processing</w:t>
      </w:r>
    </w:p>
    <w:p w14:paraId="1FD8EDE1">
      <w:pPr>
        <w:rPr>
          <w:rFonts w:ascii="Arial" w:hAnsi="Arial" w:eastAsia="Arial" w:cs="Arial"/>
        </w:rPr>
      </w:pPr>
      <w:r>
        <w:rPr>
          <w:rFonts w:ascii="Arial" w:hAnsi="Arial" w:eastAsia="Arial" w:cs="Arial"/>
          <w:b/>
          <w:bCs/>
        </w:rPr>
        <w:t>NN</w:t>
      </w:r>
      <w:r>
        <w:rPr>
          <w:rFonts w:ascii="Arial" w:hAnsi="Arial" w:eastAsia="Arial" w:cs="Arial"/>
        </w:rPr>
        <w:t xml:space="preserve"> – Neural Networks</w:t>
      </w:r>
    </w:p>
    <w:p w14:paraId="1FD8EDE2">
      <w:pPr>
        <w:rPr>
          <w:rFonts w:ascii="Arial" w:hAnsi="Arial" w:eastAsia="Arial" w:cs="Arial"/>
        </w:rPr>
      </w:pPr>
      <w:r>
        <w:rPr>
          <w:rFonts w:ascii="Arial" w:hAnsi="Arial" w:eastAsia="Arial" w:cs="Arial"/>
          <w:b/>
          <w:bCs/>
        </w:rPr>
        <w:t>ES</w:t>
      </w:r>
      <w:r>
        <w:rPr>
          <w:rFonts w:ascii="Arial" w:hAnsi="Arial" w:eastAsia="Arial" w:cs="Arial"/>
        </w:rPr>
        <w:t xml:space="preserve"> – Expert Systems</w:t>
      </w:r>
    </w:p>
    <w:p w14:paraId="1FD8EDE3">
      <w:pPr>
        <w:rPr>
          <w:rFonts w:ascii="Arial" w:hAnsi="Arial" w:eastAsia="Arial" w:cs="Arial"/>
        </w:rPr>
      </w:pPr>
      <w:r>
        <w:rPr>
          <w:rFonts w:ascii="Arial" w:hAnsi="Arial" w:eastAsia="Arial" w:cs="Arial"/>
          <w:b/>
          <w:bCs/>
        </w:rPr>
        <w:t xml:space="preserve">BD </w:t>
      </w:r>
      <w:r>
        <w:rPr>
          <w:rFonts w:ascii="Arial" w:hAnsi="Arial" w:eastAsia="Arial" w:cs="Arial"/>
        </w:rPr>
        <w:t>– Big Data</w:t>
      </w:r>
      <w:r>
        <w:rPr>
          <w:rFonts w:ascii="Arial" w:hAnsi="Arial" w:eastAsia="Arial" w:cs="Arial"/>
        </w:rPr>
        <w:br w:type="page"/>
      </w:r>
    </w:p>
    <w:p w14:paraId="1FD8EDE4">
      <w:pPr>
        <w:spacing w:line="360" w:lineRule="auto"/>
        <w:jc w:val="both"/>
        <w:rPr>
          <w:rFonts w:ascii="Arial" w:hAnsi="Arial" w:eastAsia="Arial" w:cs="Arial"/>
        </w:rPr>
        <w:sectPr>
          <w:type w:val="continuous"/>
          <w:pgSz w:w="12240" w:h="15840"/>
          <w:pgMar w:top="1440" w:right="1440" w:bottom="1440" w:left="1440" w:header="720" w:footer="720" w:gutter="0"/>
          <w:pgNumType w:fmt="lowerRoman" w:start="1"/>
          <w:cols w:space="720" w:num="1"/>
          <w:docGrid w:linePitch="360" w:charSpace="0"/>
        </w:sectPr>
      </w:pPr>
    </w:p>
    <w:p w14:paraId="1FD8EDE5">
      <w:pPr>
        <w:pStyle w:val="2"/>
        <w:jc w:val="center"/>
        <w:rPr>
          <w:rFonts w:ascii="Arial" w:hAnsi="Arial" w:eastAsia="Arial" w:cs="Arial"/>
          <w:sz w:val="32"/>
          <w:szCs w:val="32"/>
        </w:rPr>
      </w:pPr>
      <w:bookmarkStart w:id="16" w:name="_Toc214714418"/>
      <w:r>
        <w:rPr>
          <w:rFonts w:ascii="Arial" w:hAnsi="Arial" w:eastAsia="Arial" w:cs="Arial"/>
          <w:sz w:val="32"/>
          <w:szCs w:val="32"/>
        </w:rPr>
        <w:t>CHAPTER I: INTRODUCTION</w:t>
      </w:r>
      <w:bookmarkEnd w:id="16"/>
    </w:p>
    <w:p w14:paraId="1FD8EDE6"/>
    <w:p w14:paraId="1FD8EDE7">
      <w:pPr>
        <w:pStyle w:val="3"/>
      </w:pPr>
      <w:bookmarkStart w:id="17" w:name="_Toc214714419"/>
      <w:bookmarkStart w:id="18" w:name="_Hlk214493185"/>
      <w:r>
        <w:t>1.1 Background of the Study</w:t>
      </w:r>
      <w:bookmarkEnd w:id="17"/>
    </w:p>
    <w:bookmarkEnd w:id="18"/>
    <w:p w14:paraId="1FD8EDE9">
      <w:pPr>
        <w:spacing w:line="360" w:lineRule="auto"/>
        <w:jc w:val="both"/>
        <w:rPr>
          <w:rFonts w:ascii="Arial" w:hAnsi="Arial" w:cs="Arial"/>
          <w:lang w:val="en-AU"/>
        </w:rPr>
      </w:pPr>
      <w:r>
        <w:rPr>
          <w:rFonts w:ascii="Arial" w:hAnsi="Arial" w:cs="Arial"/>
          <w:lang w:val="en-AU"/>
        </w:rPr>
        <w:t xml:space="preserve">Capital markets serve as a key mechanism for saving </w:t>
      </w:r>
      <w:r>
        <w:rPr>
          <w:rFonts w:ascii="Arial" w:hAnsi="Arial" w:cs="Arial"/>
          <w:lang w:val="en-US"/>
        </w:rPr>
        <w:t>mobilization</w:t>
      </w:r>
      <w:r>
        <w:rPr>
          <w:rFonts w:ascii="Arial" w:hAnsi="Arial" w:cs="Arial"/>
          <w:lang w:val="en-AU"/>
        </w:rPr>
        <w:t>, investment facilitation and economic growth (Enholm et al., 2021) Stock markets specifically have the crucial role of company financing as well as investors and national economic status. In South Asia, some of the stock exchanges such as National Stock Exchange India (NSE), Pakistan Stock Exchange (PSX), Dhaka Stock Exchange (DSE), Colombo Stock Exchange (CSE) Nepal Stock Exchange and Maldives stock exchange are in different stages of development from compared their nearest competitors, concerning that are used in SEOs (</w:t>
      </w:r>
      <w:r>
        <w:rPr>
          <w:rFonts w:ascii="Arial" w:hAnsi="Arial" w:cs="Arial"/>
        </w:rPr>
        <w:t>García-Castro, R., &amp; Munoz, J. M., 2025)</w:t>
      </w:r>
      <w:r>
        <w:rPr>
          <w:rFonts w:ascii="Arial" w:hAnsi="Arial" w:cs="Arial"/>
          <w:lang w:val="en-AU"/>
        </w:rPr>
        <w:t xml:space="preserve">. A suit of an Afghanistan Stock Exchange (ASE) hung in boardroom wall since 2011 but never realised. Afghan banking system is centralized and there is only one bank – the Central Bank of Afghanistan (Da Afghanistan Bank) but still no functioning securities exchange market in the country so far (Cao et al., 2023). Therefore, the present study does not have any representation from Afghanistan. The sample of the study constitutes top ten gainers of seven functional South Asian stock markets as on June 30, 2025. A total of 24 annual reports in the years from 2020 to 2024 were reviewed carefully. </w:t>
      </w:r>
      <w:r>
        <w:rPr>
          <w:rFonts w:ascii="Arial" w:hAnsi="Arial" w:cs="Arial"/>
        </w:rPr>
        <w:t>Additionally, the study investigated whether there is a growing trend in the disclosure of these technologies by tracking the keyword frequency of Artificial Intelligence, Machine Learning, Deep Learning, Robotic Process Automation, Natural Language Processing, Neural Networks, Expert Systems, Automation, Analytics, and Big Data across the selected annual reports (Zhao et al., 2025).</w:t>
      </w:r>
    </w:p>
    <w:p w14:paraId="1FD8EDEA">
      <w:pPr>
        <w:pStyle w:val="3"/>
        <w:numPr>
          <w:ilvl w:val="1"/>
          <w:numId w:val="1"/>
        </w:numPr>
      </w:pPr>
      <w:bookmarkStart w:id="19" w:name="_Toc214714420"/>
      <w:r>
        <w:t>Research Gap</w:t>
      </w:r>
      <w:bookmarkEnd w:id="19"/>
    </w:p>
    <w:p w14:paraId="1FD8EDEB">
      <w:pPr>
        <w:spacing w:line="360" w:lineRule="auto"/>
        <w:jc w:val="both"/>
        <w:rPr>
          <w:rFonts w:ascii="Arial" w:hAnsi="Arial" w:cs="Arial"/>
          <w:lang w:val="en-AU"/>
        </w:rPr>
      </w:pPr>
      <w:r>
        <w:rPr>
          <w:rFonts w:ascii="Arial" w:hAnsi="Arial" w:cs="Arial"/>
          <w:lang w:val="en-AU"/>
        </w:rPr>
        <w:t>The business environment is changing fast mostly due to AI and related technologies (Machucho &amp; Ortiz, 2025). AI supports enterprises to take informed decisions, improve customer experience and optimize operations but also the creation of new product and services (García-Castro &amp; Munoz, 2025). Public firms in the stock market use AI as a competitive weapon and to signal investors, stakeholders that they are ready for the future and will overcome contingencies (Song, Qiu, &amp; Liu, 2025). AI is an even bigger opportunity in the emerging markets. It may by-pass the conventional development constraint since scalable digital applications, complex data analytics and automatic business model can be explored from its full capacity (Bahari &amp; Napitupulu, 2025). As AI becomes increasingly mainstreamed by companies, then changes in annual report disclosure can convey the direction of technology and future perception (Maiti et al., 2025).</w:t>
      </w:r>
    </w:p>
    <w:p w14:paraId="1FD8EDEC">
      <w:pPr>
        <w:spacing w:line="360" w:lineRule="auto"/>
        <w:jc w:val="both"/>
        <w:rPr>
          <w:rFonts w:ascii="Arial" w:hAnsi="Arial" w:cs="Arial"/>
          <w:lang w:val="en-AU"/>
        </w:rPr>
      </w:pPr>
    </w:p>
    <w:p w14:paraId="1FD8EDED">
      <w:pPr>
        <w:pStyle w:val="3"/>
        <w:numPr>
          <w:ilvl w:val="1"/>
          <w:numId w:val="2"/>
        </w:numPr>
      </w:pPr>
      <w:bookmarkStart w:id="20" w:name="_Toc214714421"/>
      <w:bookmarkStart w:id="21" w:name="_Toc184116093"/>
      <w:r>
        <w:t>Objectives of the Study</w:t>
      </w:r>
      <w:bookmarkEnd w:id="20"/>
      <w:bookmarkEnd w:id="21"/>
    </w:p>
    <w:p w14:paraId="1FD8EDEE">
      <w:pPr>
        <w:spacing w:line="360" w:lineRule="auto"/>
        <w:jc w:val="both"/>
        <w:rPr>
          <w:rFonts w:ascii="Arial" w:hAnsi="Arial" w:cs="Arial"/>
          <w:lang w:val="en-AU"/>
        </w:rPr>
      </w:pPr>
      <w:r>
        <w:rPr>
          <w:rFonts w:ascii="Arial" w:hAnsi="Arial" w:cs="Arial"/>
          <w:lang w:val="en-AU"/>
        </w:rPr>
        <w:t>The core objectives of such studies may be designed to:</w:t>
      </w:r>
    </w:p>
    <w:p w14:paraId="1FD8EDEF">
      <w:pPr>
        <w:pStyle w:val="38"/>
        <w:numPr>
          <w:ilvl w:val="0"/>
          <w:numId w:val="3"/>
        </w:numPr>
        <w:spacing w:line="360" w:lineRule="auto"/>
        <w:jc w:val="both"/>
        <w:rPr>
          <w:rFonts w:ascii="Arial" w:hAnsi="Arial" w:cs="Arial"/>
          <w:lang w:val="en-AU"/>
        </w:rPr>
      </w:pPr>
      <w:r>
        <w:rPr>
          <w:rFonts w:ascii="Arial" w:hAnsi="Arial" w:cs="Arial"/>
          <w:lang w:val="en-AU"/>
        </w:rPr>
        <w:t>To investigate the application of AI-disclosures in companies’ annual reports on seven South Asian stock exchange (2020–2023).</w:t>
      </w:r>
    </w:p>
    <w:p w14:paraId="1FD8EDF0">
      <w:pPr>
        <w:pStyle w:val="38"/>
        <w:numPr>
          <w:ilvl w:val="0"/>
          <w:numId w:val="3"/>
        </w:numPr>
        <w:spacing w:line="360" w:lineRule="auto"/>
        <w:jc w:val="both"/>
        <w:rPr>
          <w:rFonts w:ascii="Arial" w:hAnsi="Arial" w:cs="Arial"/>
          <w:lang w:val="en-AU"/>
        </w:rPr>
      </w:pPr>
      <w:r>
        <w:rPr>
          <w:rFonts w:ascii="Arial" w:hAnsi="Arial" w:cs="Arial"/>
          <w:lang w:val="en-AU"/>
        </w:rPr>
        <w:t>To study the quantity and nature of AI language use in stock markets from countries of varying maturity and technology development.</w:t>
      </w:r>
    </w:p>
    <w:p w14:paraId="1FD8EDF1">
      <w:pPr>
        <w:pStyle w:val="38"/>
        <w:numPr>
          <w:ilvl w:val="0"/>
          <w:numId w:val="3"/>
        </w:numPr>
        <w:spacing w:line="360" w:lineRule="auto"/>
        <w:jc w:val="both"/>
        <w:rPr>
          <w:rFonts w:ascii="Arial" w:hAnsi="Arial" w:cs="Arial"/>
          <w:lang w:val="en-AU"/>
        </w:rPr>
      </w:pPr>
      <w:r>
        <w:rPr>
          <w:rFonts w:ascii="Arial" w:hAnsi="Arial" w:cs="Arial"/>
          <w:lang w:val="en-AU"/>
        </w:rPr>
        <w:t>To what extent the prominence of AI in corporate reporting is driven by strategic focus and competitive pressures.</w:t>
      </w:r>
    </w:p>
    <w:p w14:paraId="1FD8EDF2">
      <w:pPr>
        <w:pStyle w:val="38"/>
        <w:numPr>
          <w:ilvl w:val="0"/>
          <w:numId w:val="3"/>
        </w:numPr>
        <w:spacing w:line="360" w:lineRule="auto"/>
        <w:jc w:val="both"/>
        <w:rPr>
          <w:rFonts w:ascii="Arial" w:hAnsi="Arial" w:cs="Arial"/>
        </w:rPr>
      </w:pPr>
      <w:r>
        <w:rPr>
          <w:rFonts w:ascii="Arial" w:hAnsi="Arial" w:cs="Arial"/>
          <w:lang w:val="en-AU"/>
        </w:rPr>
        <w:t>The goal is to add a “corporate-level communication routines and capital market” insights into our debate on AI diffusion in the emerging markets.</w:t>
      </w:r>
    </w:p>
    <w:p w14:paraId="1FD8EDF3">
      <w:pPr>
        <w:spacing w:line="360" w:lineRule="auto"/>
        <w:jc w:val="both"/>
        <w:rPr>
          <w:rFonts w:ascii="Arial" w:hAnsi="Arial" w:cs="Arial"/>
        </w:rPr>
      </w:pPr>
    </w:p>
    <w:p w14:paraId="1FD8EDF4">
      <w:pPr>
        <w:pStyle w:val="3"/>
        <w:numPr>
          <w:ilvl w:val="1"/>
          <w:numId w:val="2"/>
        </w:numPr>
      </w:pPr>
      <w:bookmarkStart w:id="22" w:name="_Toc214714422"/>
      <w:r>
        <w:t>Scope and limitation of the Study</w:t>
      </w:r>
      <w:bookmarkEnd w:id="22"/>
    </w:p>
    <w:p w14:paraId="1FD8EDF5">
      <w:pPr>
        <w:spacing w:line="360" w:lineRule="auto"/>
        <w:jc w:val="both"/>
        <w:rPr>
          <w:rFonts w:ascii="Arial" w:hAnsi="Arial" w:cs="Arial"/>
          <w:lang w:val="en-AU"/>
        </w:rPr>
      </w:pPr>
      <w:r>
        <w:rPr>
          <w:rFonts w:ascii="Arial" w:hAnsi="Arial" w:cs="Arial"/>
          <w:lang w:val="en-AU"/>
        </w:rPr>
        <w:t xml:space="preserve">The existing AI adoption literature has also suffered from a developed-economy bias, with much work conducted in banking, health and IT services (Enholm et al., 2021; Wang et al., 2025). Empirical research of the relationship between AI related disclosures and financial reporting is still limited, particularly in case for new emerging South Asian markets (Bahari &amp; Napitupulu, 2025). In fact, the majority of general comparative work in South Asia examines macroeconomic dimensions or legal compliance regarding financial integration with little interest given to how firms narrate </w:t>
      </w:r>
      <w:r>
        <w:rPr>
          <w:rFonts w:ascii="Arial" w:hAnsi="Arial" w:cs="Arial"/>
          <w:lang w:val="en-US"/>
        </w:rPr>
        <w:t>technological</w:t>
      </w:r>
      <w:r>
        <w:rPr>
          <w:rFonts w:ascii="Arial" w:hAnsi="Arial" w:cs="Arial"/>
          <w:lang w:val="en-AU"/>
        </w:rPr>
        <w:t xml:space="preserve"> adoption with in their governing (Cubric 2020). This gap in the literature is addressed by analysing how often AI-related terms are mentioned in best-performing companies’ annual reports on some of the south Asian stock exchanges. Building on this front, we contribute a distinctive cross-country perspective concerning how senior executives communicate their decisions about the adoption of AI and its influence on corporate strategy (Zhao et al., 2025).</w:t>
      </w:r>
    </w:p>
    <w:p w14:paraId="1FD8EDF6">
      <w:pPr>
        <w:rPr>
          <w:rFonts w:ascii="Arial" w:hAnsi="Arial" w:cs="Arial"/>
          <w:lang w:val="en-AU"/>
        </w:rPr>
      </w:pPr>
      <w:r>
        <w:rPr>
          <w:rFonts w:ascii="Arial" w:hAnsi="Arial" w:cs="Arial"/>
          <w:lang w:val="en-AU"/>
        </w:rPr>
        <w:br w:type="page"/>
      </w:r>
    </w:p>
    <w:p w14:paraId="1FD8EDF7">
      <w:pPr>
        <w:pStyle w:val="2"/>
        <w:jc w:val="center"/>
        <w:rPr>
          <w:rFonts w:ascii="Arial" w:hAnsi="Arial" w:eastAsia="Arial" w:cs="Arial"/>
          <w:sz w:val="32"/>
          <w:szCs w:val="32"/>
        </w:rPr>
      </w:pPr>
      <w:bookmarkStart w:id="23" w:name="_Toc214714423"/>
      <w:r>
        <w:rPr>
          <w:rFonts w:ascii="Arial" w:hAnsi="Arial" w:eastAsia="Arial" w:cs="Arial"/>
          <w:sz w:val="32"/>
          <w:szCs w:val="32"/>
        </w:rPr>
        <w:t>CHAPTER II: REVIEW OF THE LITERATURE</w:t>
      </w:r>
      <w:bookmarkEnd w:id="23"/>
    </w:p>
    <w:p w14:paraId="1FD8EDF8"/>
    <w:p w14:paraId="1FD8EDF9">
      <w:pPr>
        <w:pStyle w:val="3"/>
      </w:pPr>
      <w:bookmarkStart w:id="24" w:name="_Toc214714424"/>
      <w:r>
        <w:t>2.1 Integrating AI Disclosures in Business &amp; Stakeholder Theory</w:t>
      </w:r>
      <w:bookmarkEnd w:id="24"/>
    </w:p>
    <w:p w14:paraId="1FD8EDFA"/>
    <w:p w14:paraId="1FD8EDFB">
      <w:pPr>
        <w:spacing w:line="360" w:lineRule="auto"/>
        <w:jc w:val="both"/>
        <w:rPr>
          <w:rFonts w:ascii="Arial" w:hAnsi="Arial" w:cs="Arial"/>
          <w:lang w:val="en-AU"/>
        </w:rPr>
      </w:pPr>
      <w:r>
        <w:rPr>
          <w:rFonts w:ascii="Arial" w:hAnsi="Arial" w:cs="Arial"/>
          <w:lang w:val="en-AU"/>
        </w:rPr>
        <w:t>Artificial intelligence (AI) is redesigning business as we know it, and significantly influencing the way in which businesses can market their products to a worldwide audience. In their annual and sustainability reports, companies across industries are listing artificial intelligence (AI), automation, and analytics as proof of technology readiness and forward thinking strategic intent. Yet, even as research on AI disclosure is expanding globally, there appears to be a wealth of unexplored terrain in terms of how such disclosures play out within the South Asian markets that vary greatly in terms of technological and market advancement.</w:t>
      </w:r>
    </w:p>
    <w:p w14:paraId="1FD8EDFC">
      <w:pPr>
        <w:spacing w:line="360" w:lineRule="auto"/>
        <w:jc w:val="both"/>
        <w:rPr>
          <w:rFonts w:ascii="Arial" w:hAnsi="Arial" w:cs="Arial"/>
          <w:lang w:val="en-AU"/>
        </w:rPr>
      </w:pPr>
      <w:r>
        <w:rPr>
          <w:rFonts w:ascii="Arial" w:hAnsi="Arial" w:cs="Arial"/>
          <w:lang w:val="en-AU"/>
        </w:rPr>
        <w:t>At the time of review, there was also a focus on advanced economies and across sectors such as banking, health care or IT services (Enholm et al., 2021) with emerging markets being less studied.</w:t>
      </w:r>
    </w:p>
    <w:p w14:paraId="1FD8EDFD">
      <w:pPr>
        <w:spacing w:line="360" w:lineRule="auto"/>
        <w:jc w:val="both"/>
        <w:rPr>
          <w:rFonts w:ascii="Arial" w:hAnsi="Arial" w:cs="Arial"/>
          <w:lang w:val="en-AU"/>
        </w:rPr>
      </w:pPr>
      <w:r>
        <w:rPr>
          <w:rFonts w:ascii="Arial" w:hAnsi="Arial" w:cs="Arial"/>
          <w:lang w:val="en-AU"/>
        </w:rPr>
        <w:t>To fill these gaps this research is supported on Stakeholder Theory (Freeman,2010) with the premise that companies are embedded in a relational context and should not only attend to shareholders but also to regulators, workers, consumers and society. Along this line, the disclosure of CSR is regarded as a strategic tool to manage expectations, reduce information asymmetries and sustain legitimacy. AI related Disclosures include a visible indication that the company is committed to defining itself in Agile terms: i.e, adaptive; modern; and future facing in the disruptive digital economy.</w:t>
      </w:r>
    </w:p>
    <w:p w14:paraId="1FD8EDFE">
      <w:pPr>
        <w:spacing w:line="360" w:lineRule="auto"/>
        <w:jc w:val="both"/>
        <w:rPr>
          <w:rFonts w:ascii="Arial" w:hAnsi="Arial" w:cs="Arial"/>
          <w:lang w:val="en-AU"/>
        </w:rPr>
      </w:pPr>
      <w:r>
        <w:rPr>
          <w:rFonts w:ascii="Arial" w:hAnsi="Arial" w:cs="Arial"/>
          <w:lang w:val="en-AU"/>
        </w:rPr>
        <w:t>Grounded in stakeholder theory, this perspective is informative for determining why actors are communicating on AI. Companies face relentless evaluation by numerous audiences as they judge its credibility and relevance in a community driven by data. So AI disclosures are a tool for legitimacy — a way in which companies can signal to their stakeholders that they actually are adopting these sorts of innovation and have the capability to deal with technological disruption. Moreover, ethical issues for business transparency and responsible communication also play a role in the process. (Maiti et al., 2025).</w:t>
      </w:r>
    </w:p>
    <w:p w14:paraId="1FD8EDFF">
      <w:pPr>
        <w:spacing w:line="360" w:lineRule="auto"/>
        <w:jc w:val="both"/>
        <w:rPr>
          <w:rFonts w:ascii="Arial" w:hAnsi="Arial" w:cs="Arial"/>
          <w:lang w:val="en-AU"/>
        </w:rPr>
      </w:pPr>
      <w:r>
        <w:rPr>
          <w:rFonts w:ascii="Arial" w:hAnsi="Arial" w:cs="Arial"/>
          <w:lang w:val="en-US"/>
        </w:rPr>
        <w:t>Signaling</w:t>
      </w:r>
      <w:r>
        <w:rPr>
          <w:rFonts w:ascii="Arial" w:hAnsi="Arial" w:cs="Arial"/>
          <w:lang w:val="en-AU"/>
        </w:rPr>
        <w:t xml:space="preserve"> is even more important in emerging South Asian markets which often witness institutional murkiness, weak investor protection &amp; regulations that are leaden with exception and this in turn results into information asymmetry. In such cases voluntary disclosure about AI and the inclusion of technological disclosure can be a solution to the lack of trust in companies. Technology investment disclosure, company gives its preparedness system integrates with the world digital transformation agenda that can cause to higher stakeholder confidence locally or internationally (Bahari &amp; Napitupulu, 2025). So, AI communication isn’t purely technical; it is also social, too: passing as competent and responsible in the eyes of anyone watching.</w:t>
      </w:r>
    </w:p>
    <w:p w14:paraId="1FD8EE00">
      <w:pPr>
        <w:spacing w:line="360" w:lineRule="auto"/>
        <w:jc w:val="both"/>
        <w:rPr>
          <w:rFonts w:ascii="Arial" w:hAnsi="Arial" w:cs="Arial"/>
          <w:lang w:val="en-AU"/>
        </w:rPr>
      </w:pPr>
      <w:r>
        <w:rPr>
          <w:rFonts w:ascii="Arial" w:hAnsi="Arial" w:cs="Arial"/>
          <w:lang w:val="en-AU"/>
        </w:rPr>
        <w:t xml:space="preserve">This is not completely unwarranted, according to the evidence that </w:t>
      </w:r>
      <w:r>
        <w:rPr>
          <w:rFonts w:ascii="Arial" w:hAnsi="Arial" w:cs="Arial"/>
          <w:lang w:val="en-US"/>
        </w:rPr>
        <w:t>organization</w:t>
      </w:r>
      <w:r>
        <w:rPr>
          <w:rFonts w:hint="default" w:ascii="Arial" w:hAnsi="Arial" w:cs="Arial"/>
          <w:lang w:val="en-US"/>
        </w:rPr>
        <w:t>s</w:t>
      </w:r>
      <w:r>
        <w:rPr>
          <w:rFonts w:ascii="Arial" w:hAnsi="Arial" w:cs="Arial"/>
          <w:lang w:val="en-AU"/>
        </w:rPr>
        <w:t xml:space="preserve"> strategically handle AI in communication. (Bonsón and Bednárová,2022) observed European companies to be incorporating AI, in sustainability reporting as a value of progressive nature instead of </w:t>
      </w:r>
      <w:r>
        <w:rPr>
          <w:rFonts w:ascii="Arial" w:hAnsi="Arial" w:cs="Arial"/>
          <w:lang w:val="en-US"/>
        </w:rPr>
        <w:t>realizing</w:t>
      </w:r>
      <w:r>
        <w:rPr>
          <w:rFonts w:ascii="Arial" w:hAnsi="Arial" w:cs="Arial"/>
          <w:lang w:val="en-AU"/>
        </w:rPr>
        <w:t xml:space="preserve"> deployment. Further promoting the symbolic legitimacy strategy, we found that organizations resort to linguistically demonstrate their alignment with global innovation norms. Similarly, (Cao et al.,2023) made the case that corporate reporting styles are adapting to speak to human and algorithm audiences – a reminder of how forms of communication alter when it is shaped by different technologies.</w:t>
      </w:r>
    </w:p>
    <w:p w14:paraId="1FD8EE01">
      <w:pPr>
        <w:spacing w:line="360" w:lineRule="auto"/>
        <w:jc w:val="both"/>
        <w:rPr>
          <w:rFonts w:ascii="Arial" w:hAnsi="Arial" w:cs="Arial"/>
          <w:lang w:val="en-AU"/>
        </w:rPr>
      </w:pPr>
      <w:r>
        <w:rPr>
          <w:rFonts w:ascii="Arial" w:hAnsi="Arial" w:cs="Arial"/>
          <w:lang w:val="en-AU"/>
        </w:rPr>
        <w:t>In South Asia, this type of behaviour can be ascribed to the desperation toward legitimacy pursued in emerging economies. Companies in India, Bangladesh and Pakistan tend to stress automation and data analytics so they can look good for foreign investors and regulators who are demanding evidence of a digital makeover. Here, Stakeholder Theory can be used to explain why firms are paying attention to AI even in its nascent stage of adoption: disclosures symbolically provide stakeholders with the assurance that as organizations we are keeping up with technological expectations; hence even while Firm trust and legitimacy have been established despite levels of uncertainty.</w:t>
      </w:r>
    </w:p>
    <w:p w14:paraId="1FD8EE02">
      <w:pPr>
        <w:pStyle w:val="3"/>
        <w:rPr>
          <w:lang w:val="en-AU"/>
        </w:rPr>
      </w:pPr>
      <w:bookmarkStart w:id="25" w:name="_Toc214714425"/>
      <w:r>
        <w:rPr>
          <w:lang w:val="en-AU"/>
        </w:rPr>
        <w:t>2.2 Empirical Insights on AI related Disclosures</w:t>
      </w:r>
      <w:bookmarkEnd w:id="25"/>
    </w:p>
    <w:p w14:paraId="1FD8EE03">
      <w:pPr>
        <w:spacing w:line="360" w:lineRule="auto"/>
        <w:jc w:val="both"/>
        <w:rPr>
          <w:rFonts w:ascii="Arial" w:hAnsi="Arial" w:cs="Arial"/>
          <w:lang w:val="en-AU"/>
        </w:rPr>
      </w:pPr>
      <w:r>
        <w:rPr>
          <w:rFonts w:ascii="Arial" w:hAnsi="Arial" w:cs="Arial"/>
          <w:lang w:val="en-AU"/>
        </w:rPr>
        <w:t xml:space="preserve">A few recent works studied in what way those markets take AI-related disclosures into account, thanks to insights coming straight out of people thoughts (Wang and Zhou, 2022) argued that companies with strong internal governance system and real digital activities have more positive reactions from stakeholders due to the fact that believable technology-related reports can possibly enhance transparency and trust. In contrast, (Babina, Fedyk, Heand, Hodson, 2023) showed that exaggerated AI claims make investors become sceptical and they find evidence indicating participants of the market are capable to separate true innovation from hype. These findings imply that stakeholders are not passive information </w:t>
      </w:r>
      <w:r>
        <w:rPr>
          <w:rFonts w:ascii="Arial" w:hAnsi="Arial" w:cs="Arial"/>
          <w:lang w:val="en-US"/>
        </w:rPr>
        <w:t>absorbs</w:t>
      </w:r>
      <w:r>
        <w:rPr>
          <w:rFonts w:ascii="Arial" w:hAnsi="Arial" w:cs="Arial"/>
          <w:lang w:val="en-AU"/>
        </w:rPr>
        <w:t xml:space="preserve"> and signal which AI disclosures align with actual organizational behaviour. In addition, (Loughran and McDonald, 2016) highlight the fact that disclosure practices differ by market, with advanced economies more likely to favour stringent formal reporting templates including analytics and emerging markets being more narrative theatrical.</w:t>
      </w:r>
    </w:p>
    <w:p w14:paraId="1FD8EE04">
      <w:pPr>
        <w:spacing w:line="360" w:lineRule="auto"/>
        <w:jc w:val="both"/>
        <w:rPr>
          <w:rStyle w:val="26"/>
        </w:rPr>
      </w:pPr>
    </w:p>
    <w:p w14:paraId="1FD8EE05">
      <w:pPr>
        <w:pStyle w:val="3"/>
        <w:rPr>
          <w:lang w:val="en-AU"/>
        </w:rPr>
      </w:pPr>
      <w:bookmarkStart w:id="26" w:name="_Toc214714426"/>
      <w:r>
        <w:rPr>
          <w:lang w:val="en-AU"/>
        </w:rPr>
        <w:t>2.3 AI disclosures trend in the South Asian Market</w:t>
      </w:r>
      <w:bookmarkEnd w:id="26"/>
    </w:p>
    <w:p w14:paraId="1FD8EE06">
      <w:pPr>
        <w:spacing w:line="360" w:lineRule="auto"/>
        <w:jc w:val="both"/>
        <w:rPr>
          <w:rFonts w:ascii="Arial" w:hAnsi="Arial" w:cs="Arial"/>
          <w:lang w:val="en-AU"/>
        </w:rPr>
      </w:pPr>
      <w:r>
        <w:rPr>
          <w:rFonts w:ascii="Arial" w:hAnsi="Arial" w:cs="Arial"/>
          <w:lang w:val="en-AU"/>
        </w:rPr>
        <w:t xml:space="preserve">This revelation of AI, in the South Asian context, is rather unique and insightful. The region is home to economies at different levels of digital and financial maturity — from advanced, tech-led markets such as India to smaller emerging exchanges in Bangladesh, Pakistan and Sri Lanka. ‘Vocal Recognition’ Profiles of these markets in annual reports are becoming filled with a growing list of these akin terms such as machine learning, data analytics, automation and </w:t>
      </w:r>
      <w:r>
        <w:rPr>
          <w:rFonts w:ascii="Arial" w:hAnsi="Arial" w:cs="Arial"/>
          <w:lang w:val="en-US"/>
        </w:rPr>
        <w:t>digitization</w:t>
      </w:r>
      <w:r>
        <w:rPr>
          <w:rFonts w:ascii="Arial" w:hAnsi="Arial" w:cs="Arial"/>
          <w:lang w:val="en-AU"/>
        </w:rPr>
        <w:t>.</w:t>
      </w:r>
    </w:p>
    <w:p w14:paraId="1FD8EE07">
      <w:pPr>
        <w:spacing w:line="360" w:lineRule="auto"/>
        <w:jc w:val="both"/>
        <w:rPr>
          <w:rFonts w:ascii="Arial" w:hAnsi="Arial" w:cs="Arial"/>
          <w:lang w:val="en-AU"/>
        </w:rPr>
      </w:pPr>
      <w:r>
        <w:rPr>
          <w:rFonts w:ascii="Arial" w:hAnsi="Arial" w:cs="Arial"/>
          <w:lang w:val="en-AU"/>
        </w:rPr>
        <w:t>In conclusion, the framework provided by and coherence of Stakeholder Theory offer an on</w:t>
      </w:r>
      <w:r>
        <w:rPr>
          <w:rFonts w:hint="default" w:ascii="Arial" w:hAnsi="Arial" w:cs="Arial"/>
          <w:lang w:val="en-US"/>
        </w:rPr>
        <w:t xml:space="preserve"> </w:t>
      </w:r>
      <w:r>
        <w:rPr>
          <w:rFonts w:ascii="Arial" w:hAnsi="Arial" w:cs="Arial"/>
          <w:lang w:val="en-AU"/>
        </w:rPr>
        <w:t>t</w:t>
      </w:r>
      <w:r>
        <w:rPr>
          <w:rFonts w:hint="default" w:ascii="Arial" w:hAnsi="Arial" w:cs="Arial"/>
          <w:lang w:val="en-US"/>
        </w:rPr>
        <w:t>echno</w:t>
      </w:r>
      <w:r>
        <w:rPr>
          <w:rFonts w:ascii="Arial" w:hAnsi="Arial" w:cs="Arial"/>
          <w:lang w:val="en-AU"/>
        </w:rPr>
        <w:t xml:space="preserve">logical basis to see AI disclosures as purposive acts of </w:t>
      </w:r>
      <w:r>
        <w:rPr>
          <w:rFonts w:ascii="Arial" w:hAnsi="Arial" w:cs="Arial"/>
          <w:lang w:val="en-US"/>
        </w:rPr>
        <w:t>communique</w:t>
      </w:r>
      <w:r>
        <w:rPr>
          <w:rFonts w:ascii="Arial" w:hAnsi="Arial" w:cs="Arial"/>
          <w:lang w:val="en-AU"/>
        </w:rPr>
        <w:t xml:space="preserve"> over and above use etc. Companies releasing details of their AI efforts aren’t just trying to educate, but also signal that they are trustworthy, innovative and adaptable. Editors’ Note: (Language has been updated.</w:t>
      </w:r>
    </w:p>
    <w:p w14:paraId="1FD8EE08">
      <w:pPr>
        <w:spacing w:line="360" w:lineRule="auto"/>
        <w:jc w:val="both"/>
        <w:rPr>
          <w:rFonts w:ascii="Arial" w:hAnsi="Arial" w:cs="Arial"/>
          <w:lang w:val="en-AU"/>
        </w:rPr>
      </w:pPr>
      <w:r>
        <w:rPr>
          <w:rFonts w:ascii="Arial" w:hAnsi="Arial" w:cs="Arial"/>
          <w:lang w:val="en-AU"/>
        </w:rPr>
        <w:t>In South Asia with its range of diversified and evolving situations, this stakeholder dialogue is still more crucial. Headlines about AI tell a second story, the story of how organisations also construct legitimacy, bargain around transparency and steer towards the larger project of digital transformation. The approach allowed a comparative perspective to be provided over AI's keyword-use in the South Asian stock exchanges, in order that we may obtain more informed research insights and contribute directly to theory development in emerging markets drawing on Stakeholder Theory.</w:t>
      </w:r>
    </w:p>
    <w:p w14:paraId="1FD8EE09">
      <w:pPr>
        <w:spacing w:line="360" w:lineRule="auto"/>
        <w:jc w:val="both"/>
        <w:rPr>
          <w:rFonts w:ascii="Arial" w:hAnsi="Arial" w:cs="Arial"/>
          <w:lang w:val="en-AU"/>
        </w:rPr>
      </w:pPr>
    </w:p>
    <w:p w14:paraId="1FD8EE0A">
      <w:pPr>
        <w:pStyle w:val="3"/>
        <w:spacing w:line="360" w:lineRule="auto"/>
      </w:pPr>
      <w:bookmarkStart w:id="27" w:name="_Toc214714427"/>
      <w:r>
        <w:t>2.4 Keyword Narratives</w:t>
      </w:r>
      <w:bookmarkEnd w:id="27"/>
      <w:r>
        <w:t xml:space="preserve"> </w:t>
      </w:r>
    </w:p>
    <w:p w14:paraId="1FD8EE0B"/>
    <w:p w14:paraId="1FD8EE0C">
      <w:pPr>
        <w:spacing w:line="360" w:lineRule="auto"/>
        <w:rPr>
          <w:rFonts w:ascii="Arial" w:hAnsi="Arial" w:cs="Arial"/>
          <w:b/>
          <w:bCs/>
        </w:rPr>
      </w:pPr>
      <w:r>
        <w:rPr>
          <w:rFonts w:ascii="Arial" w:hAnsi="Arial" w:cs="Arial"/>
          <w:b/>
          <w:bCs/>
        </w:rPr>
        <w:t>Table 1: Key Findings</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2"/>
        <w:gridCol w:w="2417"/>
        <w:gridCol w:w="4887"/>
      </w:tblGrid>
      <w:tr w14:paraId="1FD8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14:paraId="1FD8EE0D">
            <w:pPr>
              <w:spacing w:line="360" w:lineRule="auto"/>
              <w:jc w:val="both"/>
              <w:rPr>
                <w:rFonts w:ascii="Arial" w:hAnsi="Arial" w:cs="Arial"/>
                <w:b/>
                <w:bCs/>
              </w:rPr>
            </w:pPr>
            <w:r>
              <w:rPr>
                <w:rFonts w:ascii="Arial" w:hAnsi="Arial" w:cs="Arial"/>
                <w:b/>
                <w:bCs/>
              </w:rPr>
              <w:t>Keyword</w:t>
            </w:r>
          </w:p>
        </w:tc>
        <w:tc>
          <w:tcPr>
            <w:tcW w:w="2841" w:type="dxa"/>
            <w:tcBorders>
              <w:top w:val="single" w:color="auto" w:sz="4" w:space="0"/>
              <w:left w:val="single" w:color="auto" w:sz="4" w:space="0"/>
              <w:bottom w:val="single" w:color="auto" w:sz="4" w:space="0"/>
              <w:right w:val="single" w:color="auto" w:sz="4" w:space="0"/>
            </w:tcBorders>
            <w:vAlign w:val="center"/>
          </w:tcPr>
          <w:p w14:paraId="1FD8EE0E">
            <w:pPr>
              <w:spacing w:line="360" w:lineRule="auto"/>
              <w:jc w:val="both"/>
              <w:rPr>
                <w:rFonts w:ascii="Arial" w:hAnsi="Arial" w:cs="Arial"/>
                <w:b/>
                <w:bCs/>
              </w:rPr>
            </w:pPr>
            <w:r>
              <w:rPr>
                <w:rFonts w:ascii="Arial" w:hAnsi="Arial" w:cs="Arial"/>
                <w:b/>
                <w:bCs/>
              </w:rPr>
              <w:t>Findings</w:t>
            </w:r>
          </w:p>
        </w:tc>
        <w:tc>
          <w:tcPr>
            <w:tcW w:w="2841" w:type="dxa"/>
            <w:tcBorders>
              <w:top w:val="single" w:color="auto" w:sz="4" w:space="0"/>
              <w:left w:val="single" w:color="auto" w:sz="4" w:space="0"/>
              <w:bottom w:val="single" w:color="auto" w:sz="4" w:space="0"/>
              <w:right w:val="single" w:color="auto" w:sz="4" w:space="0"/>
            </w:tcBorders>
            <w:vAlign w:val="center"/>
          </w:tcPr>
          <w:p w14:paraId="1FD8EE0F">
            <w:pPr>
              <w:spacing w:line="360" w:lineRule="auto"/>
              <w:jc w:val="both"/>
              <w:rPr>
                <w:rFonts w:ascii="Arial" w:hAnsi="Arial" w:cs="Arial"/>
                <w:b/>
                <w:bCs/>
              </w:rPr>
            </w:pPr>
            <w:r>
              <w:rPr>
                <w:rFonts w:ascii="Arial" w:hAnsi="Arial" w:cs="Arial"/>
                <w:b/>
                <w:bCs/>
              </w:rPr>
              <w:t>Reference</w:t>
            </w:r>
          </w:p>
        </w:tc>
      </w:tr>
      <w:tr w14:paraId="1FD8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14:paraId="1FD8EE11">
            <w:pPr>
              <w:spacing w:line="360" w:lineRule="auto"/>
              <w:jc w:val="both"/>
              <w:rPr>
                <w:rFonts w:ascii="Arial" w:hAnsi="Arial" w:cs="Arial"/>
              </w:rPr>
            </w:pPr>
            <w:r>
              <w:rPr>
                <w:rFonts w:ascii="Arial" w:hAnsi="Arial" w:cs="Arial"/>
              </w:rPr>
              <w:t>Analytics (Business / Data Analytics)</w:t>
            </w:r>
          </w:p>
        </w:tc>
        <w:tc>
          <w:tcPr>
            <w:tcW w:w="2841" w:type="dxa"/>
            <w:tcBorders>
              <w:top w:val="single" w:color="auto" w:sz="4" w:space="0"/>
              <w:left w:val="single" w:color="auto" w:sz="4" w:space="0"/>
              <w:bottom w:val="single" w:color="auto" w:sz="4" w:space="0"/>
              <w:right w:val="single" w:color="auto" w:sz="4" w:space="0"/>
            </w:tcBorders>
            <w:vAlign w:val="center"/>
          </w:tcPr>
          <w:p w14:paraId="1FD8EE12">
            <w:pPr>
              <w:spacing w:line="360" w:lineRule="auto"/>
              <w:jc w:val="both"/>
              <w:rPr>
                <w:rFonts w:ascii="Arial" w:hAnsi="Arial" w:cs="Arial"/>
              </w:rPr>
            </w:pPr>
            <w:r>
              <w:rPr>
                <w:rFonts w:ascii="Arial" w:hAnsi="Arial" w:cs="Arial"/>
              </w:rPr>
              <w:t>Analytics is prominent in accounting disclosures, supporting fraud detection, forecasting, scenario analysis, and managerial decision-making; disclosures emphasize accuracy, efficiency, and control.</w:t>
            </w:r>
          </w:p>
        </w:tc>
        <w:tc>
          <w:tcPr>
            <w:tcW w:w="2841" w:type="dxa"/>
            <w:tcBorders>
              <w:top w:val="single" w:color="auto" w:sz="4" w:space="0"/>
              <w:left w:val="single" w:color="auto" w:sz="4" w:space="0"/>
              <w:bottom w:val="single" w:color="auto" w:sz="4" w:space="0"/>
              <w:right w:val="single" w:color="auto" w:sz="4" w:space="0"/>
            </w:tcBorders>
            <w:vAlign w:val="center"/>
          </w:tcPr>
          <w:p w14:paraId="1FD8EE13">
            <w:pPr>
              <w:spacing w:line="360" w:lineRule="auto"/>
              <w:jc w:val="both"/>
              <w:rPr>
                <w:rFonts w:ascii="Arial" w:hAnsi="Arial" w:cs="Arial"/>
              </w:rPr>
            </w:pPr>
            <w:r>
              <w:rPr>
                <w:rFonts w:ascii="Arial" w:hAnsi="Arial" w:cs="Arial"/>
              </w:rPr>
              <w:t xml:space="preserve">Appelbaum, D., Kogan, A., Vasarhelyi, M. A., &amp; Yan, Z. (2017). Impact of business analytics and enterprise systems on managerial accounting. International Journal of Accounting Information Systems, 25, 29–44. </w:t>
            </w:r>
            <w:r>
              <w:fldChar w:fldCharType="begin"/>
            </w:r>
            <w:r>
              <w:instrText xml:space="preserve"> HYPERLINK "https://doi.org/10.1016/j.accinf.2017.03.003" </w:instrText>
            </w:r>
            <w:r>
              <w:fldChar w:fldCharType="separate"/>
            </w:r>
            <w:r>
              <w:rPr>
                <w:rStyle w:val="17"/>
                <w:rFonts w:ascii="Arial" w:hAnsi="Arial" w:cs="Arial"/>
              </w:rPr>
              <w:t>https://doi.org/10.1016/j.accinf.2017.03.003</w:t>
            </w:r>
            <w:r>
              <w:rPr>
                <w:rStyle w:val="17"/>
                <w:rFonts w:ascii="Arial" w:hAnsi="Arial" w:cs="Arial"/>
              </w:rPr>
              <w:fldChar w:fldCharType="end"/>
            </w:r>
            <w:r>
              <w:rPr>
                <w:rFonts w:ascii="Arial" w:hAnsi="Arial" w:cs="Arial"/>
              </w:rPr>
              <w:t xml:space="preserve"> </w:t>
            </w:r>
          </w:p>
        </w:tc>
      </w:tr>
      <w:tr w14:paraId="1FD8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14:paraId="1FD8EE15">
            <w:pPr>
              <w:spacing w:line="360" w:lineRule="auto"/>
              <w:jc w:val="both"/>
              <w:rPr>
                <w:rFonts w:ascii="Arial" w:hAnsi="Arial" w:cs="Arial"/>
              </w:rPr>
            </w:pPr>
            <w:r>
              <w:rPr>
                <w:rFonts w:ascii="Arial" w:hAnsi="Arial" w:cs="Arial"/>
              </w:rPr>
              <w:t>Big Data</w:t>
            </w:r>
          </w:p>
        </w:tc>
        <w:tc>
          <w:tcPr>
            <w:tcW w:w="2841" w:type="dxa"/>
            <w:tcBorders>
              <w:top w:val="single" w:color="auto" w:sz="4" w:space="0"/>
              <w:left w:val="single" w:color="auto" w:sz="4" w:space="0"/>
              <w:bottom w:val="single" w:color="auto" w:sz="4" w:space="0"/>
              <w:right w:val="single" w:color="auto" w:sz="4" w:space="0"/>
            </w:tcBorders>
            <w:vAlign w:val="center"/>
          </w:tcPr>
          <w:p w14:paraId="1FD8EE16">
            <w:pPr>
              <w:spacing w:line="360" w:lineRule="auto"/>
              <w:jc w:val="both"/>
              <w:rPr>
                <w:rFonts w:ascii="Arial" w:hAnsi="Arial" w:cs="Arial"/>
              </w:rPr>
            </w:pPr>
            <w:r>
              <w:rPr>
                <w:rFonts w:ascii="Arial" w:hAnsi="Arial" w:cs="Arial"/>
              </w:rPr>
              <w:t>Big data enables AI-driven predictive analytics, fraud detection, and decision support in AIS, while raising governance and transparency considerations frequently acknowledged in disclosures.</w:t>
            </w:r>
          </w:p>
        </w:tc>
        <w:tc>
          <w:tcPr>
            <w:tcW w:w="2841" w:type="dxa"/>
            <w:tcBorders>
              <w:top w:val="single" w:color="auto" w:sz="4" w:space="0"/>
              <w:left w:val="single" w:color="auto" w:sz="4" w:space="0"/>
              <w:bottom w:val="single" w:color="auto" w:sz="4" w:space="0"/>
              <w:right w:val="single" w:color="auto" w:sz="4" w:space="0"/>
            </w:tcBorders>
            <w:vAlign w:val="center"/>
          </w:tcPr>
          <w:p w14:paraId="1FD8EE17">
            <w:pPr>
              <w:spacing w:line="360" w:lineRule="auto"/>
              <w:jc w:val="both"/>
              <w:rPr>
                <w:rFonts w:ascii="Arial" w:hAnsi="Arial" w:cs="Arial"/>
              </w:rPr>
            </w:pPr>
            <w:r>
              <w:rPr>
                <w:rFonts w:ascii="Arial" w:hAnsi="Arial" w:cs="Arial"/>
              </w:rPr>
              <w:t xml:space="preserve">Warren, J. D., Jr., Moffitt, K. C., &amp; Byrnes, P. (2015). How big data will change accounting. Accounting Horizons, 29(2), 397–407. </w:t>
            </w:r>
            <w:r>
              <w:fldChar w:fldCharType="begin"/>
            </w:r>
            <w:r>
              <w:instrText xml:space="preserve"> HYPERLINK "https://doi.org/10.2308/acch-51069" </w:instrText>
            </w:r>
            <w:r>
              <w:fldChar w:fldCharType="separate"/>
            </w:r>
            <w:r>
              <w:rPr>
                <w:rStyle w:val="17"/>
                <w:rFonts w:ascii="Arial" w:hAnsi="Arial" w:cs="Arial"/>
              </w:rPr>
              <w:t>https://doi.org/10.2308/acch-51069</w:t>
            </w:r>
            <w:r>
              <w:rPr>
                <w:rStyle w:val="17"/>
                <w:rFonts w:ascii="Arial" w:hAnsi="Arial" w:cs="Arial"/>
              </w:rPr>
              <w:fldChar w:fldCharType="end"/>
            </w:r>
            <w:r>
              <w:rPr>
                <w:rFonts w:ascii="Arial" w:hAnsi="Arial" w:cs="Arial"/>
              </w:rPr>
              <w:t xml:space="preserve"> ; Cao, M., Chychyla, R., &amp; Stewart, T. (2015). Big data analytics in financial statement audits. Accounting Horizons, 29(2), 423–429. </w:t>
            </w:r>
            <w:r>
              <w:fldChar w:fldCharType="begin"/>
            </w:r>
            <w:r>
              <w:instrText xml:space="preserve"> HYPERLINK "https://doi.org/10.2308/acch-51068" </w:instrText>
            </w:r>
            <w:r>
              <w:fldChar w:fldCharType="separate"/>
            </w:r>
            <w:r>
              <w:rPr>
                <w:rStyle w:val="17"/>
                <w:rFonts w:ascii="Arial" w:hAnsi="Arial" w:cs="Arial"/>
              </w:rPr>
              <w:t>https://doi.org/10.2308/acch-51068</w:t>
            </w:r>
            <w:r>
              <w:rPr>
                <w:rStyle w:val="17"/>
                <w:rFonts w:ascii="Arial" w:hAnsi="Arial" w:cs="Arial"/>
              </w:rPr>
              <w:fldChar w:fldCharType="end"/>
            </w:r>
          </w:p>
        </w:tc>
      </w:tr>
      <w:tr w14:paraId="1FD8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14:paraId="1FD8EE19">
            <w:pPr>
              <w:spacing w:line="360" w:lineRule="auto"/>
              <w:jc w:val="both"/>
              <w:rPr>
                <w:rFonts w:ascii="Arial" w:hAnsi="Arial" w:cs="Arial"/>
              </w:rPr>
            </w:pPr>
            <w:r>
              <w:rPr>
                <w:rFonts w:ascii="Arial" w:hAnsi="Arial" w:cs="Arial"/>
              </w:rPr>
              <w:t>Artificial Intelligence (AI)</w:t>
            </w:r>
          </w:p>
        </w:tc>
        <w:tc>
          <w:tcPr>
            <w:tcW w:w="2841" w:type="dxa"/>
            <w:tcBorders>
              <w:top w:val="single" w:color="auto" w:sz="4" w:space="0"/>
              <w:left w:val="single" w:color="auto" w:sz="4" w:space="0"/>
              <w:bottom w:val="single" w:color="auto" w:sz="4" w:space="0"/>
              <w:right w:val="single" w:color="auto" w:sz="4" w:space="0"/>
            </w:tcBorders>
            <w:vAlign w:val="center"/>
          </w:tcPr>
          <w:p w14:paraId="1FD8EE1A">
            <w:pPr>
              <w:spacing w:line="360" w:lineRule="auto"/>
              <w:jc w:val="both"/>
              <w:rPr>
                <w:rFonts w:ascii="Arial" w:hAnsi="Arial" w:cs="Arial"/>
              </w:rPr>
            </w:pPr>
            <w:r>
              <w:rPr>
                <w:rFonts w:ascii="Arial" w:hAnsi="Arial" w:cs="Arial"/>
              </w:rPr>
              <w:t>AI appears as an umbrella term linking automation, predictive modeling, and modernization within digital transformation narratives and Industry 4.0 framing.</w:t>
            </w:r>
          </w:p>
        </w:tc>
        <w:tc>
          <w:tcPr>
            <w:tcW w:w="2841" w:type="dxa"/>
            <w:tcBorders>
              <w:top w:val="single" w:color="auto" w:sz="4" w:space="0"/>
              <w:left w:val="single" w:color="auto" w:sz="4" w:space="0"/>
              <w:bottom w:val="single" w:color="auto" w:sz="4" w:space="0"/>
              <w:right w:val="single" w:color="auto" w:sz="4" w:space="0"/>
            </w:tcBorders>
            <w:vAlign w:val="center"/>
          </w:tcPr>
          <w:p w14:paraId="1FD8EE1B">
            <w:pPr>
              <w:spacing w:line="360" w:lineRule="auto"/>
              <w:jc w:val="both"/>
              <w:rPr>
                <w:rFonts w:ascii="Arial" w:hAnsi="Arial" w:cs="Arial"/>
              </w:rPr>
            </w:pPr>
            <w:r>
              <w:rPr>
                <w:rFonts w:ascii="Arial" w:hAnsi="Arial" w:cs="Arial"/>
              </w:rPr>
              <w:t xml:space="preserve">Kokina, J., &amp; Davenport, T. H. (2017). The emergence of artificial intelligence: How automation is changing auditing. Journal of Emerging Technologies in Accounting, 14(1), 115–122. </w:t>
            </w:r>
            <w:r>
              <w:fldChar w:fldCharType="begin"/>
            </w:r>
            <w:r>
              <w:instrText xml:space="preserve"> HYPERLINK "https://doi.org/10.2308/jeta-51730" </w:instrText>
            </w:r>
            <w:r>
              <w:fldChar w:fldCharType="separate"/>
            </w:r>
            <w:r>
              <w:rPr>
                <w:rStyle w:val="17"/>
                <w:rFonts w:ascii="Arial" w:hAnsi="Arial" w:cs="Arial"/>
              </w:rPr>
              <w:t>https://doi.org/10.2308/jeta-51730</w:t>
            </w:r>
            <w:r>
              <w:rPr>
                <w:rStyle w:val="17"/>
                <w:rFonts w:ascii="Arial" w:hAnsi="Arial" w:cs="Arial"/>
              </w:rPr>
              <w:fldChar w:fldCharType="end"/>
            </w:r>
            <w:r>
              <w:rPr>
                <w:rFonts w:ascii="Arial" w:hAnsi="Arial" w:cs="Arial"/>
              </w:rPr>
              <w:t xml:space="preserve"> </w:t>
            </w:r>
          </w:p>
        </w:tc>
      </w:tr>
      <w:tr w14:paraId="1FD8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14:paraId="1FD8EE1D">
            <w:pPr>
              <w:spacing w:line="360" w:lineRule="auto"/>
              <w:jc w:val="both"/>
              <w:rPr>
                <w:rFonts w:ascii="Arial" w:hAnsi="Arial" w:cs="Arial"/>
              </w:rPr>
            </w:pPr>
            <w:r>
              <w:rPr>
                <w:rFonts w:ascii="Arial" w:hAnsi="Arial" w:cs="Arial"/>
              </w:rPr>
              <w:t>Machine Learning (ML) &amp; Deep Learning (DL)</w:t>
            </w:r>
          </w:p>
        </w:tc>
        <w:tc>
          <w:tcPr>
            <w:tcW w:w="2841" w:type="dxa"/>
            <w:tcBorders>
              <w:top w:val="single" w:color="auto" w:sz="4" w:space="0"/>
              <w:left w:val="single" w:color="auto" w:sz="4" w:space="0"/>
              <w:bottom w:val="single" w:color="auto" w:sz="4" w:space="0"/>
              <w:right w:val="single" w:color="auto" w:sz="4" w:space="0"/>
            </w:tcBorders>
            <w:vAlign w:val="center"/>
          </w:tcPr>
          <w:p w14:paraId="1FD8EE1E">
            <w:pPr>
              <w:spacing w:line="360" w:lineRule="auto"/>
              <w:jc w:val="both"/>
              <w:rPr>
                <w:rFonts w:ascii="Arial" w:hAnsi="Arial" w:cs="Arial"/>
              </w:rPr>
            </w:pPr>
            <w:r>
              <w:rPr>
                <w:rFonts w:ascii="Arial" w:hAnsi="Arial" w:cs="Arial"/>
              </w:rPr>
              <w:t>ML/DL power predictive and classification tasks (e.g., fraud detection, text-based forecasting) and are cited to indicate technical sophistication in accounting analytics.</w:t>
            </w:r>
          </w:p>
        </w:tc>
        <w:tc>
          <w:tcPr>
            <w:tcW w:w="2841" w:type="dxa"/>
            <w:tcBorders>
              <w:top w:val="single" w:color="auto" w:sz="4" w:space="0"/>
              <w:left w:val="single" w:color="auto" w:sz="4" w:space="0"/>
              <w:bottom w:val="single" w:color="auto" w:sz="4" w:space="0"/>
              <w:right w:val="single" w:color="auto" w:sz="4" w:space="0"/>
            </w:tcBorders>
            <w:vAlign w:val="center"/>
          </w:tcPr>
          <w:p w14:paraId="1FD8EE1F">
            <w:pPr>
              <w:spacing w:line="360" w:lineRule="auto"/>
              <w:jc w:val="both"/>
              <w:rPr>
                <w:rFonts w:ascii="Arial" w:hAnsi="Arial" w:cs="Arial"/>
              </w:rPr>
            </w:pPr>
            <w:r>
              <w:rPr>
                <w:rFonts w:ascii="Arial" w:hAnsi="Arial" w:cs="Arial"/>
              </w:rPr>
              <w:t xml:space="preserve">Kraus, M., &amp; Feuerriegel, S. (2017). Decision support from financial disclosures with deep neural networks and transfer learning. Decision Support Systems, 104, 38–48. </w:t>
            </w:r>
            <w:r>
              <w:fldChar w:fldCharType="begin"/>
            </w:r>
            <w:r>
              <w:instrText xml:space="preserve"> HYPERLINK "https://doi.org/10.1016/j.dss.2017.10.001" </w:instrText>
            </w:r>
            <w:r>
              <w:fldChar w:fldCharType="separate"/>
            </w:r>
            <w:r>
              <w:rPr>
                <w:rStyle w:val="17"/>
                <w:rFonts w:ascii="Arial" w:hAnsi="Arial" w:cs="Arial"/>
              </w:rPr>
              <w:t>https://doi.org/10.1016/j.dss.2017.10.001</w:t>
            </w:r>
            <w:r>
              <w:rPr>
                <w:rStyle w:val="17"/>
                <w:rFonts w:ascii="Arial" w:hAnsi="Arial" w:cs="Arial"/>
              </w:rPr>
              <w:fldChar w:fldCharType="end"/>
            </w:r>
            <w:r>
              <w:rPr>
                <w:rFonts w:ascii="Arial" w:hAnsi="Arial" w:cs="Arial"/>
              </w:rPr>
              <w:t xml:space="preserve"> </w:t>
            </w:r>
          </w:p>
        </w:tc>
      </w:tr>
      <w:tr w14:paraId="1FD8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14:paraId="1FD8EE21">
            <w:pPr>
              <w:spacing w:line="360" w:lineRule="auto"/>
              <w:jc w:val="both"/>
              <w:rPr>
                <w:rFonts w:ascii="Arial" w:hAnsi="Arial" w:cs="Arial"/>
              </w:rPr>
            </w:pPr>
            <w:r>
              <w:rPr>
                <w:rFonts w:ascii="Arial" w:hAnsi="Arial" w:cs="Arial"/>
              </w:rPr>
              <w:t xml:space="preserve">Robotic Process Automation (RPA) </w:t>
            </w:r>
          </w:p>
        </w:tc>
        <w:tc>
          <w:tcPr>
            <w:tcW w:w="2841" w:type="dxa"/>
            <w:tcBorders>
              <w:top w:val="single" w:color="auto" w:sz="4" w:space="0"/>
              <w:left w:val="single" w:color="auto" w:sz="4" w:space="0"/>
              <w:bottom w:val="single" w:color="auto" w:sz="4" w:space="0"/>
              <w:right w:val="single" w:color="auto" w:sz="4" w:space="0"/>
            </w:tcBorders>
            <w:vAlign w:val="center"/>
          </w:tcPr>
          <w:p w14:paraId="1FD8EE22">
            <w:pPr>
              <w:spacing w:line="360" w:lineRule="auto"/>
              <w:jc w:val="both"/>
              <w:rPr>
                <w:rFonts w:ascii="Arial" w:hAnsi="Arial" w:cs="Arial"/>
              </w:rPr>
            </w:pPr>
            <w:r>
              <w:rPr>
                <w:rFonts w:ascii="Arial" w:hAnsi="Arial" w:cs="Arial"/>
              </w:rPr>
              <w:t>RPA automates rule-based accounting tasks (data entry, reconciliation, reporting) and is frequently disclosed alongside AI as part of operational modernization.</w:t>
            </w:r>
          </w:p>
        </w:tc>
        <w:tc>
          <w:tcPr>
            <w:tcW w:w="2841" w:type="dxa"/>
            <w:tcBorders>
              <w:top w:val="single" w:color="auto" w:sz="4" w:space="0"/>
              <w:left w:val="single" w:color="auto" w:sz="4" w:space="0"/>
              <w:bottom w:val="single" w:color="auto" w:sz="4" w:space="0"/>
              <w:right w:val="single" w:color="auto" w:sz="4" w:space="0"/>
            </w:tcBorders>
            <w:vAlign w:val="center"/>
          </w:tcPr>
          <w:p w14:paraId="1FD8EE23">
            <w:pPr>
              <w:spacing w:line="360" w:lineRule="auto"/>
              <w:jc w:val="both"/>
              <w:rPr>
                <w:rFonts w:ascii="Arial" w:hAnsi="Arial" w:cs="Arial"/>
              </w:rPr>
            </w:pPr>
            <w:r>
              <w:rPr>
                <w:rFonts w:ascii="Arial" w:hAnsi="Arial" w:cs="Arial"/>
              </w:rPr>
              <w:t xml:space="preserve">Kokina, J., &amp; Blanchette, S. (2019). Early evidence of digital labor in accounting: Innovation with robotic process automation. International Journal of Accounting Information Systems, 35, 100431. </w:t>
            </w:r>
            <w:r>
              <w:fldChar w:fldCharType="begin"/>
            </w:r>
            <w:r>
              <w:instrText xml:space="preserve"> HYPERLINK "https://doi.org/10.1016/j.accinf.2019.100431" </w:instrText>
            </w:r>
            <w:r>
              <w:fldChar w:fldCharType="separate"/>
            </w:r>
            <w:r>
              <w:rPr>
                <w:rStyle w:val="17"/>
                <w:rFonts w:ascii="Arial" w:hAnsi="Arial" w:cs="Arial"/>
              </w:rPr>
              <w:t>https://doi.org/10.1016/j.accinf.2019.100431</w:t>
            </w:r>
            <w:r>
              <w:rPr>
                <w:rStyle w:val="17"/>
                <w:rFonts w:ascii="Arial" w:hAnsi="Arial" w:cs="Arial"/>
              </w:rPr>
              <w:fldChar w:fldCharType="end"/>
            </w:r>
            <w:r>
              <w:rPr>
                <w:rFonts w:ascii="Arial" w:hAnsi="Arial" w:cs="Arial"/>
              </w:rPr>
              <w:t xml:space="preserve"> ; Rozario, A. M., Vasarhelyi, M. A., &amp; others (AAAHQ study) Robotic process automation in public accounting. Accounting Horizons, 33(4), 15–35. </w:t>
            </w:r>
            <w:r>
              <w:fldChar w:fldCharType="begin"/>
            </w:r>
            <w:r>
              <w:instrText xml:space="preserve"> HYPERLINK "https://doi.org/10.2308/acch-52466" </w:instrText>
            </w:r>
            <w:r>
              <w:fldChar w:fldCharType="separate"/>
            </w:r>
            <w:r>
              <w:rPr>
                <w:rStyle w:val="17"/>
                <w:rFonts w:ascii="Arial" w:hAnsi="Arial" w:cs="Arial"/>
              </w:rPr>
              <w:t>https://doi.org/10.2308/acch-52466</w:t>
            </w:r>
            <w:r>
              <w:rPr>
                <w:rStyle w:val="17"/>
                <w:rFonts w:ascii="Arial" w:hAnsi="Arial" w:cs="Arial"/>
              </w:rPr>
              <w:fldChar w:fldCharType="end"/>
            </w:r>
          </w:p>
        </w:tc>
      </w:tr>
      <w:tr w14:paraId="1FD8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14:paraId="1FD8EE25">
            <w:pPr>
              <w:spacing w:line="360" w:lineRule="auto"/>
              <w:jc w:val="both"/>
              <w:rPr>
                <w:rFonts w:ascii="Arial" w:hAnsi="Arial" w:cs="Arial"/>
              </w:rPr>
            </w:pPr>
            <w:r>
              <w:rPr>
                <w:rFonts w:ascii="Arial" w:hAnsi="Arial" w:cs="Arial"/>
              </w:rPr>
              <w:t>Natural Language Processing (NLP) &amp; Neural Networks</w:t>
            </w:r>
          </w:p>
        </w:tc>
        <w:tc>
          <w:tcPr>
            <w:tcW w:w="2841" w:type="dxa"/>
            <w:tcBorders>
              <w:top w:val="single" w:color="auto" w:sz="4" w:space="0"/>
              <w:left w:val="single" w:color="auto" w:sz="4" w:space="0"/>
              <w:bottom w:val="single" w:color="auto" w:sz="4" w:space="0"/>
              <w:right w:val="single" w:color="auto" w:sz="4" w:space="0"/>
            </w:tcBorders>
            <w:vAlign w:val="center"/>
          </w:tcPr>
          <w:p w14:paraId="1FD8EE26">
            <w:pPr>
              <w:spacing w:line="360" w:lineRule="auto"/>
              <w:jc w:val="both"/>
              <w:rPr>
                <w:rFonts w:ascii="Arial" w:hAnsi="Arial" w:cs="Arial"/>
              </w:rPr>
            </w:pPr>
            <w:r>
              <w:rPr>
                <w:rFonts w:ascii="Arial" w:hAnsi="Arial" w:cs="Arial"/>
              </w:rPr>
              <w:t>NLP and neural networks analyze unstructured textual disclosures (e.g., reports, earnings calls) to extract sentiment and topics, evidencing AI use in narrative data.</w:t>
            </w:r>
          </w:p>
        </w:tc>
        <w:tc>
          <w:tcPr>
            <w:tcW w:w="2841" w:type="dxa"/>
            <w:tcBorders>
              <w:top w:val="single" w:color="auto" w:sz="4" w:space="0"/>
              <w:left w:val="single" w:color="auto" w:sz="4" w:space="0"/>
              <w:bottom w:val="single" w:color="auto" w:sz="4" w:space="0"/>
              <w:right w:val="single" w:color="auto" w:sz="4" w:space="0"/>
            </w:tcBorders>
            <w:vAlign w:val="center"/>
          </w:tcPr>
          <w:p w14:paraId="1FD8EE27">
            <w:pPr>
              <w:spacing w:line="360" w:lineRule="auto"/>
              <w:jc w:val="both"/>
              <w:rPr>
                <w:rFonts w:ascii="Arial" w:hAnsi="Arial" w:cs="Arial"/>
              </w:rPr>
            </w:pPr>
            <w:r>
              <w:rPr>
                <w:rFonts w:ascii="Arial" w:hAnsi="Arial" w:cs="Arial"/>
              </w:rPr>
              <w:t xml:space="preserve">Loughran, T., &amp; McDonald, B. (2016). Textual analysis in accounting and finance: A survey. Journal of Accounting Research, 54(4), 1187–1230. </w:t>
            </w:r>
            <w:r>
              <w:fldChar w:fldCharType="begin"/>
            </w:r>
            <w:r>
              <w:instrText xml:space="preserve"> HYPERLINK "https://doi.org/10.1111/1475-679X.12123" </w:instrText>
            </w:r>
            <w:r>
              <w:fldChar w:fldCharType="separate"/>
            </w:r>
            <w:r>
              <w:rPr>
                <w:rStyle w:val="17"/>
                <w:rFonts w:ascii="Arial" w:hAnsi="Arial" w:cs="Arial"/>
              </w:rPr>
              <w:t>https://doi.org/10.1111/1475-679X.12123</w:t>
            </w:r>
            <w:r>
              <w:rPr>
                <w:rStyle w:val="17"/>
                <w:rFonts w:ascii="Arial" w:hAnsi="Arial" w:cs="Arial"/>
              </w:rPr>
              <w:fldChar w:fldCharType="end"/>
            </w:r>
            <w:r>
              <w:rPr>
                <w:rFonts w:ascii="Arial" w:hAnsi="Arial" w:cs="Arial"/>
              </w:rPr>
              <w:t xml:space="preserve"> </w:t>
            </w:r>
          </w:p>
        </w:tc>
      </w:tr>
      <w:tr w14:paraId="1FD8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14:paraId="1FD8EE29">
            <w:pPr>
              <w:spacing w:line="360" w:lineRule="auto"/>
              <w:jc w:val="both"/>
              <w:rPr>
                <w:rFonts w:ascii="Arial" w:hAnsi="Arial" w:cs="Arial"/>
              </w:rPr>
            </w:pPr>
            <w:r>
              <w:rPr>
                <w:rFonts w:ascii="Arial" w:hAnsi="Arial" w:cs="Arial"/>
              </w:rPr>
              <w:t>Expert Systems (ES)</w:t>
            </w:r>
          </w:p>
        </w:tc>
        <w:tc>
          <w:tcPr>
            <w:tcW w:w="2841" w:type="dxa"/>
            <w:tcBorders>
              <w:top w:val="single" w:color="auto" w:sz="4" w:space="0"/>
              <w:left w:val="single" w:color="auto" w:sz="4" w:space="0"/>
              <w:bottom w:val="single" w:color="auto" w:sz="4" w:space="0"/>
              <w:right w:val="single" w:color="auto" w:sz="4" w:space="0"/>
            </w:tcBorders>
            <w:vAlign w:val="center"/>
          </w:tcPr>
          <w:p w14:paraId="1FD8EE2A">
            <w:pPr>
              <w:spacing w:line="360" w:lineRule="auto"/>
              <w:jc w:val="both"/>
              <w:rPr>
                <w:rFonts w:ascii="Arial" w:hAnsi="Arial" w:cs="Arial"/>
              </w:rPr>
            </w:pPr>
            <w:r>
              <w:rPr>
                <w:rFonts w:ascii="Arial" w:hAnsi="Arial" w:cs="Arial"/>
              </w:rPr>
              <w:t>ES are earlier AI tools used in auditing, tax, and financial reporting; though less common now, they illustrate the historical lineage of intelligent accounting systems.</w:t>
            </w:r>
          </w:p>
        </w:tc>
        <w:tc>
          <w:tcPr>
            <w:tcW w:w="2841" w:type="dxa"/>
            <w:tcBorders>
              <w:top w:val="single" w:color="auto" w:sz="4" w:space="0"/>
              <w:left w:val="single" w:color="auto" w:sz="4" w:space="0"/>
              <w:bottom w:val="single" w:color="auto" w:sz="4" w:space="0"/>
              <w:right w:val="single" w:color="auto" w:sz="4" w:space="0"/>
            </w:tcBorders>
            <w:vAlign w:val="center"/>
          </w:tcPr>
          <w:p w14:paraId="1FD8EE2B">
            <w:pPr>
              <w:spacing w:line="360" w:lineRule="auto"/>
              <w:jc w:val="both"/>
              <w:rPr>
                <w:rFonts w:ascii="Arial" w:hAnsi="Arial" w:cs="Arial"/>
              </w:rPr>
            </w:pPr>
            <w:r>
              <w:rPr>
                <w:rFonts w:ascii="Arial" w:hAnsi="Arial" w:cs="Arial"/>
              </w:rPr>
              <w:t xml:space="preserve">O’Leary, D. E. (1987). Validation of expert systems—with applications to auditing and accounting expert systems. Decision Sciences, 18(3), 468–486. </w:t>
            </w:r>
            <w:r>
              <w:fldChar w:fldCharType="begin"/>
            </w:r>
            <w:r>
              <w:instrText xml:space="preserve"> HYPERLINK "https://doi.org/10.1111/j.1540-5915.1987.tb01536.x" </w:instrText>
            </w:r>
            <w:r>
              <w:fldChar w:fldCharType="separate"/>
            </w:r>
            <w:r>
              <w:rPr>
                <w:rStyle w:val="17"/>
                <w:rFonts w:ascii="Arial" w:hAnsi="Arial" w:cs="Arial"/>
              </w:rPr>
              <w:t>https://doi.org/10.1111/j.1540-5915.1987.tb01536.x</w:t>
            </w:r>
            <w:r>
              <w:rPr>
                <w:rStyle w:val="17"/>
                <w:rFonts w:ascii="Arial" w:hAnsi="Arial" w:cs="Arial"/>
              </w:rPr>
              <w:fldChar w:fldCharType="end"/>
            </w:r>
          </w:p>
        </w:tc>
      </w:tr>
      <w:tr w14:paraId="1FD8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vAlign w:val="center"/>
          </w:tcPr>
          <w:p w14:paraId="1FD8EE2D">
            <w:pPr>
              <w:spacing w:line="360" w:lineRule="auto"/>
              <w:jc w:val="both"/>
              <w:rPr>
                <w:rFonts w:ascii="Arial" w:hAnsi="Arial" w:cs="Arial"/>
              </w:rPr>
            </w:pPr>
            <w:r>
              <w:rPr>
                <w:rFonts w:ascii="Arial" w:hAnsi="Arial" w:cs="Arial"/>
              </w:rPr>
              <w:t xml:space="preserve">Automation </w:t>
            </w:r>
          </w:p>
        </w:tc>
        <w:tc>
          <w:tcPr>
            <w:tcW w:w="2841" w:type="dxa"/>
            <w:tcBorders>
              <w:top w:val="single" w:color="auto" w:sz="4" w:space="0"/>
              <w:left w:val="single" w:color="auto" w:sz="4" w:space="0"/>
              <w:bottom w:val="single" w:color="auto" w:sz="4" w:space="0"/>
              <w:right w:val="single" w:color="auto" w:sz="4" w:space="0"/>
            </w:tcBorders>
            <w:vAlign w:val="center"/>
          </w:tcPr>
          <w:p w14:paraId="1FD8EE2E">
            <w:pPr>
              <w:spacing w:line="360" w:lineRule="auto"/>
              <w:jc w:val="both"/>
              <w:rPr>
                <w:rFonts w:ascii="Arial" w:hAnsi="Arial" w:cs="Arial"/>
              </w:rPr>
            </w:pPr>
            <w:r>
              <w:rPr>
                <w:rFonts w:ascii="Arial" w:hAnsi="Arial" w:cs="Arial"/>
              </w:rPr>
              <w:t>Broader automation in accounting (including ML/RPA/AI) is disclosed for its impact on internal controls, reporting quality, and end-to-end process sredesign.</w:t>
            </w:r>
          </w:p>
        </w:tc>
        <w:tc>
          <w:tcPr>
            <w:tcW w:w="2841" w:type="dxa"/>
            <w:tcBorders>
              <w:top w:val="single" w:color="auto" w:sz="4" w:space="0"/>
              <w:left w:val="single" w:color="auto" w:sz="4" w:space="0"/>
              <w:bottom w:val="single" w:color="auto" w:sz="4" w:space="0"/>
              <w:right w:val="single" w:color="auto" w:sz="4" w:space="0"/>
            </w:tcBorders>
            <w:vAlign w:val="center"/>
          </w:tcPr>
          <w:p w14:paraId="1FD8EE2F">
            <w:pPr>
              <w:spacing w:line="360" w:lineRule="auto"/>
              <w:jc w:val="both"/>
              <w:rPr>
                <w:rFonts w:ascii="Arial" w:hAnsi="Arial" w:cs="Arial"/>
              </w:rPr>
            </w:pPr>
            <w:r>
              <w:rPr>
                <w:rFonts w:ascii="Arial" w:hAnsi="Arial" w:cs="Arial"/>
              </w:rPr>
              <w:t xml:space="preserve">Ashraf, M. (2024). Does automation improve financial reporting? Evidence from internal controls. Review of Accounting Studies, 30(1), 436–479 (2025 issue). </w:t>
            </w:r>
            <w:r>
              <w:fldChar w:fldCharType="begin"/>
            </w:r>
            <w:r>
              <w:instrText xml:space="preserve"> HYPERLINK "https://doi.org/10.1007/s11142-024-09822-y" </w:instrText>
            </w:r>
            <w:r>
              <w:fldChar w:fldCharType="separate"/>
            </w:r>
            <w:r>
              <w:rPr>
                <w:rStyle w:val="17"/>
                <w:rFonts w:ascii="Arial" w:hAnsi="Arial" w:cs="Arial"/>
              </w:rPr>
              <w:t>https://doi.org/10.1007/s11142-024-09822-y</w:t>
            </w:r>
            <w:r>
              <w:rPr>
                <w:rStyle w:val="17"/>
                <w:rFonts w:ascii="Arial" w:hAnsi="Arial" w:cs="Arial"/>
              </w:rPr>
              <w:fldChar w:fldCharType="end"/>
            </w:r>
            <w:r>
              <w:rPr>
                <w:rFonts w:ascii="Arial" w:hAnsi="Arial" w:cs="Arial"/>
              </w:rPr>
              <w:t xml:space="preserve"> ; Kokina, J., &amp; Davenport, T. H. (2017). Journal of Emerging Technologies in Accounting, 14(1), 115–122. </w:t>
            </w:r>
            <w:r>
              <w:fldChar w:fldCharType="begin"/>
            </w:r>
            <w:r>
              <w:instrText xml:space="preserve"> HYPERLINK "https://doi.org/10.2308/jeta-51730" </w:instrText>
            </w:r>
            <w:r>
              <w:fldChar w:fldCharType="separate"/>
            </w:r>
            <w:r>
              <w:rPr>
                <w:rStyle w:val="17"/>
                <w:rFonts w:ascii="Arial" w:hAnsi="Arial" w:cs="Arial"/>
              </w:rPr>
              <w:t>https://doi.org/10.2308/jeta-51730</w:t>
            </w:r>
            <w:r>
              <w:rPr>
                <w:rStyle w:val="17"/>
                <w:rFonts w:ascii="Arial" w:hAnsi="Arial" w:cs="Arial"/>
              </w:rPr>
              <w:fldChar w:fldCharType="end"/>
            </w:r>
            <w:r>
              <w:rPr>
                <w:rFonts w:ascii="Arial" w:hAnsi="Arial" w:cs="Arial"/>
              </w:rPr>
              <w:t xml:space="preserve"> </w:t>
            </w:r>
          </w:p>
        </w:tc>
      </w:tr>
      <w:tr w14:paraId="1FD8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tcPr>
          <w:p w14:paraId="1FD8EE31">
            <w:pPr>
              <w:spacing w:line="360" w:lineRule="auto"/>
              <w:jc w:val="both"/>
              <w:rPr>
                <w:rFonts w:ascii="Arial" w:hAnsi="Arial" w:cs="Arial"/>
              </w:rPr>
            </w:pPr>
            <w:r>
              <w:rPr>
                <w:rFonts w:ascii="Arial" w:hAnsi="Arial" w:cs="Arial"/>
              </w:rPr>
              <w:t>Automation</w:t>
            </w:r>
          </w:p>
        </w:tc>
        <w:tc>
          <w:tcPr>
            <w:tcW w:w="2841" w:type="dxa"/>
            <w:tcBorders>
              <w:top w:val="single" w:color="auto" w:sz="4" w:space="0"/>
              <w:left w:val="single" w:color="auto" w:sz="4" w:space="0"/>
              <w:bottom w:val="single" w:color="auto" w:sz="4" w:space="0"/>
              <w:right w:val="single" w:color="auto" w:sz="4" w:space="0"/>
            </w:tcBorders>
          </w:tcPr>
          <w:p w14:paraId="1FD8EE32">
            <w:pPr>
              <w:spacing w:line="360" w:lineRule="auto"/>
              <w:jc w:val="both"/>
              <w:rPr>
                <w:rFonts w:ascii="Arial" w:hAnsi="Arial" w:cs="Arial"/>
              </w:rPr>
            </w:pPr>
            <w:r>
              <w:rPr>
                <w:rFonts w:ascii="Arial" w:hAnsi="Arial" w:cs="Arial"/>
              </w:rPr>
              <w:t>Broader automation in accounting (including ML/RPA/AI) is disclosed for its impact on internal controls, reporting quality, and end-to-end process redesign.</w:t>
            </w:r>
          </w:p>
        </w:tc>
        <w:tc>
          <w:tcPr>
            <w:tcW w:w="2841" w:type="dxa"/>
            <w:tcBorders>
              <w:top w:val="single" w:color="auto" w:sz="4" w:space="0"/>
              <w:left w:val="single" w:color="auto" w:sz="4" w:space="0"/>
              <w:bottom w:val="single" w:color="auto" w:sz="4" w:space="0"/>
              <w:right w:val="single" w:color="auto" w:sz="4" w:space="0"/>
            </w:tcBorders>
          </w:tcPr>
          <w:p w14:paraId="1FD8EE33">
            <w:pPr>
              <w:spacing w:line="360" w:lineRule="auto"/>
              <w:jc w:val="both"/>
              <w:rPr>
                <w:rFonts w:ascii="Arial" w:hAnsi="Arial" w:cs="Arial"/>
              </w:rPr>
            </w:pPr>
            <w:r>
              <w:rPr>
                <w:rFonts w:ascii="Arial" w:hAnsi="Arial" w:cs="Arial"/>
              </w:rPr>
              <w:t>Ashraf, M. (2024). Does automation improve financial reporting? Evidence from internal controls. Review of Accounting Studies, 30(1), 436–479.</w:t>
            </w:r>
            <w:r>
              <w:fldChar w:fldCharType="begin"/>
            </w:r>
            <w:r>
              <w:instrText xml:space="preserve"> HYPERLINK "https://doi.org/10.1007/s11142-024-09822-y" </w:instrText>
            </w:r>
            <w:r>
              <w:fldChar w:fldCharType="separate"/>
            </w:r>
            <w:r>
              <w:rPr>
                <w:rStyle w:val="17"/>
                <w:rFonts w:ascii="Arial" w:hAnsi="Arial" w:cs="Arial"/>
              </w:rPr>
              <w:t>https://doi.org/10.1007/s11142-024-09822-y</w:t>
            </w:r>
            <w:r>
              <w:rPr>
                <w:rStyle w:val="17"/>
                <w:rFonts w:ascii="Arial" w:hAnsi="Arial" w:cs="Arial"/>
              </w:rPr>
              <w:fldChar w:fldCharType="end"/>
            </w:r>
          </w:p>
        </w:tc>
      </w:tr>
    </w:tbl>
    <w:p w14:paraId="1FD8EE35">
      <w:pPr>
        <w:spacing w:line="360" w:lineRule="auto"/>
        <w:jc w:val="both"/>
        <w:rPr>
          <w:rFonts w:ascii="Arial" w:hAnsi="Arial" w:cs="Arial"/>
        </w:rPr>
      </w:pPr>
      <w:r>
        <w:rPr>
          <w:rFonts w:ascii="Arial" w:hAnsi="Arial" w:cs="Arial"/>
        </w:rPr>
        <w:t xml:space="preserve"> </w:t>
      </w:r>
    </w:p>
    <w:p w14:paraId="1FD8EE36">
      <w:pPr>
        <w:pStyle w:val="2"/>
        <w:jc w:val="center"/>
        <w:rPr>
          <w:rFonts w:ascii="Arial" w:hAnsi="Arial" w:eastAsia="Arial" w:cs="Arial"/>
          <w:sz w:val="32"/>
          <w:szCs w:val="32"/>
        </w:rPr>
      </w:pPr>
      <w:r>
        <w:rPr>
          <w:b/>
          <w:bCs/>
        </w:rPr>
        <w:br w:type="page"/>
      </w:r>
      <w:bookmarkStart w:id="28" w:name="_Toc214714428"/>
      <w:r>
        <w:rPr>
          <w:rFonts w:ascii="Arial" w:hAnsi="Arial" w:eastAsia="Arial" w:cs="Arial"/>
          <w:sz w:val="32"/>
          <w:szCs w:val="32"/>
        </w:rPr>
        <w:t>CHAPTER III: RESEARCH METHODS</w:t>
      </w:r>
      <w:bookmarkEnd w:id="28"/>
    </w:p>
    <w:p w14:paraId="1FD8EE37"/>
    <w:p w14:paraId="1FD8EE38">
      <w:pPr>
        <w:pStyle w:val="3"/>
        <w:rPr>
          <w:lang w:val="en-AU"/>
        </w:rPr>
      </w:pPr>
      <w:bookmarkStart w:id="29" w:name="_Toc214714429"/>
      <w:r>
        <w:rPr>
          <w:lang w:val="en-AU"/>
        </w:rPr>
        <w:t>3.1 Research Design</w:t>
      </w:r>
      <w:bookmarkEnd w:id="29"/>
    </w:p>
    <w:p w14:paraId="1FD8EE39">
      <w:pPr>
        <w:rPr>
          <w:lang w:val="en-AU"/>
        </w:rPr>
      </w:pPr>
    </w:p>
    <w:p w14:paraId="1FD8EE3A">
      <w:pPr>
        <w:spacing w:line="360" w:lineRule="auto"/>
        <w:jc w:val="both"/>
        <w:rPr>
          <w:rFonts w:ascii="Arial" w:hAnsi="Arial" w:cs="Arial"/>
          <w:b/>
          <w:bCs/>
        </w:rPr>
      </w:pPr>
      <w:r>
        <w:rPr>
          <w:rFonts w:ascii="Arial" w:hAnsi="Arial" w:cs="Arial"/>
          <w:b/>
          <w:bCs/>
        </w:rPr>
        <w:t>Data Design</w:t>
      </w:r>
    </w:p>
    <w:p w14:paraId="1FD8EE3B">
      <w:pPr>
        <w:spacing w:line="360" w:lineRule="auto"/>
        <w:jc w:val="both"/>
        <w:rPr>
          <w:rFonts w:ascii="Arial" w:hAnsi="Arial" w:cs="Arial"/>
        </w:rPr>
      </w:pPr>
      <w:r>
        <w:rPr>
          <w:rFonts w:ascii="Arial" w:hAnsi="Arial" w:cs="Arial"/>
        </w:rPr>
        <w:t xml:space="preserve">This study is based on </w:t>
      </w:r>
      <w:r>
        <w:rPr>
          <w:rFonts w:ascii="Arial" w:hAnsi="Arial" w:cs="Arial"/>
          <w:b/>
          <w:bCs/>
        </w:rPr>
        <w:t>secondary data</w:t>
      </w:r>
      <w:r>
        <w:rPr>
          <w:rFonts w:ascii="Arial" w:hAnsi="Arial" w:cs="Arial"/>
        </w:rPr>
        <w:t xml:space="preserve"> collected from the </w:t>
      </w:r>
      <w:r>
        <w:rPr>
          <w:rFonts w:ascii="Arial" w:hAnsi="Arial" w:cs="Arial"/>
          <w:b/>
          <w:bCs/>
        </w:rPr>
        <w:t>top 10 gainers (as of June 30, 2025)</w:t>
      </w:r>
      <w:r>
        <w:rPr>
          <w:rFonts w:ascii="Arial" w:hAnsi="Arial" w:cs="Arial"/>
        </w:rPr>
        <w:t xml:space="preserve"> listed on the stock exchanges of seven South Asian countries:</w:t>
      </w:r>
    </w:p>
    <w:p w14:paraId="1FD8EE3C">
      <w:pPr>
        <w:numPr>
          <w:ilvl w:val="0"/>
          <w:numId w:val="4"/>
        </w:numPr>
        <w:spacing w:line="360" w:lineRule="auto"/>
        <w:jc w:val="both"/>
        <w:rPr>
          <w:rFonts w:ascii="Arial" w:hAnsi="Arial" w:cs="Arial"/>
        </w:rPr>
      </w:pPr>
      <w:bookmarkStart w:id="30" w:name="_Hlk214713152"/>
      <w:r>
        <w:rPr>
          <w:rFonts w:ascii="Arial" w:hAnsi="Arial" w:cs="Arial"/>
          <w:b/>
          <w:bCs/>
        </w:rPr>
        <w:t>India</w:t>
      </w:r>
      <w:r>
        <w:rPr>
          <w:rFonts w:ascii="Arial" w:hAnsi="Arial" w:cs="Arial"/>
        </w:rPr>
        <w:t xml:space="preserve"> – National Stock Exchange of India (NSE)</w:t>
      </w:r>
    </w:p>
    <w:p w14:paraId="1FD8EE3D">
      <w:pPr>
        <w:numPr>
          <w:ilvl w:val="0"/>
          <w:numId w:val="4"/>
        </w:numPr>
        <w:spacing w:line="360" w:lineRule="auto"/>
        <w:jc w:val="both"/>
        <w:rPr>
          <w:rFonts w:ascii="Arial" w:hAnsi="Arial" w:cs="Arial"/>
        </w:rPr>
      </w:pPr>
      <w:r>
        <w:rPr>
          <w:rFonts w:ascii="Arial" w:hAnsi="Arial" w:cs="Arial"/>
          <w:b/>
          <w:bCs/>
        </w:rPr>
        <w:t>Pakistan</w:t>
      </w:r>
      <w:r>
        <w:rPr>
          <w:rFonts w:ascii="Arial" w:hAnsi="Arial" w:cs="Arial"/>
        </w:rPr>
        <w:t xml:space="preserve"> – Pakistan Stock Exchange (PSX)</w:t>
      </w:r>
    </w:p>
    <w:p w14:paraId="1FD8EE3E">
      <w:pPr>
        <w:numPr>
          <w:ilvl w:val="0"/>
          <w:numId w:val="4"/>
        </w:numPr>
        <w:spacing w:line="360" w:lineRule="auto"/>
        <w:jc w:val="both"/>
        <w:rPr>
          <w:rFonts w:ascii="Arial" w:hAnsi="Arial" w:cs="Arial"/>
        </w:rPr>
      </w:pPr>
      <w:r>
        <w:rPr>
          <w:rFonts w:ascii="Arial" w:hAnsi="Arial" w:cs="Arial"/>
          <w:b/>
          <w:bCs/>
        </w:rPr>
        <w:t>Bangladesh</w:t>
      </w:r>
      <w:r>
        <w:rPr>
          <w:rFonts w:ascii="Arial" w:hAnsi="Arial" w:cs="Arial"/>
        </w:rPr>
        <w:t xml:space="preserve"> – Dhaka Stock Exchange (DSE)</w:t>
      </w:r>
    </w:p>
    <w:p w14:paraId="1FD8EE3F">
      <w:pPr>
        <w:numPr>
          <w:ilvl w:val="0"/>
          <w:numId w:val="4"/>
        </w:numPr>
        <w:spacing w:line="360" w:lineRule="auto"/>
        <w:jc w:val="both"/>
        <w:rPr>
          <w:rFonts w:ascii="Arial" w:hAnsi="Arial" w:cs="Arial"/>
        </w:rPr>
      </w:pPr>
      <w:r>
        <w:rPr>
          <w:rFonts w:ascii="Arial" w:hAnsi="Arial" w:cs="Arial"/>
          <w:b/>
          <w:bCs/>
        </w:rPr>
        <w:t>Sri Lanka</w:t>
      </w:r>
      <w:r>
        <w:rPr>
          <w:rFonts w:ascii="Arial" w:hAnsi="Arial" w:cs="Arial"/>
        </w:rPr>
        <w:t xml:space="preserve"> – Colombo Stock Exchange (CSE)</w:t>
      </w:r>
    </w:p>
    <w:p w14:paraId="1FD8EE40">
      <w:pPr>
        <w:numPr>
          <w:ilvl w:val="0"/>
          <w:numId w:val="4"/>
        </w:numPr>
        <w:spacing w:line="360" w:lineRule="auto"/>
        <w:jc w:val="both"/>
        <w:rPr>
          <w:rFonts w:ascii="Arial" w:hAnsi="Arial" w:cs="Arial"/>
        </w:rPr>
      </w:pPr>
      <w:r>
        <w:rPr>
          <w:rFonts w:ascii="Arial" w:hAnsi="Arial" w:cs="Arial"/>
          <w:b/>
          <w:bCs/>
        </w:rPr>
        <w:t>Nepal</w:t>
      </w:r>
      <w:r>
        <w:rPr>
          <w:rFonts w:ascii="Arial" w:hAnsi="Arial" w:cs="Arial"/>
        </w:rPr>
        <w:t xml:space="preserve"> – Nepal Stock Exchange (NEPSE)</w:t>
      </w:r>
    </w:p>
    <w:p w14:paraId="1FD8EE41">
      <w:pPr>
        <w:numPr>
          <w:ilvl w:val="0"/>
          <w:numId w:val="4"/>
        </w:numPr>
        <w:spacing w:line="360" w:lineRule="auto"/>
        <w:jc w:val="both"/>
        <w:rPr>
          <w:rFonts w:ascii="Arial" w:hAnsi="Arial" w:cs="Arial"/>
        </w:rPr>
      </w:pPr>
      <w:r>
        <w:rPr>
          <w:rFonts w:ascii="Arial" w:hAnsi="Arial" w:cs="Arial"/>
          <w:b/>
          <w:bCs/>
        </w:rPr>
        <w:t>Bhutan</w:t>
      </w:r>
      <w:r>
        <w:rPr>
          <w:rFonts w:ascii="Arial" w:hAnsi="Arial" w:cs="Arial"/>
        </w:rPr>
        <w:t xml:space="preserve"> – Royal Securities Exchange of Bhutan (RSEB)</w:t>
      </w:r>
    </w:p>
    <w:p w14:paraId="1FD8EE42">
      <w:pPr>
        <w:numPr>
          <w:ilvl w:val="0"/>
          <w:numId w:val="4"/>
        </w:numPr>
        <w:spacing w:line="360" w:lineRule="auto"/>
        <w:jc w:val="both"/>
        <w:rPr>
          <w:rFonts w:ascii="Arial" w:hAnsi="Arial" w:cs="Arial"/>
        </w:rPr>
      </w:pPr>
      <w:r>
        <w:rPr>
          <w:rFonts w:ascii="Arial" w:hAnsi="Arial" w:cs="Arial"/>
          <w:b/>
          <w:bCs/>
        </w:rPr>
        <w:t>Maldives</w:t>
      </w:r>
      <w:r>
        <w:rPr>
          <w:rFonts w:ascii="Arial" w:hAnsi="Arial" w:cs="Arial"/>
        </w:rPr>
        <w:t xml:space="preserve"> – Maldives Stock Exchange (MSE)</w:t>
      </w:r>
    </w:p>
    <w:bookmarkEnd w:id="30"/>
    <w:p w14:paraId="1FD8EE43">
      <w:pPr>
        <w:spacing w:line="360" w:lineRule="auto"/>
        <w:ind w:left="420"/>
        <w:jc w:val="both"/>
        <w:rPr>
          <w:rFonts w:ascii="Arial" w:hAnsi="Arial" w:cs="Arial"/>
        </w:rPr>
      </w:pPr>
    </w:p>
    <w:p w14:paraId="1FD8EE44">
      <w:pPr>
        <w:spacing w:line="360" w:lineRule="auto"/>
        <w:jc w:val="both"/>
        <w:rPr>
          <w:rFonts w:ascii="Arial" w:hAnsi="Arial" w:cs="Arial"/>
          <w:lang w:val="en-AU"/>
        </w:rPr>
      </w:pPr>
      <w:r>
        <w:rPr>
          <w:rFonts w:ascii="Arial" w:hAnsi="Arial" w:cs="Arial"/>
          <w:lang w:val="en-AU"/>
        </w:rPr>
        <w:t xml:space="preserve">Although an official exchange has been discussed being set up for Afghanistan, the </w:t>
      </w:r>
      <w:bookmarkStart w:id="31" w:name="_Hlk214713159"/>
      <w:r>
        <w:rPr>
          <w:rFonts w:ascii="Arial" w:hAnsi="Arial" w:cs="Arial"/>
          <w:lang w:val="en-AU"/>
        </w:rPr>
        <w:t xml:space="preserve">Afghanistan Stock Exchange (ASE) </w:t>
      </w:r>
      <w:bookmarkEnd w:id="31"/>
      <w:r>
        <w:rPr>
          <w:rFonts w:ascii="Arial" w:hAnsi="Arial" w:cs="Arial"/>
          <w:lang w:val="en-AU"/>
        </w:rPr>
        <w:t>since 2011, as of yet none have been operational. Its finance system, still old banking under the Da Afghanistan Bank.</w:t>
      </w:r>
    </w:p>
    <w:p w14:paraId="1FD8EE45">
      <w:pPr>
        <w:spacing w:line="360" w:lineRule="auto"/>
        <w:jc w:val="both"/>
        <w:rPr>
          <w:rFonts w:ascii="Arial" w:hAnsi="Arial" w:cs="Arial"/>
          <w:lang w:val="en-AU"/>
        </w:rPr>
      </w:pPr>
      <w:r>
        <w:rPr>
          <w:rFonts w:ascii="Arial" w:hAnsi="Arial" w:cs="Arial"/>
          <w:lang w:val="en-AU"/>
        </w:rPr>
        <w:t>All these topmost firms were followed for five years (2020–2024) in their published annual reports. A search yielded 240 annual reports. There were some company reports that we could not get: because there was no digital archive for some companies, or the firm didn’t leave a full annual report every year. Hence, such idiosyncratic characteristics are also to be expected in the South Asian emerging markets, wherein annual report disclosure practices vary at firm and sector levels (Akhtaruddin, 2005). Accordingly, we only selected firms with open and audited annual reports to ensure the quality of this statistic.</w:t>
      </w:r>
    </w:p>
    <w:p w14:paraId="1FD8EE46">
      <w:pPr>
        <w:spacing w:line="360" w:lineRule="auto"/>
        <w:jc w:val="both"/>
        <w:rPr>
          <w:rFonts w:ascii="Arial" w:hAnsi="Arial" w:cs="Arial"/>
          <w:b/>
          <w:bCs/>
        </w:rPr>
      </w:pPr>
      <w:r>
        <w:rPr>
          <w:rFonts w:ascii="Arial" w:hAnsi="Arial" w:cs="Arial"/>
          <w:b/>
          <w:bCs/>
        </w:rPr>
        <w:t>Searching Algorithm</w:t>
      </w:r>
    </w:p>
    <w:p w14:paraId="1FD8EE47">
      <w:pPr>
        <w:spacing w:line="360" w:lineRule="auto"/>
        <w:jc w:val="both"/>
        <w:rPr>
          <w:rFonts w:ascii="Arial" w:hAnsi="Arial" w:cs="Arial"/>
          <w:lang w:val="en-AU"/>
        </w:rPr>
      </w:pPr>
      <w:r>
        <w:rPr>
          <w:rFonts w:ascii="Arial" w:hAnsi="Arial" w:cs="Arial"/>
          <w:lang w:val="en-AU"/>
        </w:rPr>
        <w:t xml:space="preserve">In fact, firms have only just begun to show evidence of their use of AI and related technologies — not just internally but in the open through filings for disclosure and narratives. These disclosures could feature words like </w:t>
      </w:r>
      <w:r>
        <w:rPr>
          <w:rFonts w:ascii="Arial" w:hAnsi="Arial" w:cs="Arial"/>
          <w:i/>
          <w:iCs/>
          <w:lang w:val="en-AU"/>
        </w:rPr>
        <w:t>“Artificial intelligence”, ”Machine Learning”, “Deep Learning”, “Robotic Process Automation”, “Natural Language Processing”, “Neural Networks”, “Expert System”, “Automation”, “Analytics” and “Big Data”</w:t>
      </w:r>
      <w:r>
        <w:rPr>
          <w:rFonts w:ascii="Arial" w:hAnsi="Arial" w:cs="Arial"/>
          <w:lang w:val="en-AU"/>
        </w:rPr>
        <w:t>. The use of, or not using such terms in the annual reports is more than a technical move; they are also sending signals to stakeholders about the fact that technologies have been transformed into accumulated firm and that it will be controlling risk and its openness wish encapsulates expected norms (Hasan, 2022).</w:t>
      </w:r>
    </w:p>
    <w:p w14:paraId="1FD8EE48">
      <w:pPr>
        <w:spacing w:line="360" w:lineRule="auto"/>
        <w:jc w:val="both"/>
        <w:rPr>
          <w:rFonts w:ascii="Arial" w:hAnsi="Arial" w:cs="Arial"/>
          <w:lang w:val="en-AU"/>
        </w:rPr>
      </w:pPr>
    </w:p>
    <w:p w14:paraId="1FD8EE49">
      <w:pPr>
        <w:spacing w:line="360" w:lineRule="auto"/>
        <w:jc w:val="both"/>
        <w:rPr>
          <w:rFonts w:ascii="Arial" w:hAnsi="Arial" w:cs="Arial"/>
          <w:b/>
          <w:bCs/>
        </w:rPr>
      </w:pPr>
      <w:r>
        <w:rPr>
          <w:rFonts w:ascii="Arial" w:hAnsi="Arial" w:cs="Arial"/>
          <w:b/>
          <w:bCs/>
        </w:rPr>
        <w:t>2. Sample Design</w:t>
      </w:r>
    </w:p>
    <w:p w14:paraId="1FD8EE4A">
      <w:pPr>
        <w:spacing w:line="360" w:lineRule="auto"/>
        <w:jc w:val="both"/>
        <w:rPr>
          <w:rFonts w:ascii="Arial" w:hAnsi="Arial" w:cs="Arial"/>
        </w:rPr>
      </w:pPr>
      <w:r>
        <w:rPr>
          <w:rFonts w:ascii="Arial" w:hAnsi="Arial" w:cs="Arial"/>
        </w:rPr>
        <w:t xml:space="preserve">The initial research scope covered </w:t>
      </w:r>
      <w:r>
        <w:rPr>
          <w:rFonts w:ascii="Arial" w:hAnsi="Arial" w:cs="Arial"/>
          <w:b/>
          <w:bCs/>
        </w:rPr>
        <w:t>eight countries</w:t>
      </w:r>
      <w:r>
        <w:rPr>
          <w:rFonts w:ascii="Arial" w:hAnsi="Arial" w:cs="Arial"/>
        </w:rPr>
        <w:t xml:space="preserve"> in South Asia, but was reduced to </w:t>
      </w:r>
      <w:r>
        <w:rPr>
          <w:rFonts w:ascii="Arial" w:hAnsi="Arial" w:cs="Arial"/>
          <w:b/>
          <w:bCs/>
        </w:rPr>
        <w:t>seven</w:t>
      </w:r>
      <w:r>
        <w:rPr>
          <w:rFonts w:ascii="Arial" w:hAnsi="Arial" w:cs="Arial"/>
        </w:rPr>
        <w:t xml:space="preserve"> due to Afghanistan’s lack of a functioning stock exchange. From each exchange, the </w:t>
      </w:r>
      <w:r>
        <w:rPr>
          <w:rFonts w:ascii="Arial" w:hAnsi="Arial" w:cs="Arial"/>
          <w:b/>
          <w:bCs/>
        </w:rPr>
        <w:t>top 10 gainers</w:t>
      </w:r>
      <w:r>
        <w:rPr>
          <w:rFonts w:ascii="Arial" w:hAnsi="Arial" w:cs="Arial"/>
        </w:rPr>
        <w:t xml:space="preserve"> were selected as representative samples of firms demonstrating growth and investor appeal. From each company, </w:t>
      </w:r>
      <w:r>
        <w:rPr>
          <w:rFonts w:ascii="Arial" w:hAnsi="Arial" w:cs="Arial"/>
          <w:b/>
          <w:bCs/>
        </w:rPr>
        <w:t>five years of annual reports</w:t>
      </w:r>
      <w:r>
        <w:rPr>
          <w:rFonts w:ascii="Arial" w:hAnsi="Arial" w:cs="Arial"/>
        </w:rPr>
        <w:t xml:space="preserve"> (2020–2024) were collected, yielding a total of </w:t>
      </w:r>
      <w:r>
        <w:rPr>
          <w:rFonts w:ascii="Arial" w:hAnsi="Arial" w:cs="Arial"/>
          <w:b/>
          <w:bCs/>
        </w:rPr>
        <w:t>240 reports</w:t>
      </w:r>
      <w:r>
        <w:rPr>
          <w:rFonts w:ascii="Arial" w:hAnsi="Arial" w:cs="Arial"/>
        </w:rPr>
        <w:t xml:space="preserve"> (7 × 10 × 5 = 350 planned, but ~240 available). Among the other reports some were unavailable, some were confidential and in Maldives there are only 9 listed companies available in the stocks exchange This sampling method allows for a focused, cross-country comparative perspective on how leading firms disclose AI-related terminology.</w:t>
      </w:r>
    </w:p>
    <w:p w14:paraId="1FD8EE4B">
      <w:pPr>
        <w:spacing w:line="360" w:lineRule="auto"/>
        <w:jc w:val="both"/>
        <w:rPr>
          <w:rFonts w:ascii="Arial" w:hAnsi="Arial" w:cs="Arial"/>
        </w:rPr>
      </w:pPr>
    </w:p>
    <w:p w14:paraId="1FD8EE4C">
      <w:pPr>
        <w:spacing w:line="360" w:lineRule="auto"/>
        <w:jc w:val="both"/>
        <w:rPr>
          <w:rFonts w:ascii="Arial" w:hAnsi="Arial" w:cs="Arial"/>
          <w:b/>
          <w:bCs/>
        </w:rPr>
      </w:pPr>
    </w:p>
    <w:p w14:paraId="1FD8EE4D">
      <w:pPr>
        <w:spacing w:line="360" w:lineRule="auto"/>
        <w:jc w:val="both"/>
        <w:rPr>
          <w:rFonts w:ascii="Arial" w:hAnsi="Arial" w:cs="Arial"/>
          <w:b/>
          <w:bCs/>
        </w:rPr>
      </w:pPr>
    </w:p>
    <w:p w14:paraId="1FD8EE4E">
      <w:pPr>
        <w:spacing w:line="360" w:lineRule="auto"/>
        <w:jc w:val="both"/>
        <w:rPr>
          <w:rFonts w:ascii="Arial" w:hAnsi="Arial" w:cs="Arial"/>
          <w:b/>
          <w:bCs/>
        </w:rPr>
      </w:pPr>
    </w:p>
    <w:p w14:paraId="1FD8EE4F">
      <w:pPr>
        <w:spacing w:line="360" w:lineRule="auto"/>
        <w:jc w:val="both"/>
        <w:rPr>
          <w:rFonts w:ascii="Arial" w:hAnsi="Arial" w:cs="Arial"/>
          <w:b/>
          <w:bCs/>
        </w:rPr>
      </w:pPr>
    </w:p>
    <w:p w14:paraId="1FD8EE50">
      <w:pPr>
        <w:spacing w:line="360" w:lineRule="auto"/>
        <w:jc w:val="both"/>
        <w:rPr>
          <w:rFonts w:ascii="Arial" w:hAnsi="Arial" w:cs="Arial"/>
          <w:b/>
          <w:bCs/>
        </w:rPr>
      </w:pPr>
      <w:bookmarkStart w:id="32" w:name="_Hlk214711849"/>
    </w:p>
    <w:p w14:paraId="1FD8EE51">
      <w:pPr>
        <w:spacing w:line="360" w:lineRule="auto"/>
        <w:jc w:val="both"/>
        <w:rPr>
          <w:rFonts w:ascii="Arial" w:hAnsi="Arial" w:cs="Arial"/>
          <w:b/>
          <w:bCs/>
        </w:rPr>
      </w:pPr>
      <w:r>
        <w:rPr>
          <w:rFonts w:ascii="Arial" w:hAnsi="Arial" w:cs="Arial"/>
          <w:b/>
          <w:bCs/>
        </w:rPr>
        <w:t>Figure 1: Research Process</w:t>
      </w:r>
    </w:p>
    <w:bookmarkEnd w:id="32"/>
    <w:p w14:paraId="1FD8EE52">
      <w:pPr>
        <w:spacing w:line="360" w:lineRule="auto"/>
        <w:jc w:val="both"/>
        <w:rPr>
          <w:rFonts w:ascii="Arial" w:hAnsi="Arial" w:cs="Arial"/>
        </w:rPr>
      </w:pPr>
      <w:r>
        <w:rPr>
          <w:rFonts w:ascii="Arial" w:hAnsi="Arial" w:cs="Arial"/>
        </w:rPr>
        <w:drawing>
          <wp:inline distT="0" distB="0" distL="0" distR="0">
            <wp:extent cx="5969000" cy="6150610"/>
            <wp:effectExtent l="0" t="0" r="0" b="2540"/>
            <wp:docPr id="52703681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36817"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980347" cy="6162302"/>
                    </a:xfrm>
                    <a:prstGeom prst="rect">
                      <a:avLst/>
                    </a:prstGeom>
                    <a:noFill/>
                    <a:ln>
                      <a:noFill/>
                    </a:ln>
                  </pic:spPr>
                </pic:pic>
              </a:graphicData>
            </a:graphic>
          </wp:inline>
        </w:drawing>
      </w:r>
      <w:r>
        <w:rPr>
          <w:rFonts w:ascii="Arial" w:hAnsi="Arial" w:cs="Arial"/>
        </w:rPr>
        <w:br w:type="textWrapping"/>
      </w:r>
    </w:p>
    <w:p w14:paraId="1FD8EE53">
      <w:pPr>
        <w:spacing w:line="360" w:lineRule="auto"/>
        <w:jc w:val="both"/>
        <w:rPr>
          <w:rFonts w:ascii="Arial" w:hAnsi="Arial" w:cs="Arial"/>
        </w:rPr>
      </w:pPr>
    </w:p>
    <w:p w14:paraId="1FD8EE54">
      <w:pPr>
        <w:spacing w:line="360" w:lineRule="auto"/>
        <w:jc w:val="both"/>
        <w:rPr>
          <w:rFonts w:ascii="Arial" w:hAnsi="Arial" w:cs="Arial"/>
          <w:b/>
          <w:bCs/>
        </w:rPr>
      </w:pPr>
    </w:p>
    <w:p w14:paraId="1FD8EE55">
      <w:pPr>
        <w:spacing w:line="360" w:lineRule="auto"/>
        <w:jc w:val="both"/>
        <w:rPr>
          <w:rFonts w:ascii="Arial" w:hAnsi="Arial" w:cs="Arial"/>
          <w:b/>
          <w:bCs/>
        </w:rPr>
      </w:pPr>
    </w:p>
    <w:p w14:paraId="1FD8EE56">
      <w:pPr>
        <w:spacing w:line="360" w:lineRule="auto"/>
        <w:jc w:val="both"/>
        <w:rPr>
          <w:rFonts w:ascii="Arial" w:hAnsi="Arial" w:cs="Arial"/>
          <w:b/>
          <w:bCs/>
        </w:rPr>
      </w:pPr>
      <w:r>
        <w:rPr>
          <w:rFonts w:ascii="Arial" w:hAnsi="Arial" w:cs="Arial"/>
          <w:b/>
          <w:bCs/>
        </w:rPr>
        <w:t>2. Research Tools</w:t>
      </w:r>
    </w:p>
    <w:p w14:paraId="1FD8EE57">
      <w:pPr>
        <w:spacing w:line="360" w:lineRule="auto"/>
        <w:jc w:val="both"/>
        <w:rPr>
          <w:rFonts w:ascii="Arial" w:hAnsi="Arial" w:cs="Arial"/>
          <w:b/>
          <w:bCs/>
        </w:rPr>
      </w:pPr>
    </w:p>
    <w:p w14:paraId="1FD8EE58">
      <w:pPr>
        <w:spacing w:line="360" w:lineRule="auto"/>
        <w:jc w:val="both"/>
        <w:rPr>
          <w:rFonts w:ascii="Arial" w:hAnsi="Arial" w:cs="Arial"/>
          <w:b/>
          <w:bCs/>
        </w:rPr>
      </w:pPr>
      <w:r>
        <w:rPr>
          <w:rFonts w:ascii="Arial" w:hAnsi="Arial" w:cs="Arial"/>
          <w:b/>
          <w:bCs/>
        </w:rPr>
        <w:t>a. Content Analysis</w:t>
      </w:r>
    </w:p>
    <w:p w14:paraId="1FD8EE59">
      <w:pPr>
        <w:spacing w:line="360" w:lineRule="auto"/>
        <w:jc w:val="both"/>
        <w:rPr>
          <w:rFonts w:ascii="Arial" w:hAnsi="Arial" w:cs="Arial"/>
          <w:lang w:val="en-AU"/>
        </w:rPr>
      </w:pPr>
      <w:r>
        <w:rPr>
          <w:rFonts w:ascii="Arial" w:hAnsi="Arial" w:cs="Arial"/>
          <w:lang w:val="en-AU"/>
        </w:rPr>
        <w:t>We used content analysis to systematically identify and quantify the use of AI and digital technology–related keywords across listed firms’ annual reports on seven South Asian stock exchanges (2020–2024). This method is appropriate in that it offers an objective, repeatable, and evidence-based way to ‘search’ through large quantities of textual information (Li, 2010). Through this method, the research examines how firms report on technology development and adoption of AI in annual reports.</w:t>
      </w:r>
    </w:p>
    <w:p w14:paraId="1FD8EE5A">
      <w:pPr>
        <w:spacing w:line="360" w:lineRule="auto"/>
        <w:jc w:val="both"/>
        <w:rPr>
          <w:rFonts w:ascii="Arial" w:hAnsi="Arial" w:cs="Arial"/>
          <w:lang w:val="en-AU"/>
        </w:rPr>
      </w:pPr>
      <w:r>
        <w:rPr>
          <w:rFonts w:ascii="Arial" w:hAnsi="Arial" w:cs="Arial"/>
          <w:lang w:val="en-AU"/>
        </w:rPr>
        <w:t>We selected 10 keywords related to AI for our analysis. These terms were also identified in sample of previous studies explicitly capturing digital transformation, accounting or disclosure (Appelbaum et al., 2017; Kraus &amp; Feuerriegel, 2017). Every keyword is a distinct technology emphasis that sheds light on the manner in which organizations are applying and messaging there AI-driven innovation.</w:t>
      </w:r>
    </w:p>
    <w:p w14:paraId="1FD8EE5B">
      <w:pPr>
        <w:spacing w:line="360" w:lineRule="auto"/>
        <w:jc w:val="both"/>
        <w:rPr>
          <w:rFonts w:ascii="Arial" w:hAnsi="Arial" w:cs="Arial"/>
          <w:lang w:val="en-AU"/>
        </w:rPr>
      </w:pPr>
    </w:p>
    <w:p w14:paraId="1FD8EE5C">
      <w:pPr>
        <w:spacing w:line="360" w:lineRule="auto"/>
        <w:jc w:val="both"/>
        <w:rPr>
          <w:rFonts w:ascii="Arial" w:hAnsi="Arial" w:cs="Arial"/>
          <w:b/>
          <w:bCs/>
        </w:rPr>
      </w:pPr>
      <w:r>
        <w:rPr>
          <w:rFonts w:ascii="Arial" w:hAnsi="Arial" w:cs="Arial"/>
          <w:b/>
          <w:bCs/>
        </w:rPr>
        <w:t>Searching algorithms –</w:t>
      </w:r>
    </w:p>
    <w:p w14:paraId="1FD8EE5D">
      <w:pPr>
        <w:spacing w:line="360" w:lineRule="auto"/>
        <w:jc w:val="both"/>
        <w:rPr>
          <w:rFonts w:ascii="Arial" w:hAnsi="Arial" w:cs="Arial"/>
          <w:b/>
          <w:bCs/>
        </w:rPr>
      </w:pPr>
    </w:p>
    <w:p w14:paraId="1FD8EE5E">
      <w:pPr>
        <w:spacing w:line="360" w:lineRule="auto"/>
        <w:jc w:val="both"/>
        <w:rPr>
          <w:rFonts w:ascii="Arial" w:hAnsi="Arial" w:cs="Arial"/>
          <w:b/>
          <w:bCs/>
        </w:rPr>
      </w:pPr>
      <w:r>
        <w:rPr>
          <w:rFonts w:ascii="Arial" w:hAnsi="Arial" w:cs="Arial"/>
          <w:b/>
          <w:bCs/>
        </w:rPr>
        <w:t>Table 2: Key words and Comments</w:t>
      </w:r>
    </w:p>
    <w:tbl>
      <w:tblPr>
        <w:tblStyle w:val="21"/>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6865"/>
      </w:tblGrid>
      <w:tr w14:paraId="1FD8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5F">
            <w:pPr>
              <w:spacing w:line="360" w:lineRule="auto"/>
              <w:jc w:val="both"/>
              <w:rPr>
                <w:rFonts w:ascii="Arial" w:hAnsi="Arial" w:cs="Arial"/>
                <w:b/>
                <w:bCs/>
              </w:rPr>
            </w:pPr>
            <w:r>
              <w:rPr>
                <w:rFonts w:ascii="Arial" w:hAnsi="Arial" w:cs="Arial"/>
                <w:b/>
                <w:bCs/>
              </w:rPr>
              <w:t>Keyword</w:t>
            </w:r>
          </w:p>
        </w:tc>
        <w:tc>
          <w:tcPr>
            <w:tcW w:w="6865" w:type="dxa"/>
            <w:tcBorders>
              <w:top w:val="single" w:color="auto" w:sz="4" w:space="0"/>
              <w:left w:val="single" w:color="auto" w:sz="4" w:space="0"/>
              <w:bottom w:val="single" w:color="auto" w:sz="4" w:space="0"/>
              <w:right w:val="single" w:color="auto" w:sz="4" w:space="0"/>
            </w:tcBorders>
            <w:vAlign w:val="center"/>
          </w:tcPr>
          <w:p w14:paraId="1FD8EE60">
            <w:pPr>
              <w:spacing w:line="360" w:lineRule="auto"/>
              <w:jc w:val="both"/>
              <w:rPr>
                <w:rFonts w:ascii="Arial" w:hAnsi="Arial" w:cs="Arial"/>
                <w:b/>
                <w:bCs/>
              </w:rPr>
            </w:pPr>
            <w:r>
              <w:rPr>
                <w:rFonts w:ascii="Arial" w:hAnsi="Arial" w:cs="Arial"/>
                <w:b/>
                <w:bCs/>
              </w:rPr>
              <w:t>Comments</w:t>
            </w:r>
          </w:p>
        </w:tc>
      </w:tr>
      <w:tr w14:paraId="1FD8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62">
            <w:pPr>
              <w:spacing w:line="360" w:lineRule="auto"/>
              <w:jc w:val="both"/>
              <w:rPr>
                <w:rFonts w:ascii="Arial" w:hAnsi="Arial" w:cs="Arial"/>
                <w:b/>
                <w:bCs/>
              </w:rPr>
            </w:pPr>
            <w:r>
              <w:rPr>
                <w:rFonts w:ascii="Arial" w:hAnsi="Arial" w:cs="Arial"/>
                <w:b/>
                <w:bCs/>
              </w:rPr>
              <w:t>Artificial Intelligence</w:t>
            </w:r>
          </w:p>
        </w:tc>
        <w:tc>
          <w:tcPr>
            <w:tcW w:w="6865" w:type="dxa"/>
            <w:tcBorders>
              <w:top w:val="single" w:color="auto" w:sz="4" w:space="0"/>
              <w:left w:val="single" w:color="auto" w:sz="4" w:space="0"/>
              <w:bottom w:val="single" w:color="auto" w:sz="4" w:space="0"/>
              <w:right w:val="single" w:color="auto" w:sz="4" w:space="0"/>
            </w:tcBorders>
            <w:vAlign w:val="center"/>
          </w:tcPr>
          <w:p w14:paraId="1FD8EE63">
            <w:pPr>
              <w:spacing w:line="360" w:lineRule="auto"/>
              <w:jc w:val="both"/>
              <w:rPr>
                <w:rFonts w:ascii="Arial" w:hAnsi="Arial" w:cs="Arial"/>
              </w:rPr>
            </w:pPr>
            <w:r>
              <w:rPr>
                <w:rFonts w:ascii="Arial" w:hAnsi="Arial" w:cs="Arial"/>
              </w:rPr>
              <w:t>Captures overall discourse and general awareness of AI integration in business operations.</w:t>
            </w:r>
          </w:p>
        </w:tc>
      </w:tr>
      <w:tr w14:paraId="1FD8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65">
            <w:pPr>
              <w:spacing w:line="360" w:lineRule="auto"/>
              <w:jc w:val="both"/>
              <w:rPr>
                <w:rFonts w:ascii="Arial" w:hAnsi="Arial" w:cs="Arial"/>
                <w:b/>
                <w:bCs/>
              </w:rPr>
            </w:pPr>
            <w:r>
              <w:rPr>
                <w:rFonts w:ascii="Arial" w:hAnsi="Arial" w:cs="Arial"/>
                <w:b/>
                <w:bCs/>
              </w:rPr>
              <w:t>Machine Learning</w:t>
            </w:r>
          </w:p>
        </w:tc>
        <w:tc>
          <w:tcPr>
            <w:tcW w:w="6865" w:type="dxa"/>
            <w:tcBorders>
              <w:top w:val="single" w:color="auto" w:sz="4" w:space="0"/>
              <w:left w:val="single" w:color="auto" w:sz="4" w:space="0"/>
              <w:bottom w:val="single" w:color="auto" w:sz="4" w:space="0"/>
              <w:right w:val="single" w:color="auto" w:sz="4" w:space="0"/>
            </w:tcBorders>
            <w:vAlign w:val="center"/>
          </w:tcPr>
          <w:p w14:paraId="1FD8EE66">
            <w:pPr>
              <w:spacing w:line="360" w:lineRule="auto"/>
              <w:jc w:val="both"/>
              <w:rPr>
                <w:rFonts w:ascii="Arial" w:hAnsi="Arial" w:cs="Arial"/>
              </w:rPr>
            </w:pPr>
            <w:r>
              <w:rPr>
                <w:rFonts w:ascii="Arial" w:hAnsi="Arial" w:cs="Arial"/>
              </w:rPr>
              <w:t>Reflects data-driven predictive modeling widely used in finance and analytics.</w:t>
            </w:r>
          </w:p>
        </w:tc>
      </w:tr>
      <w:tr w14:paraId="1FD8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68">
            <w:pPr>
              <w:spacing w:line="360" w:lineRule="auto"/>
              <w:jc w:val="both"/>
              <w:rPr>
                <w:rFonts w:ascii="Arial" w:hAnsi="Arial" w:cs="Arial"/>
                <w:b/>
                <w:bCs/>
              </w:rPr>
            </w:pPr>
            <w:r>
              <w:rPr>
                <w:rFonts w:ascii="Arial" w:hAnsi="Arial" w:cs="Arial"/>
                <w:b/>
                <w:bCs/>
              </w:rPr>
              <w:t>Deep Learning</w:t>
            </w:r>
          </w:p>
        </w:tc>
        <w:tc>
          <w:tcPr>
            <w:tcW w:w="6865" w:type="dxa"/>
            <w:tcBorders>
              <w:top w:val="single" w:color="auto" w:sz="4" w:space="0"/>
              <w:left w:val="single" w:color="auto" w:sz="4" w:space="0"/>
              <w:bottom w:val="single" w:color="auto" w:sz="4" w:space="0"/>
              <w:right w:val="single" w:color="auto" w:sz="4" w:space="0"/>
            </w:tcBorders>
            <w:vAlign w:val="center"/>
          </w:tcPr>
          <w:p w14:paraId="1FD8EE69">
            <w:pPr>
              <w:spacing w:line="360" w:lineRule="auto"/>
              <w:jc w:val="both"/>
              <w:rPr>
                <w:rFonts w:ascii="Arial" w:hAnsi="Arial" w:cs="Arial"/>
              </w:rPr>
            </w:pPr>
            <w:r>
              <w:rPr>
                <w:rFonts w:ascii="Arial" w:hAnsi="Arial" w:cs="Arial"/>
              </w:rPr>
              <w:t>Indicates advanced AI applications, showing technological depth in firm disclosures.</w:t>
            </w:r>
          </w:p>
        </w:tc>
      </w:tr>
      <w:tr w14:paraId="1FD8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6B">
            <w:pPr>
              <w:spacing w:line="360" w:lineRule="auto"/>
              <w:jc w:val="both"/>
              <w:rPr>
                <w:rFonts w:ascii="Arial" w:hAnsi="Arial" w:cs="Arial"/>
                <w:b/>
                <w:bCs/>
              </w:rPr>
            </w:pPr>
            <w:r>
              <w:rPr>
                <w:rFonts w:ascii="Arial" w:hAnsi="Arial" w:cs="Arial"/>
                <w:b/>
                <w:bCs/>
              </w:rPr>
              <w:t>Robotic Process Automation (RPA)</w:t>
            </w:r>
          </w:p>
        </w:tc>
        <w:tc>
          <w:tcPr>
            <w:tcW w:w="6865" w:type="dxa"/>
            <w:tcBorders>
              <w:top w:val="single" w:color="auto" w:sz="4" w:space="0"/>
              <w:left w:val="single" w:color="auto" w:sz="4" w:space="0"/>
              <w:bottom w:val="single" w:color="auto" w:sz="4" w:space="0"/>
              <w:right w:val="single" w:color="auto" w:sz="4" w:space="0"/>
            </w:tcBorders>
            <w:vAlign w:val="center"/>
          </w:tcPr>
          <w:p w14:paraId="1FD8EE6C">
            <w:pPr>
              <w:spacing w:line="360" w:lineRule="auto"/>
              <w:jc w:val="both"/>
              <w:rPr>
                <w:rFonts w:ascii="Arial" w:hAnsi="Arial" w:cs="Arial"/>
              </w:rPr>
            </w:pPr>
            <w:r>
              <w:rPr>
                <w:rFonts w:ascii="Arial" w:hAnsi="Arial" w:cs="Arial"/>
              </w:rPr>
              <w:t>Represents automation of repetitive business processes, especially in accounting and reporting.</w:t>
            </w:r>
          </w:p>
        </w:tc>
      </w:tr>
      <w:tr w14:paraId="1FD8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6E">
            <w:pPr>
              <w:spacing w:line="360" w:lineRule="auto"/>
              <w:jc w:val="both"/>
              <w:rPr>
                <w:rFonts w:ascii="Arial" w:hAnsi="Arial" w:cs="Arial"/>
                <w:b/>
                <w:bCs/>
              </w:rPr>
            </w:pPr>
            <w:r>
              <w:rPr>
                <w:rFonts w:ascii="Arial" w:hAnsi="Arial" w:cs="Arial"/>
                <w:b/>
                <w:bCs/>
              </w:rPr>
              <w:t>Natural Language Processing (NLP)</w:t>
            </w:r>
          </w:p>
        </w:tc>
        <w:tc>
          <w:tcPr>
            <w:tcW w:w="6865" w:type="dxa"/>
            <w:tcBorders>
              <w:top w:val="single" w:color="auto" w:sz="4" w:space="0"/>
              <w:left w:val="single" w:color="auto" w:sz="4" w:space="0"/>
              <w:bottom w:val="single" w:color="auto" w:sz="4" w:space="0"/>
              <w:right w:val="single" w:color="auto" w:sz="4" w:space="0"/>
            </w:tcBorders>
            <w:vAlign w:val="center"/>
          </w:tcPr>
          <w:p w14:paraId="1FD8EE6F">
            <w:pPr>
              <w:spacing w:line="360" w:lineRule="auto"/>
              <w:jc w:val="both"/>
              <w:rPr>
                <w:rFonts w:ascii="Arial" w:hAnsi="Arial" w:cs="Arial"/>
              </w:rPr>
            </w:pPr>
            <w:r>
              <w:rPr>
                <w:rFonts w:ascii="Arial" w:hAnsi="Arial" w:cs="Arial"/>
              </w:rPr>
              <w:t>Highlights text and communication-based AI use (e.g., chatbots, data extraction).</w:t>
            </w:r>
          </w:p>
        </w:tc>
      </w:tr>
      <w:tr w14:paraId="1FD8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71">
            <w:pPr>
              <w:spacing w:line="360" w:lineRule="auto"/>
              <w:jc w:val="both"/>
              <w:rPr>
                <w:rFonts w:ascii="Arial" w:hAnsi="Arial" w:cs="Arial"/>
                <w:b/>
                <w:bCs/>
              </w:rPr>
            </w:pPr>
            <w:r>
              <w:rPr>
                <w:rFonts w:ascii="Arial" w:hAnsi="Arial" w:cs="Arial"/>
                <w:b/>
                <w:bCs/>
              </w:rPr>
              <w:t>Neural Networks</w:t>
            </w:r>
          </w:p>
        </w:tc>
        <w:tc>
          <w:tcPr>
            <w:tcW w:w="6865" w:type="dxa"/>
            <w:tcBorders>
              <w:top w:val="single" w:color="auto" w:sz="4" w:space="0"/>
              <w:left w:val="single" w:color="auto" w:sz="4" w:space="0"/>
              <w:bottom w:val="single" w:color="auto" w:sz="4" w:space="0"/>
              <w:right w:val="single" w:color="auto" w:sz="4" w:space="0"/>
            </w:tcBorders>
            <w:vAlign w:val="center"/>
          </w:tcPr>
          <w:p w14:paraId="1FD8EE72">
            <w:pPr>
              <w:spacing w:line="360" w:lineRule="auto"/>
              <w:jc w:val="both"/>
              <w:rPr>
                <w:rFonts w:ascii="Arial" w:hAnsi="Arial" w:cs="Arial"/>
              </w:rPr>
            </w:pPr>
            <w:r>
              <w:rPr>
                <w:rFonts w:ascii="Arial" w:hAnsi="Arial" w:cs="Arial"/>
              </w:rPr>
              <w:t>Suggests advanced computational methods for decision-making and analytics.</w:t>
            </w:r>
          </w:p>
        </w:tc>
      </w:tr>
      <w:tr w14:paraId="1FD8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74">
            <w:pPr>
              <w:spacing w:line="360" w:lineRule="auto"/>
              <w:jc w:val="both"/>
              <w:rPr>
                <w:rFonts w:ascii="Arial" w:hAnsi="Arial" w:cs="Arial"/>
                <w:b/>
                <w:bCs/>
              </w:rPr>
            </w:pPr>
            <w:r>
              <w:rPr>
                <w:rFonts w:ascii="Arial" w:hAnsi="Arial" w:cs="Arial"/>
                <w:b/>
                <w:bCs/>
              </w:rPr>
              <w:t>Expert Systems</w:t>
            </w:r>
          </w:p>
        </w:tc>
        <w:tc>
          <w:tcPr>
            <w:tcW w:w="6865" w:type="dxa"/>
            <w:tcBorders>
              <w:top w:val="single" w:color="auto" w:sz="4" w:space="0"/>
              <w:left w:val="single" w:color="auto" w:sz="4" w:space="0"/>
              <w:bottom w:val="single" w:color="auto" w:sz="4" w:space="0"/>
              <w:right w:val="single" w:color="auto" w:sz="4" w:space="0"/>
            </w:tcBorders>
            <w:vAlign w:val="center"/>
          </w:tcPr>
          <w:p w14:paraId="1FD8EE75">
            <w:pPr>
              <w:spacing w:line="360" w:lineRule="auto"/>
              <w:jc w:val="both"/>
              <w:rPr>
                <w:rFonts w:ascii="Arial" w:hAnsi="Arial" w:cs="Arial"/>
              </w:rPr>
            </w:pPr>
            <w:r>
              <w:rPr>
                <w:rFonts w:ascii="Arial" w:hAnsi="Arial" w:cs="Arial"/>
              </w:rPr>
              <w:t>Links to AI-based decision-support tools in corporate management and auditing.</w:t>
            </w:r>
          </w:p>
        </w:tc>
      </w:tr>
      <w:tr w14:paraId="1FD8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77">
            <w:pPr>
              <w:spacing w:line="360" w:lineRule="auto"/>
              <w:jc w:val="both"/>
              <w:rPr>
                <w:rFonts w:ascii="Arial" w:hAnsi="Arial" w:cs="Arial"/>
                <w:b/>
                <w:bCs/>
              </w:rPr>
            </w:pPr>
            <w:r>
              <w:rPr>
                <w:rFonts w:ascii="Arial" w:hAnsi="Arial" w:cs="Arial"/>
                <w:b/>
                <w:bCs/>
              </w:rPr>
              <w:t>Automation</w:t>
            </w:r>
          </w:p>
        </w:tc>
        <w:tc>
          <w:tcPr>
            <w:tcW w:w="6865" w:type="dxa"/>
            <w:tcBorders>
              <w:top w:val="single" w:color="auto" w:sz="4" w:space="0"/>
              <w:left w:val="single" w:color="auto" w:sz="4" w:space="0"/>
              <w:bottom w:val="single" w:color="auto" w:sz="4" w:space="0"/>
              <w:right w:val="single" w:color="auto" w:sz="4" w:space="0"/>
            </w:tcBorders>
            <w:vAlign w:val="center"/>
          </w:tcPr>
          <w:p w14:paraId="1FD8EE78">
            <w:pPr>
              <w:spacing w:line="360" w:lineRule="auto"/>
              <w:jc w:val="both"/>
              <w:rPr>
                <w:rFonts w:ascii="Arial" w:hAnsi="Arial" w:cs="Arial"/>
              </w:rPr>
            </w:pPr>
            <w:r>
              <w:rPr>
                <w:rFonts w:ascii="Arial" w:hAnsi="Arial" w:cs="Arial"/>
              </w:rPr>
              <w:t>General term representing mechanization and efficiency through technology.</w:t>
            </w:r>
          </w:p>
        </w:tc>
      </w:tr>
      <w:tr w14:paraId="1FD8E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7A">
            <w:pPr>
              <w:spacing w:line="360" w:lineRule="auto"/>
              <w:jc w:val="both"/>
              <w:rPr>
                <w:rFonts w:ascii="Arial" w:hAnsi="Arial" w:cs="Arial"/>
                <w:b/>
                <w:bCs/>
              </w:rPr>
            </w:pPr>
            <w:r>
              <w:rPr>
                <w:rFonts w:ascii="Arial" w:hAnsi="Arial" w:cs="Arial"/>
                <w:b/>
                <w:bCs/>
              </w:rPr>
              <w:t>Analytics</w:t>
            </w:r>
          </w:p>
        </w:tc>
        <w:tc>
          <w:tcPr>
            <w:tcW w:w="6865" w:type="dxa"/>
            <w:tcBorders>
              <w:top w:val="single" w:color="auto" w:sz="4" w:space="0"/>
              <w:left w:val="single" w:color="auto" w:sz="4" w:space="0"/>
              <w:bottom w:val="single" w:color="auto" w:sz="4" w:space="0"/>
              <w:right w:val="single" w:color="auto" w:sz="4" w:space="0"/>
            </w:tcBorders>
            <w:vAlign w:val="center"/>
          </w:tcPr>
          <w:p w14:paraId="1FD8EE7B">
            <w:pPr>
              <w:spacing w:line="360" w:lineRule="auto"/>
              <w:jc w:val="both"/>
              <w:rPr>
                <w:rFonts w:ascii="Arial" w:hAnsi="Arial" w:cs="Arial"/>
              </w:rPr>
            </w:pPr>
            <w:r>
              <w:rPr>
                <w:rFonts w:ascii="Arial" w:hAnsi="Arial" w:cs="Arial"/>
              </w:rPr>
              <w:t>Captures data interpretation and evidence-based decision-making culture.</w:t>
            </w:r>
          </w:p>
        </w:tc>
      </w:tr>
      <w:tr w14:paraId="1FD8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656" w:type="dxa"/>
            <w:tcBorders>
              <w:top w:val="single" w:color="auto" w:sz="4" w:space="0"/>
              <w:left w:val="single" w:color="auto" w:sz="4" w:space="0"/>
              <w:bottom w:val="single" w:color="auto" w:sz="4" w:space="0"/>
              <w:right w:val="single" w:color="auto" w:sz="4" w:space="0"/>
            </w:tcBorders>
            <w:vAlign w:val="center"/>
          </w:tcPr>
          <w:p w14:paraId="1FD8EE7D">
            <w:pPr>
              <w:spacing w:line="360" w:lineRule="auto"/>
              <w:jc w:val="both"/>
              <w:rPr>
                <w:rFonts w:ascii="Arial" w:hAnsi="Arial" w:cs="Arial"/>
                <w:b/>
                <w:bCs/>
              </w:rPr>
            </w:pPr>
            <w:r>
              <w:rPr>
                <w:rFonts w:ascii="Arial" w:hAnsi="Arial" w:cs="Arial"/>
                <w:b/>
                <w:bCs/>
              </w:rPr>
              <w:t>Big Data</w:t>
            </w:r>
          </w:p>
        </w:tc>
        <w:tc>
          <w:tcPr>
            <w:tcW w:w="6865" w:type="dxa"/>
            <w:tcBorders>
              <w:top w:val="single" w:color="auto" w:sz="4" w:space="0"/>
              <w:left w:val="single" w:color="auto" w:sz="4" w:space="0"/>
              <w:bottom w:val="single" w:color="auto" w:sz="4" w:space="0"/>
              <w:right w:val="single" w:color="auto" w:sz="4" w:space="0"/>
            </w:tcBorders>
            <w:vAlign w:val="center"/>
          </w:tcPr>
          <w:p w14:paraId="1FD8EE7E">
            <w:pPr>
              <w:spacing w:line="360" w:lineRule="auto"/>
              <w:jc w:val="both"/>
              <w:rPr>
                <w:rFonts w:ascii="Arial" w:hAnsi="Arial" w:cs="Arial"/>
              </w:rPr>
            </w:pPr>
            <w:r>
              <w:rPr>
                <w:rFonts w:ascii="Arial" w:hAnsi="Arial" w:cs="Arial"/>
              </w:rPr>
              <w:t>Indicates large-scale data utilization and digital infrastructure maturity.</w:t>
            </w:r>
          </w:p>
        </w:tc>
      </w:tr>
    </w:tbl>
    <w:p w14:paraId="1FD8EE80">
      <w:pPr>
        <w:spacing w:line="360" w:lineRule="auto"/>
        <w:jc w:val="both"/>
        <w:rPr>
          <w:rFonts w:ascii="Arial" w:hAnsi="Arial" w:cs="Arial"/>
        </w:rPr>
      </w:pPr>
    </w:p>
    <w:p w14:paraId="1FD8EE81">
      <w:pPr>
        <w:spacing w:line="360" w:lineRule="auto"/>
        <w:jc w:val="both"/>
        <w:rPr>
          <w:rFonts w:ascii="Arial" w:hAnsi="Arial" w:cs="Arial"/>
        </w:rPr>
      </w:pPr>
      <w:r>
        <w:rPr>
          <w:rFonts w:ascii="Arial" w:hAnsi="Arial" w:cs="Arial"/>
        </w:rPr>
        <w:t>Each firm’s annual report was analyzed to count the frequency of these terms. This quantitative approach allows consistent comparison across firms, sectors, and countries, highlighting differences in AI discourse intensity. The resulting patterns reflect how South Asian firms publicly position themselves within the ongoing wave of technological transformation.</w:t>
      </w:r>
    </w:p>
    <w:p w14:paraId="1FD8EE82">
      <w:pPr>
        <w:spacing w:line="360" w:lineRule="auto"/>
        <w:jc w:val="both"/>
        <w:rPr>
          <w:rFonts w:ascii="Arial" w:hAnsi="Arial" w:cs="Arial"/>
        </w:rPr>
      </w:pPr>
    </w:p>
    <w:p w14:paraId="1FD8EE83">
      <w:pPr>
        <w:spacing w:line="360" w:lineRule="auto"/>
        <w:jc w:val="both"/>
        <w:rPr>
          <w:rFonts w:ascii="Arial" w:hAnsi="Arial" w:cs="Arial"/>
        </w:rPr>
      </w:pPr>
    </w:p>
    <w:p w14:paraId="1FD8EE84">
      <w:pPr>
        <w:spacing w:line="360" w:lineRule="auto"/>
        <w:jc w:val="both"/>
        <w:rPr>
          <w:rFonts w:ascii="Arial" w:hAnsi="Arial" w:cs="Arial"/>
        </w:rPr>
      </w:pPr>
    </w:p>
    <w:p w14:paraId="1FD8EE85">
      <w:pPr>
        <w:spacing w:line="360" w:lineRule="auto"/>
        <w:jc w:val="both"/>
        <w:rPr>
          <w:rFonts w:ascii="Arial" w:hAnsi="Arial" w:cs="Arial"/>
        </w:rPr>
      </w:pPr>
    </w:p>
    <w:p w14:paraId="1FD8EE86">
      <w:pPr>
        <w:spacing w:line="360" w:lineRule="auto"/>
        <w:jc w:val="both"/>
        <w:rPr>
          <w:rFonts w:ascii="Arial" w:hAnsi="Arial" w:cs="Arial"/>
          <w:b/>
          <w:bCs/>
        </w:rPr>
      </w:pPr>
      <w:r>
        <w:rPr>
          <w:rFonts w:ascii="Arial" w:hAnsi="Arial" w:cs="Arial"/>
          <w:b/>
          <w:bCs/>
        </w:rPr>
        <w:t>b. Annual Reports as Data Sources</w:t>
      </w:r>
    </w:p>
    <w:p w14:paraId="1FD8EE87">
      <w:pPr>
        <w:spacing w:line="360" w:lineRule="auto"/>
        <w:jc w:val="both"/>
        <w:rPr>
          <w:rFonts w:ascii="Arial" w:hAnsi="Arial" w:cs="Arial"/>
          <w:b/>
          <w:bCs/>
        </w:rPr>
      </w:pPr>
    </w:p>
    <w:p w14:paraId="1FD8EE88">
      <w:pPr>
        <w:spacing w:line="360" w:lineRule="auto"/>
        <w:jc w:val="both"/>
        <w:rPr>
          <w:rFonts w:ascii="Arial" w:hAnsi="Arial" w:cs="Arial"/>
        </w:rPr>
      </w:pPr>
      <w:bookmarkStart w:id="33" w:name="_Hlk214493591"/>
      <w:r>
        <w:rPr>
          <w:rFonts w:ascii="Arial" w:hAnsi="Arial" w:cs="Arial"/>
        </w:rPr>
        <w:t>Annual reports were chosen for analysis because:</w:t>
      </w:r>
    </w:p>
    <w:p w14:paraId="1FD8EE89">
      <w:pPr>
        <w:spacing w:line="360" w:lineRule="auto"/>
        <w:jc w:val="both"/>
        <w:rPr>
          <w:rFonts w:ascii="Arial" w:hAnsi="Arial" w:cs="Arial"/>
        </w:rPr>
      </w:pPr>
      <w:r>
        <w:rPr>
          <w:rFonts w:ascii="Arial" w:hAnsi="Arial" w:cs="Arial"/>
          <w:b/>
          <w:bCs/>
        </w:rPr>
        <w:t>Credibility-</w:t>
      </w:r>
      <w:r>
        <w:rPr>
          <w:rFonts w:ascii="Arial" w:hAnsi="Arial" w:cs="Arial"/>
        </w:rPr>
        <w:t xml:space="preserve"> Annual reports of listed companies are usually accompanied by the independently audited financial statements as a source of external auditing that increases the credibility of investors and other interested parties (Ball, Jayaraman, and Shivakumar, 2012).</w:t>
      </w:r>
    </w:p>
    <w:p w14:paraId="1FD8EE8A">
      <w:pPr>
        <w:spacing w:line="360" w:lineRule="auto"/>
        <w:jc w:val="both"/>
        <w:rPr>
          <w:rFonts w:ascii="Arial" w:hAnsi="Arial" w:cs="Arial"/>
        </w:rPr>
      </w:pPr>
      <w:r>
        <w:rPr>
          <w:rFonts w:ascii="Arial" w:hAnsi="Arial" w:cs="Arial"/>
          <w:b/>
          <w:bCs/>
        </w:rPr>
        <w:t>Regularity</w:t>
      </w:r>
      <w:r>
        <w:rPr>
          <w:rFonts w:ascii="Arial" w:hAnsi="Arial" w:cs="Arial"/>
        </w:rPr>
        <w:t xml:space="preserve"> - They are issued on an annual basis which gives them uniform longitudinal information on which to analyse corporate trends and disclosure practices (Beattie, McInnes, and Fearnley, 2004).</w:t>
      </w:r>
    </w:p>
    <w:p w14:paraId="1FD8EE8B">
      <w:pPr>
        <w:spacing w:line="360" w:lineRule="auto"/>
        <w:jc w:val="both"/>
        <w:rPr>
          <w:rFonts w:ascii="Arial" w:hAnsi="Arial" w:cs="Arial"/>
        </w:rPr>
      </w:pPr>
      <w:r>
        <w:rPr>
          <w:rFonts w:ascii="Arial" w:hAnsi="Arial" w:cs="Arial"/>
          <w:b/>
          <w:bCs/>
        </w:rPr>
        <w:t>Public accountability</w:t>
      </w:r>
      <w:r>
        <w:rPr>
          <w:rFonts w:ascii="Arial" w:hAnsi="Arial" w:cs="Arial"/>
        </w:rPr>
        <w:t xml:space="preserve"> - Annual reports are being required disclosures of listed companies, which means that the accountability of the public and the legal adherence are represented (Healy and Palepu, 2001).</w:t>
      </w:r>
    </w:p>
    <w:p w14:paraId="1FD8EE8C">
      <w:pPr>
        <w:spacing w:line="360" w:lineRule="auto"/>
        <w:jc w:val="both"/>
        <w:rPr>
          <w:rFonts w:ascii="Arial" w:hAnsi="Arial" w:eastAsia="Times New Roman" w:cs="Arial"/>
          <w:kern w:val="0"/>
          <w14:ligatures w14:val="none"/>
        </w:rPr>
      </w:pPr>
      <w:r>
        <w:rPr>
          <w:rFonts w:ascii="Arial" w:hAnsi="Arial" w:cs="Arial"/>
          <w:b/>
          <w:bCs/>
        </w:rPr>
        <w:t>Comprehensiveness-</w:t>
      </w:r>
      <w:r>
        <w:rPr>
          <w:rFonts w:ascii="Arial" w:hAnsi="Arial" w:cs="Arial"/>
        </w:rPr>
        <w:t xml:space="preserve"> The annual reports are usually accompanied by management discussions and analysis and in most cases, strategic commentary on the future, therefore providing a complete disclosure environment (Li, 2010</w:t>
      </w:r>
      <w:r>
        <w:rPr>
          <w:rFonts w:ascii="Arial" w:hAnsi="Arial" w:cs="Arial"/>
          <w:b/>
          <w:bCs/>
        </w:rPr>
        <w:t>).</w:t>
      </w:r>
    </w:p>
    <w:p w14:paraId="1FD8EE8D">
      <w:pPr>
        <w:spacing w:line="360" w:lineRule="auto"/>
        <w:jc w:val="both"/>
        <w:rPr>
          <w:rFonts w:ascii="Arial" w:hAnsi="Arial" w:cs="Arial"/>
        </w:rPr>
      </w:pPr>
      <w:r>
        <w:rPr>
          <w:rFonts w:ascii="Arial" w:hAnsi="Arial" w:cs="Arial"/>
        </w:rPr>
        <w:br w:type="page"/>
      </w:r>
    </w:p>
    <w:bookmarkEnd w:id="33"/>
    <w:p w14:paraId="1FD8EE8E">
      <w:pPr>
        <w:pStyle w:val="2"/>
        <w:jc w:val="center"/>
        <w:rPr>
          <w:rFonts w:ascii="Arial" w:hAnsi="Arial" w:eastAsia="Arial" w:cs="Arial"/>
          <w:sz w:val="32"/>
          <w:szCs w:val="32"/>
        </w:rPr>
      </w:pPr>
      <w:bookmarkStart w:id="34" w:name="_Toc214714430"/>
      <w:r>
        <w:rPr>
          <w:rFonts w:ascii="Arial" w:hAnsi="Arial" w:eastAsia="Arial" w:cs="Arial"/>
          <w:sz w:val="32"/>
          <w:szCs w:val="32"/>
        </w:rPr>
        <w:t>CHAPTER IV: RESEARCH FINDINGS &amp; ANALYSIS</w:t>
      </w:r>
      <w:bookmarkEnd w:id="34"/>
    </w:p>
    <w:p w14:paraId="1FD8EE8F"/>
    <w:p w14:paraId="1FD8EE90"/>
    <w:p w14:paraId="1FD8EE91">
      <w:pPr>
        <w:spacing w:line="360" w:lineRule="auto"/>
        <w:jc w:val="both"/>
        <w:rPr>
          <w:rFonts w:ascii="Arial" w:hAnsi="Arial" w:cs="Arial"/>
          <w:b/>
          <w:bCs/>
        </w:rPr>
      </w:pPr>
      <w:bookmarkStart w:id="35" w:name="_Hlk214711937"/>
      <w:r>
        <w:rPr>
          <w:rFonts w:ascii="Arial" w:hAnsi="Arial" w:cs="Arial"/>
          <w:b/>
          <w:bCs/>
        </w:rPr>
        <w:t>Figure 2: Comparative Overview of AI Disclosures in South Asian Exchanges</w:t>
      </w:r>
    </w:p>
    <w:bookmarkEnd w:id="35"/>
    <w:p w14:paraId="1FD8EE92">
      <w:pPr>
        <w:spacing w:line="360" w:lineRule="auto"/>
        <w:jc w:val="both"/>
        <w:rPr>
          <w:rFonts w:ascii="Arial" w:hAnsi="Arial" w:cs="Arial"/>
          <w:b/>
          <w:bCs/>
        </w:rPr>
      </w:pPr>
    </w:p>
    <w:p w14:paraId="1FD8EE93">
      <w:pPr>
        <w:spacing w:line="360" w:lineRule="auto"/>
        <w:jc w:val="center"/>
        <w:rPr>
          <w:rFonts w:ascii="Arial" w:hAnsi="Arial" w:cs="Arial"/>
          <w:b/>
          <w:bCs/>
        </w:rPr>
      </w:pPr>
      <w:r>
        <w:drawing>
          <wp:inline distT="0" distB="0" distL="0" distR="0">
            <wp:extent cx="4948555" cy="3390900"/>
            <wp:effectExtent l="0" t="0" r="4445" b="0"/>
            <wp:docPr id="17929343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FD8EE94">
      <w:pPr>
        <w:spacing w:line="360" w:lineRule="auto"/>
        <w:jc w:val="center"/>
        <w:rPr>
          <w:rFonts w:ascii="Arial" w:hAnsi="Arial" w:cs="Arial"/>
          <w:b/>
          <w:bCs/>
        </w:rPr>
      </w:pPr>
      <w:r>
        <w:rPr>
          <w:rFonts w:ascii="Arial" w:hAnsi="Arial" w:cs="Arial"/>
          <w:b/>
          <w:bCs/>
        </w:rPr>
        <w:br w:type="textWrapping"/>
      </w:r>
      <w:r>
        <w:rPr>
          <w:rFonts w:ascii="Arial" w:hAnsi="Arial" w:cs="Arial"/>
          <w:b/>
          <w:bCs/>
        </w:rPr>
        <w:t xml:space="preserve">Comparative Overview of AI Disclosures </w:t>
      </w:r>
    </w:p>
    <w:p w14:paraId="1FD8EE95">
      <w:pPr>
        <w:spacing w:line="360" w:lineRule="auto"/>
        <w:jc w:val="both"/>
        <w:rPr>
          <w:rFonts w:ascii="Arial" w:hAnsi="Arial" w:cs="Arial"/>
          <w:lang w:val="en-AU"/>
        </w:rPr>
      </w:pPr>
      <w:bookmarkStart w:id="36" w:name="_Hlk214493636"/>
      <w:r>
        <w:rPr>
          <w:rFonts w:ascii="Arial" w:hAnsi="Arial" w:cs="Arial"/>
          <w:lang w:val="en-AU"/>
        </w:rPr>
        <w:t>The figure illustrates the number of Artificial Intelligence (AI) – related announcements for seven South Asian stock markets. An interesting contrast is evident here whereby NSE has a very high absolute count, showing that AI is noted or referred to/ used as a standard across firms listed on the exchange. Contrary to this, the level of AI disclosure is intermediate in MSE, DSE, CSE and PSX as adoption of AI based practices and its implementation are still under progress here. At the lower end RSEB and NEPSE appear less active, suggesting relatively little use or reporting on AI.</w:t>
      </w:r>
    </w:p>
    <w:p w14:paraId="1FD8EE96">
      <w:pPr>
        <w:spacing w:line="360" w:lineRule="auto"/>
        <w:jc w:val="both"/>
        <w:rPr>
          <w:rFonts w:ascii="Arial" w:hAnsi="Arial" w:cs="Arial"/>
          <w:lang w:val="en-AU"/>
        </w:rPr>
      </w:pPr>
    </w:p>
    <w:p w14:paraId="1FD8EE97">
      <w:pPr>
        <w:spacing w:line="360" w:lineRule="auto"/>
        <w:rPr>
          <w:rFonts w:ascii="Arial" w:hAnsi="Arial" w:cs="Arial"/>
          <w:b/>
          <w:bCs/>
        </w:rPr>
      </w:pPr>
      <w:bookmarkStart w:id="37" w:name="_Hlk214711928"/>
      <w:r>
        <w:rPr>
          <w:rFonts w:ascii="Arial" w:hAnsi="Arial" w:cs="Arial"/>
          <w:b/>
          <w:bCs/>
        </w:rPr>
        <w:t>Figure 3: The Yearly Growth Trajectory of AI Disclosures Among Exchanges</w:t>
      </w:r>
    </w:p>
    <w:bookmarkEnd w:id="37"/>
    <w:p w14:paraId="1FD8EE98">
      <w:pPr>
        <w:spacing w:line="360" w:lineRule="auto"/>
        <w:rPr>
          <w:rFonts w:ascii="Arial" w:hAnsi="Arial" w:cs="Arial"/>
          <w:b/>
          <w:bCs/>
        </w:rPr>
      </w:pPr>
    </w:p>
    <w:p w14:paraId="1FD8EE99">
      <w:pPr>
        <w:spacing w:line="360" w:lineRule="auto"/>
        <w:jc w:val="center"/>
        <w:rPr>
          <w:rFonts w:ascii="Arial" w:hAnsi="Arial" w:cs="Arial"/>
          <w:lang w:val="en-AU"/>
        </w:rPr>
      </w:pPr>
      <w:r>
        <w:drawing>
          <wp:inline distT="0" distB="0" distL="0" distR="0">
            <wp:extent cx="4692015" cy="2578100"/>
            <wp:effectExtent l="0" t="0" r="13335" b="12700"/>
            <wp:docPr id="13442659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36"/>
    </w:p>
    <w:p w14:paraId="1FD8EE9A">
      <w:pPr>
        <w:spacing w:line="360" w:lineRule="auto"/>
        <w:jc w:val="center"/>
        <w:rPr>
          <w:rFonts w:ascii="Arial" w:hAnsi="Arial" w:cs="Arial"/>
          <w:lang w:val="en-AU"/>
        </w:rPr>
      </w:pPr>
    </w:p>
    <w:p w14:paraId="1FD8EE9B">
      <w:pPr>
        <w:spacing w:line="360" w:lineRule="auto"/>
        <w:jc w:val="center"/>
        <w:rPr>
          <w:rFonts w:ascii="Arial" w:hAnsi="Arial" w:cs="Arial"/>
          <w:b/>
          <w:bCs/>
        </w:rPr>
      </w:pPr>
      <w:r>
        <w:rPr>
          <w:rFonts w:ascii="Arial" w:hAnsi="Arial" w:cs="Arial"/>
          <w:b/>
          <w:bCs/>
        </w:rPr>
        <w:t>Annual Growth Pattern of AI Disclosures Among Exchanges</w:t>
      </w:r>
    </w:p>
    <w:p w14:paraId="1FD8EE9C">
      <w:pPr>
        <w:spacing w:line="360" w:lineRule="auto"/>
        <w:jc w:val="both"/>
        <w:rPr>
          <w:rFonts w:ascii="Arial" w:hAnsi="Arial" w:cs="Arial"/>
          <w:lang w:val="en-AU"/>
        </w:rPr>
      </w:pPr>
      <w:bookmarkStart w:id="38" w:name="_Hlk214493652"/>
      <w:r>
        <w:rPr>
          <w:rFonts w:ascii="Arial" w:hAnsi="Arial" w:cs="Arial"/>
          <w:lang w:val="en-AU"/>
        </w:rPr>
        <w:t>Year wise Disclosure by Country the Year-wise Disclosure by Country chart illustrates the amount of disclosure per year at CSE, DSE, MSE, NEPSE, NSE, PSX and RSEB in relation 2020 and up to 2024. The data indicate controlled NSE concentrations which rose linearly with time and where a rapid rise in rates occurred after 2005, reaching its peak. In contrast, agitations are mild with little year-to-year fluctuation in the other exchanges. When NEPSE has experienced significantly low growth during the observation period, CSE, MSE, PSX RSEB and DSE also have weak to moderate level of disclosure maintained.</w:t>
      </w:r>
    </w:p>
    <w:p w14:paraId="1FD8EE9D">
      <w:pPr>
        <w:spacing w:line="360" w:lineRule="auto"/>
        <w:jc w:val="both"/>
        <w:rPr>
          <w:rFonts w:ascii="Arial" w:hAnsi="Arial" w:cs="Arial"/>
          <w:lang w:val="en-AU"/>
        </w:rPr>
      </w:pPr>
    </w:p>
    <w:p w14:paraId="1FD8EE9E">
      <w:pPr>
        <w:spacing w:line="360" w:lineRule="auto"/>
        <w:jc w:val="both"/>
        <w:rPr>
          <w:rFonts w:ascii="Arial" w:hAnsi="Arial" w:cs="Arial"/>
          <w:lang w:val="en-AU"/>
        </w:rPr>
      </w:pPr>
    </w:p>
    <w:p w14:paraId="1FD8EE9F">
      <w:pPr>
        <w:spacing w:line="360" w:lineRule="auto"/>
        <w:jc w:val="both"/>
        <w:rPr>
          <w:rFonts w:ascii="Arial" w:hAnsi="Arial" w:cs="Arial"/>
          <w:lang w:val="en-AU"/>
        </w:rPr>
      </w:pPr>
    </w:p>
    <w:p w14:paraId="1FD8EEA0">
      <w:pPr>
        <w:spacing w:line="360" w:lineRule="auto"/>
        <w:jc w:val="both"/>
        <w:rPr>
          <w:rFonts w:ascii="Arial" w:hAnsi="Arial" w:cs="Arial"/>
          <w:lang w:val="en-AU"/>
        </w:rPr>
      </w:pPr>
    </w:p>
    <w:p w14:paraId="1FD8EEA1">
      <w:pPr>
        <w:spacing w:line="360" w:lineRule="auto"/>
        <w:jc w:val="both"/>
        <w:rPr>
          <w:rFonts w:ascii="Arial" w:hAnsi="Arial" w:cs="Arial"/>
          <w:lang w:val="en-AU"/>
        </w:rPr>
      </w:pPr>
    </w:p>
    <w:p w14:paraId="1FD8EEA2">
      <w:pPr>
        <w:spacing w:line="360" w:lineRule="auto"/>
        <w:rPr>
          <w:rFonts w:ascii="Arial" w:hAnsi="Arial" w:cs="Arial"/>
          <w:b/>
          <w:bCs/>
        </w:rPr>
      </w:pPr>
      <w:bookmarkStart w:id="39" w:name="_Hlk214711952"/>
      <w:r>
        <w:rPr>
          <w:rFonts w:ascii="Arial" w:hAnsi="Arial" w:cs="Arial"/>
          <w:b/>
          <w:bCs/>
        </w:rPr>
        <w:t>Figure 4: Trend of Disclosure Frequency from 2020 to 2024</w:t>
      </w:r>
    </w:p>
    <w:p w14:paraId="1FD8EEA3">
      <w:pPr>
        <w:spacing w:line="360" w:lineRule="auto"/>
        <w:rPr>
          <w:rFonts w:ascii="Arial" w:hAnsi="Arial" w:cs="Arial"/>
          <w:b/>
          <w:bCs/>
        </w:rPr>
      </w:pPr>
    </w:p>
    <w:bookmarkEnd w:id="38"/>
    <w:bookmarkEnd w:id="39"/>
    <w:p w14:paraId="1FD8EEA4">
      <w:pPr>
        <w:spacing w:line="360" w:lineRule="auto"/>
        <w:jc w:val="center"/>
        <w:rPr>
          <w:rFonts w:ascii="Arial" w:hAnsi="Arial" w:cs="Arial"/>
        </w:rPr>
      </w:pPr>
      <w:r>
        <w:drawing>
          <wp:inline distT="0" distB="0" distL="0" distR="0">
            <wp:extent cx="4759325" cy="3517900"/>
            <wp:effectExtent l="0" t="0" r="3175" b="6350"/>
            <wp:docPr id="53365473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D8EEA5">
      <w:pPr>
        <w:spacing w:line="360" w:lineRule="auto"/>
        <w:jc w:val="center"/>
        <w:rPr>
          <w:rFonts w:ascii="Arial" w:hAnsi="Arial" w:cs="Arial"/>
        </w:rPr>
      </w:pPr>
    </w:p>
    <w:p w14:paraId="1FD8EEA6">
      <w:pPr>
        <w:spacing w:line="360" w:lineRule="auto"/>
        <w:jc w:val="center"/>
        <w:rPr>
          <w:rFonts w:ascii="Arial" w:hAnsi="Arial" w:cs="Arial"/>
          <w:b/>
          <w:bCs/>
        </w:rPr>
      </w:pPr>
      <w:r>
        <w:rPr>
          <w:rFonts w:ascii="Arial" w:hAnsi="Arial" w:cs="Arial"/>
          <w:b/>
          <w:bCs/>
        </w:rPr>
        <w:t>Disclosure Frequency from 2020 to 2024</w:t>
      </w:r>
    </w:p>
    <w:p w14:paraId="1FD8EEA7">
      <w:pPr>
        <w:spacing w:line="360" w:lineRule="auto"/>
        <w:jc w:val="both"/>
        <w:rPr>
          <w:rFonts w:ascii="Arial" w:hAnsi="Arial" w:cs="Arial"/>
          <w:lang w:val="en-AU"/>
        </w:rPr>
      </w:pPr>
      <w:r>
        <w:rPr>
          <w:rFonts w:ascii="Arial" w:hAnsi="Arial" w:cs="Arial"/>
          <w:lang w:val="en-AU"/>
        </w:rPr>
        <w:t>Figure-Yearly Trend Analysis also indicates a definite upward trend in general disclosure activity over the period from 2020-2024. Modest increase between 2020 and 2021 Results in pattern of 2022, when the overall level of disclosures jumps significantly. This upward slope continues into 2023 where we reach an only slightly increasing plateau: this is followed by a somewhat smaller increase in 2024, hence indicating there’s typically like some positive reporting enhancement trend to the end time which seems nice and robust through the study period , likely reflecting increased focus on transparency and disclosure obligations. The pattern shape suggests that the development of the pattern over the five years will be extended and with the greatest change in 2021–2023.</w:t>
      </w:r>
    </w:p>
    <w:p w14:paraId="1FD8EEA8">
      <w:pPr>
        <w:spacing w:line="360" w:lineRule="auto"/>
        <w:jc w:val="both"/>
        <w:rPr>
          <w:rFonts w:ascii="Arial" w:hAnsi="Arial" w:cs="Arial"/>
          <w:b/>
          <w:bCs/>
        </w:rPr>
      </w:pPr>
    </w:p>
    <w:p w14:paraId="1FD8EEA9">
      <w:pPr>
        <w:spacing w:line="360" w:lineRule="auto"/>
        <w:jc w:val="both"/>
        <w:rPr>
          <w:rFonts w:ascii="Arial" w:hAnsi="Arial" w:cs="Arial"/>
          <w:b/>
          <w:bCs/>
        </w:rPr>
      </w:pPr>
    </w:p>
    <w:p w14:paraId="1FD8EEAA">
      <w:pPr>
        <w:spacing w:line="360" w:lineRule="auto"/>
        <w:rPr>
          <w:rFonts w:ascii="Arial" w:hAnsi="Arial" w:cs="Arial"/>
          <w:b/>
          <w:bCs/>
        </w:rPr>
      </w:pPr>
      <w:bookmarkStart w:id="40" w:name="_Hlk214712017"/>
      <w:r>
        <w:rPr>
          <w:rFonts w:ascii="Arial" w:hAnsi="Arial" w:cs="Arial"/>
          <w:b/>
          <w:bCs/>
        </w:rPr>
        <w:t>Figure 5: Comparative Growth of Major Keywords Over Time</w:t>
      </w:r>
    </w:p>
    <w:bookmarkEnd w:id="40"/>
    <w:p w14:paraId="1FD8EEAB">
      <w:pPr>
        <w:spacing w:line="360" w:lineRule="auto"/>
        <w:jc w:val="both"/>
        <w:rPr>
          <w:rFonts w:ascii="Arial" w:hAnsi="Arial" w:cs="Arial"/>
          <w:lang w:val="en-AU"/>
        </w:rPr>
      </w:pPr>
    </w:p>
    <w:p w14:paraId="1FD8EEAC">
      <w:pPr>
        <w:spacing w:line="360" w:lineRule="auto"/>
        <w:jc w:val="center"/>
        <w:rPr>
          <w:rFonts w:ascii="Arial" w:hAnsi="Arial" w:cs="Arial"/>
        </w:rPr>
      </w:pPr>
      <w:r>
        <w:drawing>
          <wp:inline distT="0" distB="0" distL="0" distR="0">
            <wp:extent cx="5476240" cy="3708400"/>
            <wp:effectExtent l="0" t="0" r="10160" b="6350"/>
            <wp:docPr id="94135717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D8EEAD">
      <w:pPr>
        <w:spacing w:line="360" w:lineRule="auto"/>
        <w:jc w:val="center"/>
        <w:rPr>
          <w:rFonts w:ascii="Arial" w:hAnsi="Arial" w:cs="Arial"/>
        </w:rPr>
      </w:pPr>
    </w:p>
    <w:p w14:paraId="1FD8EEAE">
      <w:pPr>
        <w:spacing w:line="360" w:lineRule="auto"/>
        <w:jc w:val="center"/>
        <w:rPr>
          <w:rFonts w:ascii="Arial" w:hAnsi="Arial" w:cs="Arial"/>
          <w:b/>
          <w:bCs/>
        </w:rPr>
      </w:pPr>
      <w:r>
        <w:rPr>
          <w:rFonts w:ascii="Arial" w:hAnsi="Arial" w:cs="Arial"/>
          <w:b/>
          <w:bCs/>
        </w:rPr>
        <w:t xml:space="preserve">Comparative Evaluation of Major Keywords </w:t>
      </w:r>
    </w:p>
    <w:p w14:paraId="1FD8EEAF">
      <w:pPr>
        <w:spacing w:line="360" w:lineRule="auto"/>
        <w:jc w:val="both"/>
        <w:rPr>
          <w:rFonts w:ascii="Arial" w:hAnsi="Arial" w:cs="Arial"/>
          <w:lang w:val="en-AU"/>
        </w:rPr>
      </w:pPr>
      <w:bookmarkStart w:id="41" w:name="_Hlk214493774"/>
      <w:r>
        <w:rPr>
          <w:rFonts w:ascii="Arial" w:hAnsi="Arial" w:cs="Arial"/>
          <w:lang w:val="en-AU"/>
        </w:rPr>
        <w:t xml:space="preserve">Trends for Use of Well-known Technology Conceptions 2020-2025 The Keyword Trend Over Time chart exhibits trends to use well-known technology concepts from 2020 to 2024. Over the full cycle, we see that Analyitcs and Automation are the things that benefit most from the increase in usage of these concepts, as both grow to become the overwhelmingly common by 2024. However, I see the </w:t>
      </w:r>
      <w:r>
        <w:rPr>
          <w:rFonts w:ascii="Arial" w:hAnsi="Arial" w:cs="Arial"/>
          <w:lang w:val="en-US"/>
        </w:rPr>
        <w:t>up trends</w:t>
      </w:r>
      <w:r>
        <w:rPr>
          <w:rFonts w:ascii="Arial" w:hAnsi="Arial" w:cs="Arial"/>
          <w:lang w:val="en-AU"/>
        </w:rPr>
        <w:t xml:space="preserve"> in Artificial Intelligence and Machine Learning as well but it is not that high with comparison. In contrast, Big Data, Deep Learning and Nature Language Persisting have a low and almost constant occurrence.</w:t>
      </w:r>
    </w:p>
    <w:p w14:paraId="1FD8EEB0">
      <w:pPr>
        <w:spacing w:line="360" w:lineRule="auto"/>
        <w:jc w:val="both"/>
        <w:rPr>
          <w:rFonts w:ascii="Arial" w:hAnsi="Arial" w:cs="Arial"/>
          <w:b/>
          <w:bCs/>
        </w:rPr>
      </w:pPr>
    </w:p>
    <w:p w14:paraId="1FD8EEB1">
      <w:pPr>
        <w:spacing w:line="360" w:lineRule="auto"/>
        <w:jc w:val="both"/>
        <w:rPr>
          <w:rFonts w:ascii="Arial" w:hAnsi="Arial" w:cs="Arial"/>
          <w:b/>
          <w:bCs/>
        </w:rPr>
      </w:pPr>
    </w:p>
    <w:p w14:paraId="1FD8EEB2">
      <w:pPr>
        <w:spacing w:line="360" w:lineRule="auto"/>
        <w:jc w:val="center"/>
        <w:rPr>
          <w:rFonts w:ascii="Arial" w:hAnsi="Arial" w:cs="Arial"/>
          <w:b/>
          <w:bCs/>
        </w:rPr>
      </w:pPr>
      <w:bookmarkStart w:id="42" w:name="_Hlk214712085"/>
      <w:r>
        <w:rPr>
          <w:rFonts w:ascii="Arial" w:hAnsi="Arial" w:cs="Arial"/>
          <w:b/>
          <w:bCs/>
        </w:rPr>
        <w:t>Figure 6: Yearly Disclosure Patterns of the Top Five Technology Keywords (2020–2024</w:t>
      </w:r>
      <w:bookmarkEnd w:id="42"/>
      <w:r>
        <w:rPr>
          <w:rFonts w:ascii="Arial" w:hAnsi="Arial" w:cs="Arial"/>
          <w:b/>
          <w:bCs/>
        </w:rPr>
        <w:t>)</w:t>
      </w:r>
    </w:p>
    <w:p w14:paraId="1FD8EEB3">
      <w:pPr>
        <w:spacing w:line="360" w:lineRule="auto"/>
        <w:jc w:val="both"/>
        <w:rPr>
          <w:rFonts w:ascii="Arial" w:hAnsi="Arial" w:cs="Arial"/>
          <w:lang w:val="en-AU"/>
        </w:rPr>
      </w:pPr>
    </w:p>
    <w:bookmarkEnd w:id="41"/>
    <w:p w14:paraId="1FD8EEB4">
      <w:pPr>
        <w:spacing w:line="360" w:lineRule="auto"/>
        <w:jc w:val="center"/>
        <w:rPr>
          <w:rFonts w:ascii="Arial" w:hAnsi="Arial" w:cs="Arial"/>
        </w:rPr>
      </w:pPr>
      <w:r>
        <w:rPr>
          <w:rFonts w:ascii="Arial" w:hAnsi="Arial" w:cs="Arial"/>
        </w:rPr>
        <w:drawing>
          <wp:inline distT="0" distB="0" distL="0" distR="0">
            <wp:extent cx="5149850" cy="3416300"/>
            <wp:effectExtent l="0" t="0" r="0" b="0"/>
            <wp:docPr id="10266790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7906"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149850" cy="3416300"/>
                    </a:xfrm>
                    <a:prstGeom prst="rect">
                      <a:avLst/>
                    </a:prstGeom>
                    <a:noFill/>
                    <a:ln>
                      <a:noFill/>
                    </a:ln>
                  </pic:spPr>
                </pic:pic>
              </a:graphicData>
            </a:graphic>
          </wp:inline>
        </w:drawing>
      </w:r>
    </w:p>
    <w:p w14:paraId="1FD8EEB5">
      <w:pPr>
        <w:spacing w:line="360" w:lineRule="auto"/>
        <w:jc w:val="center"/>
        <w:rPr>
          <w:rFonts w:ascii="Arial" w:hAnsi="Arial" w:cs="Arial"/>
        </w:rPr>
      </w:pPr>
    </w:p>
    <w:p w14:paraId="1FD8EEB6">
      <w:pPr>
        <w:spacing w:line="360" w:lineRule="auto"/>
        <w:jc w:val="center"/>
        <w:rPr>
          <w:rFonts w:ascii="Arial" w:hAnsi="Arial" w:cs="Arial"/>
          <w:b/>
          <w:bCs/>
        </w:rPr>
      </w:pPr>
      <w:bookmarkStart w:id="43" w:name="_Hlk214712074"/>
      <w:r>
        <w:rPr>
          <w:rFonts w:ascii="Arial" w:hAnsi="Arial" w:cs="Arial"/>
          <w:b/>
          <w:bCs/>
        </w:rPr>
        <w:t>Yearly Disclosure Patterns of the Top Five Technology Disclosures</w:t>
      </w:r>
    </w:p>
    <w:bookmarkEnd w:id="43"/>
    <w:p w14:paraId="1FD8EEB7">
      <w:pPr>
        <w:spacing w:line="360" w:lineRule="auto"/>
        <w:jc w:val="both"/>
        <w:rPr>
          <w:rFonts w:ascii="Arial" w:hAnsi="Arial" w:cs="Arial"/>
          <w:lang w:val="en-AU"/>
        </w:rPr>
      </w:pPr>
      <w:bookmarkStart w:id="44" w:name="_Hlk214493784"/>
      <w:r>
        <w:rPr>
          <w:rFonts w:ascii="Arial" w:hAnsi="Arial" w:cs="Arial"/>
          <w:lang w:val="en-AU"/>
        </w:rPr>
        <w:t>The word cloud chart of the annual disclosure Top 5 Keywords obviously reveals the key words that defined period from 2020 to 2024. The word “analytics” is unsurprisingly the most frequently revealed keyword every year and it has been creeping up in significance (reaching a peak in 2022 levels before steadily plateauing). Automation also has a clear increase, with 2021 coming in highest and the stagnation of this feature is seen in the chart as well. Then stronger interest in Analytics and Automation, and slightly interested in AI, Machine Learning. Use of Big Data is low and stagnant, and that has increased curiosity about new advanced or emerging technologies.</w:t>
      </w:r>
    </w:p>
    <w:p w14:paraId="1FD8EEB8">
      <w:pPr>
        <w:spacing w:line="360" w:lineRule="auto"/>
        <w:rPr>
          <w:rFonts w:ascii="Arial" w:hAnsi="Arial" w:cs="Arial"/>
          <w:b/>
          <w:bCs/>
        </w:rPr>
      </w:pPr>
    </w:p>
    <w:bookmarkEnd w:id="44"/>
    <w:p w14:paraId="1FD8EEB9">
      <w:pPr>
        <w:spacing w:line="360" w:lineRule="auto"/>
        <w:jc w:val="both"/>
        <w:rPr>
          <w:rFonts w:ascii="Arial" w:hAnsi="Arial" w:cs="Arial"/>
          <w:b/>
          <w:bCs/>
        </w:rPr>
      </w:pPr>
    </w:p>
    <w:p w14:paraId="1FD8EEBA">
      <w:pPr>
        <w:spacing w:line="360" w:lineRule="auto"/>
        <w:rPr>
          <w:rFonts w:ascii="Arial" w:hAnsi="Arial" w:cs="Arial"/>
          <w:b/>
          <w:bCs/>
        </w:rPr>
      </w:pPr>
      <w:bookmarkStart w:id="45" w:name="_Hlk214712199"/>
      <w:r>
        <w:rPr>
          <w:rFonts w:ascii="Arial" w:hAnsi="Arial" w:cs="Arial"/>
          <w:b/>
          <w:bCs/>
        </w:rPr>
        <w:t>Figure 7: Yearly Total vs 3 years moving Average</w:t>
      </w:r>
    </w:p>
    <w:bookmarkEnd w:id="45"/>
    <w:p w14:paraId="1FD8EEBB">
      <w:pPr>
        <w:spacing w:line="360" w:lineRule="auto"/>
        <w:jc w:val="both"/>
        <w:rPr>
          <w:rFonts w:ascii="Arial" w:hAnsi="Arial" w:cs="Arial"/>
          <w:lang w:val="en-AU"/>
        </w:rPr>
      </w:pPr>
    </w:p>
    <w:p w14:paraId="1FD8EEBC">
      <w:pPr>
        <w:spacing w:line="360" w:lineRule="auto"/>
        <w:jc w:val="center"/>
        <w:rPr>
          <w:rFonts w:ascii="Arial" w:hAnsi="Arial" w:cs="Arial"/>
          <w:b/>
          <w:bCs/>
        </w:rPr>
      </w:pPr>
      <w:r>
        <w:drawing>
          <wp:inline distT="0" distB="0" distL="0" distR="0">
            <wp:extent cx="4995545" cy="3225800"/>
            <wp:effectExtent l="0" t="0" r="14605" b="12700"/>
            <wp:docPr id="6203008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FD8EEBD">
      <w:pPr>
        <w:spacing w:line="360" w:lineRule="auto"/>
        <w:jc w:val="center"/>
        <w:rPr>
          <w:rFonts w:ascii="Arial" w:hAnsi="Arial" w:cs="Arial"/>
          <w:b/>
          <w:bCs/>
        </w:rPr>
      </w:pPr>
    </w:p>
    <w:p w14:paraId="1FD8EEBE">
      <w:pPr>
        <w:spacing w:line="360" w:lineRule="auto"/>
        <w:jc w:val="center"/>
        <w:rPr>
          <w:rFonts w:ascii="Arial" w:hAnsi="Arial" w:cs="Arial"/>
          <w:b/>
          <w:bCs/>
        </w:rPr>
      </w:pPr>
      <w:r>
        <w:rPr>
          <w:rFonts w:ascii="Arial" w:hAnsi="Arial" w:cs="Arial"/>
          <w:b/>
          <w:bCs/>
        </w:rPr>
        <w:t>Annual Total vs 3 years moving Average</w:t>
      </w:r>
    </w:p>
    <w:p w14:paraId="1FD8EEBF">
      <w:pPr>
        <w:spacing w:line="360" w:lineRule="auto"/>
        <w:jc w:val="both"/>
        <w:rPr>
          <w:rFonts w:ascii="Arial" w:hAnsi="Arial" w:cs="Arial"/>
          <w:lang w:val="en-AU"/>
        </w:rPr>
      </w:pPr>
      <w:bookmarkStart w:id="46" w:name="_Hlk214493855"/>
      <w:r>
        <w:rPr>
          <w:rFonts w:ascii="Arial" w:hAnsi="Arial" w:cs="Arial"/>
          <w:lang w:val="en-AU"/>
        </w:rPr>
        <w:t>The Yearly Total vs 3-Year Moving Average, Keywords Frequency chart highlights the overall increase in keyword frequency for every year from 2020-24, and by the end of 2024 frequencies had risen from just over 80 to greater than 330. The 3-year moving average looks far less jagged, as it oozes upward when we add in the past and sees its first big push up in 2022; then it eases off a little in 2023, only to leap back into motion for 2024. The moving average provides an unbiased picture of long-term growth, and it appears that the keyword continues to be used and even grow over time.</w:t>
      </w:r>
    </w:p>
    <w:p w14:paraId="1FD8EEC0">
      <w:pPr>
        <w:spacing w:line="360" w:lineRule="auto"/>
        <w:jc w:val="both"/>
        <w:rPr>
          <w:rFonts w:ascii="Arial" w:hAnsi="Arial" w:cs="Arial"/>
          <w:b/>
          <w:bCs/>
        </w:rPr>
      </w:pPr>
    </w:p>
    <w:p w14:paraId="1FD8EEC1">
      <w:pPr>
        <w:spacing w:line="360" w:lineRule="auto"/>
        <w:jc w:val="both"/>
        <w:rPr>
          <w:rFonts w:ascii="Arial" w:hAnsi="Arial" w:cs="Arial"/>
          <w:b/>
          <w:bCs/>
        </w:rPr>
      </w:pPr>
    </w:p>
    <w:p w14:paraId="1FD8EEC2">
      <w:pPr>
        <w:spacing w:line="360" w:lineRule="auto"/>
        <w:jc w:val="both"/>
        <w:rPr>
          <w:rFonts w:ascii="Arial" w:hAnsi="Arial" w:cs="Arial"/>
          <w:b/>
          <w:bCs/>
        </w:rPr>
      </w:pPr>
    </w:p>
    <w:p w14:paraId="1FD8EEC3">
      <w:pPr>
        <w:spacing w:line="360" w:lineRule="auto"/>
        <w:jc w:val="both"/>
        <w:rPr>
          <w:rFonts w:ascii="Arial" w:hAnsi="Arial" w:cs="Arial"/>
          <w:b/>
          <w:bCs/>
        </w:rPr>
      </w:pPr>
    </w:p>
    <w:p w14:paraId="1FD8EEC4">
      <w:pPr>
        <w:spacing w:line="360" w:lineRule="auto"/>
        <w:rPr>
          <w:rFonts w:ascii="Arial" w:hAnsi="Arial" w:cs="Arial"/>
          <w:b/>
          <w:bCs/>
        </w:rPr>
      </w:pPr>
      <w:bookmarkStart w:id="47" w:name="_Hlk214712267"/>
      <w:r>
        <w:rPr>
          <w:rFonts w:ascii="Arial" w:hAnsi="Arial" w:cs="Arial"/>
          <w:b/>
          <w:bCs/>
        </w:rPr>
        <w:t>Figure 8: Comparative Disclosure Leading Reporting Companies among all the exchanges</w:t>
      </w:r>
    </w:p>
    <w:bookmarkEnd w:id="47"/>
    <w:p w14:paraId="1FD8EEC5">
      <w:pPr>
        <w:spacing w:line="360" w:lineRule="auto"/>
        <w:jc w:val="both"/>
        <w:rPr>
          <w:rFonts w:ascii="Arial" w:hAnsi="Arial" w:cs="Arial"/>
          <w:lang w:val="en-AU"/>
        </w:rPr>
      </w:pPr>
    </w:p>
    <w:bookmarkEnd w:id="46"/>
    <w:p w14:paraId="1FD8EEC6">
      <w:pPr>
        <w:spacing w:line="360" w:lineRule="auto"/>
        <w:jc w:val="center"/>
        <w:rPr>
          <w:rFonts w:ascii="Arial" w:hAnsi="Arial" w:cs="Arial"/>
        </w:rPr>
      </w:pPr>
      <w:r>
        <w:drawing>
          <wp:inline distT="0" distB="0" distL="0" distR="0">
            <wp:extent cx="5943600" cy="2882900"/>
            <wp:effectExtent l="0" t="0" r="0" b="12700"/>
            <wp:docPr id="192815528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FD8EEC7">
      <w:pPr>
        <w:spacing w:line="360" w:lineRule="auto"/>
        <w:jc w:val="center"/>
        <w:rPr>
          <w:rFonts w:ascii="Arial" w:hAnsi="Arial" w:cs="Arial"/>
        </w:rPr>
      </w:pPr>
    </w:p>
    <w:p w14:paraId="1FD8EEC8">
      <w:pPr>
        <w:spacing w:line="360" w:lineRule="auto"/>
        <w:jc w:val="center"/>
        <w:rPr>
          <w:rFonts w:ascii="Arial" w:hAnsi="Arial" w:cs="Arial"/>
          <w:b/>
          <w:bCs/>
        </w:rPr>
      </w:pPr>
      <w:r>
        <w:rPr>
          <w:rFonts w:ascii="Arial" w:hAnsi="Arial" w:cs="Arial"/>
          <w:b/>
          <w:bCs/>
        </w:rPr>
        <w:t>Comparative Ranking Companies among all the exchanges</w:t>
      </w:r>
    </w:p>
    <w:p w14:paraId="1FD8EEC9">
      <w:pPr>
        <w:spacing w:line="360" w:lineRule="auto"/>
        <w:jc w:val="both"/>
        <w:rPr>
          <w:rFonts w:ascii="Arial" w:hAnsi="Arial" w:cs="Arial"/>
          <w:lang w:val="en-AU"/>
        </w:rPr>
      </w:pPr>
      <w:bookmarkStart w:id="48" w:name="_Hlk214493867"/>
      <w:r>
        <w:rPr>
          <w:rFonts w:ascii="Arial" w:hAnsi="Arial" w:cs="Arial"/>
          <w:lang w:val="en-AU"/>
        </w:rPr>
        <w:t xml:space="preserve">The companies are sorted by the number of levels to which they report, and it is visible that they fall on an upward-sloping line from low to high reporters. The distribution is initiated by two companies, Pak Electronics Ltd. and State Trading Organization PLC performing 6 disclosures each. Further down the list and we are getting to higher frequency; with fewer low contributors (Islamic Bank Bangladesh, SBI IndusInd bank) reporting ‘moderately’. Hero MotoCorp Ltd and Adani Ports &amp; SEZ Ltd the upward shift is more visible with them, which have higher deductions. At the upper quartile, Bharat Electronics Ltd. stands out with 34 disclosure frequency that is significantly higher than all other firms in the sample of companies. This interest creates a highly skewed disclosure behaviour with some of the companies being significantly high </w:t>
      </w:r>
      <w:r>
        <w:rPr>
          <w:rFonts w:ascii="Arial" w:hAnsi="Arial" w:cs="Arial"/>
          <w:lang w:val="en-US"/>
        </w:rPr>
        <w:t>disclosure</w:t>
      </w:r>
      <w:r>
        <w:rPr>
          <w:rFonts w:hint="default" w:ascii="Arial" w:hAnsi="Arial" w:cs="Arial"/>
          <w:lang w:val="en-US"/>
        </w:rPr>
        <w:t>s</w:t>
      </w:r>
      <w:r>
        <w:rPr>
          <w:rFonts w:ascii="Arial" w:hAnsi="Arial" w:cs="Arial"/>
          <w:lang w:val="en-AU"/>
        </w:rPr>
        <w:t>, and others showing low but relatively stable levels of reporting.</w:t>
      </w:r>
    </w:p>
    <w:p w14:paraId="1FD8EECA">
      <w:pPr>
        <w:spacing w:line="360" w:lineRule="auto"/>
        <w:jc w:val="both"/>
        <w:rPr>
          <w:rFonts w:ascii="Arial" w:hAnsi="Arial" w:cs="Arial"/>
          <w:b/>
          <w:bCs/>
        </w:rPr>
      </w:pPr>
    </w:p>
    <w:p w14:paraId="1FD8EECB">
      <w:pPr>
        <w:spacing w:line="360" w:lineRule="auto"/>
        <w:rPr>
          <w:rFonts w:ascii="Arial" w:hAnsi="Arial" w:cs="Arial"/>
          <w:b/>
          <w:bCs/>
        </w:rPr>
      </w:pPr>
      <w:bookmarkStart w:id="49" w:name="_Hlk214712118"/>
      <w:bookmarkStart w:id="50" w:name="_Hlk214712300"/>
      <w:r>
        <w:rPr>
          <w:rFonts w:ascii="Arial" w:hAnsi="Arial" w:cs="Arial"/>
          <w:b/>
          <w:bCs/>
        </w:rPr>
        <w:t>Figure 9: Shift in Technology (AI integration) 2020 to 2024</w:t>
      </w:r>
    </w:p>
    <w:bookmarkEnd w:id="49"/>
    <w:p w14:paraId="1FD8EECC">
      <w:pPr>
        <w:spacing w:line="360" w:lineRule="auto"/>
        <w:rPr>
          <w:rFonts w:ascii="Arial" w:hAnsi="Arial" w:cs="Arial"/>
          <w:lang w:val="en-AU"/>
        </w:rPr>
      </w:pPr>
    </w:p>
    <w:p w14:paraId="1FD8EECD">
      <w:pPr>
        <w:spacing w:line="360" w:lineRule="auto"/>
        <w:jc w:val="center"/>
        <w:rPr>
          <w:rFonts w:ascii="Arial" w:hAnsi="Arial" w:cs="Arial"/>
          <w:lang w:val="en-AU"/>
        </w:rPr>
      </w:pPr>
      <w:r>
        <w:drawing>
          <wp:inline distT="0" distB="0" distL="0" distR="0">
            <wp:extent cx="4601210" cy="3619500"/>
            <wp:effectExtent l="0" t="0" r="8890" b="0"/>
            <wp:docPr id="7017996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FD8EECE">
      <w:pPr>
        <w:spacing w:line="360" w:lineRule="auto"/>
        <w:jc w:val="center"/>
        <w:rPr>
          <w:rFonts w:ascii="Arial" w:hAnsi="Arial" w:cs="Arial"/>
          <w:lang w:val="en-AU"/>
        </w:rPr>
      </w:pPr>
    </w:p>
    <w:p w14:paraId="1FD8EECF">
      <w:pPr>
        <w:spacing w:line="360" w:lineRule="auto"/>
        <w:jc w:val="center"/>
        <w:rPr>
          <w:rFonts w:ascii="Arial" w:hAnsi="Arial" w:cs="Arial"/>
          <w:b/>
          <w:bCs/>
        </w:rPr>
      </w:pPr>
      <w:r>
        <w:rPr>
          <w:rFonts w:ascii="Arial" w:hAnsi="Arial" w:cs="Arial"/>
          <w:b/>
          <w:bCs/>
        </w:rPr>
        <w:t>Shift in Technology AI adoption Between 2020 and 2024</w:t>
      </w:r>
    </w:p>
    <w:p w14:paraId="1FD8EED0">
      <w:pPr>
        <w:spacing w:line="360" w:lineRule="auto"/>
        <w:jc w:val="both"/>
        <w:rPr>
          <w:rFonts w:ascii="Arial" w:hAnsi="Arial" w:cs="Arial"/>
          <w:lang w:val="en-AU"/>
        </w:rPr>
      </w:pPr>
      <w:r>
        <w:rPr>
          <w:rFonts w:ascii="Arial" w:hAnsi="Arial" w:cs="Arial"/>
          <w:lang w:val="en-AU"/>
        </w:rPr>
        <w:t>As shown in Table Top 5 Keywords: 2020 vs 2024, it is observed that the frequency of major technology terms has largely increased over the years, wherein Analytics and Automation are top rated (from around 28 disclosures for the year 2020 to more than 120 disclosures by the year of). Artificial Intelligence also benefits from a strong ramp up, with a consumption that is more than doubled in 2024 -Machine Learning deploys a 'DA' short term "step-up" pattern? In contrast, the keyword Big Data has been mentioned least for both years and has only increased slightly. Combining the trends, it’s a pattern that has moved undeniably toward data-driven and automation-oriented tech from 2020 through 2024.</w:t>
      </w:r>
    </w:p>
    <w:p w14:paraId="1FD8EED1">
      <w:pPr>
        <w:spacing w:line="360" w:lineRule="auto"/>
        <w:rPr>
          <w:rFonts w:ascii="Arial" w:hAnsi="Arial" w:cs="Arial"/>
          <w:b/>
          <w:bCs/>
        </w:rPr>
      </w:pPr>
    </w:p>
    <w:p w14:paraId="1FD8EED2">
      <w:pPr>
        <w:spacing w:line="360" w:lineRule="auto"/>
        <w:rPr>
          <w:rFonts w:ascii="Arial" w:hAnsi="Arial" w:cs="Arial"/>
        </w:rPr>
      </w:pPr>
      <w:r>
        <w:rPr>
          <w:rFonts w:ascii="Arial" w:hAnsi="Arial" w:cs="Arial"/>
          <w:b/>
          <w:bCs/>
        </w:rPr>
        <w:t xml:space="preserve">Figure 10: Growth and integration of Artificial Intelligence across major </w:t>
      </w:r>
      <w:bookmarkEnd w:id="50"/>
      <w:r>
        <w:rPr>
          <w:rFonts w:ascii="Arial" w:hAnsi="Arial" w:cs="Arial"/>
          <w:b/>
          <w:bCs/>
        </w:rPr>
        <w:t>exchanges.</w:t>
      </w:r>
    </w:p>
    <w:p w14:paraId="1FD8EED3">
      <w:pPr>
        <w:spacing w:line="360" w:lineRule="auto"/>
        <w:jc w:val="both"/>
        <w:rPr>
          <w:rFonts w:ascii="Arial" w:hAnsi="Arial" w:cs="Arial"/>
          <w:lang w:val="en-AU"/>
        </w:rPr>
      </w:pPr>
    </w:p>
    <w:p w14:paraId="1FD8EED4">
      <w:pPr>
        <w:spacing w:line="360" w:lineRule="auto"/>
        <w:jc w:val="center"/>
        <w:rPr>
          <w:rFonts w:ascii="Arial" w:hAnsi="Arial" w:cs="Arial"/>
          <w:b/>
          <w:bCs/>
          <w:lang w:val="en-AU"/>
        </w:rPr>
      </w:pPr>
      <w:r>
        <w:rPr>
          <w:rFonts w:ascii="Arial" w:hAnsi="Arial" w:cs="Arial"/>
          <w:b/>
          <w:bCs/>
          <w:lang w:val="en-AU"/>
        </w:rPr>
        <w:t>ARTIFICIAL INTELLIGENCE</w:t>
      </w:r>
    </w:p>
    <w:bookmarkEnd w:id="48"/>
    <w:p w14:paraId="1FD8EED5">
      <w:pPr>
        <w:spacing w:line="360" w:lineRule="auto"/>
        <w:jc w:val="center"/>
        <w:rPr>
          <w:rFonts w:ascii="Arial" w:hAnsi="Arial" w:cs="Arial"/>
        </w:rPr>
      </w:pPr>
      <w:r>
        <w:drawing>
          <wp:inline distT="0" distB="0" distL="0" distR="0">
            <wp:extent cx="4431665" cy="2846705"/>
            <wp:effectExtent l="0" t="0" r="6985" b="10795"/>
            <wp:docPr id="20305957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FD8EED6">
      <w:pPr>
        <w:spacing w:line="360" w:lineRule="auto"/>
        <w:jc w:val="center"/>
        <w:rPr>
          <w:rFonts w:ascii="Arial" w:hAnsi="Arial" w:cs="Arial"/>
        </w:rPr>
      </w:pPr>
    </w:p>
    <w:p w14:paraId="1FD8EED7">
      <w:pPr>
        <w:spacing w:line="360" w:lineRule="auto"/>
        <w:jc w:val="center"/>
        <w:rPr>
          <w:rFonts w:ascii="Arial" w:hAnsi="Arial" w:cs="Arial"/>
        </w:rPr>
      </w:pPr>
      <w:r>
        <w:rPr>
          <w:rFonts w:ascii="Arial" w:hAnsi="Arial" w:cs="Arial"/>
          <w:b/>
          <w:bCs/>
        </w:rPr>
        <w:t>Growth of Artificial Intelligence across major Exchanges.</w:t>
      </w:r>
    </w:p>
    <w:p w14:paraId="1FD8EED8">
      <w:pPr>
        <w:spacing w:line="360" w:lineRule="auto"/>
        <w:jc w:val="both"/>
        <w:rPr>
          <w:rFonts w:ascii="Arial" w:hAnsi="Arial" w:cs="Arial"/>
          <w:lang w:val="en-AU"/>
        </w:rPr>
      </w:pPr>
      <w:bookmarkStart w:id="51" w:name="_Hlk214493909"/>
      <w:r>
        <w:rPr>
          <w:rFonts w:ascii="Arial" w:hAnsi="Arial" w:cs="Arial"/>
          <w:lang w:val="en-AU"/>
        </w:rPr>
        <w:t xml:space="preserve">The chart below demonstrates mentions of AI in stock exchanges. All the exchange currency of South Asia country is using AI but in same frequency which are vary to gender. a NSE with maximum words count in discussing AI application to trading technologies (followed by APSE) and NEPSE has the lowest frequency of terms which suggest is less usage/adoption. Medium Frequency: DSE / MSE / PSX Mid frequency, all there are pretty much the same. All represent the </w:t>
      </w:r>
      <w:r>
        <w:rPr>
          <w:rFonts w:ascii="Arial" w:hAnsi="Arial" w:cs="Arial"/>
          <w:lang w:val="en-US"/>
        </w:rPr>
        <w:t>utilization</w:t>
      </w:r>
      <w:r>
        <w:rPr>
          <w:rFonts w:ascii="Arial" w:hAnsi="Arial" w:cs="Arial"/>
          <w:lang w:val="en-AU"/>
        </w:rPr>
        <w:t xml:space="preserve"> of AI – and this isn’t just for making trading more efficient, driving data-informed decision making, or marketplace detection; but also to analyse mass volumes of </w:t>
      </w:r>
      <w:r>
        <w:rPr>
          <w:rFonts w:ascii="Arial" w:hAnsi="Arial" w:cs="Arial"/>
          <w:lang w:val="en-US"/>
        </w:rPr>
        <w:t>dateset</w:t>
      </w:r>
      <w:r>
        <w:rPr>
          <w:rFonts w:ascii="Arial" w:hAnsi="Arial" w:cs="Arial"/>
          <w:lang w:val="en-AU"/>
        </w:rPr>
        <w:t> and predict market outcome as well as scale reasoning (versus damage), eliminate human error and create support for productivity, invention.</w:t>
      </w:r>
    </w:p>
    <w:p w14:paraId="1FD8EED9">
      <w:pPr>
        <w:spacing w:line="360" w:lineRule="auto"/>
        <w:jc w:val="both"/>
        <w:rPr>
          <w:rFonts w:ascii="Arial" w:hAnsi="Arial" w:cs="Arial"/>
          <w:lang w:val="en-AU"/>
        </w:rPr>
      </w:pPr>
    </w:p>
    <w:p w14:paraId="1FD8EEDA">
      <w:pPr>
        <w:spacing w:line="360" w:lineRule="auto"/>
        <w:jc w:val="both"/>
        <w:rPr>
          <w:rFonts w:ascii="Arial" w:hAnsi="Arial" w:cs="Arial"/>
          <w:b/>
          <w:bCs/>
        </w:rPr>
      </w:pPr>
    </w:p>
    <w:p w14:paraId="1FD8EEDB">
      <w:pPr>
        <w:spacing w:line="360" w:lineRule="auto"/>
        <w:rPr>
          <w:rFonts w:ascii="Arial" w:hAnsi="Arial" w:cs="Arial"/>
          <w:b/>
          <w:bCs/>
        </w:rPr>
      </w:pPr>
      <w:bookmarkStart w:id="52" w:name="_Hlk214712345"/>
      <w:r>
        <w:rPr>
          <w:rFonts w:ascii="Arial" w:hAnsi="Arial" w:cs="Arial"/>
          <w:b/>
          <w:bCs/>
        </w:rPr>
        <w:t>Figure 11: Expansion of Machine Learning adoption in diverse applications.</w:t>
      </w:r>
    </w:p>
    <w:bookmarkEnd w:id="52"/>
    <w:p w14:paraId="1FD8EEDC">
      <w:pPr>
        <w:spacing w:line="360" w:lineRule="auto"/>
        <w:jc w:val="both"/>
        <w:rPr>
          <w:rFonts w:ascii="Arial" w:hAnsi="Arial" w:cs="Arial"/>
          <w:lang w:val="en-AU"/>
        </w:rPr>
      </w:pPr>
    </w:p>
    <w:p w14:paraId="1FD8EEDD">
      <w:pPr>
        <w:spacing w:line="360" w:lineRule="auto"/>
        <w:jc w:val="center"/>
        <w:rPr>
          <w:rFonts w:ascii="Arial" w:hAnsi="Arial" w:cs="Arial"/>
          <w:b/>
          <w:bCs/>
          <w:lang w:val="en-AU"/>
        </w:rPr>
      </w:pPr>
      <w:r>
        <w:rPr>
          <w:rFonts w:ascii="Arial" w:hAnsi="Arial" w:cs="Arial"/>
          <w:b/>
          <w:bCs/>
          <w:lang w:val="en-AU"/>
        </w:rPr>
        <w:t>MACHINE LEARNING</w:t>
      </w:r>
    </w:p>
    <w:bookmarkEnd w:id="51"/>
    <w:p w14:paraId="1FD8EEDE">
      <w:pPr>
        <w:spacing w:line="360" w:lineRule="auto"/>
        <w:jc w:val="center"/>
        <w:rPr>
          <w:rFonts w:ascii="Arial" w:hAnsi="Arial" w:cs="Arial"/>
          <w:b/>
          <w:bCs/>
        </w:rPr>
      </w:pPr>
      <w:r>
        <w:drawing>
          <wp:inline distT="0" distB="0" distL="0" distR="0">
            <wp:extent cx="4612005" cy="3111500"/>
            <wp:effectExtent l="0" t="0" r="17145" b="12700"/>
            <wp:docPr id="86519084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FD8EEDF">
      <w:pPr>
        <w:spacing w:line="360" w:lineRule="auto"/>
        <w:jc w:val="center"/>
        <w:rPr>
          <w:rFonts w:ascii="Arial" w:hAnsi="Arial" w:cs="Arial"/>
          <w:b/>
          <w:bCs/>
        </w:rPr>
      </w:pPr>
    </w:p>
    <w:p w14:paraId="1FD8EEE0">
      <w:pPr>
        <w:spacing w:line="360" w:lineRule="auto"/>
        <w:jc w:val="center"/>
        <w:rPr>
          <w:rFonts w:ascii="Arial" w:hAnsi="Arial" w:cs="Arial"/>
          <w:b/>
          <w:bCs/>
        </w:rPr>
      </w:pPr>
      <w:r>
        <w:rPr>
          <w:rFonts w:ascii="Arial" w:hAnsi="Arial" w:cs="Arial"/>
          <w:b/>
          <w:bCs/>
        </w:rPr>
        <w:t>Expansion of Machine Learning adoption in diverse applications.</w:t>
      </w:r>
    </w:p>
    <w:p w14:paraId="1FD8EEE1">
      <w:pPr>
        <w:spacing w:line="360" w:lineRule="auto"/>
        <w:jc w:val="both"/>
        <w:rPr>
          <w:rFonts w:ascii="Arial" w:hAnsi="Arial" w:cs="Arial"/>
          <w:lang w:val="en-AU"/>
        </w:rPr>
      </w:pPr>
      <w:bookmarkStart w:id="53" w:name="_Hlk214493927"/>
      <w:r>
        <w:rPr>
          <w:rFonts w:ascii="Arial" w:hAnsi="Arial" w:cs="Arial"/>
          <w:lang w:val="en-AU"/>
        </w:rPr>
        <w:t xml:space="preserve">To each to its own level but SA stock exchanges have </w:t>
      </w:r>
      <w:r>
        <w:rPr>
          <w:rFonts w:ascii="Arial" w:hAnsi="Arial" w:cs="Arial"/>
          <w:lang w:val="en-US"/>
        </w:rPr>
        <w:t>recognized</w:t>
      </w:r>
      <w:r>
        <w:rPr>
          <w:rFonts w:ascii="Arial" w:hAnsi="Arial" w:cs="Arial"/>
          <w:lang w:val="en-AU"/>
        </w:rPr>
        <w:t xml:space="preserve"> the relevance of ML in today's finances. Its growing use demonstrates the wide spread of advanced ‘big-data’ analytics – in which systems can “learn from experience, improve performance and make predictions with data”. The versatility of ML creates intelligent trading, </w:t>
      </w:r>
      <w:r>
        <w:rPr>
          <w:rFonts w:ascii="Arial" w:hAnsi="Arial" w:cs="Arial"/>
          <w:lang w:val="en-US"/>
        </w:rPr>
        <w:t>decision</w:t>
      </w:r>
      <w:r>
        <w:rPr>
          <w:rFonts w:hint="default" w:ascii="Arial" w:hAnsi="Arial" w:cs="Arial"/>
          <w:lang w:val="en-US"/>
        </w:rPr>
        <w:t xml:space="preserve"> making</w:t>
      </w:r>
      <w:r>
        <w:rPr>
          <w:rFonts w:ascii="Arial" w:hAnsi="Arial" w:cs="Arial"/>
          <w:lang w:val="en-AU"/>
        </w:rPr>
        <w:t> and analytics in the markets.</w:t>
      </w:r>
    </w:p>
    <w:p w14:paraId="1FD8EEE2">
      <w:pPr>
        <w:spacing w:line="360" w:lineRule="auto"/>
        <w:jc w:val="both"/>
        <w:rPr>
          <w:rFonts w:ascii="Arial" w:hAnsi="Arial" w:cs="Arial"/>
          <w:lang w:val="en-AU"/>
        </w:rPr>
      </w:pPr>
      <w:r>
        <w:rPr>
          <w:rFonts w:ascii="Arial" w:hAnsi="Arial" w:cs="Arial"/>
          <w:lang w:val="en-AU"/>
        </w:rPr>
        <w:t>usage across different stock exchanges. The NSE has a largest number (52) mainly due to the heavy reliance on ML-tools in prediction. Pretty bad engagement across the other stock exchanges companies with one exception.</w:t>
      </w:r>
    </w:p>
    <w:p w14:paraId="1FD8EEE3">
      <w:pPr>
        <w:spacing w:line="360" w:lineRule="auto"/>
        <w:jc w:val="both"/>
        <w:rPr>
          <w:rFonts w:ascii="Arial" w:hAnsi="Arial" w:cs="Arial"/>
          <w:lang w:val="en-AU"/>
        </w:rPr>
      </w:pPr>
    </w:p>
    <w:p w14:paraId="1FD8EEE4">
      <w:pPr>
        <w:spacing w:line="360" w:lineRule="auto"/>
        <w:jc w:val="both"/>
        <w:rPr>
          <w:rFonts w:ascii="Arial" w:hAnsi="Arial" w:cs="Arial"/>
          <w:lang w:val="en-AU"/>
        </w:rPr>
      </w:pPr>
    </w:p>
    <w:p w14:paraId="1FD8EEE5">
      <w:pPr>
        <w:spacing w:line="360" w:lineRule="auto"/>
        <w:rPr>
          <w:rFonts w:ascii="Arial" w:hAnsi="Arial" w:cs="Arial"/>
          <w:b/>
          <w:bCs/>
        </w:rPr>
      </w:pPr>
      <w:bookmarkStart w:id="54" w:name="_Hlk214712374"/>
      <w:r>
        <w:rPr>
          <w:rFonts w:ascii="Arial" w:hAnsi="Arial" w:cs="Arial"/>
          <w:b/>
          <w:bCs/>
        </w:rPr>
        <w:t>Figure 12: Deep Learning Disclosure Frequency Across The Stock Exchanges</w:t>
      </w:r>
    </w:p>
    <w:bookmarkEnd w:id="54"/>
    <w:p w14:paraId="1FD8EEE6">
      <w:pPr>
        <w:spacing w:line="360" w:lineRule="auto"/>
        <w:rPr>
          <w:rFonts w:ascii="Arial" w:hAnsi="Arial" w:cs="Arial"/>
          <w:lang w:val="en-AU"/>
        </w:rPr>
      </w:pPr>
    </w:p>
    <w:p w14:paraId="1FD8EEE7">
      <w:pPr>
        <w:spacing w:line="360" w:lineRule="auto"/>
        <w:jc w:val="center"/>
        <w:rPr>
          <w:rFonts w:ascii="Arial" w:hAnsi="Arial" w:cs="Arial"/>
          <w:b/>
          <w:bCs/>
          <w:lang w:val="en-AU"/>
        </w:rPr>
      </w:pPr>
      <w:r>
        <w:rPr>
          <w:rFonts w:ascii="Arial" w:hAnsi="Arial" w:cs="Arial"/>
          <w:b/>
          <w:bCs/>
          <w:lang w:val="en-AU"/>
        </w:rPr>
        <w:t>DEEP LEARNING</w:t>
      </w:r>
      <w:bookmarkEnd w:id="53"/>
      <w:r>
        <w:rPr>
          <w:rFonts w:ascii="Arial" w:hAnsi="Arial" w:cs="Arial"/>
        </w:rPr>
        <w:br w:type="textWrapping"/>
      </w:r>
    </w:p>
    <w:p w14:paraId="1FD8EEE8">
      <w:pPr>
        <w:spacing w:line="360" w:lineRule="auto"/>
        <w:jc w:val="center"/>
        <w:rPr>
          <w:rFonts w:ascii="Arial" w:hAnsi="Arial" w:cs="Arial"/>
          <w:b/>
          <w:bCs/>
          <w:lang w:val="en-AU"/>
        </w:rPr>
      </w:pPr>
      <w:r>
        <w:drawing>
          <wp:inline distT="0" distB="0" distL="0" distR="0">
            <wp:extent cx="5276850" cy="3124200"/>
            <wp:effectExtent l="0" t="0" r="0" b="0"/>
            <wp:docPr id="157416236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D8EEE9">
      <w:pPr>
        <w:spacing w:line="360" w:lineRule="auto"/>
        <w:jc w:val="center"/>
        <w:rPr>
          <w:rFonts w:ascii="Arial" w:hAnsi="Arial" w:cs="Arial"/>
          <w:b/>
          <w:bCs/>
        </w:rPr>
      </w:pPr>
      <w:r>
        <w:rPr>
          <w:rFonts w:ascii="Arial" w:hAnsi="Arial" w:cs="Arial"/>
        </w:rPr>
        <w:br w:type="textWrapping"/>
      </w:r>
      <w:r>
        <w:rPr>
          <w:rFonts w:ascii="Arial" w:hAnsi="Arial" w:cs="Arial"/>
          <w:b/>
          <w:bCs/>
        </w:rPr>
        <w:t>Deep Learning Disclosure Frequency Across The Stock Exchanges</w:t>
      </w:r>
    </w:p>
    <w:p w14:paraId="1FD8EEEA">
      <w:pPr>
        <w:spacing w:line="360" w:lineRule="auto"/>
        <w:jc w:val="both"/>
        <w:rPr>
          <w:rFonts w:ascii="Arial" w:hAnsi="Arial" w:cs="Arial"/>
          <w:lang w:val="en-AU"/>
        </w:rPr>
      </w:pPr>
      <w:bookmarkStart w:id="55" w:name="_Hlk214493959"/>
      <w:r>
        <w:rPr>
          <w:rFonts w:ascii="Arial" w:hAnsi="Arial" w:cs="Arial"/>
          <w:lang w:val="en-AU"/>
        </w:rPr>
        <w:t>However, the general understanding of its revolutionary potential and the actual application is established; however, how DL is utilized in regional financial systems varies substantially. Part of the shift to DL is driven by advances in sophisticated computational methods – where systems can infer non-linear associations within complex market data, increase predictability and generate advanced algorithmic trading strategies. The frequency chart reflects how centralized adoption is around NSE with a maximum of 4 It also reasserts NSE’s reliance on the DL Rama as never before. On the contrary, most of the other exchanges have zero count while for Pakistan stock exchange (PSX), we see a sight use on it.</w:t>
      </w:r>
    </w:p>
    <w:p w14:paraId="1FD8EEEB">
      <w:pPr>
        <w:spacing w:line="360" w:lineRule="auto"/>
        <w:jc w:val="both"/>
        <w:rPr>
          <w:rFonts w:ascii="Arial" w:hAnsi="Arial" w:cs="Arial"/>
          <w:b/>
          <w:bCs/>
        </w:rPr>
      </w:pPr>
    </w:p>
    <w:p w14:paraId="1FD8EEEC">
      <w:pPr>
        <w:spacing w:line="360" w:lineRule="auto"/>
        <w:jc w:val="both"/>
        <w:rPr>
          <w:rFonts w:ascii="Arial" w:hAnsi="Arial" w:cs="Arial"/>
          <w:b/>
          <w:bCs/>
        </w:rPr>
      </w:pPr>
      <w:bookmarkStart w:id="56" w:name="_Hlk214712435"/>
      <w:r>
        <w:rPr>
          <w:rFonts w:ascii="Arial" w:hAnsi="Arial" w:cs="Arial"/>
          <w:b/>
          <w:bCs/>
        </w:rPr>
        <w:t>Figure 13: RPA Adoption Levels Across the Markets</w:t>
      </w:r>
    </w:p>
    <w:bookmarkEnd w:id="56"/>
    <w:p w14:paraId="1FD8EEED">
      <w:pPr>
        <w:spacing w:line="360" w:lineRule="auto"/>
        <w:jc w:val="both"/>
        <w:rPr>
          <w:rFonts w:ascii="Arial" w:hAnsi="Arial" w:cs="Arial"/>
          <w:lang w:val="en-AU"/>
        </w:rPr>
      </w:pPr>
    </w:p>
    <w:p w14:paraId="1FD8EEEE">
      <w:pPr>
        <w:spacing w:line="360" w:lineRule="auto"/>
        <w:jc w:val="center"/>
        <w:rPr>
          <w:rFonts w:ascii="Arial" w:hAnsi="Arial" w:cs="Arial"/>
          <w:b/>
          <w:bCs/>
          <w:lang w:val="en-AU"/>
        </w:rPr>
      </w:pPr>
      <w:r>
        <w:rPr>
          <w:rFonts w:ascii="Arial" w:hAnsi="Arial" w:cs="Arial"/>
          <w:b/>
          <w:bCs/>
          <w:lang w:val="en-AU"/>
        </w:rPr>
        <w:t>ROBOTIC PROCESS AUTOMATION</w:t>
      </w:r>
    </w:p>
    <w:p w14:paraId="1FD8EEEF">
      <w:pPr>
        <w:spacing w:line="360" w:lineRule="auto"/>
        <w:jc w:val="center"/>
        <w:rPr>
          <w:rFonts w:ascii="Arial" w:hAnsi="Arial" w:cs="Arial"/>
          <w:b/>
          <w:bCs/>
          <w:lang w:val="en-AU"/>
        </w:rPr>
      </w:pPr>
      <w:r>
        <w:drawing>
          <wp:inline distT="0" distB="0" distL="0" distR="0">
            <wp:extent cx="5231765" cy="3124200"/>
            <wp:effectExtent l="0" t="0" r="6985" b="0"/>
            <wp:docPr id="119935395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bookmarkEnd w:id="55"/>
    </w:p>
    <w:p w14:paraId="1FD8EEF0">
      <w:pPr>
        <w:spacing w:line="360" w:lineRule="auto"/>
        <w:jc w:val="center"/>
        <w:rPr>
          <w:rFonts w:ascii="Arial" w:hAnsi="Arial" w:cs="Arial"/>
          <w:b/>
          <w:bCs/>
          <w:lang w:val="en-AU"/>
        </w:rPr>
      </w:pPr>
    </w:p>
    <w:p w14:paraId="1FD8EEF1">
      <w:pPr>
        <w:tabs>
          <w:tab w:val="center" w:pos="4680"/>
        </w:tabs>
        <w:spacing w:line="360" w:lineRule="auto"/>
        <w:jc w:val="center"/>
        <w:rPr>
          <w:rFonts w:ascii="Arial" w:hAnsi="Arial" w:cs="Arial"/>
          <w:b/>
          <w:bCs/>
        </w:rPr>
      </w:pPr>
      <w:bookmarkStart w:id="57" w:name="_Hlk214712428"/>
      <w:r>
        <w:rPr>
          <w:rFonts w:ascii="Arial" w:hAnsi="Arial" w:cs="Arial"/>
          <w:b/>
          <w:bCs/>
        </w:rPr>
        <w:t>RPA Adoption Levels Across the Markets</w:t>
      </w:r>
    </w:p>
    <w:bookmarkEnd w:id="57"/>
    <w:p w14:paraId="1FD8EEF2">
      <w:pPr>
        <w:spacing w:line="360" w:lineRule="auto"/>
        <w:jc w:val="both"/>
        <w:rPr>
          <w:rFonts w:ascii="Arial" w:hAnsi="Arial" w:cs="Arial"/>
          <w:lang w:val="en-AU"/>
        </w:rPr>
      </w:pPr>
      <w:bookmarkStart w:id="58" w:name="_Hlk214493971"/>
      <w:r>
        <w:rPr>
          <w:rFonts w:ascii="Arial" w:hAnsi="Arial" w:cs="Arial"/>
          <w:lang w:val="en-AU"/>
        </w:rPr>
        <w:t>RPA is a significant driver of cost savings and operational efficiency that uses software to automate monotonous, high-volume, rules-based digital work, previously the domain of humans. And today, as industry players grope for every edge to optimize fields (and even auto everything) from number crunching and invoice processing to compliance checks (no more boot for crappy human error and noncompliance), drawing a crowd isn’t about looking hot. The never sleeping, always running nature of RPA makes trading operations more efficient and accurate and improves compliance with regulatory acts as well as driving increased flow through financial markets. This is offered on many stock exchanges, though with little participation.</w:t>
      </w:r>
    </w:p>
    <w:p w14:paraId="1FD8EEF3">
      <w:pPr>
        <w:spacing w:line="360" w:lineRule="auto"/>
        <w:jc w:val="both"/>
        <w:rPr>
          <w:rFonts w:ascii="Arial" w:hAnsi="Arial" w:cs="Arial"/>
          <w:lang w:val="en-AU"/>
        </w:rPr>
      </w:pPr>
    </w:p>
    <w:p w14:paraId="1FD8EEF4">
      <w:pPr>
        <w:spacing w:line="360" w:lineRule="auto"/>
        <w:jc w:val="both"/>
        <w:rPr>
          <w:rFonts w:ascii="Arial" w:hAnsi="Arial" w:cs="Arial"/>
          <w:lang w:val="en-AU"/>
        </w:rPr>
      </w:pPr>
    </w:p>
    <w:p w14:paraId="1FD8EEF5">
      <w:pPr>
        <w:spacing w:line="360" w:lineRule="auto"/>
        <w:jc w:val="both"/>
        <w:rPr>
          <w:rFonts w:ascii="Arial" w:hAnsi="Arial" w:cs="Arial"/>
          <w:b/>
          <w:bCs/>
        </w:rPr>
      </w:pPr>
      <w:bookmarkStart w:id="59" w:name="_Hlk214712461"/>
      <w:r>
        <w:rPr>
          <w:rFonts w:ascii="Arial" w:hAnsi="Arial" w:cs="Arial"/>
          <w:b/>
          <w:bCs/>
        </w:rPr>
        <w:t>Figure 14: NLP disclosures Across Exchanges</w:t>
      </w:r>
    </w:p>
    <w:bookmarkEnd w:id="59"/>
    <w:p w14:paraId="1FD8EEF6">
      <w:pPr>
        <w:spacing w:line="360" w:lineRule="auto"/>
        <w:jc w:val="both"/>
        <w:rPr>
          <w:rFonts w:ascii="Arial" w:hAnsi="Arial" w:cs="Arial"/>
          <w:lang w:val="en-AU"/>
        </w:rPr>
      </w:pPr>
    </w:p>
    <w:p w14:paraId="1FD8EEF7">
      <w:pPr>
        <w:spacing w:line="360" w:lineRule="auto"/>
        <w:jc w:val="center"/>
        <w:rPr>
          <w:rFonts w:ascii="Arial" w:hAnsi="Arial" w:cs="Arial"/>
          <w:b/>
          <w:bCs/>
          <w:lang w:val="en-AU"/>
        </w:rPr>
      </w:pPr>
      <w:r>
        <w:rPr>
          <w:rFonts w:ascii="Arial" w:hAnsi="Arial" w:cs="Arial"/>
          <w:b/>
          <w:bCs/>
          <w:lang w:val="en-AU"/>
        </w:rPr>
        <w:t>NATURAL PROCESSING LANGUAGE</w:t>
      </w:r>
      <w:bookmarkEnd w:id="58"/>
    </w:p>
    <w:p w14:paraId="1FD8EEF8">
      <w:pPr>
        <w:spacing w:line="360" w:lineRule="auto"/>
        <w:jc w:val="both"/>
        <w:rPr>
          <w:rFonts w:ascii="Arial" w:hAnsi="Arial" w:cs="Arial"/>
        </w:rPr>
      </w:pPr>
      <w:r>
        <w:drawing>
          <wp:inline distT="0" distB="0" distL="0" distR="0">
            <wp:extent cx="5372100" cy="3924300"/>
            <wp:effectExtent l="0" t="0" r="0" b="0"/>
            <wp:docPr id="6015838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FD8EEF9">
      <w:pPr>
        <w:spacing w:line="360" w:lineRule="auto"/>
        <w:jc w:val="both"/>
        <w:rPr>
          <w:rFonts w:ascii="Arial" w:hAnsi="Arial" w:cs="Arial"/>
        </w:rPr>
      </w:pPr>
    </w:p>
    <w:p w14:paraId="1FD8EEFA">
      <w:pPr>
        <w:spacing w:line="360" w:lineRule="auto"/>
        <w:jc w:val="center"/>
        <w:rPr>
          <w:rFonts w:ascii="Arial" w:hAnsi="Arial" w:cs="Arial"/>
          <w:b/>
          <w:bCs/>
        </w:rPr>
      </w:pPr>
      <w:r>
        <w:rPr>
          <w:rFonts w:ascii="Arial" w:hAnsi="Arial" w:cs="Arial"/>
          <w:b/>
          <w:bCs/>
        </w:rPr>
        <w:t>NLP disclosures Across Exchanges</w:t>
      </w:r>
    </w:p>
    <w:p w14:paraId="1FD8EEFB">
      <w:pPr>
        <w:spacing w:line="360" w:lineRule="auto"/>
        <w:jc w:val="both"/>
        <w:rPr>
          <w:rFonts w:ascii="Arial" w:hAnsi="Arial" w:cs="Arial"/>
          <w:lang w:val="en-AU"/>
        </w:rPr>
      </w:pPr>
      <w:r>
        <w:rPr>
          <w:rFonts w:ascii="Arial" w:hAnsi="Arial" w:cs="Arial"/>
          <w:lang w:val="en-AU"/>
        </w:rPr>
        <w:t xml:space="preserve">The use of natural language processing is quite limited. NPL is technology used in systems to aid people into turning their language into something a system can understand. The rising use is a sign that exchanges are able to analyze and act on unstructured data like automated trading decisions, compliance surveillance and risk surveillance. The flexibility of NPL ensures smarter analytics, </w:t>
      </w:r>
      <w:r>
        <w:rPr>
          <w:rFonts w:ascii="Arial" w:hAnsi="Arial" w:cs="Arial"/>
          <w:lang w:val="en-US"/>
        </w:rPr>
        <w:t>decision</w:t>
      </w:r>
      <w:r>
        <w:rPr>
          <w:rFonts w:hint="default" w:ascii="Arial" w:hAnsi="Arial" w:cs="Arial"/>
          <w:lang w:val="en-US"/>
        </w:rPr>
        <w:t>s</w:t>
      </w:r>
      <w:r>
        <w:rPr>
          <w:rFonts w:ascii="Arial" w:hAnsi="Arial" w:cs="Arial"/>
          <w:lang w:val="en-AU"/>
        </w:rPr>
        <w:t xml:space="preserve"> and greater analytical capability throughout the markets. The NSE is the most frequent (1) way of using only models based on NPL to process the data. Other than that, no remaining brokerages on our list are involved with a zero-frequency at all other exchanges.</w:t>
      </w:r>
    </w:p>
    <w:p w14:paraId="1FD8EEFC">
      <w:pPr>
        <w:spacing w:line="360" w:lineRule="auto"/>
        <w:jc w:val="both"/>
        <w:rPr>
          <w:rFonts w:ascii="Arial" w:hAnsi="Arial" w:cs="Arial"/>
          <w:b/>
          <w:bCs/>
        </w:rPr>
      </w:pPr>
      <w:bookmarkStart w:id="60" w:name="_Hlk214712516"/>
      <w:r>
        <w:rPr>
          <w:rFonts w:ascii="Arial" w:hAnsi="Arial" w:cs="Arial"/>
          <w:b/>
          <w:bCs/>
        </w:rPr>
        <w:t>Figure 15:</w:t>
      </w:r>
      <w:r>
        <w:t xml:space="preserve"> </w:t>
      </w:r>
      <w:r>
        <w:rPr>
          <w:rFonts w:ascii="Arial" w:hAnsi="Arial" w:cs="Arial"/>
          <w:b/>
          <w:bCs/>
        </w:rPr>
        <w:t>Variation in Automated System Disclosures</w:t>
      </w:r>
    </w:p>
    <w:bookmarkEnd w:id="60"/>
    <w:p w14:paraId="1FD8EEFD">
      <w:pPr>
        <w:spacing w:line="360" w:lineRule="auto"/>
        <w:jc w:val="center"/>
        <w:rPr>
          <w:rFonts w:ascii="Arial" w:hAnsi="Arial" w:cs="Arial"/>
          <w:lang w:val="en-AU"/>
        </w:rPr>
      </w:pPr>
    </w:p>
    <w:p w14:paraId="1FD8EEFE">
      <w:pPr>
        <w:spacing w:line="360" w:lineRule="auto"/>
        <w:jc w:val="center"/>
        <w:rPr>
          <w:rFonts w:ascii="Arial" w:hAnsi="Arial" w:cs="Arial"/>
          <w:b/>
          <w:bCs/>
        </w:rPr>
      </w:pPr>
      <w:r>
        <w:rPr>
          <w:rFonts w:ascii="Arial" w:hAnsi="Arial" w:cs="Arial"/>
          <w:b/>
          <w:bCs/>
        </w:rPr>
        <w:t xml:space="preserve">AUTOMATED </w:t>
      </w:r>
      <w:r>
        <w:rPr>
          <w:rFonts w:ascii="Arial" w:hAnsi="Arial" w:cs="Arial"/>
        </w:rPr>
        <w:br w:type="textWrapping"/>
      </w:r>
      <w:r>
        <w:drawing>
          <wp:inline distT="0" distB="0" distL="0" distR="0">
            <wp:extent cx="5943600" cy="3060700"/>
            <wp:effectExtent l="0" t="0" r="0" b="6350"/>
            <wp:docPr id="99930954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FD8EEFF">
      <w:pPr>
        <w:spacing w:line="360" w:lineRule="auto"/>
        <w:jc w:val="center"/>
        <w:rPr>
          <w:rFonts w:ascii="Arial" w:hAnsi="Arial" w:cs="Arial"/>
          <w:lang w:val="en-AU"/>
        </w:rPr>
      </w:pPr>
    </w:p>
    <w:p w14:paraId="1FD8EF00">
      <w:pPr>
        <w:spacing w:line="360" w:lineRule="auto"/>
        <w:jc w:val="center"/>
        <w:rPr>
          <w:rFonts w:ascii="Arial" w:hAnsi="Arial" w:cs="Arial"/>
        </w:rPr>
      </w:pPr>
      <w:bookmarkStart w:id="61" w:name="_Hlk214712508"/>
      <w:r>
        <w:rPr>
          <w:rFonts w:ascii="Arial" w:hAnsi="Arial" w:cs="Arial"/>
          <w:b/>
          <w:bCs/>
        </w:rPr>
        <w:t>Variation in Automated System Disclosures</w:t>
      </w:r>
      <w:bookmarkEnd w:id="61"/>
    </w:p>
    <w:p w14:paraId="1FD8EF01">
      <w:pPr>
        <w:spacing w:line="360" w:lineRule="auto"/>
        <w:jc w:val="both"/>
        <w:rPr>
          <w:rFonts w:ascii="Arial" w:hAnsi="Arial" w:cs="Arial"/>
          <w:lang w:val="en-AU"/>
        </w:rPr>
      </w:pPr>
      <w:bookmarkStart w:id="62" w:name="_Hlk214494007"/>
      <w:r>
        <w:rPr>
          <w:rFonts w:ascii="Arial" w:hAnsi="Arial" w:cs="Arial"/>
          <w:lang w:val="en-AU"/>
        </w:rPr>
        <w:t>The growing adoption of general Automation-enabled platforms reflects the wider trend towards algorithmic execution and straight-through processing in contemporary financial markets. There are a number of advantages to automated trades, such as the capability of automation software systems to process more transactions than manual traders. This fundamental technology capability is a key to staying ahead or at parity with the global trading platforms and systems that have achieved market liquidity saturation. A similar embrace of automation proved not to be the case for all South Asian stock exchanges, where by far NSE had the highest frequency (99), indicating its high reliance on automated systems to manage a large volume of trade. Similarly, the DSE (70), NEPSE (47) and CSE (47) shows strong levels of involvement in automation for core trading processes, suggesting a more regional effort to automate these features; whereas RSEB (14), PSX (12) and MSE demonstrates lower yet still existent activity involving automated system deployment.</w:t>
      </w:r>
    </w:p>
    <w:p w14:paraId="1FD8EF02">
      <w:pPr>
        <w:spacing w:line="360" w:lineRule="auto"/>
        <w:jc w:val="both"/>
        <w:rPr>
          <w:rFonts w:ascii="Arial" w:hAnsi="Arial" w:cs="Arial"/>
          <w:lang w:val="en-AU"/>
        </w:rPr>
      </w:pPr>
    </w:p>
    <w:p w14:paraId="1FD8EF03">
      <w:pPr>
        <w:spacing w:line="360" w:lineRule="auto"/>
        <w:jc w:val="both"/>
        <w:rPr>
          <w:rFonts w:ascii="Arial" w:hAnsi="Arial" w:cs="Arial"/>
          <w:b/>
          <w:bCs/>
        </w:rPr>
      </w:pPr>
      <w:bookmarkStart w:id="63" w:name="_Hlk214712570"/>
      <w:r>
        <w:rPr>
          <w:rFonts w:ascii="Arial" w:hAnsi="Arial" w:cs="Arial"/>
          <w:b/>
          <w:bCs/>
        </w:rPr>
        <w:t>Figure 16:</w:t>
      </w:r>
      <w:r>
        <w:t xml:space="preserve"> </w:t>
      </w:r>
      <w:r>
        <w:rPr>
          <w:rFonts w:ascii="Arial" w:hAnsi="Arial" w:cs="Arial"/>
          <w:b/>
          <w:bCs/>
        </w:rPr>
        <w:t>Comparative Frequency of Analytics</w:t>
      </w:r>
    </w:p>
    <w:bookmarkEnd w:id="63"/>
    <w:p w14:paraId="1FD8EF04">
      <w:pPr>
        <w:spacing w:line="360" w:lineRule="auto"/>
        <w:jc w:val="both"/>
        <w:rPr>
          <w:rFonts w:ascii="Arial" w:hAnsi="Arial" w:cs="Arial"/>
          <w:b/>
          <w:bCs/>
          <w:lang w:val="en-AU"/>
        </w:rPr>
      </w:pPr>
    </w:p>
    <w:p w14:paraId="1FD8EF05">
      <w:pPr>
        <w:spacing w:line="360" w:lineRule="auto"/>
        <w:jc w:val="center"/>
        <w:rPr>
          <w:rFonts w:ascii="Arial" w:hAnsi="Arial" w:cs="Arial"/>
          <w:b/>
          <w:bCs/>
          <w:lang w:val="en-AU"/>
        </w:rPr>
      </w:pPr>
      <w:r>
        <w:rPr>
          <w:rFonts w:ascii="Arial" w:hAnsi="Arial" w:cs="Arial"/>
          <w:b/>
          <w:bCs/>
          <w:lang w:val="en-AU"/>
        </w:rPr>
        <w:t>ANALYTICS</w:t>
      </w:r>
    </w:p>
    <w:bookmarkEnd w:id="62"/>
    <w:p w14:paraId="1FD8EF06">
      <w:pPr>
        <w:spacing w:line="360" w:lineRule="auto"/>
        <w:jc w:val="center"/>
        <w:rPr>
          <w:rFonts w:ascii="Arial" w:hAnsi="Arial" w:cs="Arial"/>
          <w:b/>
          <w:bCs/>
        </w:rPr>
      </w:pPr>
      <w:r>
        <w:drawing>
          <wp:inline distT="0" distB="0" distL="0" distR="0">
            <wp:extent cx="4565015" cy="2752090"/>
            <wp:effectExtent l="0" t="0" r="6985" b="10160"/>
            <wp:docPr id="8389965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FD8EF07">
      <w:pPr>
        <w:spacing w:line="360" w:lineRule="auto"/>
        <w:jc w:val="center"/>
        <w:rPr>
          <w:rFonts w:ascii="Arial" w:hAnsi="Arial" w:cs="Arial"/>
          <w:b/>
          <w:bCs/>
        </w:rPr>
      </w:pPr>
      <w:r>
        <w:rPr>
          <w:rFonts w:ascii="Arial" w:hAnsi="Arial" w:cs="Arial"/>
        </w:rPr>
        <w:br w:type="textWrapping"/>
      </w:r>
      <w:bookmarkStart w:id="64" w:name="_Hlk214712561"/>
      <w:r>
        <w:rPr>
          <w:rFonts w:ascii="Arial" w:hAnsi="Arial" w:cs="Arial"/>
          <w:b/>
          <w:bCs/>
        </w:rPr>
        <w:t xml:space="preserve">Comparative Frequency of Analytics </w:t>
      </w:r>
    </w:p>
    <w:bookmarkEnd w:id="64"/>
    <w:p w14:paraId="1FD8EF08">
      <w:pPr>
        <w:spacing w:line="360" w:lineRule="auto"/>
        <w:jc w:val="both"/>
        <w:rPr>
          <w:rFonts w:ascii="Arial" w:hAnsi="Arial" w:cs="Arial"/>
          <w:lang w:val="en-AU"/>
        </w:rPr>
      </w:pPr>
      <w:r>
        <w:rPr>
          <w:rFonts w:ascii="Arial" w:hAnsi="Arial" w:cs="Arial"/>
          <w:lang w:val="en-AU"/>
        </w:rPr>
        <w:t>Systems based on analytics are an integral part of the state-of-the-art financial market infrastructure, one that relies on math and stats to help exchanges wade through reams of data. Descriptive, diagnostic and predictive analytics enable analytics to support risk management, trend forecasting, fraud detection and overall market transparency. The symmetry in the distribution of the number of adopters suggests an imbalance in adoption pattern across South Asian Stock Markets. These features aid in trading compliance and lead to better decision making. Very much garden-path material The NSE generates vastly the most events (301), a great dependence on advanced analytical tools. Hardly, any contribution in the form of MSE, PSX and CSE are experienced which means low level of among South Asian exchanges with respect to fundamentals data capability realization in technology maturity scale and data driven approach.</w:t>
      </w:r>
    </w:p>
    <w:p w14:paraId="1FD8EF09">
      <w:pPr>
        <w:spacing w:line="360" w:lineRule="auto"/>
        <w:jc w:val="both"/>
        <w:rPr>
          <w:rFonts w:ascii="Arial" w:hAnsi="Arial" w:cs="Arial"/>
          <w:lang w:val="en-AU"/>
        </w:rPr>
      </w:pPr>
    </w:p>
    <w:p w14:paraId="1FD8EF0A">
      <w:pPr>
        <w:spacing w:line="360" w:lineRule="auto"/>
        <w:jc w:val="both"/>
        <w:rPr>
          <w:rFonts w:ascii="Arial" w:hAnsi="Arial" w:cs="Arial"/>
          <w:b/>
          <w:bCs/>
        </w:rPr>
      </w:pPr>
      <w:bookmarkStart w:id="65" w:name="_Hlk214712602"/>
      <w:r>
        <w:rPr>
          <w:rFonts w:ascii="Arial" w:hAnsi="Arial" w:cs="Arial"/>
          <w:b/>
          <w:bCs/>
        </w:rPr>
        <w:t>Figure 17:</w:t>
      </w:r>
      <w:r>
        <w:t xml:space="preserve"> </w:t>
      </w:r>
      <w:r>
        <w:rPr>
          <w:rFonts w:ascii="Arial" w:hAnsi="Arial" w:cs="Arial"/>
          <w:b/>
          <w:bCs/>
        </w:rPr>
        <w:t>Big Data Adoption as a Marker of Digital Readiness Across Exchanges</w:t>
      </w:r>
    </w:p>
    <w:bookmarkEnd w:id="65"/>
    <w:p w14:paraId="1FD8EF0B">
      <w:pPr>
        <w:spacing w:line="360" w:lineRule="auto"/>
        <w:jc w:val="both"/>
        <w:rPr>
          <w:rFonts w:ascii="Arial" w:hAnsi="Arial" w:cs="Arial"/>
          <w:lang w:val="en-AU"/>
        </w:rPr>
      </w:pPr>
    </w:p>
    <w:p w14:paraId="1FD8EF0C">
      <w:pPr>
        <w:spacing w:line="360" w:lineRule="auto"/>
        <w:jc w:val="center"/>
        <w:rPr>
          <w:rFonts w:ascii="Arial" w:hAnsi="Arial" w:cs="Arial"/>
          <w:b/>
          <w:bCs/>
        </w:rPr>
      </w:pPr>
      <w:r>
        <w:rPr>
          <w:rFonts w:ascii="Arial" w:hAnsi="Arial" w:cs="Arial"/>
          <w:b/>
          <w:bCs/>
        </w:rPr>
        <w:t>BIG DATA</w:t>
      </w:r>
    </w:p>
    <w:p w14:paraId="1FD8EF0D">
      <w:pPr>
        <w:spacing w:line="360" w:lineRule="auto"/>
        <w:jc w:val="center"/>
        <w:rPr>
          <w:rFonts w:ascii="Arial" w:hAnsi="Arial" w:cs="Arial"/>
        </w:rPr>
      </w:pPr>
      <w:r>
        <w:rPr>
          <w:rFonts w:ascii="Arial" w:hAnsi="Arial" w:cs="Arial"/>
        </w:rPr>
        <w:br w:type="textWrapping"/>
      </w:r>
      <w:r>
        <w:drawing>
          <wp:inline distT="0" distB="0" distL="0" distR="0">
            <wp:extent cx="4565015" cy="2667635"/>
            <wp:effectExtent l="0" t="0" r="6985" b="18415"/>
            <wp:docPr id="16316628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FD8EF0E">
      <w:pPr>
        <w:spacing w:line="360" w:lineRule="auto"/>
        <w:jc w:val="center"/>
        <w:rPr>
          <w:rFonts w:ascii="Arial" w:hAnsi="Arial" w:cs="Arial"/>
        </w:rPr>
      </w:pPr>
    </w:p>
    <w:p w14:paraId="1FD8EF0F">
      <w:pPr>
        <w:spacing w:line="360" w:lineRule="auto"/>
        <w:jc w:val="center"/>
        <w:rPr>
          <w:rFonts w:ascii="Arial" w:hAnsi="Arial" w:cs="Arial"/>
          <w:b/>
          <w:bCs/>
        </w:rPr>
      </w:pPr>
      <w:bookmarkStart w:id="66" w:name="_Hlk214712593"/>
      <w:r>
        <w:rPr>
          <w:rFonts w:ascii="Arial" w:hAnsi="Arial" w:cs="Arial"/>
          <w:b/>
          <w:bCs/>
        </w:rPr>
        <w:t>Big Data Adoption as a Marker of Digital Readiness Across Exchanges</w:t>
      </w:r>
    </w:p>
    <w:bookmarkEnd w:id="66"/>
    <w:p w14:paraId="1FD8EF10">
      <w:pPr>
        <w:spacing w:line="360" w:lineRule="auto"/>
        <w:jc w:val="both"/>
        <w:rPr>
          <w:rFonts w:ascii="Arial" w:hAnsi="Arial" w:cs="Arial"/>
          <w:lang w:val="en-AU"/>
        </w:rPr>
      </w:pPr>
      <w:r>
        <w:rPr>
          <w:rFonts w:ascii="Arial" w:hAnsi="Arial" w:cs="Arial"/>
          <w:lang w:val="en-AU"/>
        </w:rPr>
        <w:t>Big Data (BD) technology is at the heart of today’s capital markets ecosystem allowing exchange venues to gather and keep market and off-market information at an ever-increasing speed but also treat real-time data processing and analysis. Driven by the requirement of high frequency trading, full market surveillance and in-depth analysis on behaviours and structure that are hardly achievable through existing database systems, robust deployment of BD infrastructure is indispensable. One sure sign that a trade has become technology ready is that it can cope with velocity, volume, and variety. The frequencies of the observed events show is an enormously skewed distribution: There are virtually no adoptions in the first five exchanges (0 up to 3). But there is quite lot of volume BD activity at these latter two exchanges with frequency topping up to 30 (Exchange 6) and slowly easing off to about 20(Exchange7), thus suggesting that only some subset of the consortium have really invested much into building up serious,high-volume scalable big data capabilities.</w:t>
      </w:r>
    </w:p>
    <w:p w14:paraId="1FD8EF12">
      <w:pPr>
        <w:spacing w:line="360" w:lineRule="auto"/>
        <w:jc w:val="both"/>
        <w:rPr>
          <w:rFonts w:ascii="Arial" w:hAnsi="Arial" w:cs="Arial"/>
          <w:lang w:val="en-AU"/>
        </w:rPr>
      </w:pPr>
      <w:r>
        <w:rPr>
          <w:rFonts w:ascii="Arial" w:hAnsi="Arial" w:cs="Arial"/>
          <w:lang w:val="en-AU"/>
        </w:rPr>
        <w:t>Although the keywords for AI started being referred to in some fields in foreign countries, such as: NNP (Natural language Processing), ES (Expert System), etc, these keywords that could not be available locally. On the other hand, you could see several relevant concepts and technologies in these reports while "dynamic energy management" -one of these two key works has no explicit explanation till now. That implies that the level of institutional/corporate AI expertise in domains such as NLP and expert systems are also probably lagging against those at a global level.</w:t>
      </w:r>
    </w:p>
    <w:p w14:paraId="1FD8EF14">
      <w:pPr>
        <w:spacing w:line="360" w:lineRule="auto"/>
        <w:jc w:val="center"/>
        <w:rPr>
          <w:rFonts w:ascii="Arial" w:hAnsi="Arial" w:cs="Arial"/>
          <w:b/>
          <w:bCs/>
        </w:rPr>
      </w:pPr>
      <w:r>
        <w:rPr>
          <w:rFonts w:ascii="Arial" w:hAnsi="Arial" w:cs="Arial"/>
          <w:b/>
          <w:bCs/>
        </w:rPr>
        <w:t>DHAKA STOCK EXCHNAGE (DSE)</w:t>
      </w:r>
      <w:bookmarkStart w:id="67" w:name="_Hlk214712625"/>
    </w:p>
    <w:p w14:paraId="1FD8EF15">
      <w:pPr>
        <w:spacing w:line="360" w:lineRule="auto"/>
        <w:rPr>
          <w:rFonts w:ascii="Arial" w:hAnsi="Arial" w:cs="Arial"/>
          <w:b/>
          <w:bCs/>
        </w:rPr>
      </w:pPr>
      <w:r>
        <w:rPr>
          <w:rFonts w:ascii="Arial" w:hAnsi="Arial" w:cs="Arial"/>
          <w:b/>
          <w:bCs/>
        </w:rPr>
        <w:t>Figure 18: DSE – Most Frequently Disclosed AI Keywords</w:t>
      </w:r>
      <w:bookmarkEnd w:id="67"/>
    </w:p>
    <w:p w14:paraId="1FD8EF16">
      <w:pPr>
        <w:spacing w:line="360" w:lineRule="auto"/>
        <w:jc w:val="center"/>
        <w:rPr>
          <w:rFonts w:ascii="Arial" w:hAnsi="Arial" w:cs="Arial"/>
          <w:b/>
          <w:bCs/>
        </w:rPr>
      </w:pPr>
      <w:r>
        <w:rPr>
          <w:rFonts w:ascii="Arial" w:hAnsi="Arial" w:cs="Arial"/>
          <w:b/>
          <w:bCs/>
        </w:rPr>
        <w:br w:type="textWrapping"/>
      </w:r>
      <w:r>
        <w:rPr>
          <w:rFonts w:ascii="Arial" w:hAnsi="Arial" w:cs="Arial"/>
        </w:rPr>
        <w:drawing>
          <wp:inline distT="0" distB="0" distL="0" distR="0">
            <wp:extent cx="4559300" cy="2616200"/>
            <wp:effectExtent l="0" t="0" r="12700" b="12700"/>
            <wp:docPr id="71807539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FD8EF17">
      <w:pPr>
        <w:pStyle w:val="18"/>
        <w:spacing w:line="360" w:lineRule="auto"/>
        <w:jc w:val="center"/>
        <w:rPr>
          <w:rFonts w:ascii="Arial" w:hAnsi="Arial" w:cs="Arial"/>
          <w:b/>
          <w:bCs/>
        </w:rPr>
      </w:pPr>
      <w:bookmarkStart w:id="68" w:name="_Hlk214712616"/>
      <w:r>
        <w:rPr>
          <w:rFonts w:ascii="Arial" w:hAnsi="Arial" w:eastAsia="Times New Roman" w:cs="Arial"/>
          <w:b/>
          <w:bCs/>
        </w:rPr>
        <w:t>DSE – Most Frequently Disclosed AI Keywords</w:t>
      </w:r>
    </w:p>
    <w:bookmarkEnd w:id="68"/>
    <w:p w14:paraId="1FD8EF18">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 xml:space="preserve">The keyword-frequency chart for DSE shows that </w:t>
      </w:r>
      <w:r>
        <w:rPr>
          <w:rFonts w:ascii="Arial" w:hAnsi="Arial" w:eastAsia="Times New Roman" w:cs="Arial"/>
          <w:b/>
          <w:bCs/>
          <w:kern w:val="0"/>
          <w14:ligatures w14:val="none"/>
        </w:rPr>
        <w:t>“Automated”</w:t>
      </w:r>
      <w:r>
        <w:rPr>
          <w:rStyle w:val="19"/>
          <w:rFonts w:ascii="Arial" w:hAnsi="Arial" w:cs="Arial"/>
        </w:rPr>
        <w:t xml:space="preserve"> </w:t>
      </w:r>
      <w:r>
        <w:rPr>
          <w:rStyle w:val="19"/>
          <w:rFonts w:ascii="Arial" w:hAnsi="Arial" w:cs="Arial"/>
          <w:b w:val="0"/>
          <w:bCs w:val="0"/>
        </w:rPr>
        <w:t>is the most frequently used AI-related keyword, i</w:t>
      </w:r>
      <w:r>
        <w:rPr>
          <w:rFonts w:ascii="Arial" w:hAnsi="Arial" w:cs="Arial"/>
        </w:rPr>
        <w:t>ndicating a strong emphasis on automation technologies among Bangladeshi listed companies.</w:t>
      </w:r>
      <w:r>
        <w:rPr>
          <w:rFonts w:ascii="Arial" w:hAnsi="Arial" w:eastAsia="Times New Roman" w:cs="Arial"/>
          <w:kern w:val="0"/>
          <w14:ligatures w14:val="none"/>
        </w:rPr>
        <w:t xml:space="preserve">  </w:t>
      </w:r>
      <w:r>
        <w:rPr>
          <w:rFonts w:ascii="Arial" w:hAnsi="Arial" w:eastAsia="Times New Roman" w:cs="Arial"/>
          <w:b/>
          <w:bCs/>
          <w:kern w:val="0"/>
          <w14:ligatures w14:val="none"/>
        </w:rPr>
        <w:t xml:space="preserve">“Artificial Intelligence” </w:t>
      </w:r>
      <w:r>
        <w:rPr>
          <w:rFonts w:ascii="Arial" w:hAnsi="Arial" w:eastAsia="Times New Roman" w:cs="Arial"/>
          <w:kern w:val="0"/>
          <w14:ligatures w14:val="none"/>
        </w:rPr>
        <w:t xml:space="preserve">and </w:t>
      </w:r>
      <w:r>
        <w:rPr>
          <w:rFonts w:ascii="Arial" w:hAnsi="Arial" w:eastAsia="Times New Roman" w:cs="Arial"/>
          <w:b/>
          <w:bCs/>
          <w:kern w:val="0"/>
          <w14:ligatures w14:val="none"/>
        </w:rPr>
        <w:t>“Analytics”</w:t>
      </w:r>
      <w:r>
        <w:rPr>
          <w:rFonts w:ascii="Arial" w:hAnsi="Arial" w:eastAsia="Times New Roman" w:cs="Arial"/>
          <w:kern w:val="0"/>
          <w14:ligatures w14:val="none"/>
        </w:rPr>
        <w:t xml:space="preserve"> appear at lower but still visible level, while </w:t>
      </w:r>
      <w:r>
        <w:rPr>
          <w:rFonts w:ascii="Arial" w:hAnsi="Arial" w:eastAsia="Times New Roman" w:cs="Arial"/>
          <w:b/>
          <w:bCs/>
          <w:kern w:val="0"/>
          <w14:ligatures w14:val="none"/>
        </w:rPr>
        <w:t>“Machine learning” and “RPA”</w:t>
      </w:r>
      <w:r>
        <w:rPr>
          <w:rFonts w:ascii="Arial" w:hAnsi="Arial" w:eastAsia="Times New Roman" w:cs="Arial"/>
          <w:kern w:val="0"/>
          <w14:ligatures w14:val="none"/>
        </w:rPr>
        <w:t xml:space="preserve"> remain marginal with only 3 references each. Advanced terms such as </w:t>
      </w:r>
      <w:r>
        <w:rPr>
          <w:rFonts w:ascii="Arial" w:hAnsi="Arial" w:eastAsia="Times New Roman" w:cs="Arial"/>
          <w:b/>
          <w:bCs/>
          <w:kern w:val="0"/>
          <w14:ligatures w14:val="none"/>
        </w:rPr>
        <w:t>Deep Learning, NLP, Neural Networks, and Expert Systems</w:t>
      </w:r>
      <w:r>
        <w:rPr>
          <w:rFonts w:ascii="Arial" w:hAnsi="Arial" w:eastAsia="Times New Roman" w:cs="Arial"/>
          <w:kern w:val="0"/>
          <w14:ligatures w14:val="none"/>
        </w:rPr>
        <w:t xml:space="preserve"> are not mentioned at all, suggesting that DSE-listed firms tend to frame AI in broader, operational terms rather than through specialised technical language.</w:t>
      </w:r>
    </w:p>
    <w:p w14:paraId="1FD8EF19">
      <w:pPr>
        <w:spacing w:before="100" w:beforeAutospacing="1" w:after="100" w:afterAutospacing="1" w:line="360" w:lineRule="auto"/>
        <w:jc w:val="both"/>
        <w:rPr>
          <w:rFonts w:ascii="Arial" w:hAnsi="Arial" w:eastAsia="Times New Roman" w:cs="Arial"/>
          <w:kern w:val="0"/>
          <w14:ligatures w14:val="none"/>
        </w:rPr>
      </w:pPr>
    </w:p>
    <w:p w14:paraId="1FD8EF1A">
      <w:pPr>
        <w:spacing w:line="360" w:lineRule="auto"/>
        <w:rPr>
          <w:rFonts w:ascii="Arial" w:hAnsi="Arial" w:cs="Arial"/>
          <w:b/>
          <w:bCs/>
        </w:rPr>
      </w:pPr>
      <w:bookmarkStart w:id="69" w:name="_Hlk214712660"/>
      <w:r>
        <w:rPr>
          <w:rFonts w:ascii="Arial" w:hAnsi="Arial" w:cs="Arial"/>
          <w:b/>
          <w:bCs/>
        </w:rPr>
        <w:t>Figure 19:</w:t>
      </w:r>
      <w:r>
        <w:t xml:space="preserve"> </w:t>
      </w:r>
      <w:r>
        <w:rPr>
          <w:rFonts w:ascii="Arial" w:hAnsi="Arial" w:cs="Arial"/>
          <w:b/>
          <w:bCs/>
        </w:rPr>
        <w:t>DSE – Companies with Highest AI Disclosures</w:t>
      </w:r>
    </w:p>
    <w:bookmarkEnd w:id="69"/>
    <w:p w14:paraId="1FD8EF1B">
      <w:pPr>
        <w:spacing w:before="100" w:beforeAutospacing="1" w:after="100" w:afterAutospacing="1" w:line="360" w:lineRule="auto"/>
        <w:jc w:val="center"/>
        <w:rPr>
          <w:rFonts w:ascii="Arial" w:hAnsi="Arial" w:eastAsia="Times New Roman" w:cs="Arial"/>
          <w:kern w:val="0"/>
          <w14:ligatures w14:val="none"/>
        </w:rPr>
      </w:pPr>
      <w:r>
        <w:rPr>
          <w:rFonts w:ascii="Arial" w:hAnsi="Arial" w:cs="Arial"/>
        </w:rPr>
        <w:drawing>
          <wp:inline distT="0" distB="0" distL="0" distR="0">
            <wp:extent cx="4417695" cy="2346325"/>
            <wp:effectExtent l="0" t="0" r="1905" b="15875"/>
            <wp:docPr id="11485845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FD8EF1C">
      <w:pPr>
        <w:spacing w:before="100" w:beforeAutospacing="1" w:after="100" w:afterAutospacing="1" w:line="360" w:lineRule="auto"/>
        <w:jc w:val="center"/>
        <w:rPr>
          <w:rFonts w:ascii="Arial" w:hAnsi="Arial" w:eastAsia="Times New Roman" w:cs="Arial"/>
          <w:kern w:val="0"/>
          <w14:ligatures w14:val="none"/>
        </w:rPr>
      </w:pPr>
    </w:p>
    <w:p w14:paraId="1FD8EF1D">
      <w:pPr>
        <w:spacing w:before="100" w:beforeAutospacing="1" w:after="100" w:afterAutospacing="1" w:line="360" w:lineRule="auto"/>
        <w:jc w:val="center"/>
        <w:rPr>
          <w:rFonts w:ascii="Arial" w:hAnsi="Arial" w:eastAsia="Times New Roman" w:cs="Arial"/>
          <w:kern w:val="0"/>
          <w14:ligatures w14:val="none"/>
        </w:rPr>
      </w:pPr>
      <w:bookmarkStart w:id="70" w:name="_Hlk214712648"/>
      <w:r>
        <w:rPr>
          <w:rFonts w:ascii="Arial" w:hAnsi="Arial" w:eastAsia="Times New Roman" w:cs="Arial"/>
          <w:b/>
          <w:bCs/>
          <w:kern w:val="0"/>
          <w14:ligatures w14:val="none"/>
        </w:rPr>
        <w:t>DSE – Companies with Highest AI Disclosures</w:t>
      </w:r>
    </w:p>
    <w:bookmarkEnd w:id="70"/>
    <w:p w14:paraId="1FD8EF1E">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The company-wise chart for DSE highlights Islamic Bank Bangladesh as the clear leader, with 50 AI-related disclosures, reflecting strong emphasis on technology-enabled banking and digital services. It is followed at a distance by Midland Bank Ltd , Reliance Insurance Ltd.  and Union Capital Ltd., which show moderate engagement with AI themes. Other firms, such as Meghna Petroleum Ltd. and Eastern Lubricants Ltd., record no AI-related disclosures. Overall, AI communication at DSE appears concentrated in a handful of financial institutions rather than being widespread across all sectors.</w:t>
      </w:r>
    </w:p>
    <w:p w14:paraId="1FD8EF1F">
      <w:pPr>
        <w:spacing w:before="100" w:beforeAutospacing="1" w:after="100" w:afterAutospacing="1" w:line="360" w:lineRule="auto"/>
        <w:jc w:val="both"/>
        <w:rPr>
          <w:rFonts w:ascii="Arial" w:hAnsi="Arial" w:eastAsia="Times New Roman" w:cs="Arial"/>
          <w:kern w:val="0"/>
          <w14:ligatures w14:val="none"/>
        </w:rPr>
      </w:pPr>
    </w:p>
    <w:p w14:paraId="1FD8EF20">
      <w:pPr>
        <w:spacing w:line="360" w:lineRule="auto"/>
        <w:jc w:val="center"/>
        <w:rPr>
          <w:rFonts w:ascii="Arial" w:hAnsi="Arial" w:cs="Arial"/>
          <w:b/>
          <w:bCs/>
        </w:rPr>
      </w:pPr>
      <w:r>
        <w:rPr>
          <w:rFonts w:ascii="Arial" w:hAnsi="Arial" w:cs="Arial"/>
          <w:b/>
          <w:bCs/>
        </w:rPr>
        <w:t>COLOMBO STOCK EXCHNAGE (CSE)</w:t>
      </w:r>
    </w:p>
    <w:p w14:paraId="1FD8EF21">
      <w:pPr>
        <w:spacing w:line="360" w:lineRule="auto"/>
        <w:jc w:val="center"/>
        <w:rPr>
          <w:rFonts w:ascii="Arial" w:hAnsi="Arial" w:cs="Arial"/>
          <w:b/>
          <w:bCs/>
        </w:rPr>
      </w:pPr>
    </w:p>
    <w:p w14:paraId="1FD8EF22">
      <w:pPr>
        <w:spacing w:line="360" w:lineRule="auto"/>
        <w:rPr>
          <w:rFonts w:ascii="Arial" w:hAnsi="Arial" w:cs="Arial"/>
          <w:b/>
          <w:bCs/>
        </w:rPr>
      </w:pPr>
      <w:bookmarkStart w:id="71" w:name="_Hlk214712711"/>
      <w:r>
        <w:rPr>
          <w:rFonts w:ascii="Arial" w:hAnsi="Arial" w:cs="Arial"/>
          <w:b/>
          <w:bCs/>
        </w:rPr>
        <w:t>Figure 20:</w:t>
      </w:r>
      <w:r>
        <w:t xml:space="preserve"> </w:t>
      </w:r>
      <w:r>
        <w:rPr>
          <w:rFonts w:ascii="Arial" w:hAnsi="Arial" w:cs="Arial"/>
          <w:b/>
          <w:bCs/>
        </w:rPr>
        <w:t>CSE – Most Frequently Disclosed AI Keywords</w:t>
      </w:r>
    </w:p>
    <w:bookmarkEnd w:id="71"/>
    <w:p w14:paraId="1FD8EF23">
      <w:pPr>
        <w:spacing w:before="100" w:beforeAutospacing="1" w:after="100" w:afterAutospacing="1" w:line="360" w:lineRule="auto"/>
        <w:jc w:val="center"/>
        <w:rPr>
          <w:rFonts w:ascii="Arial" w:hAnsi="Arial" w:eastAsia="Times New Roman" w:cs="Arial"/>
          <w:kern w:val="0"/>
          <w14:ligatures w14:val="none"/>
        </w:rPr>
      </w:pPr>
      <w:r>
        <w:rPr>
          <w:rFonts w:ascii="Arial" w:hAnsi="Arial" w:cs="Arial"/>
        </w:rPr>
        <w:drawing>
          <wp:inline distT="0" distB="0" distL="0" distR="0">
            <wp:extent cx="5045075" cy="2473325"/>
            <wp:effectExtent l="0" t="0" r="3175" b="3175"/>
            <wp:docPr id="119146455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FD8EF24">
      <w:pPr>
        <w:spacing w:before="100" w:beforeAutospacing="1" w:after="100" w:afterAutospacing="1" w:line="360" w:lineRule="auto"/>
        <w:jc w:val="center"/>
        <w:rPr>
          <w:rFonts w:ascii="Arial" w:hAnsi="Arial" w:eastAsia="Times New Roman" w:cs="Arial"/>
          <w:kern w:val="0"/>
          <w14:ligatures w14:val="none"/>
        </w:rPr>
      </w:pPr>
    </w:p>
    <w:p w14:paraId="1FD8EF25">
      <w:pPr>
        <w:spacing w:before="100" w:beforeAutospacing="1" w:after="100" w:afterAutospacing="1" w:line="360" w:lineRule="auto"/>
        <w:jc w:val="center"/>
        <w:rPr>
          <w:rFonts w:ascii="Arial" w:hAnsi="Arial" w:eastAsia="Times New Roman" w:cs="Arial"/>
          <w:kern w:val="0"/>
          <w14:ligatures w14:val="none"/>
        </w:rPr>
      </w:pPr>
      <w:r>
        <w:rPr>
          <w:rFonts w:ascii="Arial" w:hAnsi="Arial" w:eastAsia="Times New Roman" w:cs="Arial"/>
          <w:b/>
          <w:bCs/>
          <w:kern w:val="0"/>
          <w14:ligatures w14:val="none"/>
        </w:rPr>
        <w:t>CSE – Most Frequently Disclosed AI Keywords</w:t>
      </w:r>
    </w:p>
    <w:p w14:paraId="1FD8EF26">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In the keyword chart at the CSE, it is possible to identify the most popular disclosure which is Automated indicating that the main prism in which AI is recast in this market is automation. The second disclosed one is analytics, which is increasingly becoming interested in data-driven decision-making. The phrase of Artificial Intelligence and machine learning emergence is a minor issue but since it is still immature, more sophisticated ideas like Deep Learning, RPA, NLP, Neural Networks and Expert Systems are not practiced. It is possible to say that this trend is based on the idea that the CSE disclosures focus on practical automation and analytical functionality but not on specific subfields of AI.</w:t>
      </w:r>
    </w:p>
    <w:p w14:paraId="1FD8EF27">
      <w:pPr>
        <w:spacing w:line="360" w:lineRule="auto"/>
        <w:rPr>
          <w:rFonts w:ascii="Arial" w:hAnsi="Arial" w:cs="Arial"/>
          <w:b/>
          <w:bCs/>
        </w:rPr>
      </w:pPr>
      <w:bookmarkStart w:id="72" w:name="_Hlk214712736"/>
      <w:r>
        <w:rPr>
          <w:rFonts w:ascii="Arial" w:hAnsi="Arial" w:cs="Arial"/>
          <w:b/>
          <w:bCs/>
        </w:rPr>
        <w:t>Figure 21:</w:t>
      </w:r>
      <w:r>
        <w:t xml:space="preserve"> </w:t>
      </w:r>
      <w:r>
        <w:rPr>
          <w:rFonts w:ascii="Arial" w:hAnsi="Arial" w:cs="Arial"/>
          <w:b/>
          <w:bCs/>
        </w:rPr>
        <w:t>CSE – Companies with Highest AI Disclosures</w:t>
      </w:r>
    </w:p>
    <w:bookmarkEnd w:id="72"/>
    <w:p w14:paraId="1FD8EF28">
      <w:pPr>
        <w:spacing w:line="360" w:lineRule="auto"/>
        <w:rPr>
          <w:rFonts w:ascii="Arial" w:hAnsi="Arial" w:cs="Arial"/>
          <w:b/>
          <w:bCs/>
        </w:rPr>
      </w:pPr>
    </w:p>
    <w:p w14:paraId="1FD8EF29">
      <w:pPr>
        <w:spacing w:before="100" w:beforeAutospacing="1" w:after="100" w:afterAutospacing="1" w:line="360" w:lineRule="auto"/>
        <w:jc w:val="center"/>
        <w:rPr>
          <w:rFonts w:ascii="Arial" w:hAnsi="Arial" w:eastAsia="Times New Roman" w:cs="Arial"/>
          <w:b/>
          <w:bCs/>
          <w:kern w:val="0"/>
          <w14:ligatures w14:val="none"/>
        </w:rPr>
      </w:pPr>
      <w:r>
        <w:rPr>
          <w:rFonts w:ascii="Arial" w:hAnsi="Arial" w:cs="Arial"/>
        </w:rPr>
        <w:drawing>
          <wp:inline distT="0" distB="0" distL="0" distR="0">
            <wp:extent cx="4572000" cy="3251200"/>
            <wp:effectExtent l="0" t="0" r="0" b="6350"/>
            <wp:docPr id="49273609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FD8EF2A">
      <w:pPr>
        <w:spacing w:before="100" w:beforeAutospacing="1" w:after="100" w:afterAutospacing="1" w:line="360" w:lineRule="auto"/>
        <w:jc w:val="center"/>
        <w:rPr>
          <w:rFonts w:ascii="Arial" w:hAnsi="Arial" w:eastAsia="Times New Roman" w:cs="Arial"/>
          <w:b/>
          <w:bCs/>
          <w:kern w:val="0"/>
          <w14:ligatures w14:val="none"/>
        </w:rPr>
      </w:pPr>
    </w:p>
    <w:p w14:paraId="1FD8EF2B">
      <w:pPr>
        <w:spacing w:before="100" w:beforeAutospacing="1" w:after="100" w:afterAutospacing="1" w:line="360" w:lineRule="auto"/>
        <w:jc w:val="center"/>
        <w:rPr>
          <w:rFonts w:ascii="Arial" w:hAnsi="Arial" w:eastAsia="Times New Roman" w:cs="Arial"/>
          <w:b/>
          <w:bCs/>
          <w:kern w:val="0"/>
          <w14:ligatures w14:val="none"/>
        </w:rPr>
      </w:pPr>
      <w:bookmarkStart w:id="73" w:name="_Hlk214712724"/>
      <w:r>
        <w:rPr>
          <w:rFonts w:ascii="Arial" w:hAnsi="Arial" w:eastAsia="Times New Roman" w:cs="Arial"/>
          <w:b/>
          <w:bCs/>
          <w:kern w:val="0"/>
          <w14:ligatures w14:val="none"/>
        </w:rPr>
        <w:t>CSE – Companies with Highest AI Disclosures</w:t>
      </w:r>
    </w:p>
    <w:bookmarkEnd w:id="73"/>
    <w:p w14:paraId="1FD8EF2E">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According to the company-wise chart of CSE, both ASIRI SURGICAL HOSPITAL PLC and ASIRI HOSPITAL HOLDINGS PLC have the same number of disclosures in the healthcare sector, which makes them the co-leaders in the field of AI-related reporting. The other frequency in moderate proportions goes to ABANS ELECTRicals PLC and ARPICO INSURances PLC and a number of companies indicate no AI-related activity such as ACL PLASTICS PLC and ALPHA Fire Services PLC. This distribution shows that AI topics at CSE are common especially in hospital and healthcare services, and there is less uptake in manufacturing and other industris</w:t>
      </w:r>
    </w:p>
    <w:p w14:paraId="1FD8EF2F">
      <w:pPr>
        <w:spacing w:line="360" w:lineRule="auto"/>
        <w:jc w:val="center"/>
        <w:rPr>
          <w:rFonts w:ascii="Arial" w:hAnsi="Arial" w:cs="Arial"/>
          <w:b/>
          <w:bCs/>
        </w:rPr>
      </w:pPr>
      <w:r>
        <w:rPr>
          <w:rFonts w:ascii="Arial" w:hAnsi="Arial" w:cs="Arial"/>
          <w:b/>
          <w:bCs/>
        </w:rPr>
        <w:t>NEPAL STOCK EXCHNAGE (NEPSE)</w:t>
      </w:r>
    </w:p>
    <w:p w14:paraId="1FD8EF30">
      <w:pPr>
        <w:spacing w:line="360" w:lineRule="auto"/>
        <w:jc w:val="center"/>
        <w:rPr>
          <w:rFonts w:ascii="Arial" w:hAnsi="Arial" w:cs="Arial"/>
          <w:b/>
          <w:bCs/>
        </w:rPr>
      </w:pPr>
    </w:p>
    <w:p w14:paraId="1FD8EF31">
      <w:pPr>
        <w:spacing w:line="360" w:lineRule="auto"/>
        <w:rPr>
          <w:rFonts w:ascii="Arial" w:hAnsi="Arial" w:cs="Arial"/>
          <w:b/>
          <w:bCs/>
        </w:rPr>
      </w:pPr>
      <w:bookmarkStart w:id="74" w:name="_Hlk214712758"/>
      <w:r>
        <w:rPr>
          <w:rFonts w:ascii="Arial" w:hAnsi="Arial" w:cs="Arial"/>
          <w:b/>
          <w:bCs/>
        </w:rPr>
        <w:t>Figure 22:</w:t>
      </w:r>
      <w:r>
        <w:t xml:space="preserve"> </w:t>
      </w:r>
      <w:r>
        <w:rPr>
          <w:rFonts w:ascii="Arial" w:hAnsi="Arial" w:cs="Arial"/>
          <w:b/>
          <w:bCs/>
        </w:rPr>
        <w:t>NEPSE – Most Frequently Disclosed AI Keywords</w:t>
      </w:r>
    </w:p>
    <w:bookmarkEnd w:id="74"/>
    <w:p w14:paraId="1FD8EF32">
      <w:pPr>
        <w:spacing w:line="360" w:lineRule="auto"/>
        <w:rPr>
          <w:rFonts w:ascii="Arial" w:hAnsi="Arial" w:cs="Arial"/>
          <w:b/>
          <w:bCs/>
        </w:rPr>
      </w:pPr>
    </w:p>
    <w:p w14:paraId="1FD8EF33">
      <w:pPr>
        <w:spacing w:before="100" w:beforeAutospacing="1" w:after="100" w:afterAutospacing="1" w:line="360" w:lineRule="auto"/>
        <w:jc w:val="center"/>
        <w:rPr>
          <w:rFonts w:ascii="Arial" w:hAnsi="Arial" w:eastAsia="Times New Roman" w:cs="Arial"/>
          <w:b/>
          <w:bCs/>
          <w:kern w:val="0"/>
          <w14:ligatures w14:val="none"/>
        </w:rPr>
      </w:pPr>
      <w:r>
        <w:rPr>
          <w:rFonts w:ascii="Arial" w:hAnsi="Arial" w:cs="Arial"/>
        </w:rPr>
        <w:drawing>
          <wp:inline distT="0" distB="0" distL="0" distR="0">
            <wp:extent cx="5158105" cy="3810000"/>
            <wp:effectExtent l="0" t="0" r="4445" b="0"/>
            <wp:docPr id="114528149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FD8EF34">
      <w:pPr>
        <w:spacing w:before="100" w:beforeAutospacing="1" w:after="100" w:afterAutospacing="1" w:line="360" w:lineRule="auto"/>
        <w:jc w:val="center"/>
        <w:rPr>
          <w:rFonts w:ascii="Arial" w:hAnsi="Arial" w:eastAsia="Times New Roman" w:cs="Arial"/>
          <w:b/>
          <w:bCs/>
          <w:kern w:val="0"/>
          <w14:ligatures w14:val="none"/>
        </w:rPr>
      </w:pPr>
    </w:p>
    <w:p w14:paraId="1FD8EF35">
      <w:pPr>
        <w:spacing w:before="100" w:beforeAutospacing="1" w:after="100" w:afterAutospacing="1" w:line="360" w:lineRule="auto"/>
        <w:jc w:val="center"/>
        <w:rPr>
          <w:rFonts w:ascii="Arial" w:hAnsi="Arial" w:eastAsia="Times New Roman" w:cs="Arial"/>
          <w:b/>
          <w:bCs/>
          <w:kern w:val="0"/>
          <w14:ligatures w14:val="none"/>
        </w:rPr>
      </w:pPr>
      <w:bookmarkStart w:id="75" w:name="_Hlk214712751"/>
      <w:r>
        <w:rPr>
          <w:rFonts w:ascii="Arial" w:hAnsi="Arial" w:eastAsia="Times New Roman" w:cs="Arial"/>
          <w:b/>
          <w:bCs/>
          <w:kern w:val="0"/>
          <w14:ligatures w14:val="none"/>
        </w:rPr>
        <w:t>NEPSE – Most Frequently Disclosed AI Keywords</w:t>
      </w:r>
    </w:p>
    <w:bookmarkEnd w:id="75"/>
    <w:p w14:paraId="1FD8EF36">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The explicit Ai terminologies are very low in NEPSE when it comes to the keyword chart. The only keywords that come about are RPA (Robotic Process Automation) and Automated, with their frequency of mention being lower and the rest of the key words have zero mentions. The other reason can be attributed to the fact that most of the companies are reporting in their own language or in accumulative annual reports. On the whole, NEPSE is an indication of a preliminary approach towards AI-related ideas. NEPSE -Most active AI Disclosures.</w:t>
      </w:r>
    </w:p>
    <w:p w14:paraId="1FD8EF37">
      <w:pPr>
        <w:spacing w:before="100" w:beforeAutospacing="1" w:after="100" w:afterAutospacing="1" w:line="360" w:lineRule="auto"/>
        <w:jc w:val="both"/>
        <w:rPr>
          <w:rFonts w:ascii="Arial" w:hAnsi="Arial" w:eastAsia="Times New Roman" w:cs="Arial"/>
          <w:kern w:val="0"/>
          <w14:ligatures w14:val="none"/>
        </w:rPr>
      </w:pPr>
    </w:p>
    <w:p w14:paraId="1FD8EF38">
      <w:pPr>
        <w:spacing w:line="360" w:lineRule="auto"/>
        <w:rPr>
          <w:rFonts w:ascii="Arial" w:hAnsi="Arial" w:cs="Arial"/>
          <w:b/>
          <w:bCs/>
        </w:rPr>
      </w:pPr>
      <w:bookmarkStart w:id="76" w:name="_Hlk214712781"/>
      <w:r>
        <w:rPr>
          <w:rFonts w:ascii="Arial" w:hAnsi="Arial" w:cs="Arial"/>
          <w:b/>
          <w:bCs/>
        </w:rPr>
        <w:t>Figure 23:</w:t>
      </w:r>
      <w:r>
        <w:t xml:space="preserve"> </w:t>
      </w:r>
      <w:r>
        <w:rPr>
          <w:rFonts w:ascii="Arial" w:hAnsi="Arial" w:cs="Arial"/>
          <w:b/>
          <w:bCs/>
        </w:rPr>
        <w:t>NEPSE – Companies with Highest AI Disclosures</w:t>
      </w:r>
    </w:p>
    <w:bookmarkEnd w:id="76"/>
    <w:p w14:paraId="1FD8EF39">
      <w:pPr>
        <w:spacing w:line="360" w:lineRule="auto"/>
        <w:rPr>
          <w:rFonts w:ascii="Arial" w:hAnsi="Arial" w:cs="Arial"/>
          <w:b/>
          <w:bCs/>
        </w:rPr>
      </w:pPr>
    </w:p>
    <w:p w14:paraId="1FD8EF3A">
      <w:pPr>
        <w:spacing w:before="100" w:beforeAutospacing="1" w:after="100" w:afterAutospacing="1" w:line="360" w:lineRule="auto"/>
        <w:jc w:val="center"/>
        <w:rPr>
          <w:rFonts w:ascii="Arial" w:hAnsi="Arial" w:eastAsia="Times New Roman" w:cs="Arial"/>
          <w:b/>
          <w:bCs/>
          <w:kern w:val="0"/>
          <w14:ligatures w14:val="none"/>
        </w:rPr>
      </w:pPr>
      <w:r>
        <w:rPr>
          <w:rFonts w:ascii="Arial" w:hAnsi="Arial" w:cs="Arial"/>
        </w:rPr>
        <w:drawing>
          <wp:inline distT="0" distB="0" distL="0" distR="0">
            <wp:extent cx="5031105" cy="2946400"/>
            <wp:effectExtent l="0" t="0" r="17145" b="6350"/>
            <wp:docPr id="95146075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FD8EF3B">
      <w:pPr>
        <w:spacing w:before="100" w:beforeAutospacing="1" w:after="100" w:afterAutospacing="1" w:line="360" w:lineRule="auto"/>
        <w:jc w:val="center"/>
        <w:rPr>
          <w:rFonts w:ascii="Arial" w:hAnsi="Arial" w:eastAsia="Times New Roman" w:cs="Arial"/>
          <w:b/>
          <w:bCs/>
          <w:kern w:val="0"/>
          <w14:ligatures w14:val="none"/>
        </w:rPr>
      </w:pPr>
    </w:p>
    <w:p w14:paraId="1FD8EF3C">
      <w:pPr>
        <w:spacing w:before="100" w:beforeAutospacing="1" w:after="100" w:afterAutospacing="1" w:line="360" w:lineRule="auto"/>
        <w:jc w:val="center"/>
        <w:rPr>
          <w:rFonts w:ascii="Arial" w:hAnsi="Arial" w:eastAsia="Times New Roman" w:cs="Arial"/>
          <w:b/>
          <w:bCs/>
          <w:kern w:val="0"/>
          <w14:ligatures w14:val="none"/>
        </w:rPr>
      </w:pPr>
      <w:bookmarkStart w:id="77" w:name="_Hlk214712772"/>
      <w:r>
        <w:rPr>
          <w:rFonts w:ascii="Arial" w:hAnsi="Arial" w:eastAsia="Times New Roman" w:cs="Arial"/>
          <w:b/>
          <w:bCs/>
          <w:kern w:val="0"/>
          <w14:ligatures w14:val="none"/>
        </w:rPr>
        <w:t>NEPSE – Companies with Highest AI Disclosures</w:t>
      </w:r>
    </w:p>
    <w:bookmarkEnd w:id="77"/>
    <w:p w14:paraId="1FD8EF3D">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 xml:space="preserve">The NEPSE company-wise chart proves the fact of the limited diffusion of AI-related reporting. Dhaulagiri Laghubitta Bittiya Sanstha is the only firm that has made any disclosures that relate to AI, with a very lower frequency, whereas all other sampled listed companies (Rapti Hydro and General Construction Ltd and Nepal Microfinance Insurance Company) show no disclosure of AI. Such a high concentration level means that AI is still a niche issue and has not yet become a standard part of the corporate communication in the Nepalese market. MSE -Most common AI Keywords Disclosed. </w:t>
      </w:r>
    </w:p>
    <w:p w14:paraId="1FD8EF3E">
      <w:pPr>
        <w:spacing w:line="360" w:lineRule="auto"/>
        <w:jc w:val="center"/>
        <w:rPr>
          <w:rFonts w:ascii="Arial" w:hAnsi="Arial" w:cs="Arial"/>
          <w:b/>
          <w:bCs/>
        </w:rPr>
      </w:pPr>
      <w:r>
        <w:rPr>
          <w:rFonts w:ascii="Arial" w:hAnsi="Arial" w:cs="Arial"/>
          <w:b/>
          <w:bCs/>
        </w:rPr>
        <w:t>MALDIVES STOCK EXCHNAGE (MSE)</w:t>
      </w:r>
    </w:p>
    <w:p w14:paraId="1FD8EF3F">
      <w:pPr>
        <w:spacing w:line="360" w:lineRule="auto"/>
        <w:jc w:val="center"/>
        <w:rPr>
          <w:rFonts w:ascii="Arial" w:hAnsi="Arial" w:cs="Arial"/>
          <w:b/>
          <w:bCs/>
        </w:rPr>
      </w:pPr>
    </w:p>
    <w:p w14:paraId="1FD8EF40">
      <w:pPr>
        <w:spacing w:line="360" w:lineRule="auto"/>
        <w:rPr>
          <w:rFonts w:ascii="Arial" w:hAnsi="Arial" w:cs="Arial"/>
          <w:b/>
          <w:bCs/>
        </w:rPr>
      </w:pPr>
      <w:bookmarkStart w:id="78" w:name="_Hlk214712849"/>
      <w:r>
        <w:rPr>
          <w:rFonts w:ascii="Arial" w:hAnsi="Arial" w:cs="Arial"/>
          <w:b/>
          <w:bCs/>
        </w:rPr>
        <w:t>Figure 24: MSE – Most Frequently Disclosed AI Keywords</w:t>
      </w:r>
      <w:bookmarkEnd w:id="78"/>
    </w:p>
    <w:p w14:paraId="1FD8EF41">
      <w:pPr>
        <w:spacing w:line="360" w:lineRule="auto"/>
        <w:rPr>
          <w:rFonts w:ascii="Arial" w:hAnsi="Arial" w:cs="Arial"/>
          <w:b/>
          <w:bCs/>
        </w:rPr>
      </w:pPr>
    </w:p>
    <w:p w14:paraId="1FD8EF42">
      <w:pPr>
        <w:spacing w:before="100" w:beforeAutospacing="1" w:after="100" w:afterAutospacing="1" w:line="360" w:lineRule="auto"/>
        <w:jc w:val="center"/>
        <w:rPr>
          <w:rFonts w:ascii="Arial" w:hAnsi="Arial" w:eastAsia="Times New Roman" w:cs="Arial"/>
          <w:kern w:val="0"/>
          <w14:ligatures w14:val="none"/>
        </w:rPr>
      </w:pPr>
      <w:r>
        <w:rPr>
          <w:rFonts w:ascii="Arial" w:hAnsi="Arial" w:cs="Arial"/>
        </w:rPr>
        <w:drawing>
          <wp:inline distT="0" distB="0" distL="0" distR="0">
            <wp:extent cx="5601335" cy="3073400"/>
            <wp:effectExtent l="0" t="0" r="18415" b="12700"/>
            <wp:docPr id="17091196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FD8EF43">
      <w:pPr>
        <w:spacing w:before="100" w:beforeAutospacing="1" w:after="100" w:afterAutospacing="1" w:line="360" w:lineRule="auto"/>
        <w:jc w:val="center"/>
        <w:rPr>
          <w:rFonts w:ascii="Arial" w:hAnsi="Arial" w:eastAsia="Times New Roman" w:cs="Arial"/>
          <w:kern w:val="0"/>
          <w14:ligatures w14:val="none"/>
        </w:rPr>
      </w:pPr>
    </w:p>
    <w:p w14:paraId="1FD8EF44">
      <w:pPr>
        <w:spacing w:before="100" w:beforeAutospacing="1" w:after="100" w:afterAutospacing="1" w:line="360" w:lineRule="auto"/>
        <w:jc w:val="center"/>
        <w:rPr>
          <w:rFonts w:ascii="Arial" w:hAnsi="Arial" w:eastAsia="Times New Roman" w:cs="Arial"/>
          <w:kern w:val="0"/>
          <w14:ligatures w14:val="none"/>
        </w:rPr>
      </w:pPr>
      <w:bookmarkStart w:id="79" w:name="_Hlk214712830"/>
      <w:r>
        <w:rPr>
          <w:rFonts w:ascii="Arial" w:hAnsi="Arial" w:eastAsia="Times New Roman" w:cs="Arial"/>
          <w:b/>
          <w:bCs/>
          <w:kern w:val="0"/>
          <w14:ligatures w14:val="none"/>
        </w:rPr>
        <w:t>MSE – Most Frequently Disclosed AI Keywords</w:t>
      </w:r>
    </w:p>
    <w:bookmarkEnd w:id="79"/>
    <w:p w14:paraId="1FD8EF45">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In the case of the MSE, the keyword chart reveals that the automation and analytics are heavily prioritized. The first place is occupied by Automated, and the second, by Analytics, implying that the key elements of digital strategies in Maldivian companies are process automation and data analysis. There is lower positioning of Artificial Intelligence and Machine learning whereas more advanced terminology, including Deep Learning, RPA, NLP, Neural Networks and Expert Systems are not mentioned like other stock exchanges. It presupposes a market that is embracing the practical AI-enabling tools but is not fully aware of it.</w:t>
      </w:r>
    </w:p>
    <w:p w14:paraId="1FD8EF46">
      <w:pPr>
        <w:spacing w:before="100" w:beforeAutospacing="1" w:after="100" w:afterAutospacing="1" w:line="360" w:lineRule="auto"/>
        <w:jc w:val="both"/>
        <w:rPr>
          <w:rFonts w:ascii="Arial" w:hAnsi="Arial" w:eastAsia="Times New Roman" w:cs="Arial"/>
          <w:kern w:val="0"/>
          <w14:ligatures w14:val="none"/>
        </w:rPr>
      </w:pPr>
    </w:p>
    <w:p w14:paraId="1FD8EF47">
      <w:pPr>
        <w:spacing w:line="360" w:lineRule="auto"/>
        <w:rPr>
          <w:rFonts w:ascii="Arial" w:hAnsi="Arial" w:cs="Arial"/>
          <w:b/>
          <w:bCs/>
        </w:rPr>
      </w:pPr>
      <w:bookmarkStart w:id="80" w:name="_Hlk214712858"/>
      <w:r>
        <w:rPr>
          <w:rFonts w:ascii="Arial" w:hAnsi="Arial" w:cs="Arial"/>
          <w:b/>
          <w:bCs/>
        </w:rPr>
        <w:t>Figure 25: MSE – Companies with Highest AI Disclosures</w:t>
      </w:r>
    </w:p>
    <w:bookmarkEnd w:id="80"/>
    <w:p w14:paraId="1FD8EF48">
      <w:pPr>
        <w:spacing w:line="360" w:lineRule="auto"/>
        <w:rPr>
          <w:rFonts w:ascii="Arial" w:hAnsi="Arial" w:cs="Arial"/>
          <w:b/>
          <w:bCs/>
        </w:rPr>
      </w:pPr>
    </w:p>
    <w:p w14:paraId="1FD8EF49">
      <w:pPr>
        <w:spacing w:before="100" w:beforeAutospacing="1" w:after="100" w:afterAutospacing="1" w:line="360" w:lineRule="auto"/>
        <w:jc w:val="center"/>
        <w:rPr>
          <w:rFonts w:ascii="Arial" w:hAnsi="Arial" w:eastAsia="Times New Roman" w:cs="Arial"/>
          <w:kern w:val="0"/>
          <w14:ligatures w14:val="none"/>
        </w:rPr>
      </w:pPr>
      <w:r>
        <w:rPr>
          <w:rFonts w:ascii="Arial" w:hAnsi="Arial" w:cs="Arial"/>
        </w:rPr>
        <w:drawing>
          <wp:inline distT="0" distB="0" distL="0" distR="0">
            <wp:extent cx="5537835" cy="3263900"/>
            <wp:effectExtent l="0" t="0" r="5715" b="12700"/>
            <wp:docPr id="161845987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FD8EF4A">
      <w:pPr>
        <w:spacing w:before="100" w:beforeAutospacing="1" w:after="100" w:afterAutospacing="1" w:line="360" w:lineRule="auto"/>
        <w:jc w:val="center"/>
        <w:rPr>
          <w:rFonts w:ascii="Arial" w:hAnsi="Arial" w:eastAsia="Times New Roman" w:cs="Arial"/>
          <w:kern w:val="0"/>
          <w14:ligatures w14:val="none"/>
        </w:rPr>
      </w:pPr>
    </w:p>
    <w:p w14:paraId="1FD8EF4B">
      <w:pPr>
        <w:spacing w:before="100" w:beforeAutospacing="1" w:after="100" w:afterAutospacing="1" w:line="360" w:lineRule="auto"/>
        <w:jc w:val="center"/>
        <w:rPr>
          <w:rFonts w:ascii="Arial" w:hAnsi="Arial" w:eastAsia="Times New Roman" w:cs="Arial"/>
          <w:kern w:val="0"/>
          <w14:ligatures w14:val="none"/>
        </w:rPr>
      </w:pPr>
      <w:bookmarkStart w:id="81" w:name="_Hlk214712842"/>
      <w:r>
        <w:rPr>
          <w:rFonts w:ascii="Arial" w:hAnsi="Arial" w:eastAsia="Times New Roman" w:cs="Arial"/>
          <w:b/>
          <w:bCs/>
          <w:kern w:val="0"/>
          <w14:ligatures w14:val="none"/>
        </w:rPr>
        <w:t>MSE – Companies with Highest AI Disclosures</w:t>
      </w:r>
    </w:p>
    <w:bookmarkEnd w:id="81"/>
    <w:p w14:paraId="1FD8EF4C">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In the case of the MSE, the keyword chart reveals that the automation and analytics are heavily prioritized. The first place is occupied by Automated, and the second, by Analytics, implying that the key elements of digital strategies in Maldivian companies are process automation and data analysis. There is lower positioning of Artificial Intelligence and Machine learning whereas more advanced terminology, including Deep Learning, RPA, NLP, Neural Networks and Expert Systems are not mentioned like other stock exchanges. It presupposes a market that is embracing the practical AI-enabling tools but is not fully aware of it.</w:t>
      </w:r>
    </w:p>
    <w:p w14:paraId="1FD8EF4D">
      <w:pPr>
        <w:spacing w:before="100" w:beforeAutospacing="1" w:after="100" w:afterAutospacing="1" w:line="360" w:lineRule="auto"/>
        <w:jc w:val="both"/>
        <w:rPr>
          <w:rFonts w:ascii="Arial" w:hAnsi="Arial" w:eastAsia="Times New Roman" w:cs="Arial"/>
          <w:kern w:val="0"/>
          <w14:ligatures w14:val="none"/>
        </w:rPr>
      </w:pPr>
    </w:p>
    <w:p w14:paraId="1FD8EF4E">
      <w:pPr>
        <w:spacing w:before="100" w:beforeAutospacing="1" w:after="100" w:afterAutospacing="1" w:line="360" w:lineRule="auto"/>
        <w:jc w:val="both"/>
        <w:rPr>
          <w:rFonts w:ascii="Arial" w:hAnsi="Arial" w:eastAsia="Times New Roman" w:cs="Arial"/>
          <w:kern w:val="0"/>
          <w14:ligatures w14:val="none"/>
        </w:rPr>
      </w:pPr>
    </w:p>
    <w:p w14:paraId="1FD8EF4F">
      <w:pPr>
        <w:spacing w:line="360" w:lineRule="auto"/>
        <w:jc w:val="center"/>
        <w:rPr>
          <w:rFonts w:ascii="Arial" w:hAnsi="Arial" w:cs="Arial"/>
          <w:b/>
          <w:bCs/>
        </w:rPr>
      </w:pPr>
      <w:r>
        <w:rPr>
          <w:rFonts w:ascii="Arial" w:hAnsi="Arial" w:cs="Arial"/>
          <w:b/>
          <w:bCs/>
        </w:rPr>
        <w:t>PAKISTAN STOCK EXCHNAGE (PSX)</w:t>
      </w:r>
    </w:p>
    <w:p w14:paraId="1FD8EF50">
      <w:pPr>
        <w:spacing w:line="360" w:lineRule="auto"/>
        <w:jc w:val="center"/>
        <w:rPr>
          <w:rFonts w:ascii="Arial" w:hAnsi="Arial" w:cs="Arial"/>
          <w:b/>
          <w:bCs/>
        </w:rPr>
      </w:pPr>
    </w:p>
    <w:p w14:paraId="1FD8EF51">
      <w:pPr>
        <w:spacing w:line="360" w:lineRule="auto"/>
        <w:rPr>
          <w:rFonts w:ascii="Arial" w:hAnsi="Arial" w:cs="Arial"/>
          <w:b/>
          <w:bCs/>
        </w:rPr>
      </w:pPr>
      <w:bookmarkStart w:id="82" w:name="_Hlk214712877"/>
      <w:r>
        <w:rPr>
          <w:rFonts w:ascii="Arial" w:hAnsi="Arial" w:cs="Arial"/>
          <w:b/>
          <w:bCs/>
        </w:rPr>
        <w:t>Figure 26:</w:t>
      </w:r>
      <w:r>
        <w:t xml:space="preserve"> </w:t>
      </w:r>
      <w:r>
        <w:rPr>
          <w:rFonts w:ascii="Arial" w:hAnsi="Arial" w:cs="Arial"/>
          <w:b/>
          <w:bCs/>
        </w:rPr>
        <w:t>PSX – Most Frequently Disclosed AI Keywords</w:t>
      </w:r>
    </w:p>
    <w:bookmarkEnd w:id="82"/>
    <w:p w14:paraId="1FD8EF52">
      <w:pPr>
        <w:spacing w:line="360" w:lineRule="auto"/>
        <w:rPr>
          <w:rFonts w:ascii="Arial" w:hAnsi="Arial" w:cs="Arial"/>
          <w:b/>
          <w:bCs/>
        </w:rPr>
      </w:pPr>
    </w:p>
    <w:p w14:paraId="1FD8EF53">
      <w:pPr>
        <w:spacing w:before="100" w:beforeAutospacing="1" w:after="100" w:afterAutospacing="1" w:line="360" w:lineRule="auto"/>
        <w:jc w:val="center"/>
        <w:rPr>
          <w:rFonts w:ascii="Arial" w:hAnsi="Arial" w:eastAsia="Times New Roman" w:cs="Arial"/>
          <w:b/>
          <w:bCs/>
          <w:kern w:val="0"/>
          <w14:ligatures w14:val="none"/>
        </w:rPr>
      </w:pPr>
      <w:r>
        <w:rPr>
          <w:rFonts w:ascii="Arial" w:hAnsi="Arial" w:cs="Arial"/>
        </w:rPr>
        <w:drawing>
          <wp:inline distT="0" distB="0" distL="0" distR="0">
            <wp:extent cx="5203190" cy="2908300"/>
            <wp:effectExtent l="0" t="0" r="16510" b="6350"/>
            <wp:docPr id="560791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FD8EF54">
      <w:pPr>
        <w:spacing w:before="100" w:beforeAutospacing="1" w:after="100" w:afterAutospacing="1" w:line="360" w:lineRule="auto"/>
        <w:jc w:val="center"/>
        <w:rPr>
          <w:rFonts w:ascii="Arial" w:hAnsi="Arial" w:eastAsia="Times New Roman" w:cs="Arial"/>
          <w:b/>
          <w:bCs/>
          <w:kern w:val="0"/>
          <w14:ligatures w14:val="none"/>
        </w:rPr>
      </w:pPr>
    </w:p>
    <w:p w14:paraId="1FD8EF55">
      <w:pPr>
        <w:spacing w:before="100" w:beforeAutospacing="1" w:after="100" w:afterAutospacing="1" w:line="360" w:lineRule="auto"/>
        <w:jc w:val="center"/>
        <w:rPr>
          <w:rFonts w:ascii="Arial" w:hAnsi="Arial" w:eastAsia="Times New Roman" w:cs="Arial"/>
          <w:b/>
          <w:bCs/>
          <w:kern w:val="0"/>
          <w14:ligatures w14:val="none"/>
        </w:rPr>
      </w:pPr>
      <w:bookmarkStart w:id="83" w:name="_Hlk214712870"/>
      <w:r>
        <w:rPr>
          <w:rFonts w:ascii="Arial" w:hAnsi="Arial" w:eastAsia="Times New Roman" w:cs="Arial"/>
          <w:b/>
          <w:bCs/>
          <w:kern w:val="0"/>
          <w14:ligatures w14:val="none"/>
        </w:rPr>
        <w:t>PSX – Most Frequently Disclosed AI Keywords</w:t>
      </w:r>
    </w:p>
    <w:bookmarkEnd w:id="83"/>
    <w:p w14:paraId="1FD8EF56">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The keyword chart at the PSX indicates that the most commonly disclosed keyword is the word Analytics, and the focus is rather on data analysis and business intelligence. Automated and Artificial Intelligence come next, implying the active debate of both AI, in general, and automation. Machine learning and Deep learning are there but not overly exploited, whereas Natural Language Processing, Neural Networks and Expert Systems are not mentioned at all. Nevertheless, it reveals the majority of AI associated keywords. The profile indicates a market in which AI is guided primarily by analytics and automation.</w:t>
      </w:r>
    </w:p>
    <w:p w14:paraId="1FD8EF57">
      <w:pPr>
        <w:spacing w:before="100" w:beforeAutospacing="1" w:after="100" w:afterAutospacing="1" w:line="360" w:lineRule="auto"/>
        <w:jc w:val="both"/>
        <w:rPr>
          <w:rFonts w:ascii="Arial" w:hAnsi="Arial" w:eastAsia="Times New Roman" w:cs="Arial"/>
          <w:kern w:val="0"/>
          <w14:ligatures w14:val="none"/>
        </w:rPr>
      </w:pPr>
    </w:p>
    <w:p w14:paraId="1FD8EF58">
      <w:pPr>
        <w:spacing w:before="100" w:beforeAutospacing="1" w:after="100" w:afterAutospacing="1" w:line="360" w:lineRule="auto"/>
        <w:jc w:val="both"/>
        <w:rPr>
          <w:rFonts w:ascii="Arial" w:hAnsi="Arial" w:eastAsia="Times New Roman" w:cs="Arial"/>
          <w:kern w:val="0"/>
          <w14:ligatures w14:val="none"/>
        </w:rPr>
      </w:pPr>
    </w:p>
    <w:p w14:paraId="1FD8EF59">
      <w:pPr>
        <w:spacing w:line="360" w:lineRule="auto"/>
        <w:rPr>
          <w:rFonts w:ascii="Arial" w:hAnsi="Arial" w:cs="Arial"/>
          <w:b/>
          <w:bCs/>
        </w:rPr>
      </w:pPr>
      <w:bookmarkStart w:id="84" w:name="_Hlk214712906"/>
      <w:r>
        <w:rPr>
          <w:rFonts w:ascii="Arial" w:hAnsi="Arial" w:cs="Arial"/>
          <w:b/>
          <w:bCs/>
        </w:rPr>
        <w:t>Figure 27: PSX – Companies with Highest AI Disclosures</w:t>
      </w:r>
    </w:p>
    <w:bookmarkEnd w:id="84"/>
    <w:p w14:paraId="1FD8EF5A">
      <w:pPr>
        <w:spacing w:line="360" w:lineRule="auto"/>
        <w:rPr>
          <w:rFonts w:ascii="Arial" w:hAnsi="Arial" w:cs="Arial"/>
          <w:b/>
          <w:bCs/>
        </w:rPr>
      </w:pPr>
    </w:p>
    <w:p w14:paraId="1FD8EF5B">
      <w:pPr>
        <w:spacing w:before="100" w:beforeAutospacing="1" w:after="100" w:afterAutospacing="1" w:line="360" w:lineRule="auto"/>
        <w:jc w:val="center"/>
        <w:rPr>
          <w:rFonts w:ascii="Arial" w:hAnsi="Arial" w:eastAsia="Times New Roman" w:cs="Arial"/>
          <w:kern w:val="0"/>
          <w14:ligatures w14:val="none"/>
        </w:rPr>
      </w:pPr>
      <w:r>
        <w:rPr>
          <w:rFonts w:ascii="Arial" w:hAnsi="Arial" w:cs="Arial"/>
        </w:rPr>
        <w:drawing>
          <wp:inline distT="0" distB="0" distL="0" distR="0">
            <wp:extent cx="5355590" cy="3048000"/>
            <wp:effectExtent l="0" t="0" r="16510" b="0"/>
            <wp:docPr id="22728396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FD8EF5C">
      <w:pPr>
        <w:spacing w:before="100" w:beforeAutospacing="1" w:after="100" w:afterAutospacing="1" w:line="360" w:lineRule="auto"/>
        <w:jc w:val="center"/>
        <w:rPr>
          <w:rFonts w:ascii="Arial" w:hAnsi="Arial" w:eastAsia="Times New Roman" w:cs="Arial"/>
          <w:kern w:val="0"/>
          <w14:ligatures w14:val="none"/>
        </w:rPr>
      </w:pPr>
    </w:p>
    <w:p w14:paraId="1FD8EF5D">
      <w:pPr>
        <w:spacing w:before="100" w:beforeAutospacing="1" w:after="100" w:afterAutospacing="1" w:line="360" w:lineRule="auto"/>
        <w:jc w:val="center"/>
        <w:rPr>
          <w:rFonts w:ascii="Arial" w:hAnsi="Arial" w:eastAsia="Times New Roman" w:cs="Arial"/>
          <w:kern w:val="0"/>
          <w14:ligatures w14:val="none"/>
        </w:rPr>
      </w:pPr>
      <w:bookmarkStart w:id="85" w:name="_Hlk214712889"/>
      <w:r>
        <w:rPr>
          <w:rFonts w:ascii="Arial" w:hAnsi="Arial" w:eastAsia="Times New Roman" w:cs="Arial"/>
          <w:b/>
          <w:bCs/>
          <w:kern w:val="0"/>
          <w14:ligatures w14:val="none"/>
        </w:rPr>
        <w:t>PSX – Companies with Highest AI Disclosures</w:t>
      </w:r>
    </w:p>
    <w:bookmarkEnd w:id="85"/>
    <w:p w14:paraId="1FD8EF5E">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PSX company chart reveals that Systems Ltd. is the shining star that has the highest number of AI-related disclosures, as the company is a technology-oriented organization that is highly involved in digital and AI solutions. The same can be said about Avanceon Ltd. and Pak Elektron Ltd., as both companies are currently actively involved in AI adoption that is associated with industrial automation and technology services. The lower but significant engagement is registered at Feroze1888 Mills Ltd. and Unity Foods Ltd., and other companies, such as Ghani Global Holdings Ltd., Ghani Chemicals Industries Ltd. Report no disclosures of AI at first National Equities Ltd. and Pak Gulf Leasing Co. This imbalanced trend implies that the AI communication is concentrated in a few tight-knit circles of technology and manufacturing companies.</w:t>
      </w:r>
    </w:p>
    <w:p w14:paraId="1FD8EF5F">
      <w:pPr>
        <w:spacing w:before="100" w:beforeAutospacing="1" w:after="100" w:afterAutospacing="1" w:line="360" w:lineRule="auto"/>
        <w:jc w:val="both"/>
        <w:rPr>
          <w:rFonts w:ascii="Arial" w:hAnsi="Arial" w:eastAsia="Times New Roman" w:cs="Arial"/>
          <w:kern w:val="0"/>
          <w14:ligatures w14:val="none"/>
        </w:rPr>
      </w:pPr>
    </w:p>
    <w:p w14:paraId="1FD8EF60">
      <w:pPr>
        <w:spacing w:line="360" w:lineRule="auto"/>
        <w:jc w:val="center"/>
        <w:rPr>
          <w:rFonts w:ascii="Arial" w:hAnsi="Arial" w:cs="Arial"/>
          <w:b/>
          <w:bCs/>
        </w:rPr>
      </w:pPr>
      <w:r>
        <w:rPr>
          <w:rFonts w:ascii="Arial" w:hAnsi="Arial" w:cs="Arial"/>
          <w:b/>
          <w:bCs/>
        </w:rPr>
        <w:t>NATIONAL STOCK EXCHNAGE (NSE)</w:t>
      </w:r>
    </w:p>
    <w:p w14:paraId="1FD8EF61">
      <w:pPr>
        <w:spacing w:line="360" w:lineRule="auto"/>
        <w:jc w:val="center"/>
        <w:rPr>
          <w:rFonts w:ascii="Arial" w:hAnsi="Arial" w:cs="Arial"/>
          <w:b/>
          <w:bCs/>
        </w:rPr>
      </w:pPr>
    </w:p>
    <w:p w14:paraId="1FD8EF62">
      <w:pPr>
        <w:spacing w:line="360" w:lineRule="auto"/>
        <w:rPr>
          <w:rFonts w:ascii="Arial" w:hAnsi="Arial" w:cs="Arial"/>
          <w:b/>
          <w:bCs/>
        </w:rPr>
      </w:pPr>
      <w:bookmarkStart w:id="86" w:name="_Hlk214712917"/>
      <w:r>
        <w:rPr>
          <w:rFonts w:ascii="Arial" w:hAnsi="Arial" w:cs="Arial"/>
          <w:b/>
          <w:bCs/>
        </w:rPr>
        <w:t>Figure 28:</w:t>
      </w:r>
      <w:r>
        <w:t xml:space="preserve"> </w:t>
      </w:r>
      <w:r>
        <w:rPr>
          <w:rFonts w:ascii="Arial" w:hAnsi="Arial" w:cs="Arial"/>
          <w:b/>
          <w:bCs/>
        </w:rPr>
        <w:t>NSE – Most Frequently Disclosed AI Keywords</w:t>
      </w:r>
    </w:p>
    <w:bookmarkEnd w:id="86"/>
    <w:p w14:paraId="1FD8EF63">
      <w:pPr>
        <w:spacing w:before="100" w:beforeAutospacing="1" w:after="100" w:afterAutospacing="1" w:line="360" w:lineRule="auto"/>
        <w:jc w:val="center"/>
        <w:rPr>
          <w:rFonts w:ascii="Arial" w:hAnsi="Arial" w:eastAsia="Times New Roman" w:cs="Arial"/>
          <w:kern w:val="0"/>
          <w14:ligatures w14:val="none"/>
        </w:rPr>
      </w:pPr>
      <w:r>
        <w:rPr>
          <w:rFonts w:ascii="Arial" w:hAnsi="Arial" w:cs="Arial"/>
        </w:rPr>
        <w:drawing>
          <wp:inline distT="0" distB="0" distL="0" distR="0">
            <wp:extent cx="5664835" cy="2844800"/>
            <wp:effectExtent l="0" t="0" r="12065" b="12700"/>
            <wp:docPr id="159572948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FD8EF64">
      <w:pPr>
        <w:spacing w:before="100" w:beforeAutospacing="1" w:after="100" w:afterAutospacing="1" w:line="360" w:lineRule="auto"/>
        <w:jc w:val="center"/>
        <w:rPr>
          <w:rFonts w:ascii="Arial" w:hAnsi="Arial" w:eastAsia="Times New Roman" w:cs="Arial"/>
          <w:kern w:val="0"/>
          <w14:ligatures w14:val="none"/>
        </w:rPr>
      </w:pPr>
    </w:p>
    <w:p w14:paraId="1FD8EF65">
      <w:pPr>
        <w:spacing w:before="100" w:beforeAutospacing="1" w:after="100" w:afterAutospacing="1" w:line="360" w:lineRule="auto"/>
        <w:jc w:val="center"/>
        <w:rPr>
          <w:rFonts w:ascii="Arial" w:hAnsi="Arial" w:eastAsia="Times New Roman" w:cs="Arial"/>
          <w:kern w:val="0"/>
          <w14:ligatures w14:val="none"/>
        </w:rPr>
      </w:pPr>
      <w:bookmarkStart w:id="87" w:name="_Hlk214712899"/>
      <w:r>
        <w:rPr>
          <w:rFonts w:ascii="Arial" w:hAnsi="Arial" w:eastAsia="Times New Roman" w:cs="Arial"/>
          <w:b/>
          <w:bCs/>
          <w:kern w:val="0"/>
          <w14:ligatures w14:val="none"/>
        </w:rPr>
        <w:t>NSE – Most Frequently Disclosed AI Keywords</w:t>
      </w:r>
    </w:p>
    <w:bookmarkEnd w:id="87"/>
    <w:p w14:paraId="1FD8EF66">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The keyword chart of NSE exposes the greatest general AI intensity in the area. The predominant disclosure words are analytics, then automated this signifies a very data-driven and automation-driven environment. The terms Artificial Intelligence and Machine learning are also present in huge amounts, which indicates a preference of more precise and technical language of AI in both Indian market disclosures. The disclosure of big data is in the moderate rate but it leads the whole over the region and although smaller counts of RPA and Deep Learning, but only Neural Networks and Expert Systems are mentioned as zero. Generally, NSE has a wide and developed AI vocabulary in the Exchanges.</w:t>
      </w:r>
    </w:p>
    <w:p w14:paraId="1FD8EF67">
      <w:pPr>
        <w:spacing w:before="100" w:beforeAutospacing="1" w:after="100" w:afterAutospacing="1" w:line="360" w:lineRule="auto"/>
        <w:jc w:val="both"/>
        <w:rPr>
          <w:rFonts w:ascii="Arial" w:hAnsi="Arial" w:eastAsia="Times New Roman" w:cs="Arial"/>
          <w:kern w:val="0"/>
          <w14:ligatures w14:val="none"/>
        </w:rPr>
      </w:pPr>
    </w:p>
    <w:p w14:paraId="1FD8EF68">
      <w:pPr>
        <w:spacing w:before="100" w:beforeAutospacing="1" w:after="100" w:afterAutospacing="1" w:line="360" w:lineRule="auto"/>
        <w:jc w:val="both"/>
        <w:rPr>
          <w:rFonts w:ascii="Arial" w:hAnsi="Arial" w:eastAsia="Times New Roman" w:cs="Arial"/>
          <w:kern w:val="0"/>
          <w14:ligatures w14:val="none"/>
        </w:rPr>
      </w:pPr>
    </w:p>
    <w:p w14:paraId="1FD8EF69">
      <w:pPr>
        <w:spacing w:line="360" w:lineRule="auto"/>
        <w:rPr>
          <w:rFonts w:ascii="Arial" w:hAnsi="Arial" w:cs="Arial"/>
          <w:b/>
          <w:bCs/>
        </w:rPr>
      </w:pPr>
      <w:bookmarkStart w:id="88" w:name="_Hlk214712933"/>
      <w:r>
        <w:rPr>
          <w:rFonts w:ascii="Arial" w:hAnsi="Arial" w:cs="Arial"/>
          <w:b/>
          <w:bCs/>
        </w:rPr>
        <w:t>Figure 29:</w:t>
      </w:r>
      <w:r>
        <w:t xml:space="preserve"> </w:t>
      </w:r>
      <w:r>
        <w:rPr>
          <w:rFonts w:ascii="Arial" w:hAnsi="Arial" w:cs="Arial"/>
          <w:b/>
          <w:bCs/>
        </w:rPr>
        <w:t>NSE – Companies with Highest AI Disclosures</w:t>
      </w:r>
    </w:p>
    <w:bookmarkEnd w:id="88"/>
    <w:p w14:paraId="1FD8EF6A">
      <w:pPr>
        <w:spacing w:line="360" w:lineRule="auto"/>
        <w:rPr>
          <w:rFonts w:ascii="Arial" w:hAnsi="Arial" w:cs="Arial"/>
          <w:b/>
          <w:bCs/>
        </w:rPr>
      </w:pPr>
    </w:p>
    <w:p w14:paraId="1FD8EF6B">
      <w:pPr>
        <w:spacing w:before="100" w:beforeAutospacing="1" w:after="100" w:afterAutospacing="1" w:line="360" w:lineRule="auto"/>
        <w:jc w:val="center"/>
        <w:rPr>
          <w:rFonts w:ascii="Arial" w:hAnsi="Arial" w:eastAsia="Times New Roman" w:cs="Arial"/>
          <w:kern w:val="0"/>
          <w14:ligatures w14:val="none"/>
        </w:rPr>
      </w:pPr>
      <w:r>
        <w:rPr>
          <w:rFonts w:ascii="Arial" w:hAnsi="Arial" w:cs="Arial"/>
        </w:rPr>
        <w:drawing>
          <wp:inline distT="0" distB="0" distL="0" distR="0">
            <wp:extent cx="5982335" cy="3289300"/>
            <wp:effectExtent l="0" t="0" r="18415" b="6350"/>
            <wp:docPr id="127550605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FD8EF6C">
      <w:pPr>
        <w:spacing w:before="100" w:beforeAutospacing="1" w:after="100" w:afterAutospacing="1" w:line="360" w:lineRule="auto"/>
        <w:jc w:val="center"/>
        <w:rPr>
          <w:rFonts w:ascii="Arial" w:hAnsi="Arial" w:eastAsia="Times New Roman" w:cs="Arial"/>
          <w:kern w:val="0"/>
          <w14:ligatures w14:val="none"/>
        </w:rPr>
      </w:pPr>
    </w:p>
    <w:p w14:paraId="1FD8EF6D">
      <w:pPr>
        <w:spacing w:before="100" w:beforeAutospacing="1" w:after="100" w:afterAutospacing="1" w:line="360" w:lineRule="auto"/>
        <w:jc w:val="center"/>
        <w:rPr>
          <w:rFonts w:ascii="Arial" w:hAnsi="Arial" w:eastAsia="Times New Roman" w:cs="Arial"/>
          <w:kern w:val="0"/>
          <w14:ligatures w14:val="none"/>
        </w:rPr>
      </w:pPr>
      <w:bookmarkStart w:id="89" w:name="_Hlk214712927"/>
      <w:r>
        <w:rPr>
          <w:rFonts w:ascii="Arial" w:hAnsi="Arial" w:eastAsia="Times New Roman" w:cs="Arial"/>
          <w:b/>
          <w:bCs/>
          <w:kern w:val="0"/>
          <w14:ligatures w14:val="none"/>
        </w:rPr>
        <w:t>NSE – Companies with Highest AI Disclosures</w:t>
      </w:r>
    </w:p>
    <w:bookmarkEnd w:id="89"/>
    <w:p w14:paraId="1FD8EF70">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According to the company-wise chart of the NSE, there is a high level of concentration of AI-related reporting regarding large technology-intensive companies. Adani Ports and Special economic zone Ltd has the highest frequency which is closely followed by Bharat electronics Ltd. and Bajaj finance Ltd. the State Bank of India, Hero Motocorp Ltd. and IndusInd Bank Ltd. are also characterized by high engagement whereas Tent and Eternal are moderately involved. Collectively, these numbers indicate that the AI narratives have been deeply ingrained into the strategy of the major Indian companies in the sphere of infrastructure, defense, electronics, finance and automotive.</w:t>
      </w:r>
    </w:p>
    <w:p w14:paraId="1FD8EF71">
      <w:pPr>
        <w:spacing w:line="360" w:lineRule="auto"/>
        <w:jc w:val="center"/>
        <w:rPr>
          <w:rFonts w:ascii="Arial" w:hAnsi="Arial" w:cs="Arial"/>
          <w:b/>
          <w:bCs/>
        </w:rPr>
      </w:pPr>
      <w:r>
        <w:rPr>
          <w:rFonts w:ascii="Arial" w:hAnsi="Arial" w:cs="Arial"/>
          <w:b/>
          <w:bCs/>
        </w:rPr>
        <w:t>ROYAL STOCK EXCHNAGE BHUTAN (RSEB)</w:t>
      </w:r>
    </w:p>
    <w:p w14:paraId="1FD8EF72">
      <w:pPr>
        <w:spacing w:line="360" w:lineRule="auto"/>
        <w:jc w:val="center"/>
        <w:rPr>
          <w:rFonts w:ascii="Arial" w:hAnsi="Arial" w:cs="Arial"/>
          <w:b/>
          <w:bCs/>
        </w:rPr>
      </w:pPr>
    </w:p>
    <w:p w14:paraId="1FD8EF73">
      <w:pPr>
        <w:spacing w:line="360" w:lineRule="auto"/>
        <w:rPr>
          <w:rFonts w:ascii="Arial" w:hAnsi="Arial" w:cs="Arial"/>
          <w:b/>
          <w:bCs/>
        </w:rPr>
      </w:pPr>
      <w:bookmarkStart w:id="90" w:name="_Hlk214712955"/>
      <w:r>
        <w:rPr>
          <w:rFonts w:ascii="Arial" w:hAnsi="Arial" w:cs="Arial"/>
          <w:b/>
          <w:bCs/>
        </w:rPr>
        <w:t>Figure 30:</w:t>
      </w:r>
      <w:r>
        <w:t xml:space="preserve"> </w:t>
      </w:r>
      <w:r>
        <w:rPr>
          <w:rFonts w:ascii="Arial" w:hAnsi="Arial" w:cs="Arial"/>
          <w:b/>
          <w:bCs/>
        </w:rPr>
        <w:t>RSEB – Most Frequently Disclosed AI Keywords</w:t>
      </w:r>
    </w:p>
    <w:bookmarkEnd w:id="90"/>
    <w:p w14:paraId="1FD8EF74">
      <w:pPr>
        <w:spacing w:line="360" w:lineRule="auto"/>
        <w:rPr>
          <w:rFonts w:ascii="Arial" w:hAnsi="Arial" w:cs="Arial"/>
          <w:b/>
          <w:bCs/>
        </w:rPr>
      </w:pPr>
    </w:p>
    <w:p w14:paraId="1FD8EF75">
      <w:pPr>
        <w:spacing w:before="100" w:beforeAutospacing="1" w:after="100" w:afterAutospacing="1" w:line="360" w:lineRule="auto"/>
        <w:jc w:val="center"/>
        <w:rPr>
          <w:rFonts w:ascii="Arial" w:hAnsi="Arial" w:eastAsia="Times New Roman" w:cs="Arial"/>
          <w:kern w:val="0"/>
          <w14:ligatures w14:val="none"/>
        </w:rPr>
      </w:pPr>
      <w:r>
        <w:rPr>
          <w:rFonts w:ascii="Arial" w:hAnsi="Arial" w:cs="Arial"/>
        </w:rPr>
        <w:drawing>
          <wp:inline distT="0" distB="0" distL="0" distR="0">
            <wp:extent cx="5378450" cy="2640330"/>
            <wp:effectExtent l="0" t="0" r="12700" b="7620"/>
            <wp:docPr id="8134887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FD8EF76">
      <w:pPr>
        <w:spacing w:before="100" w:beforeAutospacing="1" w:after="100" w:afterAutospacing="1" w:line="360" w:lineRule="auto"/>
        <w:jc w:val="center"/>
        <w:rPr>
          <w:rFonts w:ascii="Arial" w:hAnsi="Arial" w:eastAsia="Times New Roman" w:cs="Arial"/>
          <w:kern w:val="0"/>
          <w14:ligatures w14:val="none"/>
        </w:rPr>
      </w:pPr>
    </w:p>
    <w:p w14:paraId="1FD8EF77">
      <w:pPr>
        <w:spacing w:before="100" w:beforeAutospacing="1" w:after="100" w:afterAutospacing="1" w:line="360" w:lineRule="auto"/>
        <w:jc w:val="center"/>
        <w:rPr>
          <w:rFonts w:ascii="Arial" w:hAnsi="Arial" w:eastAsia="Times New Roman" w:cs="Arial"/>
          <w:kern w:val="0"/>
          <w14:ligatures w14:val="none"/>
        </w:rPr>
      </w:pPr>
      <w:bookmarkStart w:id="91" w:name="_Hlk214712942"/>
      <w:r>
        <w:rPr>
          <w:rFonts w:ascii="Arial" w:hAnsi="Arial" w:eastAsia="Times New Roman" w:cs="Arial"/>
          <w:b/>
          <w:bCs/>
          <w:kern w:val="0"/>
          <w14:ligatures w14:val="none"/>
        </w:rPr>
        <w:t>RSEB – Most Frequently Disclosed AI Keywords</w:t>
      </w:r>
    </w:p>
    <w:bookmarkEnd w:id="91"/>
    <w:p w14:paraId="1FD8EF78">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In the RSEB, the keyword chart gives us a different view it highlights “Big data” as the leading disclosure, signaling that large-scale data management is at the center of AI-related discussions in this market. “Automated”  and “Artificial Intelligence” appear at lower levels, while Machine Learning, Deep Learning, RPA, NLP, Neural Networks and Expert Systems show no recorded usage. This pattern suggests that firms in this exchange are beginning to emphasize data infrastructure and automation, but have not yet widely adopted a richer AI vocabulary associated with advanced modelling techniques.</w:t>
      </w:r>
    </w:p>
    <w:p w14:paraId="1FD8EF79">
      <w:pPr>
        <w:spacing w:before="100" w:beforeAutospacing="1" w:after="100" w:afterAutospacing="1" w:line="360" w:lineRule="auto"/>
        <w:jc w:val="both"/>
        <w:rPr>
          <w:rFonts w:ascii="Arial" w:hAnsi="Arial" w:eastAsia="Times New Roman" w:cs="Arial"/>
          <w:kern w:val="0"/>
          <w14:ligatures w14:val="none"/>
        </w:rPr>
      </w:pPr>
    </w:p>
    <w:p w14:paraId="1FD8EF7A">
      <w:pPr>
        <w:spacing w:before="100" w:beforeAutospacing="1" w:after="100" w:afterAutospacing="1" w:line="360" w:lineRule="auto"/>
        <w:jc w:val="both"/>
        <w:rPr>
          <w:rFonts w:ascii="Arial" w:hAnsi="Arial" w:eastAsia="Times New Roman" w:cs="Arial"/>
          <w:kern w:val="0"/>
          <w14:ligatures w14:val="none"/>
        </w:rPr>
      </w:pPr>
    </w:p>
    <w:p w14:paraId="1FD8EF7B">
      <w:pPr>
        <w:spacing w:line="360" w:lineRule="auto"/>
        <w:rPr>
          <w:rFonts w:ascii="Arial" w:hAnsi="Arial" w:cs="Arial"/>
          <w:b/>
          <w:bCs/>
        </w:rPr>
      </w:pPr>
      <w:bookmarkStart w:id="92" w:name="_Hlk214712988"/>
      <w:r>
        <w:rPr>
          <w:rFonts w:ascii="Arial" w:hAnsi="Arial" w:cs="Arial"/>
          <w:b/>
          <w:bCs/>
        </w:rPr>
        <w:t>Figure 31:</w:t>
      </w:r>
      <w:r>
        <w:t xml:space="preserve"> </w:t>
      </w:r>
      <w:r>
        <w:rPr>
          <w:rFonts w:ascii="Arial" w:hAnsi="Arial" w:cs="Arial"/>
          <w:b/>
          <w:bCs/>
        </w:rPr>
        <w:t>RESB – Companies with Highest AI Disclosures</w:t>
      </w:r>
    </w:p>
    <w:bookmarkEnd w:id="92"/>
    <w:p w14:paraId="1FD8EF7C">
      <w:pPr>
        <w:spacing w:line="360" w:lineRule="auto"/>
        <w:rPr>
          <w:rFonts w:ascii="Arial" w:hAnsi="Arial" w:cs="Arial"/>
          <w:b/>
          <w:bCs/>
        </w:rPr>
      </w:pPr>
    </w:p>
    <w:p w14:paraId="1FD8EF7D">
      <w:pPr>
        <w:spacing w:before="100" w:beforeAutospacing="1" w:after="100" w:afterAutospacing="1" w:line="360" w:lineRule="auto"/>
        <w:jc w:val="center"/>
        <w:rPr>
          <w:rFonts w:ascii="Arial" w:hAnsi="Arial" w:eastAsia="Times New Roman" w:cs="Arial"/>
          <w:kern w:val="0"/>
          <w14:ligatures w14:val="none"/>
        </w:rPr>
      </w:pPr>
      <w:r>
        <w:drawing>
          <wp:inline distT="0" distB="0" distL="0" distR="0">
            <wp:extent cx="5448300" cy="3111500"/>
            <wp:effectExtent l="0" t="0" r="0" b="12700"/>
            <wp:docPr id="17690790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FD8EF7E">
      <w:pPr>
        <w:spacing w:before="100" w:beforeAutospacing="1" w:after="100" w:afterAutospacing="1" w:line="360" w:lineRule="auto"/>
        <w:jc w:val="center"/>
        <w:rPr>
          <w:rFonts w:ascii="Arial" w:hAnsi="Arial" w:eastAsia="Times New Roman" w:cs="Arial"/>
          <w:kern w:val="0"/>
          <w14:ligatures w14:val="none"/>
        </w:rPr>
      </w:pPr>
    </w:p>
    <w:p w14:paraId="1FD8EF7F">
      <w:pPr>
        <w:spacing w:before="100" w:beforeAutospacing="1" w:after="100" w:afterAutospacing="1" w:line="360" w:lineRule="auto"/>
        <w:jc w:val="center"/>
        <w:rPr>
          <w:rFonts w:ascii="Arial" w:hAnsi="Arial" w:eastAsia="Times New Roman" w:cs="Arial"/>
          <w:kern w:val="0"/>
          <w14:ligatures w14:val="none"/>
        </w:rPr>
      </w:pPr>
      <w:bookmarkStart w:id="93" w:name="_Hlk214712964"/>
      <w:r>
        <w:rPr>
          <w:rFonts w:ascii="Arial" w:hAnsi="Arial" w:eastAsia="Times New Roman" w:cs="Arial"/>
          <w:b/>
          <w:bCs/>
          <w:kern w:val="0"/>
          <w14:ligatures w14:val="none"/>
        </w:rPr>
        <w:t>RESB – Companies with Highest AI Disclosures</w:t>
      </w:r>
    </w:p>
    <w:bookmarkEnd w:id="93"/>
    <w:p w14:paraId="1FD8EF80">
      <w:pPr>
        <w:spacing w:before="100" w:beforeAutospacing="1" w:after="100" w:afterAutospacing="1" w:line="360" w:lineRule="auto"/>
        <w:jc w:val="both"/>
        <w:rPr>
          <w:rFonts w:ascii="Arial" w:hAnsi="Arial" w:eastAsia="Times New Roman" w:cs="Arial"/>
          <w:kern w:val="0"/>
          <w14:ligatures w14:val="none"/>
        </w:rPr>
      </w:pPr>
      <w:r>
        <w:rPr>
          <w:rFonts w:ascii="Arial" w:hAnsi="Arial" w:eastAsia="Times New Roman" w:cs="Arial"/>
          <w:kern w:val="0"/>
          <w14:ligatures w14:val="none"/>
        </w:rPr>
        <w:t>The company-wise chart for RSEB shows that Bhutan Ferro Alloys Ltd is the most active in AI-related disclosures, followed by Bhutan National Bank Ltd. . T Bank Ltd. and Royal Insurance Corporation of Bhutan Ltd. demonstrate lower but evident engagement, whereas could not find any AI mentions in GIC Bhutan Reinsurance Co. Ltd. and Bhutan Insurance Ltd. Overall, the pattern indicates that AI-related terminology is used selectively, with a small group of financial and industrial firms driving most of the discourse within the Bhutanese market.</w:t>
      </w:r>
    </w:p>
    <w:p w14:paraId="1FD8EF81">
      <w:pPr>
        <w:rPr>
          <w:rFonts w:ascii="Arial" w:hAnsi="Arial" w:eastAsia="Arial" w:cs="Arial"/>
          <w:color w:val="2F5597" w:themeColor="accent1" w:themeShade="BF"/>
          <w:sz w:val="32"/>
          <w:szCs w:val="32"/>
        </w:rPr>
      </w:pPr>
      <w:r>
        <w:rPr>
          <w:rFonts w:ascii="Arial" w:hAnsi="Arial" w:eastAsia="Arial" w:cs="Arial"/>
          <w:sz w:val="32"/>
          <w:szCs w:val="32"/>
        </w:rPr>
        <w:br w:type="page"/>
      </w:r>
    </w:p>
    <w:p w14:paraId="1FD8EF82">
      <w:pPr>
        <w:pStyle w:val="2"/>
        <w:jc w:val="center"/>
        <w:rPr>
          <w:rFonts w:ascii="Arial" w:hAnsi="Arial" w:eastAsia="Arial" w:cs="Arial"/>
          <w:sz w:val="32"/>
          <w:szCs w:val="32"/>
        </w:rPr>
      </w:pPr>
      <w:bookmarkStart w:id="94" w:name="_Toc214714431"/>
      <w:r>
        <w:rPr>
          <w:rFonts w:ascii="Arial" w:hAnsi="Arial" w:eastAsia="Arial" w:cs="Arial"/>
          <w:sz w:val="32"/>
          <w:szCs w:val="32"/>
        </w:rPr>
        <w:t>CHAPTER V: DISCUSSION</w:t>
      </w:r>
      <w:bookmarkEnd w:id="94"/>
    </w:p>
    <w:p w14:paraId="1FD8EF83"/>
    <w:p w14:paraId="1FD8EF84">
      <w:pPr>
        <w:pStyle w:val="3"/>
      </w:pPr>
      <w:bookmarkStart w:id="95" w:name="_Toc214714432"/>
      <w:r>
        <w:t>5.1 Conclusion</w:t>
      </w:r>
      <w:bookmarkEnd w:id="95"/>
    </w:p>
    <w:p w14:paraId="1FD8EF85">
      <w:pPr>
        <w:spacing w:line="360" w:lineRule="auto"/>
        <w:jc w:val="both"/>
        <w:rPr>
          <w:rFonts w:ascii="Arial" w:hAnsi="Arial" w:cs="Arial"/>
        </w:rPr>
      </w:pPr>
      <w:r>
        <w:rPr>
          <w:rFonts w:ascii="Arial" w:hAnsi="Arial" w:cs="Arial"/>
        </w:rPr>
        <w:t>This study examined the disclosure of Artificial Intelligence (AI) and related technologies across 240 annual reports from seven South Asian stock exchanges: the National Stock Exchange of India (NSE), Pakistan Stock Exchange (PSX), Dhaka Stock Exchange (DSE), Colombo Stock Exchange (CSE), Nepal Stock Exchange (NEPSE), Royal Securities Exchange of Bhutan (RSEB), and Maldives Stock Exchange (MSE). The findings have significant outcomes.</w:t>
      </w:r>
    </w:p>
    <w:p w14:paraId="1FD8EF86">
      <w:pPr>
        <w:spacing w:line="360" w:lineRule="auto"/>
        <w:jc w:val="both"/>
        <w:rPr>
          <w:rFonts w:ascii="Arial" w:hAnsi="Arial" w:cs="Arial"/>
          <w:lang w:val="en-AU"/>
        </w:rPr>
      </w:pPr>
      <w:r>
        <w:rPr>
          <w:rFonts w:ascii="Arial" w:hAnsi="Arial" w:cs="Arial"/>
          <w:lang w:val="en-AU"/>
        </w:rPr>
        <w:t>For the first time, there was a steady increase in AI disclosures year-on-year from 2020 to 2024 after an incremental increase in the last two years. This is indicative of how South Asian organizations are strategically marketing themselves as being digital-savvy in order to meet the demands of investors and give an impression of their technological preparedness (Enholm et al., 2022).</w:t>
      </w:r>
    </w:p>
    <w:p w14:paraId="1FD8EF87">
      <w:pPr>
        <w:spacing w:line="360" w:lineRule="auto"/>
        <w:jc w:val="both"/>
        <w:rPr>
          <w:rFonts w:ascii="Arial" w:hAnsi="Arial" w:cs="Arial"/>
          <w:lang w:val="en-AU"/>
        </w:rPr>
      </w:pPr>
      <w:r>
        <w:rPr>
          <w:rFonts w:ascii="Arial" w:hAnsi="Arial" w:cs="Arial"/>
          <w:lang w:val="en-AU"/>
        </w:rPr>
        <w:t>Second, there are differences across countries in the level of disclosure. India and Pakistan is at the very highest level of aggregated intensity disclosure which is also expected given the significant market size and maturity provided. On the other hand, such has been low in Bhutan, Nepal and Maldives where matured markets and small size markets differentiate ourselves. (Alzeghoul &amp; Alsharari, 2025).</w:t>
      </w:r>
    </w:p>
    <w:p w14:paraId="1FD8EF88">
      <w:pPr>
        <w:spacing w:line="360" w:lineRule="auto"/>
        <w:jc w:val="both"/>
        <w:rPr>
          <w:rFonts w:ascii="Arial" w:hAnsi="Arial" w:cs="Arial"/>
          <w:lang w:val="en-AU"/>
        </w:rPr>
      </w:pPr>
      <w:r>
        <w:rPr>
          <w:rFonts w:ascii="Arial" w:hAnsi="Arial" w:cs="Arial"/>
          <w:lang w:val="en-AU"/>
        </w:rPr>
        <w:t>Fourth, company analysis at variance showed that some companies are the clear leaders in AI reporting. These disclosure pioneers could also be interpreted as suggesting a stronger degree of endogenous preparedness regarding technology-induced change than carried out by, for example, most other firms disclosing AI-related vocabularies but in minimal quantities (Sun &amp; Vasarhelyi, 2018).</w:t>
      </w:r>
    </w:p>
    <w:p w14:paraId="1FD8EF89">
      <w:pPr>
        <w:spacing w:line="360" w:lineRule="auto"/>
        <w:jc w:val="both"/>
        <w:rPr>
          <w:rFonts w:ascii="Arial" w:hAnsi="Arial" w:cs="Arial"/>
          <w:lang w:val="en-AU"/>
        </w:rPr>
      </w:pPr>
      <w:r>
        <w:rPr>
          <w:rFonts w:ascii="Arial" w:hAnsi="Arial" w:cs="Arial"/>
          <w:lang w:val="en-AU"/>
        </w:rPr>
        <w:t>Finally, measures of page positions and sentence lengths indicated that disclosures are more likely to appear in the early sections of annual reports and relatively longer sentences. It seems that AI mentions is highly correlated with strategies introductions and forward looking statements as a signalling role (Li, 2010).</w:t>
      </w:r>
    </w:p>
    <w:p w14:paraId="1FD8EF8A">
      <w:pPr>
        <w:spacing w:line="360" w:lineRule="auto"/>
        <w:jc w:val="both"/>
        <w:rPr>
          <w:rFonts w:ascii="Arial" w:hAnsi="Arial" w:cs="Arial"/>
        </w:rPr>
      </w:pPr>
    </w:p>
    <w:p w14:paraId="1FD8EF8B">
      <w:pPr>
        <w:pStyle w:val="3"/>
      </w:pPr>
      <w:bookmarkStart w:id="96" w:name="_Toc214714433"/>
      <w:r>
        <w:t>5.2 Limitation</w:t>
      </w:r>
      <w:bookmarkEnd w:id="96"/>
    </w:p>
    <w:p w14:paraId="1FD8EF8C">
      <w:pPr>
        <w:spacing w:line="360" w:lineRule="auto"/>
        <w:jc w:val="both"/>
        <w:rPr>
          <w:rFonts w:ascii="Arial" w:hAnsi="Arial" w:cs="Arial"/>
          <w:lang w:val="en-AU"/>
        </w:rPr>
      </w:pPr>
      <w:bookmarkStart w:id="97" w:name="_Hlk214494236"/>
      <w:r>
        <w:rPr>
          <w:rFonts w:ascii="Arial" w:hAnsi="Arial" w:cs="Arial"/>
          <w:lang w:val="en-AU"/>
        </w:rPr>
        <w:t xml:space="preserve">Several limitations should be acknowledged. </w:t>
      </w:r>
    </w:p>
    <w:p w14:paraId="1FD8EF8D">
      <w:pPr>
        <w:spacing w:line="360" w:lineRule="auto"/>
        <w:jc w:val="both"/>
        <w:rPr>
          <w:rFonts w:ascii="Arial" w:hAnsi="Arial" w:cs="Arial"/>
          <w:lang w:val="en-AU"/>
        </w:rPr>
      </w:pPr>
      <w:r>
        <w:rPr>
          <w:rFonts w:ascii="Arial" w:hAnsi="Arial" w:cs="Arial"/>
          <w:lang w:val="en-AU"/>
        </w:rPr>
        <w:t>First, the research covered 240 reports, not the intended 350 which were missing or unavailable to be located annual reports in a number of exchanges. This could unintentionally bias the sample toward those larger, more digitally advanced markets that already have disclosure archives.</w:t>
      </w:r>
    </w:p>
    <w:p w14:paraId="1FD8EF8E">
      <w:pPr>
        <w:spacing w:line="360" w:lineRule="auto"/>
        <w:jc w:val="both"/>
        <w:rPr>
          <w:rFonts w:ascii="Arial" w:hAnsi="Arial" w:cs="Arial"/>
          <w:lang w:val="en-AU"/>
        </w:rPr>
      </w:pPr>
      <w:r>
        <w:rPr>
          <w:rFonts w:ascii="Arial" w:hAnsi="Arial" w:cs="Arial"/>
          <w:lang w:val="en-AU"/>
        </w:rPr>
        <w:t>Second, this method relied on keyword frequency, which suggests visibility not essence. For example, some companies distribute AI-oriented lexicon tokens with a zero technical application (Cao et al., 2013).</w:t>
      </w:r>
    </w:p>
    <w:p w14:paraId="1FD8EF8F">
      <w:pPr>
        <w:spacing w:line="360" w:lineRule="auto"/>
        <w:jc w:val="both"/>
        <w:rPr>
          <w:rFonts w:ascii="Arial" w:hAnsi="Arial" w:cs="Arial"/>
          <w:lang w:val="en-AU"/>
        </w:rPr>
      </w:pPr>
      <w:r>
        <w:rPr>
          <w:rFonts w:ascii="Arial" w:hAnsi="Arial" w:cs="Arial"/>
          <w:lang w:val="en-AU"/>
        </w:rPr>
        <w:t>Third, by considering only annual reports the research excludes other relevant vehicles for corporate communication, such as press releases, earnings conference calls or integrated reporting. These could You will have received any other relevant disclosures.</w:t>
      </w:r>
    </w:p>
    <w:p w14:paraId="1FD8EF90">
      <w:pPr>
        <w:spacing w:line="360" w:lineRule="auto"/>
        <w:jc w:val="both"/>
        <w:rPr>
          <w:rFonts w:ascii="Arial" w:hAnsi="Arial" w:cs="Arial"/>
          <w:lang w:val="en-AU"/>
        </w:rPr>
      </w:pPr>
      <w:r>
        <w:rPr>
          <w:rFonts w:ascii="Arial" w:hAnsi="Arial" w:cs="Arial"/>
          <w:lang w:val="en-AU"/>
        </w:rPr>
        <w:t>Fourth, cross-sectional comparisons were conducted but the study did not explore whether disclosure frequency is statistically linked with financial performance or firm value. This suggests that Causal inferences could not be made from the trends observed.</w:t>
      </w:r>
    </w:p>
    <w:p w14:paraId="1FD8EF91">
      <w:pPr>
        <w:spacing w:line="360" w:lineRule="auto"/>
        <w:jc w:val="both"/>
        <w:rPr>
          <w:rFonts w:ascii="Arial" w:hAnsi="Arial" w:cs="Arial"/>
          <w:lang w:val="en-AU"/>
        </w:rPr>
      </w:pPr>
      <w:r>
        <w:rPr>
          <w:rFonts w:ascii="Arial" w:hAnsi="Arial" w:cs="Arial"/>
          <w:lang w:val="en-AU"/>
        </w:rPr>
        <w:t xml:space="preserve">Finally, by concentrating only on South Asia region may not be </w:t>
      </w:r>
      <w:r>
        <w:rPr>
          <w:rFonts w:ascii="Arial" w:hAnsi="Arial" w:cs="Arial"/>
          <w:lang w:val="en-US"/>
        </w:rPr>
        <w:t>generaliz</w:t>
      </w:r>
      <w:r>
        <w:rPr>
          <w:rFonts w:hint="default" w:ascii="Arial" w:hAnsi="Arial" w:cs="Arial"/>
          <w:lang w:val="en-US"/>
        </w:rPr>
        <w:t>ed</w:t>
      </w:r>
      <w:r>
        <w:rPr>
          <w:rFonts w:ascii="Arial" w:hAnsi="Arial" w:cs="Arial"/>
          <w:lang w:val="en-AU"/>
        </w:rPr>
        <w:t xml:space="preserve"> to the similar </w:t>
      </w:r>
      <w:r>
        <w:rPr>
          <w:rFonts w:ascii="Arial" w:hAnsi="Arial" w:cs="Arial"/>
          <w:lang w:val="en-US"/>
        </w:rPr>
        <w:t>nature</w:t>
      </w:r>
      <w:r>
        <w:rPr>
          <w:rFonts w:ascii="Arial" w:hAnsi="Arial" w:cs="Arial"/>
          <w:lang w:val="en-AU"/>
        </w:rPr>
        <w:t> developed country environment to test out AI uptake and DCDP.</w:t>
      </w:r>
    </w:p>
    <w:bookmarkEnd w:id="97"/>
    <w:p w14:paraId="1FD8EF92">
      <w:pPr>
        <w:spacing w:line="360" w:lineRule="auto"/>
        <w:jc w:val="both"/>
        <w:rPr>
          <w:rFonts w:ascii="Arial" w:hAnsi="Arial" w:cs="Arial"/>
        </w:rPr>
      </w:pPr>
      <w:r>
        <w:rPr>
          <w:rFonts w:ascii="Arial" w:hAnsi="Arial" w:cs="Arial"/>
        </w:rPr>
        <w:t xml:space="preserve"> </w:t>
      </w:r>
    </w:p>
    <w:p w14:paraId="1FD8EF93">
      <w:pPr>
        <w:pStyle w:val="3"/>
      </w:pPr>
      <w:bookmarkStart w:id="98" w:name="_Toc214714434"/>
      <w:r>
        <w:t>5.3 Scope for Future Study</w:t>
      </w:r>
      <w:bookmarkEnd w:id="98"/>
    </w:p>
    <w:p w14:paraId="1FD8EF94">
      <w:pPr>
        <w:spacing w:line="360" w:lineRule="auto"/>
        <w:jc w:val="both"/>
        <w:rPr>
          <w:rFonts w:ascii="Arial" w:hAnsi="Arial" w:cs="Arial"/>
          <w:lang w:val="en-AU"/>
        </w:rPr>
      </w:pPr>
      <w:r>
        <w:rPr>
          <w:rFonts w:ascii="Arial" w:hAnsi="Arial" w:cs="Arial"/>
          <w:lang w:val="en-AU"/>
        </w:rPr>
        <w:t xml:space="preserve">There are several promising looking directions for </w:t>
      </w:r>
      <w:r>
        <w:rPr>
          <w:rFonts w:ascii="Arial" w:hAnsi="Arial" w:cs="Arial"/>
          <w:lang w:val="en-US"/>
        </w:rPr>
        <w:t>generalizing</w:t>
      </w:r>
      <w:r>
        <w:rPr>
          <w:rFonts w:ascii="Arial" w:hAnsi="Arial" w:cs="Arial"/>
          <w:lang w:val="en-AU"/>
        </w:rPr>
        <w:t xml:space="preserve"> the research beyond, which we envisage doing in future work.</w:t>
      </w:r>
    </w:p>
    <w:p w14:paraId="1FD8EF95">
      <w:pPr>
        <w:spacing w:line="360" w:lineRule="auto"/>
        <w:jc w:val="both"/>
        <w:rPr>
          <w:rFonts w:ascii="Arial" w:hAnsi="Arial" w:cs="Arial"/>
          <w:lang w:val="en-AU"/>
        </w:rPr>
      </w:pPr>
      <w:r>
        <w:rPr>
          <w:rFonts w:ascii="Arial" w:hAnsi="Arial" w:cs="Arial"/>
          <w:lang w:val="en-AU"/>
        </w:rPr>
        <w:t>For example, for purely formal legalistic wording: Beyond frequency of keywords can allow sentiment and NLP methods to check whether the releases are optimistic, prospective or risk</w:t>
      </w:r>
      <w:r>
        <w:rPr>
          <w:rFonts w:hint="default" w:ascii="Arial" w:hAnsi="Arial" w:cs="Arial"/>
          <w:lang w:val="en-US"/>
        </w:rPr>
        <w:t>y</w:t>
      </w:r>
      <w:r>
        <w:rPr>
          <w:rFonts w:ascii="Arial" w:hAnsi="Arial" w:cs="Arial"/>
          <w:lang w:val="en-AU"/>
        </w:rPr>
        <w:t xml:space="preserve"> (Li 2010). That would add the nuance of differentiating a symbolic mention from a concrete one.</w:t>
      </w:r>
    </w:p>
    <w:p w14:paraId="1FD8EF96">
      <w:pPr>
        <w:spacing w:line="360" w:lineRule="auto"/>
        <w:jc w:val="both"/>
        <w:rPr>
          <w:rFonts w:ascii="Arial" w:hAnsi="Arial" w:cs="Arial"/>
          <w:lang w:val="en-AU"/>
        </w:rPr>
      </w:pPr>
      <w:r>
        <w:rPr>
          <w:rFonts w:ascii="Arial" w:hAnsi="Arial" w:cs="Arial"/>
          <w:lang w:val="en-AU"/>
        </w:rPr>
        <w:t>Secondly, scholars may also integrate disclosure data with financial consequences to investigate if companies that disclose more information on AI have better stock market performance, investor trust in them or operational effectiveness (Alzeghoul &amp; Alsharari, 2026).</w:t>
      </w:r>
    </w:p>
    <w:p w14:paraId="1FD8EF97">
      <w:pPr>
        <w:spacing w:line="360" w:lineRule="auto"/>
        <w:jc w:val="both"/>
        <w:rPr>
          <w:rFonts w:ascii="Arial" w:hAnsi="Arial" w:cs="Arial"/>
          <w:lang w:val="en-AU"/>
        </w:rPr>
      </w:pPr>
      <w:r>
        <w:rPr>
          <w:rFonts w:ascii="Arial" w:hAnsi="Arial" w:cs="Arial"/>
          <w:lang w:val="en-AU"/>
        </w:rPr>
        <w:t>Тhirdly, comparative studies of AI disclosure in emerging and developed markets could suggest whether the phenomenon in South Asia is signaling or an actual response to a disruptive technology (Enholm, I. M., Papagiannidis,E., Mikalef,P., &amp; Krogstie,J.,2021)</w:t>
      </w:r>
    </w:p>
    <w:p w14:paraId="1FD8EF98">
      <w:pPr>
        <w:spacing w:line="360" w:lineRule="auto"/>
        <w:jc w:val="both"/>
        <w:rPr>
          <w:rFonts w:ascii="Arial" w:hAnsi="Arial" w:cs="Arial"/>
          <w:lang w:val="en-AU"/>
        </w:rPr>
      </w:pPr>
      <w:r>
        <w:rPr>
          <w:rFonts w:ascii="Arial" w:hAnsi="Arial" w:cs="Arial"/>
          <w:lang w:val="en-AU"/>
        </w:rPr>
        <w:t>Fourthly, researchers in the future could utilize the data of different sources including sustainability reports, management's discussion comments and investor presentations to obtain a more comprehensive view on disclosure strategies.</w:t>
      </w:r>
    </w:p>
    <w:p w14:paraId="1FD8EF99">
      <w:pPr>
        <w:spacing w:line="360" w:lineRule="auto"/>
        <w:jc w:val="both"/>
        <w:rPr>
          <w:rFonts w:ascii="Arial" w:hAnsi="Arial" w:cs="Arial"/>
        </w:rPr>
      </w:pPr>
      <w:r>
        <w:rPr>
          <w:rFonts w:ascii="Arial" w:hAnsi="Arial" w:cs="Arial"/>
        </w:rPr>
        <w:t>Finally, as AI adoption matures, future work could examine whether disclosure regulation evolves, potentially standardizing how firms communicate digital transformation to stakeholders. This would deepen our understanding of the intersection between technology adoption, corporate governance, and stakeholder theory.</w:t>
      </w:r>
    </w:p>
    <w:p w14:paraId="1FD8EF9A">
      <w:pPr>
        <w:spacing w:after="0" w:line="240" w:lineRule="auto"/>
        <w:rPr>
          <w:rFonts w:ascii="Arial" w:hAnsi="Arial" w:cs="Arial"/>
        </w:rPr>
      </w:pPr>
      <w:r>
        <w:rPr>
          <w:rFonts w:ascii="Arial" w:hAnsi="Arial" w:cs="Arial"/>
        </w:rPr>
        <w:br w:type="page"/>
      </w:r>
    </w:p>
    <w:p w14:paraId="26AB199A">
      <w:pPr>
        <w:spacing w:line="360" w:lineRule="auto"/>
        <w:jc w:val="both"/>
        <w:rPr>
          <w:rFonts w:ascii="Arial" w:hAnsi="Arial" w:cs="Arial"/>
        </w:rPr>
      </w:pPr>
    </w:p>
    <w:p w14:paraId="1FD8EF9B">
      <w:pPr>
        <w:spacing w:line="360" w:lineRule="auto"/>
        <w:jc w:val="center"/>
        <w:rPr>
          <w:rStyle w:val="25"/>
          <w:rFonts w:ascii="Arial" w:hAnsi="Arial" w:cs="Arial"/>
          <w:sz w:val="32"/>
          <w:szCs w:val="32"/>
        </w:rPr>
      </w:pPr>
      <w:bookmarkStart w:id="99" w:name="_Toc214714435"/>
      <w:r>
        <w:rPr>
          <w:rStyle w:val="25"/>
          <w:rFonts w:ascii="Arial" w:hAnsi="Arial" w:cs="Arial"/>
          <w:sz w:val="32"/>
          <w:szCs w:val="32"/>
        </w:rPr>
        <w:t>References</w:t>
      </w:r>
      <w:bookmarkEnd w:id="99"/>
    </w:p>
    <w:p w14:paraId="1FD8EF9D">
      <w:pPr>
        <w:spacing w:line="360" w:lineRule="auto"/>
        <w:jc w:val="both"/>
        <w:rPr>
          <w:rFonts w:ascii="Arial" w:hAnsi="Arial" w:cs="Arial"/>
        </w:rPr>
      </w:pPr>
      <w:r>
        <w:rPr>
          <w:rFonts w:ascii="Arial" w:hAnsi="Arial" w:cs="Arial"/>
        </w:rPr>
        <w:t xml:space="preserve">Bahari, A., &amp; Napitupulu, M. A. (2025). The impact of artificial intelligence disclosure on the financial performance: An empirical study of Indonesian banks. In </w:t>
      </w:r>
      <w:r>
        <w:rPr>
          <w:rFonts w:ascii="Arial" w:hAnsi="Arial" w:cs="Arial"/>
          <w:i/>
          <w:iCs/>
        </w:rPr>
        <w:t>Applied Artificial Intelligence in Business</w:t>
      </w:r>
      <w:r>
        <w:rPr>
          <w:rFonts w:ascii="Arial" w:hAnsi="Arial" w:cs="Arial"/>
        </w:rPr>
        <w:t xml:space="preserve"> (pp. 313–328). Springer. </w:t>
      </w:r>
      <w:r>
        <w:fldChar w:fldCharType="begin"/>
      </w:r>
      <w:r>
        <w:instrText xml:space="preserve"> HYPERLINK "https://doi.org/10.1007/978-3-031-90271-0_23" </w:instrText>
      </w:r>
      <w:r>
        <w:fldChar w:fldCharType="separate"/>
      </w:r>
      <w:r>
        <w:rPr>
          <w:rStyle w:val="17"/>
          <w:rFonts w:ascii="Arial" w:hAnsi="Arial" w:cs="Arial"/>
        </w:rPr>
        <w:t>https://doi.org/10.1007/978-3-031-90271-0_23</w:t>
      </w:r>
      <w:r>
        <w:rPr>
          <w:rStyle w:val="17"/>
          <w:rFonts w:ascii="Arial" w:hAnsi="Arial" w:cs="Arial"/>
        </w:rPr>
        <w:fldChar w:fldCharType="end"/>
      </w:r>
    </w:p>
    <w:p w14:paraId="1FD8EF9E">
      <w:pPr>
        <w:spacing w:line="360" w:lineRule="auto"/>
        <w:jc w:val="both"/>
        <w:rPr>
          <w:rFonts w:ascii="Arial" w:hAnsi="Arial" w:cs="Arial"/>
        </w:rPr>
      </w:pPr>
      <w:r>
        <w:rPr>
          <w:rFonts w:ascii="Arial" w:hAnsi="Arial" w:cs="Arial"/>
        </w:rPr>
        <w:t xml:space="preserve">Cubric, M. (2020). </w:t>
      </w:r>
      <w:r>
        <w:rPr>
          <w:rFonts w:ascii="Arial" w:hAnsi="Arial" w:cs="Arial"/>
          <w:i/>
          <w:iCs/>
        </w:rPr>
        <w:t>Drivers, barriers and social considerations for AI adoption in business and management: A tertiary study.</w:t>
      </w:r>
      <w:r>
        <w:rPr>
          <w:rFonts w:ascii="Arial" w:hAnsi="Arial" w:cs="Arial"/>
        </w:rPr>
        <w:t xml:space="preserve"> Technology in Society, 62, Article 101257. </w:t>
      </w:r>
      <w:r>
        <w:fldChar w:fldCharType="begin"/>
      </w:r>
      <w:r>
        <w:instrText xml:space="preserve"> HYPERLINK "https://doi.org/10.1016/j.techsoc.2020.101257" </w:instrText>
      </w:r>
      <w:r>
        <w:fldChar w:fldCharType="separate"/>
      </w:r>
      <w:r>
        <w:rPr>
          <w:rStyle w:val="17"/>
          <w:rFonts w:ascii="Arial" w:hAnsi="Arial" w:cs="Arial"/>
        </w:rPr>
        <w:t>https://doi.org/10.1016/j.techsoc.2020.101257</w:t>
      </w:r>
      <w:r>
        <w:rPr>
          <w:rStyle w:val="17"/>
          <w:rFonts w:ascii="Arial" w:hAnsi="Arial" w:cs="Arial"/>
        </w:rPr>
        <w:fldChar w:fldCharType="end"/>
      </w:r>
    </w:p>
    <w:p w14:paraId="1FD8EF9F">
      <w:pPr>
        <w:spacing w:line="360" w:lineRule="auto"/>
        <w:jc w:val="both"/>
        <w:rPr>
          <w:rFonts w:ascii="Arial" w:hAnsi="Arial" w:cs="Arial"/>
        </w:rPr>
      </w:pPr>
      <w:r>
        <w:rPr>
          <w:rFonts w:ascii="Arial" w:hAnsi="Arial" w:cs="Arial"/>
        </w:rPr>
        <w:t xml:space="preserve">Enholm, I. M., Papagiannidis, E., Mikalef, P., &amp; Krogstie, J. (2021). Artificial intelligence and business value: A literature review. </w:t>
      </w:r>
      <w:r>
        <w:rPr>
          <w:rFonts w:ascii="Arial" w:hAnsi="Arial" w:cs="Arial"/>
          <w:i/>
          <w:iCs/>
        </w:rPr>
        <w:t>Information Systems Frontiers, 24</w:t>
      </w:r>
      <w:r>
        <w:rPr>
          <w:rFonts w:ascii="Arial" w:hAnsi="Arial" w:cs="Arial"/>
        </w:rPr>
        <w:t xml:space="preserve">(5), 1709–1734. </w:t>
      </w:r>
      <w:r>
        <w:fldChar w:fldCharType="begin"/>
      </w:r>
      <w:r>
        <w:instrText xml:space="preserve"> HYPERLINK "https://doi.org/10.1007/s10796-021-10186-w" </w:instrText>
      </w:r>
      <w:r>
        <w:fldChar w:fldCharType="separate"/>
      </w:r>
      <w:r>
        <w:rPr>
          <w:rStyle w:val="17"/>
          <w:rFonts w:ascii="Arial" w:hAnsi="Arial" w:cs="Arial"/>
        </w:rPr>
        <w:t>https://doi.org/10.1007/s10796-021-10186-w</w:t>
      </w:r>
      <w:r>
        <w:rPr>
          <w:rStyle w:val="17"/>
          <w:rFonts w:ascii="Arial" w:hAnsi="Arial" w:cs="Arial"/>
        </w:rPr>
        <w:fldChar w:fldCharType="end"/>
      </w:r>
    </w:p>
    <w:p w14:paraId="1FD8EFA0">
      <w:pPr>
        <w:spacing w:line="360" w:lineRule="auto"/>
        <w:jc w:val="both"/>
        <w:rPr>
          <w:rFonts w:ascii="Arial" w:hAnsi="Arial" w:cs="Arial"/>
        </w:rPr>
      </w:pPr>
      <w:r>
        <w:rPr>
          <w:rFonts w:ascii="Arial" w:hAnsi="Arial" w:cs="Arial"/>
        </w:rPr>
        <w:t xml:space="preserve">García-Castro, R., &amp; Munoz, J. M. (2025). AI industry adoption and its management implications in modern industry. </w:t>
      </w:r>
      <w:r>
        <w:rPr>
          <w:rFonts w:ascii="Arial" w:hAnsi="Arial" w:cs="Arial"/>
          <w:i/>
          <w:iCs/>
        </w:rPr>
        <w:t>The</w:t>
      </w:r>
      <w:r>
        <w:rPr>
          <w:rFonts w:ascii="Arial" w:hAnsi="Arial" w:cs="Arial"/>
        </w:rPr>
        <w:t xml:space="preserve"> </w:t>
      </w:r>
      <w:r>
        <w:rPr>
          <w:rFonts w:ascii="Arial" w:hAnsi="Arial" w:cs="Arial"/>
          <w:i/>
          <w:iCs/>
        </w:rPr>
        <w:t>European Business Review.</w:t>
      </w:r>
      <w:r>
        <w:rPr>
          <w:rFonts w:ascii="Arial" w:hAnsi="Arial" w:cs="Arial"/>
        </w:rPr>
        <w:t xml:space="preserve"> </w:t>
      </w:r>
      <w:r>
        <w:fldChar w:fldCharType="begin"/>
      </w:r>
      <w:r>
        <w:instrText xml:space="preserve"> HYPERLINK "https://www.europeanbusinessreview.com/ai-industry-adoption-and-its-management-implications/" </w:instrText>
      </w:r>
      <w:r>
        <w:fldChar w:fldCharType="separate"/>
      </w:r>
      <w:r>
        <w:rPr>
          <w:rStyle w:val="17"/>
          <w:rFonts w:ascii="Arial" w:hAnsi="Arial" w:cs="Arial"/>
        </w:rPr>
        <w:t>https://www.europeanbusinessreview.com/ai-industry-adoption-and-its-management-implications/</w:t>
      </w:r>
      <w:r>
        <w:rPr>
          <w:rStyle w:val="17"/>
          <w:rFonts w:ascii="Arial" w:hAnsi="Arial" w:cs="Arial"/>
        </w:rPr>
        <w:fldChar w:fldCharType="end"/>
      </w:r>
      <w:r>
        <w:rPr>
          <w:rFonts w:ascii="Arial" w:hAnsi="Arial" w:cs="Arial"/>
        </w:rPr>
        <w:br w:type="textWrapping"/>
      </w:r>
      <w:r>
        <w:rPr>
          <w:rFonts w:ascii="Arial" w:hAnsi="Arial" w:cs="Arial"/>
          <w:color w:val="000000" w:themeColor="text1"/>
          <w14:textFill>
            <w14:solidFill>
              <w14:schemeClr w14:val="tx1"/>
            </w14:solidFill>
          </w14:textFill>
        </w:rPr>
        <w:t xml:space="preserve">Cao, S., Jiang, W., Yang, B., Zhang, A. L., &amp; Ramadorai, T. (2023). How to talk when a machine is listening: Corporate disclosure in the age of AI. </w:t>
      </w:r>
      <w:r>
        <w:rPr>
          <w:rFonts w:ascii="Arial" w:hAnsi="Arial" w:cs="Arial"/>
          <w:i/>
          <w:iCs/>
          <w:color w:val="000000" w:themeColor="text1"/>
          <w14:textFill>
            <w14:solidFill>
              <w14:schemeClr w14:val="tx1"/>
            </w14:solidFill>
          </w14:textFill>
        </w:rPr>
        <w:t>The Review of Financial Studies, 36</w:t>
      </w:r>
      <w:r>
        <w:rPr>
          <w:rFonts w:ascii="Arial" w:hAnsi="Arial" w:cs="Arial"/>
          <w:color w:val="000000" w:themeColor="text1"/>
          <w14:textFill>
            <w14:solidFill>
              <w14:schemeClr w14:val="tx1"/>
            </w14:solidFill>
          </w14:textFill>
        </w:rPr>
        <w:t>(9), 3603–3642. https://doi.org/10.1093/rfs/hhad021</w:t>
      </w:r>
    </w:p>
    <w:p w14:paraId="1FD8EFA1">
      <w:pPr>
        <w:spacing w:line="360" w:lineRule="auto"/>
        <w:jc w:val="both"/>
        <w:rPr>
          <w:rFonts w:ascii="Arial" w:hAnsi="Arial" w:cs="Arial"/>
        </w:rPr>
      </w:pPr>
      <w:r>
        <w:rPr>
          <w:rFonts w:ascii="Arial" w:hAnsi="Arial" w:cs="Arial"/>
        </w:rPr>
        <w:t xml:space="preserve">Maiti, M., Kayal, P., &amp; Vujko, A. (2025). A study on Ethical implications of artificial intelligence adoption in business. </w:t>
      </w:r>
      <w:r>
        <w:rPr>
          <w:rFonts w:ascii="Arial" w:hAnsi="Arial" w:cs="Arial"/>
          <w:i/>
          <w:iCs/>
        </w:rPr>
        <w:t>Future Business Journal, 11</w:t>
      </w:r>
      <w:r>
        <w:rPr>
          <w:rFonts w:ascii="Arial" w:hAnsi="Arial" w:cs="Arial"/>
        </w:rPr>
        <w:t xml:space="preserve">(34). </w:t>
      </w:r>
      <w:r>
        <w:fldChar w:fldCharType="begin"/>
      </w:r>
      <w:r>
        <w:instrText xml:space="preserve"> HYPERLINK "https://doi.org/10.1186/s43093-025-00462-5" </w:instrText>
      </w:r>
      <w:r>
        <w:fldChar w:fldCharType="separate"/>
      </w:r>
      <w:r>
        <w:rPr>
          <w:rStyle w:val="17"/>
          <w:rFonts w:ascii="Arial" w:hAnsi="Arial" w:cs="Arial"/>
        </w:rPr>
        <w:t>https://doi.org/10.1186/s43093-025-00462-5</w:t>
      </w:r>
      <w:r>
        <w:rPr>
          <w:rStyle w:val="17"/>
          <w:rFonts w:ascii="Arial" w:hAnsi="Arial" w:cs="Arial"/>
        </w:rPr>
        <w:fldChar w:fldCharType="end"/>
      </w:r>
    </w:p>
    <w:p w14:paraId="1FD8EFA2">
      <w:pPr>
        <w:spacing w:line="360" w:lineRule="auto"/>
        <w:jc w:val="both"/>
        <w:rPr>
          <w:rFonts w:ascii="Arial" w:hAnsi="Arial" w:cs="Arial"/>
        </w:rPr>
      </w:pPr>
      <w:r>
        <w:rPr>
          <w:rFonts w:ascii="Arial" w:hAnsi="Arial" w:cs="Arial"/>
        </w:rPr>
        <w:t xml:space="preserve">Machucho, R., &amp; Ortiz, D. (2025). The impacts of artificial intelligence on business innovation: A comprehensive review of applications, organizational challenges, and ethical considerations. </w:t>
      </w:r>
      <w:r>
        <w:rPr>
          <w:rFonts w:ascii="Arial" w:hAnsi="Arial" w:cs="Arial"/>
          <w:i/>
          <w:iCs/>
        </w:rPr>
        <w:t>Systems, 13</w:t>
      </w:r>
      <w:r>
        <w:rPr>
          <w:rFonts w:ascii="Arial" w:hAnsi="Arial" w:cs="Arial"/>
        </w:rPr>
        <w:t xml:space="preserve">(4), 264. </w:t>
      </w:r>
      <w:r>
        <w:fldChar w:fldCharType="begin"/>
      </w:r>
      <w:r>
        <w:instrText xml:space="preserve"> HYPERLINK "https://doi.org/10.3390/systems13040264" \t "_new" </w:instrText>
      </w:r>
      <w:r>
        <w:fldChar w:fldCharType="separate"/>
      </w:r>
      <w:r>
        <w:rPr>
          <w:rStyle w:val="17"/>
          <w:rFonts w:ascii="Arial" w:hAnsi="Arial" w:cs="Arial"/>
        </w:rPr>
        <w:t>https://doi.org/10.3390/systems13040264</w:t>
      </w:r>
      <w:r>
        <w:rPr>
          <w:rStyle w:val="17"/>
          <w:rFonts w:ascii="Arial" w:hAnsi="Arial" w:cs="Arial"/>
        </w:rPr>
        <w:fldChar w:fldCharType="end"/>
      </w:r>
    </w:p>
    <w:p w14:paraId="1FD8EFA3">
      <w:pPr>
        <w:spacing w:line="360" w:lineRule="auto"/>
        <w:jc w:val="both"/>
        <w:rPr>
          <w:rFonts w:ascii="Arial" w:hAnsi="Arial" w:cs="Arial"/>
        </w:rPr>
      </w:pPr>
      <w:r>
        <w:rPr>
          <w:rFonts w:ascii="Arial" w:hAnsi="Arial" w:cs="Arial"/>
        </w:rPr>
        <w:t xml:space="preserve"> Song, Y., Qiu, X., &amp; Liu, J. (2025). The impact of artificial intelligence adoption on organizational decision-making: An empirical study based on the Technology Acceptance Model in business management. </w:t>
      </w:r>
      <w:r>
        <w:rPr>
          <w:rFonts w:ascii="Arial" w:hAnsi="Arial" w:cs="Arial"/>
          <w:i/>
          <w:iCs/>
        </w:rPr>
        <w:t>Systems, 13</w:t>
      </w:r>
      <w:r>
        <w:rPr>
          <w:rFonts w:ascii="Arial" w:hAnsi="Arial" w:cs="Arial"/>
        </w:rPr>
        <w:t xml:space="preserve">(8), 683. </w:t>
      </w:r>
      <w:r>
        <w:fldChar w:fldCharType="begin"/>
      </w:r>
      <w:r>
        <w:instrText xml:space="preserve"> HYPERLINK "https://doi.org/10.3390/systems13080683" \t "_new" </w:instrText>
      </w:r>
      <w:r>
        <w:fldChar w:fldCharType="separate"/>
      </w:r>
      <w:r>
        <w:rPr>
          <w:rStyle w:val="17"/>
          <w:rFonts w:ascii="Arial" w:hAnsi="Arial" w:cs="Arial"/>
        </w:rPr>
        <w:t>https://doi.org/10.3390/systems13080683</w:t>
      </w:r>
      <w:r>
        <w:rPr>
          <w:rStyle w:val="17"/>
          <w:rFonts w:ascii="Arial" w:hAnsi="Arial" w:cs="Arial"/>
        </w:rPr>
        <w:fldChar w:fldCharType="end"/>
      </w:r>
    </w:p>
    <w:p w14:paraId="1FD8EFA4">
      <w:pPr>
        <w:spacing w:line="360" w:lineRule="auto"/>
        <w:jc w:val="both"/>
        <w:rPr>
          <w:rFonts w:ascii="Arial" w:hAnsi="Arial" w:cs="Arial"/>
        </w:rPr>
      </w:pPr>
      <w:r>
        <w:rPr>
          <w:rFonts w:ascii="Arial" w:hAnsi="Arial" w:cs="Arial"/>
        </w:rPr>
        <w:t xml:space="preserve">Zhao, F., Nan, D., &amp; Wu, Y. (2025). AI disclosure as an institutional investment catalyst: Evidence from China. </w:t>
      </w:r>
      <w:r>
        <w:rPr>
          <w:rFonts w:ascii="Arial" w:hAnsi="Arial" w:cs="Arial"/>
          <w:i/>
          <w:iCs/>
        </w:rPr>
        <w:t>Research Square.</w:t>
      </w:r>
      <w:r>
        <w:rPr>
          <w:rFonts w:ascii="Arial" w:hAnsi="Arial" w:cs="Arial"/>
        </w:rPr>
        <w:t xml:space="preserve"> </w:t>
      </w:r>
      <w:r>
        <w:fldChar w:fldCharType="begin"/>
      </w:r>
      <w:r>
        <w:instrText xml:space="preserve"> HYPERLINK "https://doi.org/10.21203/rs.3.rs-7134593/v1" </w:instrText>
      </w:r>
      <w:r>
        <w:fldChar w:fldCharType="separate"/>
      </w:r>
      <w:r>
        <w:rPr>
          <w:rStyle w:val="17"/>
          <w:rFonts w:ascii="Arial" w:hAnsi="Arial" w:cs="Arial"/>
        </w:rPr>
        <w:t>https://doi.org/10.21203/rs.3.rs-7134593/v1</w:t>
      </w:r>
      <w:r>
        <w:rPr>
          <w:rStyle w:val="17"/>
          <w:rFonts w:ascii="Arial" w:hAnsi="Arial" w:cs="Arial"/>
        </w:rPr>
        <w:fldChar w:fldCharType="end"/>
      </w:r>
    </w:p>
    <w:p w14:paraId="1FD8EFA6">
      <w:pPr>
        <w:tabs>
          <w:tab w:val="left" w:pos="425"/>
        </w:tabs>
        <w:spacing w:line="360" w:lineRule="auto"/>
        <w:jc w:val="both"/>
        <w:rPr>
          <w:rFonts w:ascii="Arial" w:hAnsi="Arial" w:cs="Arial"/>
        </w:rPr>
      </w:pPr>
      <w:r>
        <w:rPr>
          <w:rFonts w:ascii="Arial" w:hAnsi="Arial" w:cs="Arial"/>
        </w:rPr>
        <w:t xml:space="preserve">Wang, J., &amp; Zhou, H. (2022).Corporate digitalization, internal governance, and disclosure transparency.Journal of Business Research, 145, 45–58. </w:t>
      </w:r>
      <w:r>
        <w:fldChar w:fldCharType="begin"/>
      </w:r>
      <w:r>
        <w:instrText xml:space="preserve"> HYPERLINK "https://doi.org/10.1016/j.jbusres.2022.01.023" </w:instrText>
      </w:r>
      <w:r>
        <w:fldChar w:fldCharType="separate"/>
      </w:r>
      <w:r>
        <w:rPr>
          <w:rStyle w:val="17"/>
          <w:rFonts w:ascii="Arial" w:hAnsi="Arial" w:cs="Arial"/>
        </w:rPr>
        <w:t>https://doi.org/10.1016/j.jbusres.2022.01.023</w:t>
      </w:r>
      <w:r>
        <w:rPr>
          <w:rStyle w:val="17"/>
          <w:rFonts w:ascii="Arial" w:hAnsi="Arial" w:cs="Arial"/>
        </w:rPr>
        <w:fldChar w:fldCharType="end"/>
      </w:r>
      <w:r>
        <w:rPr>
          <w:rFonts w:ascii="Arial" w:hAnsi="Arial" w:cs="Arial"/>
        </w:rPr>
        <w:t xml:space="preserve"> </w:t>
      </w:r>
    </w:p>
    <w:p w14:paraId="1FD8EFA7">
      <w:pPr>
        <w:tabs>
          <w:tab w:val="left" w:pos="425"/>
        </w:tabs>
        <w:spacing w:line="360" w:lineRule="auto"/>
        <w:jc w:val="both"/>
        <w:rPr>
          <w:rFonts w:ascii="Arial" w:hAnsi="Arial" w:cs="Arial"/>
        </w:rPr>
      </w:pPr>
      <w:r>
        <w:rPr>
          <w:rFonts w:ascii="Arial" w:hAnsi="Arial" w:cs="Arial"/>
        </w:rPr>
        <w:t xml:space="preserve">Babina, T., Fedyk, A., He, A., &amp; Hodson, J. (2023).Artificial intelligence, firm disclosure, and investor skepticism.Management Science. </w:t>
      </w:r>
      <w:r>
        <w:fldChar w:fldCharType="begin"/>
      </w:r>
      <w:r>
        <w:instrText xml:space="preserve"> HYPERLINK "https://doi.org/10.1287/mnsc.2022.4446" </w:instrText>
      </w:r>
      <w:r>
        <w:fldChar w:fldCharType="separate"/>
      </w:r>
      <w:r>
        <w:rPr>
          <w:rStyle w:val="17"/>
          <w:rFonts w:ascii="Arial" w:hAnsi="Arial" w:cs="Arial"/>
        </w:rPr>
        <w:t>https://doi.org/10.1287/mnsc.2022.4446</w:t>
      </w:r>
      <w:r>
        <w:rPr>
          <w:rStyle w:val="17"/>
          <w:rFonts w:ascii="Arial" w:hAnsi="Arial" w:cs="Arial"/>
        </w:rPr>
        <w:fldChar w:fldCharType="end"/>
      </w:r>
      <w:r>
        <w:rPr>
          <w:rFonts w:ascii="Arial" w:hAnsi="Arial" w:cs="Arial"/>
        </w:rPr>
        <w:t xml:space="preserve"> Loughran, T., &amp; McDonald, B. (2016). Textual analysis in accounting and finance: A review. Journal of Accounting Research, 54(4), 1187–1230. </w:t>
      </w:r>
      <w:r>
        <w:fldChar w:fldCharType="begin"/>
      </w:r>
      <w:r>
        <w:instrText xml:space="preserve"> HYPERLINK "https://doi.org/10.1111/1475-679X.12123" </w:instrText>
      </w:r>
      <w:r>
        <w:fldChar w:fldCharType="separate"/>
      </w:r>
      <w:r>
        <w:rPr>
          <w:rStyle w:val="17"/>
          <w:rFonts w:ascii="Arial" w:hAnsi="Arial" w:cs="Arial"/>
        </w:rPr>
        <w:t>https://doi.org/10.1111/1475-679X.12123</w:t>
      </w:r>
      <w:r>
        <w:rPr>
          <w:rStyle w:val="17"/>
          <w:rFonts w:ascii="Arial" w:hAnsi="Arial" w:cs="Arial"/>
        </w:rPr>
        <w:fldChar w:fldCharType="end"/>
      </w:r>
      <w:r>
        <w:rPr>
          <w:rFonts w:ascii="Arial" w:hAnsi="Arial" w:cs="Arial"/>
        </w:rPr>
        <w:t xml:space="preserve"> </w:t>
      </w:r>
    </w:p>
    <w:p w14:paraId="1FD8EFA8">
      <w:pPr>
        <w:tabs>
          <w:tab w:val="left" w:pos="425"/>
        </w:tabs>
        <w:spacing w:line="360" w:lineRule="auto"/>
        <w:jc w:val="both"/>
        <w:rPr>
          <w:rFonts w:ascii="Arial" w:hAnsi="Arial" w:cs="Arial"/>
        </w:rPr>
      </w:pPr>
      <w:r>
        <w:rPr>
          <w:rFonts w:ascii="Arial" w:hAnsi="Arial" w:cs="Arial"/>
        </w:rPr>
        <w:t xml:space="preserve">Appelbaum, D., Kogan, A., Vasarhelyi, M. A., &amp; Yan, Z. (2017). Impact of business analytics and enterprise systems on managerial accounting. </w:t>
      </w:r>
      <w:r>
        <w:rPr>
          <w:rFonts w:ascii="Arial" w:hAnsi="Arial" w:cs="Arial"/>
          <w:i/>
          <w:iCs/>
        </w:rPr>
        <w:t>International Journal of Accounting Information Systems, 25</w:t>
      </w:r>
      <w:r>
        <w:rPr>
          <w:rFonts w:ascii="Arial" w:hAnsi="Arial" w:cs="Arial"/>
        </w:rPr>
        <w:t xml:space="preserve">, 29–44. </w:t>
      </w:r>
      <w:r>
        <w:fldChar w:fldCharType="begin"/>
      </w:r>
      <w:r>
        <w:instrText xml:space="preserve"> HYPERLINK "https://doi.org/10.1016/j.accinf.2017.03.003" </w:instrText>
      </w:r>
      <w:r>
        <w:fldChar w:fldCharType="separate"/>
      </w:r>
      <w:r>
        <w:rPr>
          <w:rStyle w:val="17"/>
          <w:rFonts w:ascii="Arial" w:hAnsi="Arial" w:cs="Arial"/>
        </w:rPr>
        <w:t>https://doi.org/10.1016/j.accinf.2017.03.003</w:t>
      </w:r>
      <w:r>
        <w:rPr>
          <w:rStyle w:val="17"/>
          <w:rFonts w:ascii="Arial" w:hAnsi="Arial" w:cs="Arial"/>
        </w:rPr>
        <w:fldChar w:fldCharType="end"/>
      </w:r>
    </w:p>
    <w:p w14:paraId="1FD8EFA9">
      <w:pPr>
        <w:tabs>
          <w:tab w:val="left" w:pos="425"/>
        </w:tabs>
        <w:spacing w:line="360" w:lineRule="auto"/>
        <w:jc w:val="both"/>
        <w:rPr>
          <w:rFonts w:ascii="Arial" w:hAnsi="Arial" w:cs="Arial"/>
        </w:rPr>
      </w:pPr>
      <w:r>
        <w:rPr>
          <w:rFonts w:ascii="Arial" w:hAnsi="Arial" w:cs="Arial"/>
        </w:rPr>
        <w:t xml:space="preserve">Ashraf, M. (2024). Does automation improve financial reporting? Evidence from internal controls. </w:t>
      </w:r>
      <w:r>
        <w:rPr>
          <w:rFonts w:ascii="Arial" w:hAnsi="Arial" w:cs="Arial"/>
          <w:i/>
          <w:iCs/>
        </w:rPr>
        <w:t>Review of Accounting Studies, 30</w:t>
      </w:r>
      <w:r>
        <w:rPr>
          <w:rFonts w:ascii="Arial" w:hAnsi="Arial" w:cs="Arial"/>
        </w:rPr>
        <w:t xml:space="preserve">(1), 436–479. </w:t>
      </w:r>
      <w:r>
        <w:fldChar w:fldCharType="begin"/>
      </w:r>
      <w:r>
        <w:instrText xml:space="preserve"> HYPERLINK "https://doi.org/10.1007/s11142-024-09822-y" </w:instrText>
      </w:r>
      <w:r>
        <w:fldChar w:fldCharType="separate"/>
      </w:r>
      <w:r>
        <w:rPr>
          <w:rStyle w:val="17"/>
          <w:rFonts w:ascii="Arial" w:hAnsi="Arial" w:cs="Arial"/>
        </w:rPr>
        <w:t>https://doi.org/10.1007/s11142-024-09822-y</w:t>
      </w:r>
      <w:r>
        <w:rPr>
          <w:rStyle w:val="17"/>
          <w:rFonts w:ascii="Arial" w:hAnsi="Arial" w:cs="Arial"/>
        </w:rPr>
        <w:fldChar w:fldCharType="end"/>
      </w:r>
    </w:p>
    <w:p w14:paraId="1FD8EFAA">
      <w:pPr>
        <w:tabs>
          <w:tab w:val="left" w:pos="425"/>
        </w:tabs>
        <w:spacing w:line="360" w:lineRule="auto"/>
        <w:jc w:val="both"/>
        <w:rPr>
          <w:rFonts w:ascii="Arial" w:hAnsi="Arial" w:cs="Arial"/>
        </w:rPr>
      </w:pPr>
      <w:r>
        <w:rPr>
          <w:rFonts w:ascii="Arial" w:hAnsi="Arial" w:cs="Arial"/>
        </w:rPr>
        <w:t>Bahari, A., &amp; Napitupulu, M. A. (2025). The impact of artificial intelligence disclosure on financial performance: Evidence from Indonesian banks. In D. Prasetyo, H. Santoso, &amp; L. Wijaya (Eds.),</w:t>
      </w:r>
      <w:r>
        <w:rPr>
          <w:rFonts w:ascii="Arial" w:hAnsi="Arial" w:cs="Arial"/>
          <w:i/>
          <w:iCs/>
        </w:rPr>
        <w:t xml:space="preserve"> Applied Artificial Intelligence in Business</w:t>
      </w:r>
      <w:r>
        <w:rPr>
          <w:rFonts w:ascii="Arial" w:hAnsi="Arial" w:cs="Arial"/>
        </w:rPr>
        <w:t xml:space="preserve"> (pp. 313–328). Springer. </w:t>
      </w:r>
      <w:r>
        <w:fldChar w:fldCharType="begin"/>
      </w:r>
      <w:r>
        <w:instrText xml:space="preserve"> HYPERLINK "https://doi.org/10.1007/978-3-031-90271-0_23" </w:instrText>
      </w:r>
      <w:r>
        <w:fldChar w:fldCharType="separate"/>
      </w:r>
      <w:r>
        <w:rPr>
          <w:rStyle w:val="17"/>
          <w:rFonts w:ascii="Arial" w:hAnsi="Arial" w:cs="Arial"/>
        </w:rPr>
        <w:t>https://doi.org/10.1007/978-3-031-90271-0_23</w:t>
      </w:r>
      <w:r>
        <w:rPr>
          <w:rStyle w:val="17"/>
          <w:rFonts w:ascii="Arial" w:hAnsi="Arial" w:cs="Arial"/>
        </w:rPr>
        <w:fldChar w:fldCharType="end"/>
      </w:r>
      <w:r>
        <w:rPr>
          <w:rFonts w:ascii="Arial" w:hAnsi="Arial" w:cs="Arial"/>
        </w:rPr>
        <w:t xml:space="preserve"> </w:t>
      </w:r>
    </w:p>
    <w:p w14:paraId="1FD8EFAB">
      <w:pPr>
        <w:tabs>
          <w:tab w:val="left" w:pos="425"/>
        </w:tabs>
        <w:spacing w:line="360" w:lineRule="auto"/>
        <w:jc w:val="both"/>
        <w:rPr>
          <w:rFonts w:ascii="Arial" w:hAnsi="Arial" w:cs="Arial"/>
        </w:rPr>
      </w:pPr>
      <w:r>
        <w:rPr>
          <w:rFonts w:ascii="Arial" w:hAnsi="Arial" w:cs="Arial"/>
        </w:rPr>
        <w:t xml:space="preserve">Bonsón, E., &amp; Bednárová, M. (2022). Artificial intelligence disclosures in sustainability reports: Towards an artificial intelligence reporting framework. In V. Kumar, J. Leng, V. Akberdina, &amp; E. Kuzmin (Eds.), Digital Transformation in Industry (Lecture Notes in Information Systems and Organisation, Vol. XXX, pp. 391-407). Springer. </w:t>
      </w:r>
      <w:r>
        <w:fldChar w:fldCharType="begin"/>
      </w:r>
      <w:r>
        <w:instrText xml:space="preserve"> HYPERLINK "https://doi.org/10.1007/978-3-030-94617-3_27" </w:instrText>
      </w:r>
      <w:r>
        <w:fldChar w:fldCharType="separate"/>
      </w:r>
      <w:r>
        <w:rPr>
          <w:rStyle w:val="17"/>
          <w:rFonts w:ascii="Arial" w:hAnsi="Arial" w:cs="Arial"/>
        </w:rPr>
        <w:t>https://doi.org/10.1007/978-3-030-94617-3_27</w:t>
      </w:r>
      <w:r>
        <w:rPr>
          <w:rStyle w:val="17"/>
          <w:rFonts w:ascii="Arial" w:hAnsi="Arial" w:cs="Arial"/>
        </w:rPr>
        <w:fldChar w:fldCharType="end"/>
      </w:r>
      <w:r>
        <w:rPr>
          <w:rFonts w:ascii="Arial" w:hAnsi="Arial" w:cs="Arial"/>
        </w:rPr>
        <w:t xml:space="preserve"> </w:t>
      </w:r>
    </w:p>
    <w:p w14:paraId="1FD8EFAC">
      <w:pPr>
        <w:tabs>
          <w:tab w:val="left" w:pos="425"/>
        </w:tabs>
        <w:spacing w:line="360" w:lineRule="auto"/>
        <w:jc w:val="both"/>
        <w:rPr>
          <w:rFonts w:ascii="Arial" w:hAnsi="Arial" w:cs="Arial"/>
        </w:rPr>
      </w:pPr>
      <w:r>
        <w:rPr>
          <w:rFonts w:ascii="Arial" w:hAnsi="Arial" w:cs="Arial"/>
        </w:rPr>
        <w:t xml:space="preserve">Cao, S., Jiang, W., Yang, B., Zhang, A. L., &amp; Ramadorai, T. (2023). How to talk when a machine is listening: Corporate disclosure in the age of algorithms. </w:t>
      </w:r>
      <w:r>
        <w:rPr>
          <w:rFonts w:ascii="Arial" w:hAnsi="Arial" w:cs="Arial"/>
          <w:i/>
          <w:iCs/>
        </w:rPr>
        <w:t>Review of Financial Studies, 36</w:t>
      </w:r>
      <w:r>
        <w:rPr>
          <w:rFonts w:ascii="Arial" w:hAnsi="Arial" w:cs="Arial"/>
        </w:rPr>
        <w:t xml:space="preserve">(9), 3603–3646. </w:t>
      </w:r>
      <w:r>
        <w:fldChar w:fldCharType="begin"/>
      </w:r>
      <w:r>
        <w:instrText xml:space="preserve"> HYPERLINK "https://doi.org/10.1093/rfs/hhad021" </w:instrText>
      </w:r>
      <w:r>
        <w:fldChar w:fldCharType="separate"/>
      </w:r>
      <w:r>
        <w:rPr>
          <w:rStyle w:val="17"/>
          <w:rFonts w:ascii="Arial" w:hAnsi="Arial" w:cs="Arial"/>
        </w:rPr>
        <w:t>https://doi.org/10.1093/rfs/hhad021</w:t>
      </w:r>
      <w:r>
        <w:rPr>
          <w:rStyle w:val="17"/>
          <w:rFonts w:ascii="Arial" w:hAnsi="Arial" w:cs="Arial"/>
        </w:rPr>
        <w:fldChar w:fldCharType="end"/>
      </w:r>
    </w:p>
    <w:p w14:paraId="1FD8EFAD">
      <w:pPr>
        <w:tabs>
          <w:tab w:val="left" w:pos="425"/>
        </w:tabs>
        <w:spacing w:line="360" w:lineRule="auto"/>
        <w:jc w:val="both"/>
        <w:rPr>
          <w:rFonts w:ascii="Arial" w:hAnsi="Arial" w:cs="Arial"/>
        </w:rPr>
      </w:pPr>
      <w:r>
        <w:rPr>
          <w:rFonts w:ascii="Arial" w:hAnsi="Arial" w:cs="Arial"/>
        </w:rPr>
        <w:t xml:space="preserve">Cao, M., Chychyla, R., &amp; Stewart, T. (2015). Big data analytics in financial statement audits. </w:t>
      </w:r>
      <w:r>
        <w:rPr>
          <w:rFonts w:ascii="Arial" w:hAnsi="Arial" w:cs="Arial"/>
          <w:i/>
          <w:iCs/>
        </w:rPr>
        <w:t>Accounting Horizons, 29</w:t>
      </w:r>
      <w:r>
        <w:rPr>
          <w:rFonts w:ascii="Arial" w:hAnsi="Arial" w:cs="Arial"/>
        </w:rPr>
        <w:t xml:space="preserve">(2), 423–429. </w:t>
      </w:r>
      <w:r>
        <w:fldChar w:fldCharType="begin"/>
      </w:r>
      <w:r>
        <w:instrText xml:space="preserve"> HYPERLINK "https://doi.org/10.2308/acch-51068" </w:instrText>
      </w:r>
      <w:r>
        <w:fldChar w:fldCharType="separate"/>
      </w:r>
      <w:r>
        <w:rPr>
          <w:rStyle w:val="17"/>
          <w:rFonts w:ascii="Arial" w:hAnsi="Arial" w:cs="Arial"/>
        </w:rPr>
        <w:t>https://doi.org/10.2308/acch-51068</w:t>
      </w:r>
      <w:r>
        <w:rPr>
          <w:rStyle w:val="17"/>
          <w:rFonts w:ascii="Arial" w:hAnsi="Arial" w:cs="Arial"/>
        </w:rPr>
        <w:fldChar w:fldCharType="end"/>
      </w:r>
    </w:p>
    <w:p w14:paraId="1FD8EFAE">
      <w:pPr>
        <w:tabs>
          <w:tab w:val="left" w:pos="425"/>
        </w:tabs>
        <w:spacing w:line="360" w:lineRule="auto"/>
        <w:jc w:val="both"/>
        <w:rPr>
          <w:rFonts w:ascii="Arial" w:hAnsi="Arial" w:cs="Arial"/>
        </w:rPr>
      </w:pPr>
      <w:r>
        <w:rPr>
          <w:rFonts w:ascii="Arial" w:hAnsi="Arial" w:cs="Arial"/>
        </w:rPr>
        <w:t xml:space="preserve">Enholm, I. M., Papagiannidis, E., Mikalef, P., &amp; Krogstie, J. (2021). Artificial intelligence and business value: A literature review. </w:t>
      </w:r>
      <w:r>
        <w:rPr>
          <w:rFonts w:ascii="Arial" w:hAnsi="Arial" w:cs="Arial"/>
          <w:i/>
          <w:iCs/>
        </w:rPr>
        <w:t>Information Systems Frontiers, 24</w:t>
      </w:r>
      <w:r>
        <w:rPr>
          <w:rFonts w:ascii="Arial" w:hAnsi="Arial" w:cs="Arial"/>
        </w:rPr>
        <w:t xml:space="preserve">(5), 1709–1734. </w:t>
      </w:r>
      <w:r>
        <w:fldChar w:fldCharType="begin"/>
      </w:r>
      <w:r>
        <w:instrText xml:space="preserve"> HYPERLINK "https://doi.org/10.1007/s10796-021-10186-w" </w:instrText>
      </w:r>
      <w:r>
        <w:fldChar w:fldCharType="separate"/>
      </w:r>
      <w:r>
        <w:rPr>
          <w:rStyle w:val="17"/>
          <w:rFonts w:ascii="Arial" w:hAnsi="Arial" w:cs="Arial"/>
        </w:rPr>
        <w:t>https://doi.org/10.1007/s10796-021-10186-w</w:t>
      </w:r>
      <w:r>
        <w:rPr>
          <w:rStyle w:val="17"/>
          <w:rFonts w:ascii="Arial" w:hAnsi="Arial" w:cs="Arial"/>
        </w:rPr>
        <w:fldChar w:fldCharType="end"/>
      </w:r>
    </w:p>
    <w:p w14:paraId="1FD8EFAF">
      <w:pPr>
        <w:tabs>
          <w:tab w:val="left" w:pos="425"/>
        </w:tabs>
        <w:spacing w:line="360" w:lineRule="auto"/>
        <w:jc w:val="both"/>
        <w:rPr>
          <w:rFonts w:ascii="Arial" w:hAnsi="Arial" w:cs="Arial"/>
        </w:rPr>
      </w:pPr>
      <w:r>
        <w:rPr>
          <w:rFonts w:ascii="Arial" w:hAnsi="Arial" w:cs="Arial"/>
        </w:rPr>
        <w:t xml:space="preserve">Freeman, R. E. (2010). </w:t>
      </w:r>
      <w:r>
        <w:rPr>
          <w:rFonts w:ascii="Arial" w:hAnsi="Arial" w:cs="Arial"/>
          <w:i/>
          <w:iCs/>
        </w:rPr>
        <w:t>Strategic management: A stakeholder approach.</w:t>
      </w:r>
      <w:r>
        <w:rPr>
          <w:rFonts w:ascii="Arial" w:hAnsi="Arial" w:cs="Arial"/>
        </w:rPr>
        <w:t xml:space="preserve"> Cambridge University Press. https://doi.org/10.1017/CBO9781139192675</w:t>
      </w:r>
    </w:p>
    <w:p w14:paraId="1FD8EFB0">
      <w:pPr>
        <w:tabs>
          <w:tab w:val="left" w:pos="425"/>
        </w:tabs>
        <w:spacing w:line="360" w:lineRule="auto"/>
        <w:jc w:val="both"/>
        <w:rPr>
          <w:rFonts w:ascii="Arial" w:hAnsi="Arial" w:cs="Arial"/>
        </w:rPr>
      </w:pPr>
      <w:r>
        <w:rPr>
          <w:rFonts w:ascii="Arial" w:hAnsi="Arial" w:cs="Arial"/>
        </w:rPr>
        <w:t xml:space="preserve">Kokina, J., &amp; Blanchette, S. (2019). Early evidence of digital labor in accounting: Innovation with robotic process automation. </w:t>
      </w:r>
      <w:r>
        <w:rPr>
          <w:rFonts w:ascii="Arial" w:hAnsi="Arial" w:cs="Arial"/>
          <w:i/>
          <w:iCs/>
        </w:rPr>
        <w:t>International Journal of Accounting Information Systems, 35</w:t>
      </w:r>
      <w:r>
        <w:rPr>
          <w:rFonts w:ascii="Arial" w:hAnsi="Arial" w:cs="Arial"/>
        </w:rPr>
        <w:t xml:space="preserve">, Article 100431. </w:t>
      </w:r>
      <w:r>
        <w:fldChar w:fldCharType="begin"/>
      </w:r>
      <w:r>
        <w:instrText xml:space="preserve"> HYPERLINK "https://doi.org/10.1016/j.accinf.2019.100431" </w:instrText>
      </w:r>
      <w:r>
        <w:fldChar w:fldCharType="separate"/>
      </w:r>
      <w:r>
        <w:rPr>
          <w:rStyle w:val="17"/>
          <w:rFonts w:ascii="Arial" w:hAnsi="Arial" w:cs="Arial"/>
        </w:rPr>
        <w:t>https://doi.org/10.1016/j.accinf.2019.100431</w:t>
      </w:r>
      <w:r>
        <w:rPr>
          <w:rStyle w:val="17"/>
          <w:rFonts w:ascii="Arial" w:hAnsi="Arial" w:cs="Arial"/>
        </w:rPr>
        <w:fldChar w:fldCharType="end"/>
      </w:r>
    </w:p>
    <w:p w14:paraId="1FD8EFB1">
      <w:pPr>
        <w:tabs>
          <w:tab w:val="left" w:pos="425"/>
        </w:tabs>
        <w:spacing w:line="360" w:lineRule="auto"/>
        <w:jc w:val="both"/>
        <w:rPr>
          <w:rFonts w:ascii="Arial" w:hAnsi="Arial" w:cs="Arial"/>
        </w:rPr>
      </w:pPr>
      <w:r>
        <w:rPr>
          <w:rFonts w:ascii="Arial" w:hAnsi="Arial" w:cs="Arial"/>
        </w:rPr>
        <w:t xml:space="preserve">Kokina, J., &amp; Davenport, T. H. (2017). The emergence of artificial intelligence: How automation is changing auditing. </w:t>
      </w:r>
      <w:r>
        <w:rPr>
          <w:rFonts w:ascii="Arial" w:hAnsi="Arial" w:cs="Arial"/>
          <w:i/>
          <w:iCs/>
        </w:rPr>
        <w:t>Journal of Emerging Technologies in Accounting, 14</w:t>
      </w:r>
      <w:r>
        <w:rPr>
          <w:rFonts w:ascii="Arial" w:hAnsi="Arial" w:cs="Arial"/>
        </w:rPr>
        <w:t xml:space="preserve">(1), 115–122. </w:t>
      </w:r>
      <w:r>
        <w:fldChar w:fldCharType="begin"/>
      </w:r>
      <w:r>
        <w:instrText xml:space="preserve"> HYPERLINK "https://doi.org/10.2308/jeta-51730" </w:instrText>
      </w:r>
      <w:r>
        <w:fldChar w:fldCharType="separate"/>
      </w:r>
      <w:r>
        <w:rPr>
          <w:rStyle w:val="17"/>
          <w:rFonts w:ascii="Arial" w:hAnsi="Arial" w:cs="Arial"/>
        </w:rPr>
        <w:t>https://doi.org/10.2308/jeta-51730</w:t>
      </w:r>
      <w:r>
        <w:rPr>
          <w:rStyle w:val="17"/>
          <w:rFonts w:ascii="Arial" w:hAnsi="Arial" w:cs="Arial"/>
        </w:rPr>
        <w:fldChar w:fldCharType="end"/>
      </w:r>
    </w:p>
    <w:p w14:paraId="1FD8EFB2">
      <w:pPr>
        <w:tabs>
          <w:tab w:val="left" w:pos="425"/>
        </w:tabs>
        <w:spacing w:line="360" w:lineRule="auto"/>
        <w:jc w:val="both"/>
        <w:rPr>
          <w:rFonts w:ascii="Arial" w:hAnsi="Arial" w:cs="Arial"/>
        </w:rPr>
      </w:pPr>
      <w:r>
        <w:rPr>
          <w:rFonts w:ascii="Arial" w:hAnsi="Arial" w:cs="Arial"/>
        </w:rPr>
        <w:t xml:space="preserve">Kraus, M., &amp; Feuerriegel, S. (2017). Decision support from financial disclosures with deep neural networks and transfer learning. </w:t>
      </w:r>
      <w:r>
        <w:rPr>
          <w:rFonts w:ascii="Arial" w:hAnsi="Arial" w:cs="Arial"/>
          <w:i/>
          <w:iCs/>
        </w:rPr>
        <w:t>Decision Support Systems, 104</w:t>
      </w:r>
      <w:r>
        <w:rPr>
          <w:rFonts w:ascii="Arial" w:hAnsi="Arial" w:cs="Arial"/>
        </w:rPr>
        <w:t xml:space="preserve">, 38–48. </w:t>
      </w:r>
      <w:r>
        <w:fldChar w:fldCharType="begin"/>
      </w:r>
      <w:r>
        <w:instrText xml:space="preserve"> HYPERLINK "https://doi.org/10.1016/j.dss.2017.10.001" </w:instrText>
      </w:r>
      <w:r>
        <w:fldChar w:fldCharType="separate"/>
      </w:r>
      <w:r>
        <w:rPr>
          <w:rStyle w:val="17"/>
          <w:rFonts w:ascii="Arial" w:hAnsi="Arial" w:cs="Arial"/>
        </w:rPr>
        <w:t>https://doi.org/10.1016/j.dss.2017.10.001</w:t>
      </w:r>
      <w:r>
        <w:rPr>
          <w:rStyle w:val="17"/>
          <w:rFonts w:ascii="Arial" w:hAnsi="Arial" w:cs="Arial"/>
        </w:rPr>
        <w:fldChar w:fldCharType="end"/>
      </w:r>
    </w:p>
    <w:p w14:paraId="1FD8EFB3">
      <w:pPr>
        <w:tabs>
          <w:tab w:val="left" w:pos="425"/>
        </w:tabs>
        <w:spacing w:line="360" w:lineRule="auto"/>
        <w:jc w:val="both"/>
        <w:rPr>
          <w:rFonts w:ascii="Arial" w:hAnsi="Arial" w:cs="Arial"/>
        </w:rPr>
      </w:pPr>
      <w:r>
        <w:rPr>
          <w:rFonts w:ascii="Arial" w:hAnsi="Arial" w:cs="Arial"/>
        </w:rPr>
        <w:t xml:space="preserve">Loughran, T., &amp; McDonald, B. (2016). Textual analysis in accounting and finance: A survey. </w:t>
      </w:r>
      <w:r>
        <w:rPr>
          <w:rFonts w:ascii="Arial" w:hAnsi="Arial" w:cs="Arial"/>
          <w:i/>
          <w:iCs/>
        </w:rPr>
        <w:t>Journal of Accounting Research, 54</w:t>
      </w:r>
      <w:r>
        <w:rPr>
          <w:rFonts w:ascii="Arial" w:hAnsi="Arial" w:cs="Arial"/>
        </w:rPr>
        <w:t xml:space="preserve">(4), 1187–1230. </w:t>
      </w:r>
      <w:r>
        <w:fldChar w:fldCharType="begin"/>
      </w:r>
      <w:r>
        <w:instrText xml:space="preserve"> HYPERLINK "https://doi.org/10.1111/1475-679X.12123" </w:instrText>
      </w:r>
      <w:r>
        <w:fldChar w:fldCharType="separate"/>
      </w:r>
      <w:r>
        <w:rPr>
          <w:rStyle w:val="17"/>
          <w:rFonts w:ascii="Arial" w:hAnsi="Arial" w:cs="Arial"/>
        </w:rPr>
        <w:t>https://doi.org/10.1111/1475-679X.12123</w:t>
      </w:r>
      <w:r>
        <w:rPr>
          <w:rStyle w:val="17"/>
          <w:rFonts w:ascii="Arial" w:hAnsi="Arial" w:cs="Arial"/>
        </w:rPr>
        <w:fldChar w:fldCharType="end"/>
      </w:r>
    </w:p>
    <w:p w14:paraId="1FD8EFB4">
      <w:pPr>
        <w:tabs>
          <w:tab w:val="left" w:pos="425"/>
        </w:tabs>
        <w:spacing w:line="360" w:lineRule="auto"/>
        <w:jc w:val="both"/>
        <w:rPr>
          <w:rFonts w:ascii="Arial" w:hAnsi="Arial" w:cs="Arial"/>
        </w:rPr>
      </w:pPr>
      <w:r>
        <w:rPr>
          <w:rFonts w:ascii="Arial" w:hAnsi="Arial" w:cs="Arial"/>
        </w:rPr>
        <w:t>Maiti, M., Kayal, P., &amp; Vujko, A. (2025). Ethical implications of artificial intelligence adoption in business.</w:t>
      </w:r>
      <w:r>
        <w:rPr>
          <w:rFonts w:ascii="Arial" w:hAnsi="Arial" w:cs="Arial"/>
          <w:i/>
          <w:iCs/>
        </w:rPr>
        <w:t xml:space="preserve"> Future Business Journal</w:t>
      </w:r>
      <w:r>
        <w:rPr>
          <w:rFonts w:ascii="Arial" w:hAnsi="Arial" w:cs="Arial"/>
        </w:rPr>
        <w:t xml:space="preserve">, 11(1), Article 34. </w:t>
      </w:r>
      <w:r>
        <w:fldChar w:fldCharType="begin"/>
      </w:r>
      <w:r>
        <w:instrText xml:space="preserve"> HYPERLINK "https://doi.org/10.1186/s43093-025-00462-5" </w:instrText>
      </w:r>
      <w:r>
        <w:fldChar w:fldCharType="separate"/>
      </w:r>
      <w:r>
        <w:rPr>
          <w:rStyle w:val="17"/>
          <w:rFonts w:ascii="Arial" w:hAnsi="Arial" w:cs="Arial"/>
        </w:rPr>
        <w:t>https://doi.org/10.1186/s43093-025-00462-5</w:t>
      </w:r>
      <w:r>
        <w:rPr>
          <w:rStyle w:val="17"/>
          <w:rFonts w:ascii="Arial" w:hAnsi="Arial" w:cs="Arial"/>
        </w:rPr>
        <w:fldChar w:fldCharType="end"/>
      </w:r>
      <w:r>
        <w:rPr>
          <w:rFonts w:ascii="Arial" w:hAnsi="Arial" w:cs="Arial"/>
        </w:rPr>
        <w:t xml:space="preserve"> </w:t>
      </w:r>
    </w:p>
    <w:p w14:paraId="1FD8EFB5">
      <w:pPr>
        <w:tabs>
          <w:tab w:val="left" w:pos="425"/>
        </w:tabs>
        <w:spacing w:line="360" w:lineRule="auto"/>
        <w:jc w:val="both"/>
        <w:rPr>
          <w:rFonts w:ascii="Arial" w:hAnsi="Arial" w:cs="Arial"/>
        </w:rPr>
      </w:pPr>
      <w:r>
        <w:rPr>
          <w:rFonts w:ascii="Arial" w:hAnsi="Arial" w:cs="Arial"/>
        </w:rPr>
        <w:t xml:space="preserve">O’Leary, D. E. (1987). Validation of expert systems—with applications to auditing and accounting expert systems. </w:t>
      </w:r>
      <w:r>
        <w:rPr>
          <w:rFonts w:ascii="Arial" w:hAnsi="Arial" w:cs="Arial"/>
          <w:i/>
          <w:iCs/>
        </w:rPr>
        <w:t>Decision Sciences, 18</w:t>
      </w:r>
      <w:r>
        <w:rPr>
          <w:rFonts w:ascii="Arial" w:hAnsi="Arial" w:cs="Arial"/>
        </w:rPr>
        <w:t xml:space="preserve">(3), 468–486. </w:t>
      </w:r>
      <w:r>
        <w:fldChar w:fldCharType="begin"/>
      </w:r>
      <w:r>
        <w:instrText xml:space="preserve"> HYPERLINK "https://doi.org/10.1111/j.1540-5915.1987.tb01536.x" </w:instrText>
      </w:r>
      <w:r>
        <w:fldChar w:fldCharType="separate"/>
      </w:r>
      <w:r>
        <w:rPr>
          <w:rStyle w:val="17"/>
          <w:rFonts w:ascii="Arial" w:hAnsi="Arial" w:cs="Arial"/>
        </w:rPr>
        <w:t>https://doi.org/10.1111/j.1540-5915.1987.tb01536.x</w:t>
      </w:r>
      <w:r>
        <w:rPr>
          <w:rStyle w:val="17"/>
          <w:rFonts w:ascii="Arial" w:hAnsi="Arial" w:cs="Arial"/>
        </w:rPr>
        <w:fldChar w:fldCharType="end"/>
      </w:r>
    </w:p>
    <w:p w14:paraId="1FD8EFB6">
      <w:pPr>
        <w:tabs>
          <w:tab w:val="left" w:pos="425"/>
        </w:tabs>
        <w:spacing w:line="360" w:lineRule="auto"/>
        <w:jc w:val="both"/>
        <w:rPr>
          <w:rFonts w:ascii="Arial" w:hAnsi="Arial" w:cs="Arial"/>
        </w:rPr>
      </w:pPr>
      <w:r>
        <w:rPr>
          <w:rFonts w:ascii="Arial" w:hAnsi="Arial" w:cs="Arial"/>
        </w:rPr>
        <w:t xml:space="preserve">Rozario, A. M., Vasarhelyi, M. A., &amp; Westland, J. C. (2019). Robotic process automation in public accounting. Accounting Horizons, 33(4), 15–35. </w:t>
      </w:r>
      <w:r>
        <w:fldChar w:fldCharType="begin"/>
      </w:r>
      <w:r>
        <w:instrText xml:space="preserve"> HYPERLINK "https://doi.org/10.2308/acch-52466" </w:instrText>
      </w:r>
      <w:r>
        <w:fldChar w:fldCharType="separate"/>
      </w:r>
      <w:r>
        <w:rPr>
          <w:rStyle w:val="17"/>
          <w:rFonts w:ascii="Arial" w:hAnsi="Arial" w:cs="Arial"/>
        </w:rPr>
        <w:t>https://doi.org/10.2308/acch-52466</w:t>
      </w:r>
      <w:r>
        <w:rPr>
          <w:rStyle w:val="17"/>
          <w:rFonts w:ascii="Arial" w:hAnsi="Arial" w:cs="Arial"/>
        </w:rPr>
        <w:fldChar w:fldCharType="end"/>
      </w:r>
      <w:r>
        <w:rPr>
          <w:rFonts w:ascii="Arial" w:hAnsi="Arial" w:cs="Arial"/>
        </w:rPr>
        <w:t xml:space="preserve"> </w:t>
      </w:r>
    </w:p>
    <w:p w14:paraId="1FD8EFB7">
      <w:pPr>
        <w:tabs>
          <w:tab w:val="left" w:pos="425"/>
        </w:tabs>
        <w:spacing w:line="360" w:lineRule="auto"/>
        <w:jc w:val="both"/>
        <w:rPr>
          <w:rFonts w:ascii="Arial" w:hAnsi="Arial" w:cs="Arial"/>
        </w:rPr>
      </w:pPr>
      <w:r>
        <w:rPr>
          <w:rFonts w:ascii="Arial" w:hAnsi="Arial" w:cs="Arial"/>
        </w:rPr>
        <w:t xml:space="preserve">Warren, J. D., Jr., Moffitt, K. C., &amp; Byrnes, P. (2015). How big data will change accounting. </w:t>
      </w:r>
      <w:r>
        <w:rPr>
          <w:rFonts w:ascii="Arial" w:hAnsi="Arial" w:cs="Arial"/>
          <w:i/>
          <w:iCs/>
        </w:rPr>
        <w:t>Accounting Horizons, 29</w:t>
      </w:r>
      <w:r>
        <w:rPr>
          <w:rFonts w:ascii="Arial" w:hAnsi="Arial" w:cs="Arial"/>
        </w:rPr>
        <w:t xml:space="preserve">(2), 397–407. </w:t>
      </w:r>
      <w:r>
        <w:fldChar w:fldCharType="begin"/>
      </w:r>
      <w:r>
        <w:instrText xml:space="preserve"> HYPERLINK "https://doi.org/10.2308/acch-51069" </w:instrText>
      </w:r>
      <w:r>
        <w:fldChar w:fldCharType="separate"/>
      </w:r>
      <w:r>
        <w:rPr>
          <w:rStyle w:val="17"/>
          <w:rFonts w:ascii="Arial" w:hAnsi="Arial" w:cs="Arial"/>
        </w:rPr>
        <w:t>https://doi.org/10.2308/acch-51069</w:t>
      </w:r>
      <w:r>
        <w:rPr>
          <w:rStyle w:val="17"/>
          <w:rFonts w:ascii="Arial" w:hAnsi="Arial" w:cs="Arial"/>
        </w:rPr>
        <w:fldChar w:fldCharType="end"/>
      </w:r>
    </w:p>
    <w:p w14:paraId="1FD8EFB9">
      <w:pPr>
        <w:spacing w:line="360" w:lineRule="auto"/>
        <w:jc w:val="both"/>
        <w:rPr>
          <w:rFonts w:ascii="Arial" w:hAnsi="Arial" w:cs="Arial"/>
        </w:rPr>
      </w:pPr>
      <w:r>
        <w:rPr>
          <w:rFonts w:ascii="Arial" w:hAnsi="Arial" w:cs="Arial"/>
        </w:rPr>
        <w:t xml:space="preserve">Appelbaum, D., Kogan, A., Vasarhelyi, M. A., &amp; Yan, Z. (2017). Impact of business analytics and enterprise systems on managerial accounting. </w:t>
      </w:r>
      <w:r>
        <w:rPr>
          <w:rFonts w:ascii="Arial" w:hAnsi="Arial" w:cs="Arial"/>
          <w:i/>
          <w:iCs/>
        </w:rPr>
        <w:t>International Journal of Accounting Information Systems, 25</w:t>
      </w:r>
      <w:r>
        <w:rPr>
          <w:rFonts w:ascii="Arial" w:hAnsi="Arial" w:cs="Arial"/>
        </w:rPr>
        <w:t xml:space="preserve">, 29–44. </w:t>
      </w:r>
      <w:r>
        <w:fldChar w:fldCharType="begin"/>
      </w:r>
      <w:r>
        <w:instrText xml:space="preserve"> HYPERLINK "https://doi.org/10.1016/j.accinf.2017.03.003" </w:instrText>
      </w:r>
      <w:r>
        <w:fldChar w:fldCharType="separate"/>
      </w:r>
      <w:r>
        <w:rPr>
          <w:rStyle w:val="17"/>
          <w:rFonts w:ascii="Arial" w:hAnsi="Arial" w:cs="Arial"/>
        </w:rPr>
        <w:t>https://doi.org/10.1016/j.accinf.2017.03.003</w:t>
      </w:r>
      <w:r>
        <w:rPr>
          <w:rStyle w:val="17"/>
          <w:rFonts w:ascii="Arial" w:hAnsi="Arial" w:cs="Arial"/>
        </w:rPr>
        <w:fldChar w:fldCharType="end"/>
      </w:r>
    </w:p>
    <w:p w14:paraId="1FD8EFBA">
      <w:pPr>
        <w:spacing w:line="360" w:lineRule="auto"/>
        <w:jc w:val="both"/>
        <w:rPr>
          <w:rFonts w:ascii="Arial" w:hAnsi="Arial" w:cs="Arial"/>
        </w:rPr>
      </w:pPr>
      <w:r>
        <w:rPr>
          <w:rFonts w:ascii="Arial" w:hAnsi="Arial" w:cs="Arial"/>
        </w:rPr>
        <w:t xml:space="preserve">Kraus, M., &amp; Feuerriegel, S. (2017). Decision support from financial disclosures with deep neural networks and transfer learning. </w:t>
      </w:r>
      <w:r>
        <w:rPr>
          <w:rFonts w:ascii="Arial" w:hAnsi="Arial" w:cs="Arial"/>
          <w:i/>
          <w:iCs/>
        </w:rPr>
        <w:t>Decision Support Systems, 104</w:t>
      </w:r>
      <w:r>
        <w:rPr>
          <w:rFonts w:ascii="Arial" w:hAnsi="Arial" w:cs="Arial"/>
        </w:rPr>
        <w:t xml:space="preserve">, 38–48.  </w:t>
      </w:r>
      <w:r>
        <w:fldChar w:fldCharType="begin"/>
      </w:r>
      <w:r>
        <w:instrText xml:space="preserve"> HYPERLINK "https://doi.org/10.1016/j.dss.2017.10.001" </w:instrText>
      </w:r>
      <w:r>
        <w:fldChar w:fldCharType="separate"/>
      </w:r>
      <w:r>
        <w:rPr>
          <w:rStyle w:val="17"/>
          <w:rFonts w:ascii="Arial" w:hAnsi="Arial" w:cs="Arial"/>
        </w:rPr>
        <w:t>https://doi.org/10.1016/j.dss.2017.10.001</w:t>
      </w:r>
      <w:r>
        <w:rPr>
          <w:rStyle w:val="17"/>
          <w:rFonts w:ascii="Arial" w:hAnsi="Arial" w:cs="Arial"/>
        </w:rPr>
        <w:fldChar w:fldCharType="end"/>
      </w:r>
    </w:p>
    <w:p w14:paraId="1FD8EFBB">
      <w:pPr>
        <w:spacing w:line="360" w:lineRule="auto"/>
        <w:jc w:val="both"/>
        <w:rPr>
          <w:rFonts w:ascii="Arial" w:hAnsi="Arial" w:cs="Arial"/>
        </w:rPr>
      </w:pPr>
      <w:r>
        <w:rPr>
          <w:rFonts w:ascii="Arial" w:hAnsi="Arial" w:cs="Arial"/>
        </w:rPr>
        <w:t xml:space="preserve">Li, F. (2010). The information content of forward-looking statements in corporate filings—A naïve Bayesian machine learning approach. </w:t>
      </w:r>
      <w:r>
        <w:rPr>
          <w:rFonts w:ascii="Arial" w:hAnsi="Arial" w:cs="Arial"/>
          <w:i/>
          <w:iCs/>
        </w:rPr>
        <w:t>Journal of Accounting Research, 48</w:t>
      </w:r>
      <w:r>
        <w:rPr>
          <w:rFonts w:ascii="Arial" w:hAnsi="Arial" w:cs="Arial"/>
        </w:rPr>
        <w:t xml:space="preserve">(5), 1049–1102. </w:t>
      </w:r>
      <w:r>
        <w:fldChar w:fldCharType="begin"/>
      </w:r>
      <w:r>
        <w:instrText xml:space="preserve"> HYPERLINK "https://doi.org/10.1111/j.1475-679X.2010.00382.x" </w:instrText>
      </w:r>
      <w:r>
        <w:fldChar w:fldCharType="separate"/>
      </w:r>
      <w:r>
        <w:rPr>
          <w:rStyle w:val="17"/>
          <w:rFonts w:ascii="Arial" w:hAnsi="Arial" w:cs="Arial"/>
        </w:rPr>
        <w:t>https://doi.org/10.1111/j.1475-679X.2010.00382.x</w:t>
      </w:r>
      <w:r>
        <w:rPr>
          <w:rStyle w:val="17"/>
          <w:rFonts w:ascii="Arial" w:hAnsi="Arial" w:cs="Arial"/>
        </w:rPr>
        <w:fldChar w:fldCharType="end"/>
      </w:r>
    </w:p>
    <w:p w14:paraId="1FD8EFBC">
      <w:pPr>
        <w:spacing w:line="360" w:lineRule="auto"/>
        <w:jc w:val="both"/>
        <w:rPr>
          <w:rFonts w:ascii="Arial" w:hAnsi="Arial" w:cs="Arial"/>
          <w:u w:val="single"/>
        </w:rPr>
      </w:pPr>
      <w:r>
        <w:rPr>
          <w:rFonts w:ascii="Arial" w:hAnsi="Arial" w:cs="Arial"/>
        </w:rPr>
        <w:t xml:space="preserve">Ball, R., Jayaraman, S., &amp; Shivakumar, L. (2012). Audited financial reporting and voluntary disclosure as complements: A test of the confirmation hypothesis. </w:t>
      </w:r>
      <w:r>
        <w:rPr>
          <w:rFonts w:ascii="Arial" w:hAnsi="Arial" w:cs="Arial"/>
          <w:i/>
          <w:iCs/>
        </w:rPr>
        <w:t>Journal of Accounting and Economics</w:t>
      </w:r>
      <w:r>
        <w:rPr>
          <w:rFonts w:ascii="Arial" w:hAnsi="Arial" w:cs="Arial"/>
        </w:rPr>
        <w:t xml:space="preserve">, 53(1–2), 136–166. </w:t>
      </w:r>
      <w:r>
        <w:fldChar w:fldCharType="begin"/>
      </w:r>
      <w:r>
        <w:instrText xml:space="preserve"> HYPERLINK "https://doi.org/10.1016/j.jacceco.2011.11.005" </w:instrText>
      </w:r>
      <w:r>
        <w:fldChar w:fldCharType="separate"/>
      </w:r>
      <w:r>
        <w:rPr>
          <w:rStyle w:val="17"/>
          <w:rFonts w:ascii="Arial" w:hAnsi="Arial" w:cs="Arial"/>
        </w:rPr>
        <w:t>https://doi.org/10.1016/j.jacceco.2011.11.005</w:t>
      </w:r>
      <w:r>
        <w:rPr>
          <w:rStyle w:val="17"/>
          <w:rFonts w:ascii="Arial" w:hAnsi="Arial" w:cs="Arial"/>
        </w:rPr>
        <w:fldChar w:fldCharType="end"/>
      </w:r>
    </w:p>
    <w:p w14:paraId="1FD8EFBD">
      <w:pPr>
        <w:spacing w:line="360" w:lineRule="auto"/>
        <w:jc w:val="both"/>
        <w:rPr>
          <w:rFonts w:ascii="Arial" w:hAnsi="Arial" w:cs="Arial"/>
        </w:rPr>
      </w:pPr>
      <w:r>
        <w:rPr>
          <w:rFonts w:ascii="Arial" w:hAnsi="Arial" w:cs="Arial"/>
        </w:rPr>
        <w:t xml:space="preserve">Healy, P. M., &amp; Palepu, K. G. (2001). Information asymmetry, corporate disclosure, and the capital markets: A review. </w:t>
      </w:r>
      <w:r>
        <w:rPr>
          <w:rFonts w:ascii="Arial" w:hAnsi="Arial" w:cs="Arial"/>
          <w:i/>
          <w:iCs/>
        </w:rPr>
        <w:t>Journal of Accounting and Economics</w:t>
      </w:r>
      <w:r>
        <w:rPr>
          <w:rFonts w:ascii="Arial" w:hAnsi="Arial" w:cs="Arial"/>
        </w:rPr>
        <w:t xml:space="preserve">, 31(1–3), 405–440. </w:t>
      </w:r>
      <w:r>
        <w:fldChar w:fldCharType="begin"/>
      </w:r>
      <w:r>
        <w:instrText xml:space="preserve"> HYPERLINK "https://doi.org/10.1016/S0165-4101(01)00018-0" </w:instrText>
      </w:r>
      <w:r>
        <w:fldChar w:fldCharType="separate"/>
      </w:r>
      <w:r>
        <w:rPr>
          <w:rStyle w:val="17"/>
          <w:rFonts w:ascii="Arial" w:hAnsi="Arial" w:cs="Arial"/>
        </w:rPr>
        <w:t>https://doi.org/10.1016/S0165-4101(01)00018-0</w:t>
      </w:r>
      <w:r>
        <w:rPr>
          <w:rStyle w:val="17"/>
          <w:rFonts w:ascii="Arial" w:hAnsi="Arial" w:cs="Arial"/>
        </w:rPr>
        <w:fldChar w:fldCharType="end"/>
      </w:r>
      <w:r>
        <w:rPr>
          <w:rFonts w:ascii="Arial" w:hAnsi="Arial" w:cs="Arial"/>
        </w:rPr>
        <w:t xml:space="preserve"> </w:t>
      </w:r>
    </w:p>
    <w:p w14:paraId="22300961">
      <w:pPr>
        <w:spacing w:line="360" w:lineRule="auto"/>
        <w:jc w:val="both"/>
        <w:rPr>
          <w:rFonts w:ascii="Arial" w:hAnsi="Arial" w:cs="Arial"/>
        </w:rPr>
      </w:pPr>
      <w:r>
        <w:rPr>
          <w:rFonts w:ascii="Arial" w:hAnsi="Arial" w:cs="Arial"/>
        </w:rPr>
        <w:t xml:space="preserve">Beattie, V., McInnes, B., &amp; Fearnley, S. (2004). A methodology for analysing and evaluating narratives in annual reports: A comprehensive descriptive profile and metrics for disclosure quality attributes. </w:t>
      </w:r>
      <w:r>
        <w:rPr>
          <w:rFonts w:ascii="Arial" w:hAnsi="Arial" w:cs="Arial"/>
          <w:i/>
          <w:iCs/>
        </w:rPr>
        <w:t>Accounting Forum</w:t>
      </w:r>
      <w:r>
        <w:rPr>
          <w:rFonts w:ascii="Arial" w:hAnsi="Arial" w:cs="Arial"/>
        </w:rPr>
        <w:t xml:space="preserve">, 28(3), 205–236. </w:t>
      </w:r>
      <w:r>
        <w:fldChar w:fldCharType="begin"/>
      </w:r>
      <w:r>
        <w:instrText xml:space="preserve"> HYPERLINK "https://doi.org/10.1016/j.accfor.2004.07.001" </w:instrText>
      </w:r>
      <w:r>
        <w:fldChar w:fldCharType="separate"/>
      </w:r>
      <w:r>
        <w:rPr>
          <w:rStyle w:val="17"/>
          <w:rFonts w:ascii="Arial" w:hAnsi="Arial" w:cs="Arial"/>
        </w:rPr>
        <w:t>https://doi.org/10.1016/j.accfor.2004.07.001</w:t>
      </w:r>
      <w:r>
        <w:rPr>
          <w:rStyle w:val="17"/>
          <w:rFonts w:ascii="Arial" w:hAnsi="Arial" w:cs="Arial"/>
        </w:rPr>
        <w:fldChar w:fldCharType="end"/>
      </w:r>
      <w:r>
        <w:rPr>
          <w:rFonts w:ascii="Arial" w:hAnsi="Arial" w:cs="Arial"/>
        </w:rPr>
        <w:t xml:space="preserve"> </w:t>
      </w:r>
    </w:p>
    <w:p w14:paraId="1FD8EFC0">
      <w:pPr>
        <w:spacing w:line="360" w:lineRule="auto"/>
        <w:jc w:val="both"/>
        <w:rPr>
          <w:rFonts w:ascii="Arial" w:hAnsi="Arial" w:cs="Arial"/>
        </w:rPr>
      </w:pPr>
      <w:bookmarkStart w:id="102" w:name="_GoBack"/>
      <w:bookmarkEnd w:id="102"/>
      <w:r>
        <w:rPr>
          <w:rFonts w:ascii="Arial" w:hAnsi="Arial" w:cs="Arial"/>
        </w:rPr>
        <w:t xml:space="preserve">Ahmad, A., &amp; Alsharari, N. (2025). Impact of AI disclosure on the financial reporting and performance as evidence from US banks. </w:t>
      </w:r>
      <w:r>
        <w:rPr>
          <w:rFonts w:ascii="Arial" w:hAnsi="Arial" w:cs="Arial"/>
          <w:i/>
          <w:iCs/>
        </w:rPr>
        <w:t>Journal of Risk and Financial Management, 18</w:t>
      </w:r>
      <w:r>
        <w:rPr>
          <w:rFonts w:ascii="Arial" w:hAnsi="Arial" w:cs="Arial"/>
        </w:rPr>
        <w:t xml:space="preserve">(1), 4. </w:t>
      </w:r>
      <w:r>
        <w:fldChar w:fldCharType="begin"/>
      </w:r>
      <w:r>
        <w:instrText xml:space="preserve"> HYPERLINK "https://doi.org/10.3390/jrfm18010004" </w:instrText>
      </w:r>
      <w:r>
        <w:fldChar w:fldCharType="separate"/>
      </w:r>
      <w:r>
        <w:rPr>
          <w:rStyle w:val="17"/>
          <w:rFonts w:ascii="Arial" w:hAnsi="Arial" w:cs="Arial"/>
        </w:rPr>
        <w:t>https://doi.org/10.3390/jrfm18010004</w:t>
      </w:r>
      <w:r>
        <w:rPr>
          <w:rStyle w:val="17"/>
          <w:rFonts w:ascii="Arial" w:hAnsi="Arial" w:cs="Arial"/>
        </w:rPr>
        <w:fldChar w:fldCharType="end"/>
      </w:r>
    </w:p>
    <w:p w14:paraId="1FD8EFC1">
      <w:pPr>
        <w:spacing w:line="360" w:lineRule="auto"/>
        <w:jc w:val="both"/>
        <w:rPr>
          <w:rFonts w:ascii="Arial" w:hAnsi="Arial" w:cs="Arial"/>
        </w:rPr>
      </w:pPr>
      <w:r>
        <w:rPr>
          <w:rFonts w:ascii="Arial" w:hAnsi="Arial" w:cs="Arial"/>
        </w:rPr>
        <w:t xml:space="preserve">Alzeghoul, A., &amp; Alsharari, N. M. (2025). Impact of AI disclosure on the financial reporting and performance as evidence from US banks. </w:t>
      </w:r>
      <w:r>
        <w:rPr>
          <w:rFonts w:ascii="Arial" w:hAnsi="Arial" w:cs="Arial"/>
          <w:i/>
          <w:iCs/>
        </w:rPr>
        <w:t>Journal of Risk and Financial Management,</w:t>
      </w:r>
      <w:r>
        <w:rPr>
          <w:rFonts w:ascii="Arial" w:hAnsi="Arial" w:cs="Arial"/>
        </w:rPr>
        <w:t xml:space="preserve"> 18(1), 4. https://doi.org/10.3390/jrfm18010004</w:t>
      </w:r>
    </w:p>
    <w:p w14:paraId="1FD8EFC2">
      <w:pPr>
        <w:spacing w:line="360" w:lineRule="auto"/>
        <w:jc w:val="both"/>
        <w:rPr>
          <w:rFonts w:ascii="Arial" w:hAnsi="Arial" w:cs="Arial"/>
        </w:rPr>
      </w:pPr>
      <w:r>
        <w:rPr>
          <w:rFonts w:ascii="Arial" w:hAnsi="Arial" w:cs="Arial"/>
        </w:rPr>
        <w:t xml:space="preserve">Enholm, I. M., Papagiannidis, E., Mikalef, P., &amp; Krogstie, J. (2022). Artificial intelligence and business value: A literature review. </w:t>
      </w:r>
      <w:r>
        <w:rPr>
          <w:rFonts w:ascii="Arial" w:hAnsi="Arial" w:cs="Arial"/>
          <w:i/>
          <w:iCs/>
        </w:rPr>
        <w:t>Information Systems Frontiers, 24</w:t>
      </w:r>
      <w:r>
        <w:rPr>
          <w:rFonts w:ascii="Arial" w:hAnsi="Arial" w:cs="Arial"/>
        </w:rPr>
        <w:t xml:space="preserve">(5), 1709–1734. </w:t>
      </w:r>
      <w:r>
        <w:fldChar w:fldCharType="begin"/>
      </w:r>
      <w:r>
        <w:instrText xml:space="preserve"> HYPERLINK "https://doi.org/10.1007/s10796-021-10186-w" </w:instrText>
      </w:r>
      <w:r>
        <w:fldChar w:fldCharType="separate"/>
      </w:r>
      <w:r>
        <w:rPr>
          <w:rStyle w:val="17"/>
          <w:rFonts w:ascii="Arial" w:hAnsi="Arial" w:cs="Arial"/>
        </w:rPr>
        <w:t>https://doi.org/10.1007/s10796-021-10186-w</w:t>
      </w:r>
      <w:r>
        <w:rPr>
          <w:rStyle w:val="17"/>
          <w:rFonts w:ascii="Arial" w:hAnsi="Arial" w:cs="Arial"/>
        </w:rPr>
        <w:fldChar w:fldCharType="end"/>
      </w:r>
    </w:p>
    <w:p w14:paraId="1FD8EFC3">
      <w:pPr>
        <w:spacing w:line="360" w:lineRule="auto"/>
        <w:jc w:val="both"/>
        <w:rPr>
          <w:rFonts w:ascii="Arial" w:hAnsi="Arial" w:cs="Arial"/>
        </w:rPr>
      </w:pPr>
      <w:r>
        <w:rPr>
          <w:rFonts w:ascii="Arial" w:hAnsi="Arial" w:cs="Arial"/>
        </w:rPr>
        <w:t xml:space="preserve">Li, F. (2010). The information content of forward-looking statements in corporate filings—A naïve Bayesian machine learning approach. </w:t>
      </w:r>
      <w:r>
        <w:rPr>
          <w:rFonts w:ascii="Arial" w:hAnsi="Arial" w:cs="Arial"/>
          <w:i/>
          <w:iCs/>
        </w:rPr>
        <w:t>Journal of Accounting Research,</w:t>
      </w:r>
      <w:r>
        <w:rPr>
          <w:rFonts w:ascii="Arial" w:hAnsi="Arial" w:cs="Arial"/>
        </w:rPr>
        <w:t xml:space="preserve"> 48(5), 1049–1102. </w:t>
      </w:r>
      <w:r>
        <w:fldChar w:fldCharType="begin"/>
      </w:r>
      <w:r>
        <w:instrText xml:space="preserve"> HYPERLINK "https://doi.org/10.1111/j.1475-679X.2010.00382.x" </w:instrText>
      </w:r>
      <w:r>
        <w:fldChar w:fldCharType="separate"/>
      </w:r>
      <w:r>
        <w:rPr>
          <w:rStyle w:val="17"/>
          <w:rFonts w:ascii="Arial" w:hAnsi="Arial" w:cs="Arial"/>
        </w:rPr>
        <w:t>https://doi.org/10.1111/j.1475-679X.2010.00382.x</w:t>
      </w:r>
      <w:r>
        <w:rPr>
          <w:rStyle w:val="17"/>
          <w:rFonts w:ascii="Arial" w:hAnsi="Arial" w:cs="Arial"/>
        </w:rPr>
        <w:fldChar w:fldCharType="end"/>
      </w:r>
      <w:r>
        <w:rPr>
          <w:rFonts w:ascii="Arial" w:hAnsi="Arial" w:cs="Arial"/>
        </w:rPr>
        <w:t xml:space="preserve"> </w:t>
      </w:r>
    </w:p>
    <w:p w14:paraId="1FD8EFC4">
      <w:pPr>
        <w:spacing w:line="360" w:lineRule="auto"/>
        <w:jc w:val="both"/>
        <w:rPr>
          <w:rFonts w:ascii="Arial" w:hAnsi="Arial" w:cs="Arial"/>
        </w:rPr>
      </w:pPr>
      <w:r>
        <w:rPr>
          <w:rFonts w:ascii="Arial" w:hAnsi="Arial" w:cs="Arial"/>
        </w:rPr>
        <w:t xml:space="preserve">Sun, T., &amp; Vasarhelyi, M. A. (2018). Big data in financial reporting and auditing. </w:t>
      </w:r>
      <w:r>
        <w:rPr>
          <w:rFonts w:ascii="Arial" w:hAnsi="Arial" w:cs="Arial"/>
          <w:i/>
          <w:iCs/>
        </w:rPr>
        <w:t>Accounting Horizons, 32</w:t>
      </w:r>
      <w:r>
        <w:rPr>
          <w:rFonts w:ascii="Arial" w:hAnsi="Arial" w:cs="Arial"/>
        </w:rPr>
        <w:t xml:space="preserve">(3), 85–99. </w:t>
      </w:r>
      <w:r>
        <w:fldChar w:fldCharType="begin"/>
      </w:r>
      <w:r>
        <w:instrText xml:space="preserve"> HYPERLINK "https://doi.org/10.2308/acch-52024" </w:instrText>
      </w:r>
      <w:r>
        <w:fldChar w:fldCharType="separate"/>
      </w:r>
      <w:r>
        <w:rPr>
          <w:rStyle w:val="17"/>
          <w:rFonts w:ascii="Arial" w:hAnsi="Arial" w:cs="Arial"/>
        </w:rPr>
        <w:t>https://doi.org/10.2308/acch-52024</w:t>
      </w:r>
      <w:r>
        <w:rPr>
          <w:rStyle w:val="17"/>
          <w:rFonts w:ascii="Arial" w:hAnsi="Arial" w:cs="Arial"/>
        </w:rPr>
        <w:fldChar w:fldCharType="end"/>
      </w:r>
    </w:p>
    <w:p w14:paraId="1FD8EFC5">
      <w:pPr>
        <w:spacing w:line="360" w:lineRule="auto"/>
        <w:jc w:val="both"/>
        <w:rPr>
          <w:rFonts w:ascii="Arial" w:hAnsi="Arial" w:cs="Arial"/>
        </w:rPr>
      </w:pPr>
      <w:r>
        <w:rPr>
          <w:rFonts w:ascii="Arial" w:hAnsi="Arial" w:cs="Arial"/>
        </w:rPr>
        <w:t xml:space="preserve">Issa, H., Sun, T., &amp; Vasarhelyi, M. A. (2016). Research ideas for artificial intelligence in auditing: The formalization of audit and workforce supplementation. </w:t>
      </w:r>
      <w:r>
        <w:rPr>
          <w:rFonts w:ascii="Arial" w:hAnsi="Arial" w:cs="Arial"/>
          <w:i/>
          <w:iCs/>
        </w:rPr>
        <w:t>Journal of Emerging Technologies in Accounting,</w:t>
      </w:r>
      <w:r>
        <w:rPr>
          <w:rFonts w:ascii="Arial" w:hAnsi="Arial" w:cs="Arial"/>
        </w:rPr>
        <w:t xml:space="preserve"> 13(2), 1–20. </w:t>
      </w:r>
      <w:r>
        <w:fldChar w:fldCharType="begin"/>
      </w:r>
      <w:r>
        <w:instrText xml:space="preserve"> HYPERLINK "https://doi.org/10.2308/jeta-10511" </w:instrText>
      </w:r>
      <w:r>
        <w:fldChar w:fldCharType="separate"/>
      </w:r>
      <w:r>
        <w:rPr>
          <w:rStyle w:val="17"/>
          <w:rFonts w:ascii="Arial" w:hAnsi="Arial" w:cs="Arial"/>
        </w:rPr>
        <w:t>https://doi.org/10.2308/jeta-10511</w:t>
      </w:r>
      <w:r>
        <w:rPr>
          <w:rStyle w:val="17"/>
          <w:rFonts w:ascii="Arial" w:hAnsi="Arial" w:cs="Arial"/>
        </w:rPr>
        <w:fldChar w:fldCharType="end"/>
      </w:r>
      <w:r>
        <w:rPr>
          <w:rFonts w:ascii="Arial" w:hAnsi="Arial" w:cs="Arial"/>
        </w:rPr>
        <w:t xml:space="preserve"> </w:t>
      </w:r>
    </w:p>
    <w:p w14:paraId="1FD8EFC6">
      <w:pPr>
        <w:spacing w:line="360" w:lineRule="auto"/>
        <w:jc w:val="both"/>
        <w:rPr>
          <w:rFonts w:ascii="Arial" w:hAnsi="Arial" w:cs="Arial"/>
        </w:rPr>
      </w:pPr>
      <w:r>
        <w:rPr>
          <w:rFonts w:ascii="Arial" w:hAnsi="Arial" w:cs="Arial"/>
        </w:rPr>
        <w:t>Li, F. (2010). The information content of forward-looking statements in corporate filings—A naïve Bayesian machine learning approach.</w:t>
      </w:r>
      <w:r>
        <w:rPr>
          <w:rFonts w:ascii="Arial" w:hAnsi="Arial" w:cs="Arial"/>
          <w:i/>
          <w:iCs/>
        </w:rPr>
        <w:t xml:space="preserve"> Journal of Accounting Research,</w:t>
      </w:r>
      <w:r>
        <w:rPr>
          <w:rFonts w:ascii="Arial" w:hAnsi="Arial" w:cs="Arial"/>
        </w:rPr>
        <w:t xml:space="preserve"> 48(5), 1049–1102. </w:t>
      </w:r>
      <w:r>
        <w:fldChar w:fldCharType="begin"/>
      </w:r>
      <w:r>
        <w:instrText xml:space="preserve"> HYPERLINK "https://doi.org/10.1111/j.1475-679X.2010.00382.x" </w:instrText>
      </w:r>
      <w:r>
        <w:fldChar w:fldCharType="separate"/>
      </w:r>
      <w:r>
        <w:rPr>
          <w:rStyle w:val="17"/>
          <w:rFonts w:ascii="Arial" w:hAnsi="Arial" w:cs="Arial"/>
        </w:rPr>
        <w:t>https://doi.org/10.1111/j.1475-679X.2010.00382.x</w:t>
      </w:r>
      <w:r>
        <w:rPr>
          <w:rStyle w:val="17"/>
          <w:rFonts w:ascii="Arial" w:hAnsi="Arial" w:cs="Arial"/>
        </w:rPr>
        <w:fldChar w:fldCharType="end"/>
      </w:r>
      <w:r>
        <w:rPr>
          <w:rFonts w:ascii="Arial" w:hAnsi="Arial" w:cs="Arial"/>
        </w:rPr>
        <w:t xml:space="preserve"> s</w:t>
      </w:r>
    </w:p>
    <w:p w14:paraId="1FD8EFC7">
      <w:pPr>
        <w:spacing w:line="360" w:lineRule="auto"/>
        <w:jc w:val="both"/>
        <w:rPr>
          <w:rFonts w:ascii="Arial" w:hAnsi="Arial" w:cs="Arial"/>
          <w:b/>
          <w:bCs/>
        </w:rPr>
      </w:pPr>
      <w:r>
        <w:rPr>
          <w:rFonts w:ascii="Arial" w:hAnsi="Arial" w:cs="Arial"/>
          <w:b/>
          <w:bCs/>
        </w:rPr>
        <w:t>Conclusion</w:t>
      </w:r>
    </w:p>
    <w:p w14:paraId="1FD8EFC8">
      <w:pPr>
        <w:spacing w:line="360" w:lineRule="auto"/>
        <w:jc w:val="both"/>
        <w:rPr>
          <w:rFonts w:ascii="Arial" w:hAnsi="Arial" w:cs="Arial"/>
        </w:rPr>
      </w:pPr>
      <w:r>
        <w:rPr>
          <w:rFonts w:ascii="Arial" w:hAnsi="Arial" w:cs="Arial"/>
        </w:rPr>
        <w:t xml:space="preserve">Alzeghoul, A., &amp; Alsharari, N. M. (2025). Impact of AI disclosure on the financial reporting and performance as evidence from US banks. </w:t>
      </w:r>
      <w:r>
        <w:rPr>
          <w:rFonts w:ascii="Arial" w:hAnsi="Arial" w:cs="Arial"/>
          <w:i/>
          <w:iCs/>
        </w:rPr>
        <w:t>Journal of Risk and Financial Management,</w:t>
      </w:r>
      <w:r>
        <w:rPr>
          <w:rFonts w:ascii="Arial" w:hAnsi="Arial" w:cs="Arial"/>
        </w:rPr>
        <w:t xml:space="preserve"> 18(1), 4. </w:t>
      </w:r>
      <w:r>
        <w:fldChar w:fldCharType="begin"/>
      </w:r>
      <w:r>
        <w:instrText xml:space="preserve"> HYPERLINK "https://doi.org/10.3390/jrfm18010004" </w:instrText>
      </w:r>
      <w:r>
        <w:fldChar w:fldCharType="separate"/>
      </w:r>
      <w:r>
        <w:rPr>
          <w:rStyle w:val="17"/>
          <w:rFonts w:ascii="Arial" w:hAnsi="Arial" w:cs="Arial"/>
        </w:rPr>
        <w:t>https://doi.org/10.3390/jrfm18010004</w:t>
      </w:r>
      <w:r>
        <w:rPr>
          <w:rStyle w:val="17"/>
          <w:rFonts w:ascii="Arial" w:hAnsi="Arial" w:cs="Arial"/>
        </w:rPr>
        <w:fldChar w:fldCharType="end"/>
      </w:r>
      <w:r>
        <w:rPr>
          <w:rFonts w:ascii="Arial" w:hAnsi="Arial" w:cs="Arial"/>
        </w:rPr>
        <w:t xml:space="preserve"> </w:t>
      </w:r>
    </w:p>
    <w:p w14:paraId="1FD8EFC9">
      <w:pPr>
        <w:spacing w:line="360" w:lineRule="auto"/>
        <w:jc w:val="both"/>
        <w:rPr>
          <w:rFonts w:ascii="Arial" w:hAnsi="Arial" w:cs="Arial"/>
        </w:rPr>
      </w:pPr>
      <w:r>
        <w:rPr>
          <w:rFonts w:ascii="Arial" w:hAnsi="Arial" w:cs="Arial"/>
        </w:rPr>
        <w:t xml:space="preserve">Enholm, I. M., Papagiannidis, E., Mikalef, P., &amp; Krogstie, J. (2022). Artificial intelligence and business value: A literature review. </w:t>
      </w:r>
      <w:r>
        <w:rPr>
          <w:rFonts w:ascii="Arial" w:hAnsi="Arial" w:cs="Arial"/>
          <w:i/>
          <w:iCs/>
        </w:rPr>
        <w:t>Information Systems Frontiers, 24</w:t>
      </w:r>
      <w:r>
        <w:rPr>
          <w:rFonts w:ascii="Arial" w:hAnsi="Arial" w:cs="Arial"/>
        </w:rPr>
        <w:t xml:space="preserve">(5), 1709–1734. </w:t>
      </w:r>
      <w:r>
        <w:fldChar w:fldCharType="begin"/>
      </w:r>
      <w:r>
        <w:instrText xml:space="preserve"> HYPERLINK "https://doi.org/10.1007/s10796-021-10186-w" </w:instrText>
      </w:r>
      <w:r>
        <w:fldChar w:fldCharType="separate"/>
      </w:r>
      <w:r>
        <w:rPr>
          <w:rStyle w:val="17"/>
          <w:rFonts w:ascii="Arial" w:hAnsi="Arial" w:cs="Arial"/>
        </w:rPr>
        <w:t>https://doi.org/10.1007/s10796-021-10186-w</w:t>
      </w:r>
      <w:r>
        <w:rPr>
          <w:rStyle w:val="17"/>
          <w:rFonts w:ascii="Arial" w:hAnsi="Arial" w:cs="Arial"/>
        </w:rPr>
        <w:fldChar w:fldCharType="end"/>
      </w:r>
    </w:p>
    <w:p w14:paraId="1FD8EFCA">
      <w:pPr>
        <w:spacing w:line="360" w:lineRule="auto"/>
        <w:jc w:val="both"/>
        <w:rPr>
          <w:rFonts w:ascii="Arial" w:hAnsi="Arial" w:cs="Arial"/>
        </w:rPr>
      </w:pPr>
      <w:r>
        <w:rPr>
          <w:rFonts w:ascii="Arial" w:hAnsi="Arial" w:cs="Arial"/>
        </w:rPr>
        <w:t xml:space="preserve">Li, F. (2010). The information content of forward-looking statements in corporate filings—A naïve Bayesian machine learning approach. </w:t>
      </w:r>
      <w:r>
        <w:rPr>
          <w:rFonts w:ascii="Arial" w:hAnsi="Arial" w:cs="Arial"/>
          <w:i/>
          <w:iCs/>
        </w:rPr>
        <w:t>Journal of Accounting Research,</w:t>
      </w:r>
      <w:r>
        <w:rPr>
          <w:rFonts w:ascii="Arial" w:hAnsi="Arial" w:cs="Arial"/>
        </w:rPr>
        <w:t xml:space="preserve"> 48(5), 1049–1102. </w:t>
      </w:r>
      <w:r>
        <w:fldChar w:fldCharType="begin"/>
      </w:r>
      <w:r>
        <w:instrText xml:space="preserve"> HYPERLINK "https://doi.org/10.1111/j.1475-679X.2010.00382.x" </w:instrText>
      </w:r>
      <w:r>
        <w:fldChar w:fldCharType="separate"/>
      </w:r>
      <w:r>
        <w:rPr>
          <w:rStyle w:val="17"/>
          <w:rFonts w:ascii="Arial" w:hAnsi="Arial" w:cs="Arial"/>
        </w:rPr>
        <w:t>https://doi.org/10.1111/j.1475-679X.2010.00382.x</w:t>
      </w:r>
      <w:r>
        <w:rPr>
          <w:rStyle w:val="17"/>
          <w:rFonts w:ascii="Arial" w:hAnsi="Arial" w:cs="Arial"/>
        </w:rPr>
        <w:fldChar w:fldCharType="end"/>
      </w:r>
      <w:r>
        <w:rPr>
          <w:rFonts w:ascii="Arial" w:hAnsi="Arial" w:cs="Arial"/>
        </w:rPr>
        <w:t xml:space="preserve"> </w:t>
      </w:r>
    </w:p>
    <w:p w14:paraId="1FD8EFCB">
      <w:pPr>
        <w:spacing w:line="360" w:lineRule="auto"/>
        <w:jc w:val="both"/>
        <w:rPr>
          <w:rFonts w:ascii="Arial" w:hAnsi="Arial" w:cs="Arial"/>
        </w:rPr>
      </w:pPr>
      <w:r>
        <w:rPr>
          <w:rFonts w:ascii="Arial" w:hAnsi="Arial" w:cs="Arial"/>
        </w:rPr>
        <w:t xml:space="preserve">Sun, T., &amp; Vasarhelyi, M. A. (2018). Big data in financial reporting and auditing. </w:t>
      </w:r>
      <w:r>
        <w:rPr>
          <w:rFonts w:ascii="Arial" w:hAnsi="Arial" w:cs="Arial"/>
          <w:i/>
          <w:iCs/>
        </w:rPr>
        <w:t>Accounting Horizons, 32</w:t>
      </w:r>
      <w:r>
        <w:rPr>
          <w:rFonts w:ascii="Arial" w:hAnsi="Arial" w:cs="Arial"/>
        </w:rPr>
        <w:t xml:space="preserve">(3), 85–99. </w:t>
      </w:r>
      <w:r>
        <w:fldChar w:fldCharType="begin"/>
      </w:r>
      <w:r>
        <w:instrText xml:space="preserve"> HYPERLINK "https://doi.org/10.2308/acch-52024" </w:instrText>
      </w:r>
      <w:r>
        <w:fldChar w:fldCharType="separate"/>
      </w:r>
      <w:r>
        <w:rPr>
          <w:rStyle w:val="17"/>
          <w:rFonts w:ascii="Arial" w:hAnsi="Arial" w:cs="Arial"/>
        </w:rPr>
        <w:t>https://doi.org/10.2308/acch-52024</w:t>
      </w:r>
      <w:r>
        <w:rPr>
          <w:rStyle w:val="17"/>
          <w:rFonts w:ascii="Arial" w:hAnsi="Arial" w:cs="Arial"/>
        </w:rPr>
        <w:fldChar w:fldCharType="end"/>
      </w:r>
    </w:p>
    <w:p w14:paraId="1FD8EFCC">
      <w:pPr>
        <w:spacing w:line="360" w:lineRule="auto"/>
        <w:jc w:val="both"/>
        <w:rPr>
          <w:rFonts w:ascii="Arial" w:hAnsi="Arial" w:cs="Arial"/>
        </w:rPr>
      </w:pPr>
      <w:r>
        <w:rPr>
          <w:rFonts w:ascii="Arial" w:hAnsi="Arial" w:cs="Arial"/>
        </w:rPr>
        <w:t xml:space="preserve">Issa, H., Sun, T., &amp; Vasarhelyi, M. A. (2016). Research ideas for artificial intelligence in auditing: The formalization of audit and workforce supplementation. </w:t>
      </w:r>
      <w:r>
        <w:rPr>
          <w:rFonts w:ascii="Arial" w:hAnsi="Arial" w:cs="Arial"/>
          <w:i/>
          <w:iCs/>
        </w:rPr>
        <w:t>Journal of Emerging Technologies in Accounting,</w:t>
      </w:r>
      <w:r>
        <w:rPr>
          <w:rFonts w:ascii="Arial" w:hAnsi="Arial" w:cs="Arial"/>
        </w:rPr>
        <w:t xml:space="preserve"> 13(2), 1–20. </w:t>
      </w:r>
      <w:r>
        <w:fldChar w:fldCharType="begin"/>
      </w:r>
      <w:r>
        <w:instrText xml:space="preserve"> HYPERLINK "https://doi.org/10.2308/jeta-10511" </w:instrText>
      </w:r>
      <w:r>
        <w:fldChar w:fldCharType="separate"/>
      </w:r>
      <w:r>
        <w:rPr>
          <w:rStyle w:val="17"/>
          <w:rFonts w:ascii="Arial" w:hAnsi="Arial" w:cs="Arial"/>
        </w:rPr>
        <w:t>https://doi.org/10.2308/jeta-10511</w:t>
      </w:r>
      <w:r>
        <w:rPr>
          <w:rStyle w:val="17"/>
          <w:rFonts w:ascii="Arial" w:hAnsi="Arial" w:cs="Arial"/>
        </w:rPr>
        <w:fldChar w:fldCharType="end"/>
      </w:r>
      <w:r>
        <w:rPr>
          <w:rFonts w:ascii="Arial" w:hAnsi="Arial" w:cs="Arial"/>
        </w:rPr>
        <w:t xml:space="preserve"> </w:t>
      </w:r>
    </w:p>
    <w:p w14:paraId="1FD8EFCD">
      <w:pPr>
        <w:spacing w:line="360" w:lineRule="auto"/>
        <w:jc w:val="both"/>
        <w:rPr>
          <w:rFonts w:ascii="Arial" w:hAnsi="Arial" w:cs="Arial"/>
        </w:rPr>
      </w:pPr>
      <w:r>
        <w:rPr>
          <w:rFonts w:ascii="Arial" w:hAnsi="Arial" w:cs="Arial"/>
        </w:rPr>
        <w:t xml:space="preserve">Cao, S., Jiang, W., Yang, B., &amp; Zhang, A. L. (2023). How to Talk When a Machine Is Listening?: Corporate Disclosure in the Age of AI. Review of Financial Studies, 36(9), 3603-3642.  </w:t>
      </w:r>
      <w:r>
        <w:fldChar w:fldCharType="begin"/>
      </w:r>
      <w:r>
        <w:instrText xml:space="preserve"> HYPERLINK "https://dx.doi.org/10.2139/ssrn.3683802" </w:instrText>
      </w:r>
      <w:r>
        <w:fldChar w:fldCharType="separate"/>
      </w:r>
      <w:r>
        <w:rPr>
          <w:rStyle w:val="17"/>
          <w:rFonts w:ascii="Arial" w:hAnsi="Arial" w:cs="Arial"/>
        </w:rPr>
        <w:t>https://dx.doi.org/10.2139/ssrn.3683802</w:t>
      </w:r>
      <w:r>
        <w:rPr>
          <w:rStyle w:val="17"/>
          <w:rFonts w:ascii="Arial" w:hAnsi="Arial" w:cs="Arial"/>
        </w:rPr>
        <w:fldChar w:fldCharType="end"/>
      </w:r>
      <w:r>
        <w:rPr>
          <w:rFonts w:ascii="Arial" w:hAnsi="Arial" w:cs="Arial"/>
        </w:rPr>
        <w:t xml:space="preserve"> </w:t>
      </w:r>
    </w:p>
    <w:p w14:paraId="1FD8EFCE">
      <w:pPr>
        <w:spacing w:line="360" w:lineRule="auto"/>
        <w:jc w:val="both"/>
        <w:rPr>
          <w:rFonts w:ascii="Arial" w:hAnsi="Arial" w:cs="Arial"/>
        </w:rPr>
      </w:pPr>
      <w:r>
        <w:rPr>
          <w:rFonts w:ascii="Arial" w:hAnsi="Arial" w:cs="Arial"/>
        </w:rPr>
        <w:br w:type="page"/>
      </w:r>
    </w:p>
    <w:p w14:paraId="1FD8EFCF">
      <w:pPr>
        <w:pStyle w:val="2"/>
        <w:jc w:val="center"/>
        <w:rPr>
          <w:rFonts w:ascii="Arial" w:hAnsi="Arial" w:cs="Arial"/>
          <w:sz w:val="32"/>
          <w:szCs w:val="32"/>
        </w:rPr>
      </w:pPr>
      <w:bookmarkStart w:id="100" w:name="_Toc214714436"/>
      <w:r>
        <w:rPr>
          <w:rFonts w:ascii="Arial" w:hAnsi="Arial" w:eastAsia="Arial" w:cs="Arial"/>
          <w:sz w:val="32"/>
          <w:szCs w:val="32"/>
        </w:rPr>
        <w:t>Appendix-A:</w:t>
      </w:r>
      <w:bookmarkEnd w:id="100"/>
      <w:bookmarkStart w:id="101" w:name="_Hlk214560870"/>
    </w:p>
    <w:p w14:paraId="1FD8EFD0">
      <w:pPr>
        <w:spacing w:line="360" w:lineRule="auto"/>
        <w:jc w:val="both"/>
        <w:rPr>
          <w:rFonts w:ascii="Arial" w:hAnsi="Arial" w:cs="Arial"/>
        </w:rPr>
      </w:pPr>
    </w:p>
    <w:tbl>
      <w:tblPr>
        <w:tblStyle w:val="21"/>
        <w:tblW w:w="9717"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389"/>
        <w:gridCol w:w="3253"/>
        <w:gridCol w:w="2520"/>
        <w:gridCol w:w="2027"/>
      </w:tblGrid>
      <w:tr w14:paraId="1FD8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EFD1">
            <w:pPr>
              <w:spacing w:line="360" w:lineRule="auto"/>
              <w:jc w:val="both"/>
              <w:rPr>
                <w:rFonts w:ascii="Arial" w:hAnsi="Arial" w:cs="Arial"/>
                <w:b/>
                <w:bCs/>
              </w:rPr>
            </w:pPr>
            <w:r>
              <w:rPr>
                <w:rFonts w:ascii="Arial" w:hAnsi="Arial" w:cs="Arial"/>
                <w:b/>
                <w:bCs/>
              </w:rPr>
              <w:t>No.</w:t>
            </w:r>
          </w:p>
        </w:tc>
        <w:tc>
          <w:tcPr>
            <w:tcW w:w="1389" w:type="dxa"/>
            <w:tcBorders>
              <w:top w:val="single" w:color="auto" w:sz="4" w:space="0"/>
              <w:left w:val="single" w:color="auto" w:sz="4" w:space="0"/>
              <w:bottom w:val="single" w:color="auto" w:sz="4" w:space="0"/>
              <w:right w:val="single" w:color="auto" w:sz="4" w:space="0"/>
            </w:tcBorders>
            <w:vAlign w:val="center"/>
          </w:tcPr>
          <w:p w14:paraId="1FD8EFD2">
            <w:pPr>
              <w:spacing w:line="360" w:lineRule="auto"/>
              <w:jc w:val="both"/>
              <w:rPr>
                <w:rFonts w:ascii="Arial" w:hAnsi="Arial" w:cs="Arial"/>
                <w:b/>
                <w:bCs/>
              </w:rPr>
            </w:pPr>
            <w:r>
              <w:rPr>
                <w:rFonts w:ascii="Arial" w:hAnsi="Arial" w:cs="Arial"/>
                <w:b/>
                <w:bCs/>
              </w:rPr>
              <w:t>Keyword</w:t>
            </w:r>
          </w:p>
        </w:tc>
        <w:tc>
          <w:tcPr>
            <w:tcW w:w="3253" w:type="dxa"/>
            <w:tcBorders>
              <w:top w:val="single" w:color="auto" w:sz="4" w:space="0"/>
              <w:left w:val="single" w:color="auto" w:sz="4" w:space="0"/>
              <w:bottom w:val="single" w:color="auto" w:sz="4" w:space="0"/>
              <w:right w:val="single" w:color="auto" w:sz="4" w:space="0"/>
            </w:tcBorders>
            <w:vAlign w:val="center"/>
          </w:tcPr>
          <w:p w14:paraId="1FD8EFD3">
            <w:pPr>
              <w:spacing w:line="360" w:lineRule="auto"/>
              <w:jc w:val="both"/>
              <w:rPr>
                <w:rFonts w:ascii="Arial" w:hAnsi="Arial" w:cs="Arial"/>
                <w:b/>
                <w:bCs/>
              </w:rPr>
            </w:pPr>
            <w:r>
              <w:rPr>
                <w:rFonts w:ascii="Arial" w:hAnsi="Arial" w:cs="Arial"/>
                <w:b/>
                <w:bCs/>
              </w:rPr>
              <w:t>APA Reference (with DOI)</w:t>
            </w:r>
          </w:p>
        </w:tc>
        <w:tc>
          <w:tcPr>
            <w:tcW w:w="2520" w:type="dxa"/>
            <w:tcBorders>
              <w:top w:val="single" w:color="auto" w:sz="4" w:space="0"/>
              <w:left w:val="single" w:color="auto" w:sz="4" w:space="0"/>
              <w:bottom w:val="single" w:color="auto" w:sz="4" w:space="0"/>
              <w:right w:val="single" w:color="auto" w:sz="4" w:space="0"/>
            </w:tcBorders>
            <w:vAlign w:val="center"/>
          </w:tcPr>
          <w:p w14:paraId="1FD8EFD4">
            <w:pPr>
              <w:spacing w:line="360" w:lineRule="auto"/>
              <w:jc w:val="both"/>
              <w:rPr>
                <w:rFonts w:ascii="Arial" w:hAnsi="Arial" w:cs="Arial"/>
                <w:b/>
                <w:bCs/>
              </w:rPr>
            </w:pPr>
            <w:r>
              <w:rPr>
                <w:rFonts w:ascii="Arial" w:hAnsi="Arial" w:cs="Arial"/>
                <w:b/>
                <w:bCs/>
              </w:rPr>
              <w:t>Findings</w:t>
            </w:r>
          </w:p>
        </w:tc>
        <w:tc>
          <w:tcPr>
            <w:tcW w:w="2027" w:type="dxa"/>
            <w:tcBorders>
              <w:top w:val="single" w:color="auto" w:sz="4" w:space="0"/>
              <w:left w:val="single" w:color="auto" w:sz="4" w:space="0"/>
              <w:bottom w:val="single" w:color="auto" w:sz="4" w:space="0"/>
              <w:right w:val="single" w:color="auto" w:sz="4" w:space="0"/>
            </w:tcBorders>
            <w:vAlign w:val="center"/>
          </w:tcPr>
          <w:p w14:paraId="1FD8EFD5">
            <w:pPr>
              <w:spacing w:line="360" w:lineRule="auto"/>
              <w:jc w:val="both"/>
              <w:rPr>
                <w:rFonts w:ascii="Arial" w:hAnsi="Arial" w:cs="Arial"/>
                <w:b/>
                <w:bCs/>
              </w:rPr>
            </w:pPr>
            <w:r>
              <w:rPr>
                <w:rFonts w:ascii="Arial" w:hAnsi="Arial" w:cs="Arial"/>
                <w:b/>
                <w:bCs/>
              </w:rPr>
              <w:t>Limitation</w:t>
            </w:r>
          </w:p>
        </w:tc>
      </w:tr>
      <w:tr w14:paraId="1FD8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EFD7">
            <w:pPr>
              <w:spacing w:line="360" w:lineRule="auto"/>
              <w:jc w:val="both"/>
              <w:rPr>
                <w:rFonts w:ascii="Arial" w:hAnsi="Arial" w:cs="Arial"/>
              </w:rPr>
            </w:pPr>
            <w:r>
              <w:rPr>
                <w:rFonts w:ascii="Arial" w:hAnsi="Arial" w:cs="Arial"/>
              </w:rPr>
              <w:t>1</w:t>
            </w:r>
          </w:p>
        </w:tc>
        <w:tc>
          <w:tcPr>
            <w:tcW w:w="1389" w:type="dxa"/>
            <w:tcBorders>
              <w:top w:val="single" w:color="auto" w:sz="4" w:space="0"/>
              <w:left w:val="single" w:color="auto" w:sz="4" w:space="0"/>
              <w:bottom w:val="single" w:color="auto" w:sz="4" w:space="0"/>
              <w:right w:val="single" w:color="auto" w:sz="4" w:space="0"/>
            </w:tcBorders>
            <w:vAlign w:val="center"/>
          </w:tcPr>
          <w:p w14:paraId="1FD8EFD8">
            <w:pPr>
              <w:spacing w:line="360" w:lineRule="auto"/>
              <w:jc w:val="both"/>
              <w:rPr>
                <w:rFonts w:ascii="Arial" w:hAnsi="Arial" w:cs="Arial"/>
              </w:rPr>
            </w:pPr>
            <w:r>
              <w:rPr>
                <w:rFonts w:ascii="Arial" w:hAnsi="Arial" w:cs="Arial"/>
              </w:rPr>
              <w:t>Artificial Intelligence</w:t>
            </w:r>
          </w:p>
        </w:tc>
        <w:tc>
          <w:tcPr>
            <w:tcW w:w="3253" w:type="dxa"/>
            <w:tcBorders>
              <w:top w:val="single" w:color="auto" w:sz="4" w:space="0"/>
              <w:left w:val="single" w:color="auto" w:sz="4" w:space="0"/>
              <w:bottom w:val="single" w:color="auto" w:sz="4" w:space="0"/>
              <w:right w:val="single" w:color="auto" w:sz="4" w:space="0"/>
            </w:tcBorders>
            <w:vAlign w:val="center"/>
          </w:tcPr>
          <w:p w14:paraId="1FD8EFD9">
            <w:pPr>
              <w:spacing w:line="360" w:lineRule="auto"/>
              <w:jc w:val="both"/>
              <w:rPr>
                <w:rFonts w:ascii="Arial" w:hAnsi="Arial" w:cs="Arial"/>
              </w:rPr>
            </w:pPr>
            <w:r>
              <w:rPr>
                <w:rFonts w:ascii="Arial" w:hAnsi="Arial" w:cs="Arial"/>
              </w:rPr>
              <w:t xml:space="preserve">Ahmad, A., &amp; Alsharari, N. (2025). Impact of AI disclosure on the financial reporting and performance as evidence from US banks. </w:t>
            </w:r>
            <w:r>
              <w:rPr>
                <w:rFonts w:ascii="Arial" w:hAnsi="Arial" w:cs="Arial"/>
                <w:i/>
                <w:iCs/>
              </w:rPr>
              <w:t>Journal of Risk and Financial Management, 18</w:t>
            </w:r>
            <w:r>
              <w:rPr>
                <w:rFonts w:ascii="Arial" w:hAnsi="Arial" w:cs="Arial"/>
              </w:rPr>
              <w:t xml:space="preserve">(1), 4. </w:t>
            </w:r>
            <w:r>
              <w:fldChar w:fldCharType="begin"/>
            </w:r>
            <w:r>
              <w:instrText xml:space="preserve"> HYPERLINK "https://doi.org/10.3390/jrfm18010004" </w:instrText>
            </w:r>
            <w:r>
              <w:fldChar w:fldCharType="separate"/>
            </w:r>
            <w:r>
              <w:rPr>
                <w:rStyle w:val="17"/>
                <w:rFonts w:ascii="Arial" w:hAnsi="Arial" w:cs="Arial"/>
              </w:rPr>
              <w:t>https://doi.org/10.3390/jrfm18010004</w:t>
            </w:r>
            <w:r>
              <w:rPr>
                <w:rStyle w:val="17"/>
                <w:rFonts w:ascii="Arial" w:hAnsi="Arial" w:cs="Arial"/>
              </w:rPr>
              <w:fldChar w:fldCharType="end"/>
            </w:r>
          </w:p>
        </w:tc>
        <w:tc>
          <w:tcPr>
            <w:tcW w:w="2520" w:type="dxa"/>
            <w:tcBorders>
              <w:top w:val="single" w:color="auto" w:sz="4" w:space="0"/>
              <w:left w:val="single" w:color="auto" w:sz="4" w:space="0"/>
              <w:bottom w:val="single" w:color="auto" w:sz="4" w:space="0"/>
              <w:right w:val="single" w:color="auto" w:sz="4" w:space="0"/>
            </w:tcBorders>
            <w:vAlign w:val="center"/>
          </w:tcPr>
          <w:p w14:paraId="1FD8EFDA">
            <w:pPr>
              <w:spacing w:line="360" w:lineRule="auto"/>
              <w:jc w:val="both"/>
              <w:rPr>
                <w:rFonts w:ascii="Arial" w:hAnsi="Arial" w:cs="Arial"/>
              </w:rPr>
            </w:pPr>
            <w:r>
              <w:rPr>
                <w:rFonts w:ascii="Arial" w:hAnsi="Arial" w:cs="Arial"/>
              </w:rPr>
              <w:t xml:space="preserve">AI disclosure has a </w:t>
            </w:r>
            <w:r>
              <w:rPr>
                <w:rFonts w:ascii="Arial" w:hAnsi="Arial" w:cs="Arial"/>
                <w:b/>
                <w:bCs/>
              </w:rPr>
              <w:t>positive effect on financial performance</w:t>
            </w:r>
            <w:r>
              <w:rPr>
                <w:rFonts w:ascii="Arial" w:hAnsi="Arial" w:cs="Arial"/>
              </w:rPr>
              <w:t>, especially when supported by strong corporate governance mechanisms.</w:t>
            </w:r>
          </w:p>
        </w:tc>
        <w:tc>
          <w:tcPr>
            <w:tcW w:w="2027" w:type="dxa"/>
            <w:tcBorders>
              <w:top w:val="single" w:color="auto" w:sz="4" w:space="0"/>
              <w:left w:val="single" w:color="auto" w:sz="4" w:space="0"/>
              <w:bottom w:val="single" w:color="auto" w:sz="4" w:space="0"/>
              <w:right w:val="single" w:color="auto" w:sz="4" w:space="0"/>
            </w:tcBorders>
            <w:vAlign w:val="center"/>
          </w:tcPr>
          <w:p w14:paraId="1FD8EFDB">
            <w:pPr>
              <w:spacing w:line="360" w:lineRule="auto"/>
              <w:jc w:val="both"/>
              <w:rPr>
                <w:rFonts w:ascii="Arial" w:hAnsi="Arial" w:cs="Arial"/>
              </w:rPr>
            </w:pPr>
            <w:r>
              <w:rPr>
                <w:rFonts w:ascii="Arial" w:hAnsi="Arial" w:cs="Arial"/>
              </w:rPr>
              <w:t>Study limited to U.S. banks; findings may not generalize to other sectors or emerging markets.</w:t>
            </w:r>
          </w:p>
        </w:tc>
      </w:tr>
      <w:tr w14:paraId="1FD8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EFDD">
            <w:pPr>
              <w:spacing w:line="360" w:lineRule="auto"/>
              <w:jc w:val="both"/>
              <w:rPr>
                <w:rFonts w:ascii="Arial" w:hAnsi="Arial" w:cs="Arial"/>
              </w:rPr>
            </w:pPr>
            <w:r>
              <w:rPr>
                <w:rFonts w:ascii="Arial" w:hAnsi="Arial" w:cs="Arial"/>
              </w:rPr>
              <w:t>2</w:t>
            </w:r>
          </w:p>
        </w:tc>
        <w:tc>
          <w:tcPr>
            <w:tcW w:w="1389" w:type="dxa"/>
            <w:tcBorders>
              <w:top w:val="single" w:color="auto" w:sz="4" w:space="0"/>
              <w:left w:val="single" w:color="auto" w:sz="4" w:space="0"/>
              <w:bottom w:val="single" w:color="auto" w:sz="4" w:space="0"/>
              <w:right w:val="single" w:color="auto" w:sz="4" w:space="0"/>
            </w:tcBorders>
            <w:vAlign w:val="center"/>
          </w:tcPr>
          <w:p w14:paraId="1FD8EFDE">
            <w:pPr>
              <w:spacing w:line="360" w:lineRule="auto"/>
              <w:jc w:val="both"/>
              <w:rPr>
                <w:rFonts w:ascii="Arial" w:hAnsi="Arial" w:cs="Arial"/>
              </w:rPr>
            </w:pPr>
            <w:r>
              <w:rPr>
                <w:rFonts w:ascii="Arial" w:hAnsi="Arial" w:cs="Arial"/>
              </w:rPr>
              <w:t>Artificial Intelligence</w:t>
            </w:r>
          </w:p>
        </w:tc>
        <w:tc>
          <w:tcPr>
            <w:tcW w:w="3253" w:type="dxa"/>
            <w:tcBorders>
              <w:top w:val="single" w:color="auto" w:sz="4" w:space="0"/>
              <w:left w:val="single" w:color="auto" w:sz="4" w:space="0"/>
              <w:bottom w:val="single" w:color="auto" w:sz="4" w:space="0"/>
              <w:right w:val="single" w:color="auto" w:sz="4" w:space="0"/>
            </w:tcBorders>
            <w:vAlign w:val="center"/>
          </w:tcPr>
          <w:p w14:paraId="1FD8EFDF">
            <w:pPr>
              <w:spacing w:line="360" w:lineRule="auto"/>
              <w:jc w:val="both"/>
              <w:rPr>
                <w:rFonts w:ascii="Arial" w:hAnsi="Arial" w:cs="Arial"/>
              </w:rPr>
            </w:pPr>
            <w:r>
              <w:rPr>
                <w:rFonts w:ascii="Arial" w:hAnsi="Arial" w:cs="Arial"/>
              </w:rPr>
              <w:t xml:space="preserve">Enholm, I. M., Papagiannidis, E., Mikalef, P., &amp; Krogstie, J. (2021). Artificial intelligence and business value: A literature review. </w:t>
            </w:r>
            <w:r>
              <w:rPr>
                <w:rFonts w:ascii="Arial" w:hAnsi="Arial" w:cs="Arial"/>
                <w:i/>
                <w:iCs/>
              </w:rPr>
              <w:t>Information Systems Frontiers, 24</w:t>
            </w:r>
            <w:r>
              <w:rPr>
                <w:rFonts w:ascii="Arial" w:hAnsi="Arial" w:cs="Arial"/>
              </w:rPr>
              <w:t xml:space="preserve">(5), 1709–1734. </w:t>
            </w:r>
            <w:r>
              <w:fldChar w:fldCharType="begin"/>
            </w:r>
            <w:r>
              <w:instrText xml:space="preserve"> HYPERLINK "https://doi.org/10.1007/s10796-021-10186-w" </w:instrText>
            </w:r>
            <w:r>
              <w:fldChar w:fldCharType="separate"/>
            </w:r>
            <w:r>
              <w:rPr>
                <w:rStyle w:val="17"/>
                <w:rFonts w:ascii="Arial" w:hAnsi="Arial" w:cs="Arial"/>
              </w:rPr>
              <w:t>https://doi.org/10.1007/s10796-021-10186-w</w:t>
            </w:r>
            <w:r>
              <w:rPr>
                <w:rStyle w:val="17"/>
                <w:rFonts w:ascii="Arial" w:hAnsi="Arial" w:cs="Arial"/>
              </w:rPr>
              <w:fldChar w:fldCharType="end"/>
            </w:r>
          </w:p>
        </w:tc>
        <w:tc>
          <w:tcPr>
            <w:tcW w:w="2520" w:type="dxa"/>
            <w:tcBorders>
              <w:top w:val="single" w:color="auto" w:sz="4" w:space="0"/>
              <w:left w:val="single" w:color="auto" w:sz="4" w:space="0"/>
              <w:bottom w:val="single" w:color="auto" w:sz="4" w:space="0"/>
              <w:right w:val="single" w:color="auto" w:sz="4" w:space="0"/>
            </w:tcBorders>
            <w:vAlign w:val="center"/>
          </w:tcPr>
          <w:p w14:paraId="1FD8EFE0">
            <w:pPr>
              <w:spacing w:line="360" w:lineRule="auto"/>
              <w:jc w:val="both"/>
              <w:rPr>
                <w:rFonts w:ascii="Arial" w:hAnsi="Arial" w:cs="Arial"/>
              </w:rPr>
            </w:pPr>
            <w:r>
              <w:rPr>
                <w:rFonts w:ascii="Arial" w:hAnsi="Arial" w:cs="Arial"/>
              </w:rPr>
              <w:t>Reviews AI’s role in creating business value.</w:t>
            </w:r>
            <w:r>
              <w:rPr>
                <w:rFonts w:ascii="Arial" w:hAnsi="Arial" w:cs="Arial"/>
                <w:b/>
                <w:bCs/>
              </w:rPr>
              <w:t xml:space="preserve"> creation</w:t>
            </w:r>
            <w:r>
              <w:rPr>
                <w:rFonts w:ascii="Arial" w:hAnsi="Arial" w:cs="Arial"/>
              </w:rPr>
              <w:t>, including efficiency, automation, analytics, and decision-making improvements.</w:t>
            </w:r>
          </w:p>
        </w:tc>
        <w:tc>
          <w:tcPr>
            <w:tcW w:w="2027" w:type="dxa"/>
            <w:tcBorders>
              <w:top w:val="single" w:color="auto" w:sz="4" w:space="0"/>
              <w:left w:val="single" w:color="auto" w:sz="4" w:space="0"/>
              <w:bottom w:val="single" w:color="auto" w:sz="4" w:space="0"/>
              <w:right w:val="single" w:color="auto" w:sz="4" w:space="0"/>
            </w:tcBorders>
            <w:vAlign w:val="center"/>
          </w:tcPr>
          <w:p w14:paraId="1FD8EFE1">
            <w:pPr>
              <w:spacing w:line="360" w:lineRule="auto"/>
              <w:jc w:val="both"/>
              <w:rPr>
                <w:rFonts w:ascii="Arial" w:hAnsi="Arial" w:cs="Arial"/>
              </w:rPr>
            </w:pPr>
            <w:r>
              <w:rPr>
                <w:rFonts w:ascii="Arial" w:hAnsi="Arial" w:cs="Arial"/>
              </w:rPr>
              <w:t>Theoretical, lacks empirical data and does not test causal relationships.</w:t>
            </w:r>
          </w:p>
        </w:tc>
      </w:tr>
      <w:tr w14:paraId="1FD8E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EFE3">
            <w:pPr>
              <w:spacing w:line="360" w:lineRule="auto"/>
              <w:jc w:val="both"/>
              <w:rPr>
                <w:rFonts w:ascii="Arial" w:hAnsi="Arial" w:cs="Arial"/>
              </w:rPr>
            </w:pPr>
            <w:r>
              <w:rPr>
                <w:rFonts w:ascii="Arial" w:hAnsi="Arial" w:cs="Arial"/>
              </w:rPr>
              <w:t>3</w:t>
            </w:r>
          </w:p>
        </w:tc>
        <w:tc>
          <w:tcPr>
            <w:tcW w:w="1389" w:type="dxa"/>
            <w:tcBorders>
              <w:top w:val="single" w:color="auto" w:sz="4" w:space="0"/>
              <w:left w:val="single" w:color="auto" w:sz="4" w:space="0"/>
              <w:bottom w:val="single" w:color="auto" w:sz="4" w:space="0"/>
              <w:right w:val="single" w:color="auto" w:sz="4" w:space="0"/>
            </w:tcBorders>
            <w:vAlign w:val="center"/>
          </w:tcPr>
          <w:p w14:paraId="1FD8EFE4">
            <w:pPr>
              <w:spacing w:line="360" w:lineRule="auto"/>
              <w:jc w:val="both"/>
              <w:rPr>
                <w:rFonts w:ascii="Arial" w:hAnsi="Arial" w:cs="Arial"/>
              </w:rPr>
            </w:pPr>
            <w:r>
              <w:rPr>
                <w:rFonts w:ascii="Arial" w:hAnsi="Arial" w:cs="Arial"/>
              </w:rPr>
              <w:t>Artificial Intelligence</w:t>
            </w:r>
          </w:p>
        </w:tc>
        <w:tc>
          <w:tcPr>
            <w:tcW w:w="3253" w:type="dxa"/>
            <w:tcBorders>
              <w:top w:val="single" w:color="auto" w:sz="4" w:space="0"/>
              <w:left w:val="single" w:color="auto" w:sz="4" w:space="0"/>
              <w:bottom w:val="single" w:color="auto" w:sz="4" w:space="0"/>
              <w:right w:val="single" w:color="auto" w:sz="4" w:space="0"/>
            </w:tcBorders>
            <w:vAlign w:val="center"/>
          </w:tcPr>
          <w:p w14:paraId="1FD8EFE5">
            <w:pPr>
              <w:spacing w:line="360" w:lineRule="auto"/>
              <w:jc w:val="both"/>
              <w:rPr>
                <w:rFonts w:ascii="Arial" w:hAnsi="Arial" w:cs="Arial"/>
              </w:rPr>
            </w:pPr>
            <w:r>
              <w:rPr>
                <w:rFonts w:ascii="Arial" w:hAnsi="Arial" w:cs="Arial"/>
              </w:rPr>
              <w:t xml:space="preserve">Hasan, A. R. (2022). Artificial Intelligence (AI) in accounting &amp; auditing: A literature review. </w:t>
            </w:r>
            <w:r>
              <w:rPr>
                <w:rFonts w:ascii="Arial" w:hAnsi="Arial" w:cs="Arial"/>
                <w:i/>
                <w:iCs/>
              </w:rPr>
              <w:t>Open Journal of Business and Management, 10</w:t>
            </w:r>
            <w:r>
              <w:rPr>
                <w:rFonts w:ascii="Arial" w:hAnsi="Arial" w:cs="Arial"/>
              </w:rPr>
              <w:t xml:space="preserve">(1), 440–465. </w:t>
            </w:r>
            <w:r>
              <w:fldChar w:fldCharType="begin"/>
            </w:r>
            <w:r>
              <w:instrText xml:space="preserve"> HYPERLINK "https://doi.org/10.4236/ojbm.2022.101026" </w:instrText>
            </w:r>
            <w:r>
              <w:fldChar w:fldCharType="separate"/>
            </w:r>
            <w:r>
              <w:rPr>
                <w:rStyle w:val="17"/>
                <w:rFonts w:ascii="Arial" w:hAnsi="Arial" w:cs="Arial"/>
              </w:rPr>
              <w:t>https://doi.org/10.4236/ojbm.2022.101026</w:t>
            </w:r>
            <w:r>
              <w:rPr>
                <w:rStyle w:val="17"/>
                <w:rFonts w:ascii="Arial" w:hAnsi="Arial" w:cs="Arial"/>
              </w:rPr>
              <w:fldChar w:fldCharType="end"/>
            </w:r>
          </w:p>
        </w:tc>
        <w:tc>
          <w:tcPr>
            <w:tcW w:w="2520" w:type="dxa"/>
            <w:tcBorders>
              <w:top w:val="single" w:color="auto" w:sz="4" w:space="0"/>
              <w:left w:val="single" w:color="auto" w:sz="4" w:space="0"/>
              <w:bottom w:val="single" w:color="auto" w:sz="4" w:space="0"/>
              <w:right w:val="single" w:color="auto" w:sz="4" w:space="0"/>
            </w:tcBorders>
            <w:vAlign w:val="center"/>
          </w:tcPr>
          <w:p w14:paraId="1FD8EFE6">
            <w:pPr>
              <w:spacing w:line="360" w:lineRule="auto"/>
              <w:jc w:val="both"/>
              <w:rPr>
                <w:rFonts w:ascii="Arial" w:hAnsi="Arial" w:cs="Arial"/>
              </w:rPr>
            </w:pPr>
            <w:r>
              <w:rPr>
                <w:rFonts w:ascii="Arial" w:hAnsi="Arial" w:cs="Arial"/>
              </w:rPr>
              <w:t xml:space="preserve">Summarizes AI adoption in </w:t>
            </w:r>
            <w:r>
              <w:rPr>
                <w:rFonts w:ascii="Arial" w:hAnsi="Arial" w:cs="Arial"/>
                <w:b/>
                <w:bCs/>
              </w:rPr>
              <w:t>accounting and auditing</w:t>
            </w:r>
            <w:r>
              <w:rPr>
                <w:rFonts w:ascii="Arial" w:hAnsi="Arial" w:cs="Arial"/>
              </w:rPr>
              <w:t>, highlighting automation, fraud detection, and efficiency benefits.</w:t>
            </w:r>
          </w:p>
        </w:tc>
        <w:tc>
          <w:tcPr>
            <w:tcW w:w="2027" w:type="dxa"/>
            <w:tcBorders>
              <w:top w:val="single" w:color="auto" w:sz="4" w:space="0"/>
              <w:left w:val="single" w:color="auto" w:sz="4" w:space="0"/>
              <w:bottom w:val="single" w:color="auto" w:sz="4" w:space="0"/>
              <w:right w:val="single" w:color="auto" w:sz="4" w:space="0"/>
            </w:tcBorders>
            <w:vAlign w:val="center"/>
          </w:tcPr>
          <w:p w14:paraId="1FD8EFE7">
            <w:pPr>
              <w:spacing w:line="360" w:lineRule="auto"/>
              <w:jc w:val="both"/>
              <w:rPr>
                <w:rFonts w:ascii="Arial" w:hAnsi="Arial" w:cs="Arial"/>
              </w:rPr>
            </w:pPr>
            <w:r>
              <w:rPr>
                <w:rFonts w:ascii="Arial" w:hAnsi="Arial" w:cs="Arial"/>
              </w:rPr>
              <w:t xml:space="preserve">A </w:t>
            </w:r>
            <w:r>
              <w:rPr>
                <w:rFonts w:ascii="Arial" w:hAnsi="Arial" w:cs="Arial"/>
                <w:b/>
                <w:bCs/>
              </w:rPr>
              <w:t>narrative review</w:t>
            </w:r>
            <w:r>
              <w:rPr>
                <w:rFonts w:ascii="Arial" w:hAnsi="Arial" w:cs="Arial"/>
              </w:rPr>
              <w:t>; relies on secondary sources without quantitative analysis.</w:t>
            </w:r>
          </w:p>
        </w:tc>
      </w:tr>
      <w:tr w14:paraId="1FD8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EFE9">
            <w:pPr>
              <w:spacing w:line="360" w:lineRule="auto"/>
              <w:jc w:val="both"/>
              <w:rPr>
                <w:rFonts w:ascii="Arial" w:hAnsi="Arial" w:cs="Arial"/>
              </w:rPr>
            </w:pPr>
            <w:r>
              <w:rPr>
                <w:rFonts w:ascii="Arial" w:hAnsi="Arial" w:cs="Arial"/>
              </w:rPr>
              <w:t>4</w:t>
            </w:r>
          </w:p>
        </w:tc>
        <w:tc>
          <w:tcPr>
            <w:tcW w:w="1389" w:type="dxa"/>
            <w:tcBorders>
              <w:top w:val="single" w:color="auto" w:sz="4" w:space="0"/>
              <w:left w:val="single" w:color="auto" w:sz="4" w:space="0"/>
              <w:bottom w:val="single" w:color="auto" w:sz="4" w:space="0"/>
              <w:right w:val="single" w:color="auto" w:sz="4" w:space="0"/>
            </w:tcBorders>
            <w:vAlign w:val="center"/>
          </w:tcPr>
          <w:p w14:paraId="1FD8EFEA">
            <w:pPr>
              <w:spacing w:line="360" w:lineRule="auto"/>
              <w:jc w:val="both"/>
              <w:rPr>
                <w:rFonts w:ascii="Arial" w:hAnsi="Arial" w:cs="Arial"/>
              </w:rPr>
            </w:pPr>
            <w:r>
              <w:rPr>
                <w:rFonts w:ascii="Arial" w:hAnsi="Arial" w:cs="Arial"/>
              </w:rPr>
              <w:t>Machine Learning</w:t>
            </w:r>
          </w:p>
        </w:tc>
        <w:tc>
          <w:tcPr>
            <w:tcW w:w="3253" w:type="dxa"/>
            <w:tcBorders>
              <w:top w:val="single" w:color="auto" w:sz="4" w:space="0"/>
              <w:left w:val="single" w:color="auto" w:sz="4" w:space="0"/>
              <w:bottom w:val="single" w:color="auto" w:sz="4" w:space="0"/>
              <w:right w:val="single" w:color="auto" w:sz="4" w:space="0"/>
            </w:tcBorders>
            <w:vAlign w:val="center"/>
          </w:tcPr>
          <w:p w14:paraId="1FD8EFEB">
            <w:pPr>
              <w:spacing w:line="360" w:lineRule="auto"/>
              <w:jc w:val="both"/>
              <w:rPr>
                <w:rFonts w:ascii="Arial" w:hAnsi="Arial" w:cs="Arial"/>
                <w:highlight w:val="magenta"/>
              </w:rPr>
            </w:pPr>
            <w:r>
              <w:rPr>
                <w:rFonts w:ascii="Arial" w:hAnsi="Arial" w:cs="Arial"/>
              </w:rPr>
              <w:t xml:space="preserve">Liaras, E., Nerantzidis, M., &amp; Alexandridis, A. (2024). Machine learning in accounting and finance research: A literature review. </w:t>
            </w:r>
            <w:r>
              <w:rPr>
                <w:rFonts w:ascii="Arial" w:hAnsi="Arial" w:cs="Arial"/>
                <w:i/>
                <w:iCs/>
              </w:rPr>
              <w:t>Review of Quantitative Finance and Accounting, 63</w:t>
            </w:r>
            <w:r>
              <w:rPr>
                <w:rFonts w:ascii="Arial" w:hAnsi="Arial" w:cs="Arial"/>
              </w:rPr>
              <w:t xml:space="preserve">(4), 1431–1471. </w:t>
            </w:r>
            <w:r>
              <w:fldChar w:fldCharType="begin"/>
            </w:r>
            <w:r>
              <w:instrText xml:space="preserve"> HYPERLINK "https://doi.org/10.1007/s11156-024-01306-z" </w:instrText>
            </w:r>
            <w:r>
              <w:fldChar w:fldCharType="separate"/>
            </w:r>
            <w:r>
              <w:rPr>
                <w:rStyle w:val="17"/>
                <w:rFonts w:ascii="Arial" w:hAnsi="Arial" w:cs="Arial"/>
              </w:rPr>
              <w:t>https://doi.org/10.1007/s11156-024-01306-z</w:t>
            </w:r>
            <w:r>
              <w:rPr>
                <w:rStyle w:val="17"/>
                <w:rFonts w:ascii="Arial" w:hAnsi="Arial" w:cs="Arial"/>
              </w:rPr>
              <w:fldChar w:fldCharType="end"/>
            </w:r>
            <w:r>
              <w:rPr>
                <w:rFonts w:ascii="Arial" w:hAnsi="Arial" w:cs="Aria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EFEC">
            <w:pPr>
              <w:spacing w:line="360" w:lineRule="auto"/>
              <w:jc w:val="both"/>
              <w:rPr>
                <w:rFonts w:ascii="Arial" w:hAnsi="Arial" w:cs="Arial"/>
              </w:rPr>
            </w:pPr>
            <w:r>
              <w:rPr>
                <w:rFonts w:ascii="Arial" w:hAnsi="Arial" w:cs="Arial"/>
              </w:rPr>
              <w:t xml:space="preserve">Reviews 575 studies (1996–2022) and finds </w:t>
            </w:r>
            <w:r>
              <w:rPr>
                <w:rFonts w:ascii="Arial" w:hAnsi="Arial" w:cs="Arial"/>
                <w:b/>
                <w:bCs/>
              </w:rPr>
              <w:t>rapid growth of ML use after 2015</w:t>
            </w:r>
            <w:r>
              <w:rPr>
                <w:rFonts w:ascii="Arial" w:hAnsi="Arial" w:cs="Arial"/>
              </w:rPr>
              <w:t>; supervised ML dominates; unsupervised/ reinforcement ML still rare. Identifies key thematic clusters and future research directions.</w:t>
            </w:r>
          </w:p>
        </w:tc>
        <w:tc>
          <w:tcPr>
            <w:tcW w:w="2027" w:type="dxa"/>
            <w:tcBorders>
              <w:top w:val="single" w:color="auto" w:sz="4" w:space="0"/>
              <w:left w:val="single" w:color="auto" w:sz="4" w:space="0"/>
              <w:bottom w:val="single" w:color="auto" w:sz="4" w:space="0"/>
              <w:right w:val="single" w:color="auto" w:sz="4" w:space="0"/>
            </w:tcBorders>
            <w:vAlign w:val="center"/>
          </w:tcPr>
          <w:p w14:paraId="1FD8EFED">
            <w:pPr>
              <w:spacing w:line="360" w:lineRule="auto"/>
              <w:jc w:val="both"/>
              <w:rPr>
                <w:rFonts w:ascii="Arial" w:hAnsi="Arial" w:cs="Arial"/>
              </w:rPr>
            </w:pPr>
            <w:r>
              <w:rPr>
                <w:rFonts w:ascii="Arial" w:hAnsi="Arial" w:cs="Arial"/>
              </w:rPr>
              <w:t>Review-based; descriptive (no original empirical model).</w:t>
            </w:r>
          </w:p>
        </w:tc>
      </w:tr>
      <w:tr w14:paraId="1FD8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EFEF">
            <w:pPr>
              <w:spacing w:line="360" w:lineRule="auto"/>
              <w:jc w:val="both"/>
              <w:rPr>
                <w:rFonts w:ascii="Arial" w:hAnsi="Arial" w:cs="Arial"/>
              </w:rPr>
            </w:pPr>
            <w:r>
              <w:rPr>
                <w:rFonts w:ascii="Arial" w:hAnsi="Arial" w:cs="Arial"/>
              </w:rPr>
              <w:t>5</w:t>
            </w:r>
          </w:p>
        </w:tc>
        <w:tc>
          <w:tcPr>
            <w:tcW w:w="1389" w:type="dxa"/>
            <w:tcBorders>
              <w:top w:val="single" w:color="auto" w:sz="4" w:space="0"/>
              <w:left w:val="single" w:color="auto" w:sz="4" w:space="0"/>
              <w:bottom w:val="single" w:color="auto" w:sz="4" w:space="0"/>
              <w:right w:val="single" w:color="auto" w:sz="4" w:space="0"/>
            </w:tcBorders>
            <w:vAlign w:val="center"/>
          </w:tcPr>
          <w:p w14:paraId="1FD8EFF0">
            <w:pPr>
              <w:spacing w:line="360" w:lineRule="auto"/>
              <w:jc w:val="both"/>
              <w:rPr>
                <w:rFonts w:ascii="Arial" w:hAnsi="Arial" w:cs="Arial"/>
              </w:rPr>
            </w:pPr>
            <w:r>
              <w:rPr>
                <w:rFonts w:ascii="Arial" w:hAnsi="Arial" w:cs="Arial"/>
              </w:rPr>
              <w:t>Machine Learning</w:t>
            </w:r>
          </w:p>
        </w:tc>
        <w:tc>
          <w:tcPr>
            <w:tcW w:w="3253" w:type="dxa"/>
            <w:tcBorders>
              <w:top w:val="single" w:color="auto" w:sz="4" w:space="0"/>
              <w:left w:val="single" w:color="auto" w:sz="4" w:space="0"/>
              <w:bottom w:val="single" w:color="auto" w:sz="4" w:space="0"/>
              <w:right w:val="single" w:color="auto" w:sz="4" w:space="0"/>
            </w:tcBorders>
            <w:vAlign w:val="center"/>
          </w:tcPr>
          <w:p w14:paraId="1FD8EFF1">
            <w:pPr>
              <w:spacing w:line="360" w:lineRule="auto"/>
              <w:jc w:val="both"/>
              <w:rPr>
                <w:rFonts w:ascii="Arial" w:hAnsi="Arial" w:cs="Arial"/>
              </w:rPr>
            </w:pPr>
            <w:r>
              <w:rPr>
                <w:rFonts w:ascii="Arial" w:hAnsi="Arial" w:cs="Arial"/>
              </w:rPr>
              <w:t xml:space="preserve">Kogan, A., Alles, M. G., Vasarhelyi, M. A., &amp; Wu, J. (2021). Predicting financial statement fraud with machine learning. </w:t>
            </w:r>
            <w:r>
              <w:rPr>
                <w:rFonts w:ascii="Arial" w:hAnsi="Arial" w:cs="Arial"/>
                <w:i/>
                <w:iCs/>
              </w:rPr>
              <w:t>Accounting Horizons, 35</w:t>
            </w:r>
            <w:r>
              <w:rPr>
                <w:rFonts w:ascii="Arial" w:hAnsi="Arial" w:cs="Arial"/>
              </w:rPr>
              <w:t xml:space="preserve">(3), 67–90. </w:t>
            </w:r>
            <w:r>
              <w:fldChar w:fldCharType="begin"/>
            </w:r>
            <w:r>
              <w:instrText xml:space="preserve"> HYPERLINK "https://doi.org/10.2308/HORIZONS-2020-056" </w:instrText>
            </w:r>
            <w:r>
              <w:fldChar w:fldCharType="separate"/>
            </w:r>
            <w:r>
              <w:rPr>
                <w:rStyle w:val="17"/>
                <w:rFonts w:ascii="Arial" w:hAnsi="Arial" w:cs="Arial"/>
              </w:rPr>
              <w:t>https://doi.org/10.2308/HORIZONS-2020-056</w:t>
            </w:r>
            <w:r>
              <w:rPr>
                <w:rStyle w:val="17"/>
                <w:rFonts w:ascii="Arial" w:hAnsi="Arial" w:cs="Arial"/>
              </w:rPr>
              <w:fldChar w:fldCharType="end"/>
            </w:r>
            <w:r>
              <w:rPr>
                <w:rFonts w:ascii="Arial" w:hAnsi="Arial" w:cs="Aria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EFF2">
            <w:pPr>
              <w:spacing w:line="360" w:lineRule="auto"/>
              <w:jc w:val="both"/>
              <w:rPr>
                <w:rFonts w:ascii="Arial" w:hAnsi="Arial" w:cs="Arial"/>
              </w:rPr>
            </w:pPr>
            <w:r>
              <w:rPr>
                <w:rFonts w:ascii="Arial" w:hAnsi="Arial" w:cs="Arial"/>
              </w:rPr>
              <w:t>Machine learning models (RF, SVM, Gradient Boosting) outperform traditional statistical approaches in detecting financial fraud and anomalies.</w:t>
            </w:r>
          </w:p>
        </w:tc>
        <w:tc>
          <w:tcPr>
            <w:tcW w:w="2027" w:type="dxa"/>
            <w:tcBorders>
              <w:top w:val="single" w:color="auto" w:sz="4" w:space="0"/>
              <w:left w:val="single" w:color="auto" w:sz="4" w:space="0"/>
              <w:bottom w:val="single" w:color="auto" w:sz="4" w:space="0"/>
              <w:right w:val="single" w:color="auto" w:sz="4" w:space="0"/>
            </w:tcBorders>
            <w:vAlign w:val="center"/>
          </w:tcPr>
          <w:p w14:paraId="1FD8EFF3">
            <w:pPr>
              <w:spacing w:line="360" w:lineRule="auto"/>
              <w:jc w:val="both"/>
              <w:rPr>
                <w:rFonts w:ascii="Arial" w:hAnsi="Arial" w:cs="Arial"/>
              </w:rPr>
            </w:pPr>
            <w:r>
              <w:rPr>
                <w:rFonts w:ascii="Arial" w:hAnsi="Arial" w:cs="Arial"/>
              </w:rPr>
              <w:t>ML models perform well but lack interpretability; regulatory acceptance remains low.</w:t>
            </w:r>
          </w:p>
        </w:tc>
      </w:tr>
      <w:tr w14:paraId="1FD8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EFF5">
            <w:pPr>
              <w:spacing w:line="360" w:lineRule="auto"/>
              <w:jc w:val="both"/>
              <w:rPr>
                <w:rFonts w:ascii="Arial" w:hAnsi="Arial" w:cs="Arial"/>
              </w:rPr>
            </w:pPr>
            <w:r>
              <w:rPr>
                <w:rFonts w:ascii="Arial" w:hAnsi="Arial" w:cs="Arial"/>
              </w:rPr>
              <w:t>6</w:t>
            </w:r>
          </w:p>
        </w:tc>
        <w:tc>
          <w:tcPr>
            <w:tcW w:w="1389" w:type="dxa"/>
            <w:tcBorders>
              <w:top w:val="single" w:color="auto" w:sz="4" w:space="0"/>
              <w:left w:val="single" w:color="auto" w:sz="4" w:space="0"/>
              <w:bottom w:val="single" w:color="auto" w:sz="4" w:space="0"/>
              <w:right w:val="single" w:color="auto" w:sz="4" w:space="0"/>
            </w:tcBorders>
            <w:vAlign w:val="center"/>
          </w:tcPr>
          <w:p w14:paraId="1FD8EFF6">
            <w:pPr>
              <w:spacing w:line="360" w:lineRule="auto"/>
              <w:jc w:val="both"/>
              <w:rPr>
                <w:rFonts w:ascii="Arial" w:hAnsi="Arial" w:cs="Arial"/>
              </w:rPr>
            </w:pPr>
            <w:r>
              <w:rPr>
                <w:rFonts w:ascii="Arial" w:hAnsi="Arial" w:cs="Arial"/>
              </w:rPr>
              <w:t>Machine Learning</w:t>
            </w:r>
          </w:p>
        </w:tc>
        <w:tc>
          <w:tcPr>
            <w:tcW w:w="3253" w:type="dxa"/>
            <w:tcBorders>
              <w:top w:val="single" w:color="auto" w:sz="4" w:space="0"/>
              <w:left w:val="single" w:color="auto" w:sz="4" w:space="0"/>
              <w:bottom w:val="single" w:color="auto" w:sz="4" w:space="0"/>
              <w:right w:val="single" w:color="auto" w:sz="4" w:space="0"/>
            </w:tcBorders>
            <w:vAlign w:val="center"/>
          </w:tcPr>
          <w:p w14:paraId="1FD8EFF7">
            <w:pPr>
              <w:spacing w:line="360" w:lineRule="auto"/>
              <w:jc w:val="both"/>
              <w:rPr>
                <w:rFonts w:ascii="Arial" w:hAnsi="Arial" w:cs="Arial"/>
              </w:rPr>
            </w:pPr>
            <w:r>
              <w:rPr>
                <w:rFonts w:ascii="Arial" w:hAnsi="Arial" w:cs="Arial"/>
              </w:rPr>
              <w:t xml:space="preserve">Barboza, F., Kimura, H., &amp; Altman, E. (2017). Machine learning models for credit risk prediction. </w:t>
            </w:r>
            <w:r>
              <w:rPr>
                <w:rFonts w:ascii="Arial" w:hAnsi="Arial" w:cs="Arial"/>
                <w:i/>
                <w:iCs/>
              </w:rPr>
              <w:t>Expert Systems with Applications, 83,</w:t>
            </w:r>
            <w:r>
              <w:rPr>
                <w:rFonts w:ascii="Arial" w:hAnsi="Arial" w:cs="Arial"/>
              </w:rPr>
              <w:t xml:space="preserve"> 405–417. </w:t>
            </w:r>
            <w:r>
              <w:fldChar w:fldCharType="begin"/>
            </w:r>
            <w:r>
              <w:instrText xml:space="preserve"> HYPERLINK "https://doi.org/10.1016/j.eswa.2017.04.006" </w:instrText>
            </w:r>
            <w:r>
              <w:fldChar w:fldCharType="separate"/>
            </w:r>
            <w:r>
              <w:rPr>
                <w:rStyle w:val="17"/>
                <w:rFonts w:ascii="Arial" w:hAnsi="Arial" w:cs="Arial"/>
              </w:rPr>
              <w:t>https://doi.org/10.1016/j.eswa.2017.04.006</w:t>
            </w:r>
            <w:r>
              <w:rPr>
                <w:rStyle w:val="17"/>
                <w:rFonts w:ascii="Arial" w:hAnsi="Arial" w:cs="Arial"/>
              </w:rPr>
              <w:fldChar w:fldCharType="end"/>
            </w:r>
          </w:p>
        </w:tc>
        <w:tc>
          <w:tcPr>
            <w:tcW w:w="2520" w:type="dxa"/>
            <w:tcBorders>
              <w:top w:val="single" w:color="auto" w:sz="4" w:space="0"/>
              <w:left w:val="single" w:color="auto" w:sz="4" w:space="0"/>
              <w:bottom w:val="single" w:color="auto" w:sz="4" w:space="0"/>
              <w:right w:val="single" w:color="auto" w:sz="4" w:space="0"/>
            </w:tcBorders>
            <w:vAlign w:val="center"/>
          </w:tcPr>
          <w:p w14:paraId="1FD8EFF8">
            <w:pPr>
              <w:spacing w:line="360" w:lineRule="auto"/>
              <w:jc w:val="both"/>
              <w:rPr>
                <w:rFonts w:ascii="Arial" w:hAnsi="Arial" w:cs="Arial"/>
              </w:rPr>
            </w:pPr>
            <w:r>
              <w:rPr>
                <w:rFonts w:ascii="Arial" w:hAnsi="Arial" w:cs="Arial"/>
              </w:rPr>
              <w:t xml:space="preserve">ML techniques significantly </w:t>
            </w:r>
            <w:r>
              <w:rPr>
                <w:rFonts w:ascii="Arial" w:hAnsi="Arial" w:cs="Arial"/>
                <w:b/>
                <w:bCs/>
              </w:rPr>
              <w:t>improve credit risk prediction accuracy</w:t>
            </w:r>
            <w:r>
              <w:rPr>
                <w:rFonts w:ascii="Arial" w:hAnsi="Arial" w:cs="Arial"/>
              </w:rPr>
              <w:t xml:space="preserve"> compared sto traditional statistical models.</w:t>
            </w:r>
          </w:p>
        </w:tc>
        <w:tc>
          <w:tcPr>
            <w:tcW w:w="2027" w:type="dxa"/>
            <w:tcBorders>
              <w:top w:val="single" w:color="auto" w:sz="4" w:space="0"/>
              <w:left w:val="single" w:color="auto" w:sz="4" w:space="0"/>
              <w:bottom w:val="single" w:color="auto" w:sz="4" w:space="0"/>
              <w:right w:val="single" w:color="auto" w:sz="4" w:space="0"/>
            </w:tcBorders>
            <w:vAlign w:val="center"/>
          </w:tcPr>
          <w:p w14:paraId="1FD8EFF9">
            <w:pPr>
              <w:spacing w:line="360" w:lineRule="auto"/>
              <w:jc w:val="both"/>
              <w:rPr>
                <w:rFonts w:ascii="Arial" w:hAnsi="Arial" w:cs="Arial"/>
              </w:rPr>
            </w:pPr>
            <w:r>
              <w:rPr>
                <w:rFonts w:ascii="Arial" w:hAnsi="Arial" w:cs="Arial"/>
              </w:rPr>
              <w:t>U.S. dataset only. may not generalize globally</w:t>
            </w:r>
          </w:p>
        </w:tc>
      </w:tr>
      <w:tr w14:paraId="1FD8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EFFB">
            <w:pPr>
              <w:spacing w:line="360" w:lineRule="auto"/>
              <w:jc w:val="both"/>
              <w:rPr>
                <w:rFonts w:ascii="Arial" w:hAnsi="Arial" w:cs="Arial"/>
              </w:rPr>
            </w:pPr>
            <w:r>
              <w:rPr>
                <w:rFonts w:ascii="Arial" w:hAnsi="Arial" w:cs="Arial"/>
              </w:rPr>
              <w:t>7</w:t>
            </w:r>
          </w:p>
        </w:tc>
        <w:tc>
          <w:tcPr>
            <w:tcW w:w="1389" w:type="dxa"/>
            <w:tcBorders>
              <w:top w:val="single" w:color="auto" w:sz="4" w:space="0"/>
              <w:left w:val="single" w:color="auto" w:sz="4" w:space="0"/>
              <w:bottom w:val="single" w:color="auto" w:sz="4" w:space="0"/>
              <w:right w:val="single" w:color="auto" w:sz="4" w:space="0"/>
            </w:tcBorders>
            <w:vAlign w:val="center"/>
          </w:tcPr>
          <w:p w14:paraId="1FD8EFFC">
            <w:pPr>
              <w:spacing w:line="360" w:lineRule="auto"/>
              <w:jc w:val="both"/>
              <w:rPr>
                <w:rFonts w:ascii="Arial" w:hAnsi="Arial" w:cs="Arial"/>
              </w:rPr>
            </w:pPr>
            <w:r>
              <w:rPr>
                <w:rFonts w:ascii="Arial" w:hAnsi="Arial" w:cs="Arial"/>
              </w:rPr>
              <w:t>Deep Learning</w:t>
            </w:r>
          </w:p>
        </w:tc>
        <w:tc>
          <w:tcPr>
            <w:tcW w:w="3253" w:type="dxa"/>
            <w:tcBorders>
              <w:top w:val="single" w:color="auto" w:sz="4" w:space="0"/>
              <w:left w:val="single" w:color="auto" w:sz="4" w:space="0"/>
              <w:bottom w:val="single" w:color="auto" w:sz="4" w:space="0"/>
              <w:right w:val="single" w:color="auto" w:sz="4" w:space="0"/>
            </w:tcBorders>
            <w:vAlign w:val="center"/>
          </w:tcPr>
          <w:p w14:paraId="1FD8EFFD">
            <w:pPr>
              <w:spacing w:line="360" w:lineRule="auto"/>
              <w:jc w:val="both"/>
              <w:rPr>
                <w:rFonts w:ascii="Arial" w:hAnsi="Arial" w:cs="Arial"/>
              </w:rPr>
            </w:pPr>
            <w:r>
              <w:rPr>
                <w:rFonts w:ascii="Arial" w:hAnsi="Arial" w:cs="Arial"/>
              </w:rPr>
              <w:t xml:space="preserve">Kraus, M., &amp; Feuerriegel, S. (2017). Decision support from financial disclosures with deep neural networks. </w:t>
            </w:r>
            <w:r>
              <w:rPr>
                <w:rFonts w:ascii="Arial" w:hAnsi="Arial" w:cs="Arial"/>
                <w:i/>
                <w:iCs/>
              </w:rPr>
              <w:t>Decision Support Systems, 104,</w:t>
            </w:r>
            <w:r>
              <w:rPr>
                <w:rFonts w:ascii="Arial" w:hAnsi="Arial" w:cs="Arial"/>
              </w:rPr>
              <w:t xml:space="preserve"> 38–48. </w:t>
            </w:r>
            <w:r>
              <w:fldChar w:fldCharType="begin"/>
            </w:r>
            <w:r>
              <w:instrText xml:space="preserve"> HYPERLINK "https://doi.org/10.1016/j.dss.2017.10.001" </w:instrText>
            </w:r>
            <w:r>
              <w:fldChar w:fldCharType="separate"/>
            </w:r>
            <w:r>
              <w:rPr>
                <w:rStyle w:val="17"/>
                <w:rFonts w:ascii="Arial" w:hAnsi="Arial" w:cs="Arial"/>
              </w:rPr>
              <w:t>https://doi.org/10.1016/j.dss.2017.10.001</w:t>
            </w:r>
            <w:r>
              <w:rPr>
                <w:rStyle w:val="17"/>
                <w:rFonts w:ascii="Arial" w:hAnsi="Arial" w:cs="Arial"/>
              </w:rPr>
              <w:fldChar w:fldCharType="end"/>
            </w:r>
          </w:p>
        </w:tc>
        <w:tc>
          <w:tcPr>
            <w:tcW w:w="2520" w:type="dxa"/>
            <w:tcBorders>
              <w:top w:val="single" w:color="auto" w:sz="4" w:space="0"/>
              <w:left w:val="single" w:color="auto" w:sz="4" w:space="0"/>
              <w:bottom w:val="single" w:color="auto" w:sz="4" w:space="0"/>
              <w:right w:val="single" w:color="auto" w:sz="4" w:space="0"/>
            </w:tcBorders>
            <w:vAlign w:val="center"/>
          </w:tcPr>
          <w:p w14:paraId="1FD8EFFE">
            <w:pPr>
              <w:spacing w:line="360" w:lineRule="auto"/>
              <w:jc w:val="both"/>
              <w:rPr>
                <w:rFonts w:ascii="Arial" w:hAnsi="Arial" w:cs="Arial"/>
              </w:rPr>
            </w:pPr>
            <w:r>
              <w:rPr>
                <w:rFonts w:ascii="Arial" w:hAnsi="Arial" w:cs="Arial"/>
              </w:rPr>
              <w:t>Deep neural networks can extract meaningful patterns from narrative disclosures and improve prediction accuracy for financial outcomes.</w:t>
            </w:r>
          </w:p>
        </w:tc>
        <w:tc>
          <w:tcPr>
            <w:tcW w:w="2027" w:type="dxa"/>
            <w:tcBorders>
              <w:top w:val="single" w:color="auto" w:sz="4" w:space="0"/>
              <w:left w:val="single" w:color="auto" w:sz="4" w:space="0"/>
              <w:bottom w:val="single" w:color="auto" w:sz="4" w:space="0"/>
              <w:right w:val="single" w:color="auto" w:sz="4" w:space="0"/>
            </w:tcBorders>
            <w:vAlign w:val="center"/>
          </w:tcPr>
          <w:p w14:paraId="1FD8EFFF">
            <w:pPr>
              <w:spacing w:line="360" w:lineRule="auto"/>
              <w:jc w:val="both"/>
              <w:rPr>
                <w:rFonts w:ascii="Arial" w:hAnsi="Arial" w:cs="Arial"/>
              </w:rPr>
            </w:pPr>
            <w:r>
              <w:rPr>
                <w:rFonts w:ascii="Arial" w:hAnsi="Arial" w:cs="Arial"/>
              </w:rPr>
              <w:t>Study relies on a relatively small sample of annual report texts.</w:t>
            </w:r>
          </w:p>
        </w:tc>
      </w:tr>
      <w:tr w14:paraId="1FD8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01">
            <w:pPr>
              <w:spacing w:line="360" w:lineRule="auto"/>
              <w:jc w:val="both"/>
              <w:rPr>
                <w:rFonts w:ascii="Arial" w:hAnsi="Arial" w:cs="Arial"/>
              </w:rPr>
            </w:pPr>
            <w:r>
              <w:rPr>
                <w:rFonts w:ascii="Arial" w:hAnsi="Arial" w:cs="Arial"/>
              </w:rPr>
              <w:t>8</w:t>
            </w:r>
          </w:p>
        </w:tc>
        <w:tc>
          <w:tcPr>
            <w:tcW w:w="1389" w:type="dxa"/>
            <w:tcBorders>
              <w:top w:val="single" w:color="auto" w:sz="4" w:space="0"/>
              <w:left w:val="single" w:color="auto" w:sz="4" w:space="0"/>
              <w:bottom w:val="single" w:color="auto" w:sz="4" w:space="0"/>
              <w:right w:val="single" w:color="auto" w:sz="4" w:space="0"/>
            </w:tcBorders>
            <w:vAlign w:val="center"/>
          </w:tcPr>
          <w:p w14:paraId="1FD8F002">
            <w:pPr>
              <w:spacing w:line="360" w:lineRule="auto"/>
              <w:jc w:val="both"/>
              <w:rPr>
                <w:rFonts w:ascii="Arial" w:hAnsi="Arial" w:cs="Arial"/>
              </w:rPr>
            </w:pPr>
            <w:r>
              <w:rPr>
                <w:rFonts w:ascii="Arial" w:hAnsi="Arial" w:cs="Arial"/>
              </w:rPr>
              <w:t>Deep Learning</w:t>
            </w:r>
          </w:p>
        </w:tc>
        <w:tc>
          <w:tcPr>
            <w:tcW w:w="3253" w:type="dxa"/>
            <w:tcBorders>
              <w:top w:val="single" w:color="auto" w:sz="4" w:space="0"/>
              <w:left w:val="single" w:color="auto" w:sz="4" w:space="0"/>
              <w:bottom w:val="single" w:color="auto" w:sz="4" w:space="0"/>
              <w:right w:val="single" w:color="auto" w:sz="4" w:space="0"/>
            </w:tcBorders>
            <w:vAlign w:val="center"/>
          </w:tcPr>
          <w:p w14:paraId="1FD8F003">
            <w:pPr>
              <w:spacing w:line="360" w:lineRule="auto"/>
              <w:jc w:val="both"/>
              <w:rPr>
                <w:rFonts w:ascii="Arial" w:hAnsi="Arial" w:cs="Arial"/>
              </w:rPr>
            </w:pPr>
            <w:r>
              <w:rPr>
                <w:rFonts w:ascii="Arial" w:hAnsi="Arial" w:cs="Arial"/>
              </w:rPr>
              <w:t xml:space="preserve">Peng, K., &amp; Yan, G. (2021). A survey on deep learning for financial risk prediction. </w:t>
            </w:r>
            <w:r>
              <w:rPr>
                <w:rFonts w:ascii="Arial" w:hAnsi="Arial" w:cs="Arial"/>
                <w:i/>
                <w:iCs/>
              </w:rPr>
              <w:t>Quantitative Finance and Economics, 5</w:t>
            </w:r>
            <w:r>
              <w:rPr>
                <w:rFonts w:ascii="Arial" w:hAnsi="Arial" w:cs="Arial"/>
              </w:rPr>
              <w:t xml:space="preserve">(4), 716–737. </w:t>
            </w:r>
            <w:r>
              <w:fldChar w:fldCharType="begin"/>
            </w:r>
            <w:r>
              <w:instrText xml:space="preserve"> HYPERLINK "https://doi.org/10.3934/QFE.2021032" </w:instrText>
            </w:r>
            <w:r>
              <w:fldChar w:fldCharType="separate"/>
            </w:r>
            <w:r>
              <w:rPr>
                <w:rStyle w:val="17"/>
                <w:rFonts w:ascii="Arial" w:hAnsi="Arial" w:cs="Arial"/>
              </w:rPr>
              <w:t>https://doi.org/10.3934/QFE.2021032</w:t>
            </w:r>
            <w:r>
              <w:rPr>
                <w:rStyle w:val="17"/>
                <w:rFonts w:ascii="Arial" w:hAnsi="Arial" w:cs="Arial"/>
              </w:rPr>
              <w:fldChar w:fldCharType="end"/>
            </w:r>
            <w:r>
              <w:rPr>
                <w:rFonts w:ascii="Arial" w:hAnsi="Arial" w:cs="Aria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F004">
            <w:pPr>
              <w:spacing w:line="360" w:lineRule="auto"/>
              <w:jc w:val="both"/>
              <w:rPr>
                <w:rFonts w:ascii="Arial" w:hAnsi="Arial" w:cs="Arial"/>
              </w:rPr>
            </w:pPr>
            <w:r>
              <w:rPr>
                <w:rFonts w:ascii="Arial" w:hAnsi="Arial" w:cs="Arial"/>
              </w:rPr>
              <w:t xml:space="preserve">Deep learning models (CNN, RNN, LSTM) consistently show </w:t>
            </w:r>
            <w:r>
              <w:rPr>
                <w:rFonts w:ascii="Arial" w:hAnsi="Arial" w:cs="Arial"/>
                <w:b/>
                <w:bCs/>
              </w:rPr>
              <w:t>higher accuracy in bankruptcy and financial risk prediction</w:t>
            </w:r>
            <w:r>
              <w:rPr>
                <w:rFonts w:ascii="Arial" w:hAnsi="Arial" w:cs="Arial"/>
              </w:rPr>
              <w:t xml:space="preserve"> than traditional ML, especially with complex and high-dimensional datasets.</w:t>
            </w:r>
          </w:p>
        </w:tc>
        <w:tc>
          <w:tcPr>
            <w:tcW w:w="2027" w:type="dxa"/>
            <w:tcBorders>
              <w:top w:val="single" w:color="auto" w:sz="4" w:space="0"/>
              <w:left w:val="single" w:color="auto" w:sz="4" w:space="0"/>
              <w:bottom w:val="single" w:color="auto" w:sz="4" w:space="0"/>
              <w:right w:val="single" w:color="auto" w:sz="4" w:space="0"/>
            </w:tcBorders>
            <w:vAlign w:val="center"/>
          </w:tcPr>
          <w:p w14:paraId="1FD8F005">
            <w:pPr>
              <w:spacing w:after="0" w:line="360" w:lineRule="auto"/>
              <w:jc w:val="both"/>
              <w:rPr>
                <w:rFonts w:ascii="Arial" w:hAnsi="Arial" w:cs="Arial"/>
              </w:rPr>
            </w:pPr>
            <w:r>
              <w:rPr>
                <w:rFonts w:ascii="Arial" w:hAnsi="Arial" w:cs="Arial"/>
              </w:rPr>
              <w:t>Survey paper; does not present new empirical data.</w:t>
            </w:r>
          </w:p>
          <w:p w14:paraId="1FD8F006">
            <w:pPr>
              <w:spacing w:line="360" w:lineRule="auto"/>
              <w:jc w:val="both"/>
              <w:rPr>
                <w:rFonts w:ascii="Arial" w:hAnsi="Arial" w:cs="Arial"/>
              </w:rPr>
            </w:pPr>
          </w:p>
        </w:tc>
      </w:tr>
      <w:tr w14:paraId="1FD8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08">
            <w:pPr>
              <w:spacing w:line="360" w:lineRule="auto"/>
              <w:jc w:val="both"/>
              <w:rPr>
                <w:rFonts w:ascii="Arial" w:hAnsi="Arial" w:cs="Arial"/>
              </w:rPr>
            </w:pPr>
            <w:r>
              <w:rPr>
                <w:rFonts w:ascii="Arial" w:hAnsi="Arial" w:cs="Arial"/>
              </w:rPr>
              <w:t>9</w:t>
            </w:r>
          </w:p>
        </w:tc>
        <w:tc>
          <w:tcPr>
            <w:tcW w:w="1389" w:type="dxa"/>
            <w:tcBorders>
              <w:top w:val="single" w:color="auto" w:sz="4" w:space="0"/>
              <w:left w:val="single" w:color="auto" w:sz="4" w:space="0"/>
              <w:bottom w:val="single" w:color="auto" w:sz="4" w:space="0"/>
              <w:right w:val="single" w:color="auto" w:sz="4" w:space="0"/>
            </w:tcBorders>
            <w:vAlign w:val="center"/>
          </w:tcPr>
          <w:p w14:paraId="1FD8F009">
            <w:pPr>
              <w:spacing w:line="360" w:lineRule="auto"/>
              <w:jc w:val="both"/>
              <w:rPr>
                <w:rFonts w:ascii="Arial" w:hAnsi="Arial" w:cs="Arial"/>
              </w:rPr>
            </w:pPr>
            <w:r>
              <w:rPr>
                <w:rFonts w:ascii="Arial" w:hAnsi="Arial" w:cs="Arial"/>
              </w:rPr>
              <w:t>Deep Learning</w:t>
            </w:r>
          </w:p>
        </w:tc>
        <w:tc>
          <w:tcPr>
            <w:tcW w:w="3253" w:type="dxa"/>
            <w:tcBorders>
              <w:top w:val="single" w:color="auto" w:sz="4" w:space="0"/>
              <w:left w:val="single" w:color="auto" w:sz="4" w:space="0"/>
              <w:bottom w:val="single" w:color="auto" w:sz="4" w:space="0"/>
              <w:right w:val="single" w:color="auto" w:sz="4" w:space="0"/>
            </w:tcBorders>
            <w:vAlign w:val="center"/>
          </w:tcPr>
          <w:p w14:paraId="1FD8F00A">
            <w:pPr>
              <w:spacing w:line="360" w:lineRule="auto"/>
              <w:jc w:val="both"/>
              <w:rPr>
                <w:rFonts w:ascii="Arial" w:hAnsi="Arial" w:cs="Arial"/>
              </w:rPr>
            </w:pPr>
            <w:r>
              <w:rPr>
                <w:rFonts w:ascii="Arial" w:hAnsi="Arial" w:cs="Arial"/>
              </w:rPr>
              <w:t xml:space="preserve">Du, K., Xing, F., Mao, R., &amp; Cambria, E. (2024). Financial sentiment analysis: Techniques and applications. </w:t>
            </w:r>
            <w:r>
              <w:rPr>
                <w:rFonts w:ascii="Arial" w:hAnsi="Arial" w:cs="Arial"/>
                <w:i/>
                <w:iCs/>
              </w:rPr>
              <w:t>ACM Computing Surveys, 56</w:t>
            </w:r>
            <w:r>
              <w:rPr>
                <w:rFonts w:ascii="Arial" w:hAnsi="Arial" w:cs="Arial"/>
              </w:rPr>
              <w:t>(9), Article 220, 1–42. https://doi.org/10.1145/3649451</w:t>
            </w:r>
          </w:p>
        </w:tc>
        <w:tc>
          <w:tcPr>
            <w:tcW w:w="2520" w:type="dxa"/>
            <w:tcBorders>
              <w:top w:val="single" w:color="auto" w:sz="4" w:space="0"/>
              <w:left w:val="single" w:color="auto" w:sz="4" w:space="0"/>
              <w:bottom w:val="single" w:color="auto" w:sz="4" w:space="0"/>
              <w:right w:val="single" w:color="auto" w:sz="4" w:space="0"/>
            </w:tcBorders>
            <w:vAlign w:val="center"/>
          </w:tcPr>
          <w:p w14:paraId="1FD8F00B">
            <w:pPr>
              <w:spacing w:line="360" w:lineRule="auto"/>
              <w:jc w:val="both"/>
              <w:rPr>
                <w:rFonts w:ascii="Arial" w:hAnsi="Arial" w:cs="Arial"/>
              </w:rPr>
            </w:pPr>
            <w:r>
              <w:rPr>
                <w:rFonts w:ascii="Arial" w:hAnsi="Arial" w:cs="Arial"/>
              </w:rPr>
              <w:t>Provides a comprehensive survey showing that deep learning and transformer-based models (e.g., LSTM, BERT, FinBERT) achieve state-of-the-art performance in financial sentiment analysis, improving prediction of market movements and financial risk.</w:t>
            </w:r>
          </w:p>
        </w:tc>
        <w:tc>
          <w:tcPr>
            <w:tcW w:w="2027" w:type="dxa"/>
            <w:tcBorders>
              <w:top w:val="single" w:color="auto" w:sz="4" w:space="0"/>
              <w:left w:val="single" w:color="auto" w:sz="4" w:space="0"/>
              <w:bottom w:val="single" w:color="auto" w:sz="4" w:space="0"/>
              <w:right w:val="single" w:color="auto" w:sz="4" w:space="0"/>
            </w:tcBorders>
            <w:vAlign w:val="center"/>
          </w:tcPr>
          <w:p w14:paraId="1FD8F00C">
            <w:pPr>
              <w:spacing w:line="360" w:lineRule="auto"/>
              <w:jc w:val="both"/>
              <w:rPr>
                <w:rFonts w:ascii="Arial" w:hAnsi="Arial" w:cs="Arial"/>
              </w:rPr>
            </w:pPr>
            <w:r>
              <w:rPr>
                <w:rFonts w:ascii="Arial" w:hAnsi="Arial" w:cs="Arial"/>
              </w:rPr>
              <w:t>Survey paper; focuses on techniques and applications, not a specific dataset or country.</w:t>
            </w:r>
          </w:p>
        </w:tc>
      </w:tr>
      <w:tr w14:paraId="1FD8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0E">
            <w:pPr>
              <w:spacing w:line="360" w:lineRule="auto"/>
              <w:jc w:val="both"/>
              <w:rPr>
                <w:rFonts w:ascii="Arial" w:hAnsi="Arial" w:cs="Arial"/>
              </w:rPr>
            </w:pPr>
            <w:r>
              <w:rPr>
                <w:rFonts w:ascii="Arial" w:hAnsi="Arial" w:cs="Arial"/>
              </w:rPr>
              <w:t>10</w:t>
            </w:r>
          </w:p>
        </w:tc>
        <w:tc>
          <w:tcPr>
            <w:tcW w:w="1389" w:type="dxa"/>
            <w:tcBorders>
              <w:top w:val="single" w:color="auto" w:sz="4" w:space="0"/>
              <w:left w:val="single" w:color="auto" w:sz="4" w:space="0"/>
              <w:bottom w:val="single" w:color="auto" w:sz="4" w:space="0"/>
              <w:right w:val="single" w:color="auto" w:sz="4" w:space="0"/>
            </w:tcBorders>
            <w:vAlign w:val="center"/>
          </w:tcPr>
          <w:p w14:paraId="1FD8F00F">
            <w:pPr>
              <w:spacing w:line="360" w:lineRule="auto"/>
              <w:jc w:val="both"/>
              <w:rPr>
                <w:rFonts w:ascii="Arial" w:hAnsi="Arial" w:cs="Arial"/>
              </w:rPr>
            </w:pPr>
            <w:r>
              <w:rPr>
                <w:rFonts w:ascii="Arial" w:hAnsi="Arial" w:cs="Arial"/>
              </w:rPr>
              <w:t>Robotic Process Automation</w:t>
            </w:r>
          </w:p>
        </w:tc>
        <w:tc>
          <w:tcPr>
            <w:tcW w:w="3253" w:type="dxa"/>
            <w:tcBorders>
              <w:top w:val="single" w:color="auto" w:sz="4" w:space="0"/>
              <w:left w:val="single" w:color="auto" w:sz="4" w:space="0"/>
              <w:bottom w:val="single" w:color="auto" w:sz="4" w:space="0"/>
              <w:right w:val="single" w:color="auto" w:sz="4" w:space="0"/>
            </w:tcBorders>
            <w:vAlign w:val="center"/>
          </w:tcPr>
          <w:p w14:paraId="1FD8F010">
            <w:pPr>
              <w:spacing w:line="360" w:lineRule="auto"/>
              <w:jc w:val="both"/>
              <w:rPr>
                <w:rFonts w:ascii="Arial" w:hAnsi="Arial" w:cs="Arial"/>
                <w:highlight w:val="magenta"/>
              </w:rPr>
            </w:pPr>
            <w:r>
              <w:rPr>
                <w:rFonts w:ascii="Arial" w:hAnsi="Arial" w:cs="Arial"/>
              </w:rPr>
              <w:t xml:space="preserve">Cooper, L. A., Holderness, D. K., Sorensen, T. L., &amp; Wood, D. A. (2019). Robotic process automation in public accounting. </w:t>
            </w:r>
            <w:r>
              <w:rPr>
                <w:rFonts w:ascii="Arial" w:hAnsi="Arial" w:cs="Arial"/>
                <w:i/>
                <w:iCs/>
              </w:rPr>
              <w:t>Accounting Horizons, 33</w:t>
            </w:r>
            <w:r>
              <w:rPr>
                <w:rFonts w:ascii="Arial" w:hAnsi="Arial" w:cs="Arial"/>
              </w:rPr>
              <w:t xml:space="preserve">(4), 15–35. </w:t>
            </w:r>
            <w:r>
              <w:fldChar w:fldCharType="begin"/>
            </w:r>
            <w:r>
              <w:instrText xml:space="preserve"> HYPERLINK "https://doi.org/10.2308/acch-52466" \t "_new" </w:instrText>
            </w:r>
            <w:r>
              <w:fldChar w:fldCharType="separate"/>
            </w:r>
            <w:r>
              <w:rPr>
                <w:rStyle w:val="17"/>
                <w:rFonts w:ascii="Arial" w:hAnsi="Arial" w:cs="Arial"/>
              </w:rPr>
              <w:t>https://doi.org/10.2308/acch-52466</w:t>
            </w:r>
            <w:r>
              <w:rPr>
                <w:rStyle w:val="17"/>
                <w:rFonts w:ascii="Arial" w:hAnsi="Arial" w:cs="Arial"/>
              </w:rPr>
              <w:fldChar w:fldCharType="end"/>
            </w:r>
          </w:p>
        </w:tc>
        <w:tc>
          <w:tcPr>
            <w:tcW w:w="2520" w:type="dxa"/>
            <w:tcBorders>
              <w:top w:val="single" w:color="auto" w:sz="4" w:space="0"/>
              <w:left w:val="single" w:color="auto" w:sz="4" w:space="0"/>
              <w:bottom w:val="single" w:color="auto" w:sz="4" w:space="0"/>
              <w:right w:val="single" w:color="auto" w:sz="4" w:space="0"/>
            </w:tcBorders>
            <w:vAlign w:val="center"/>
          </w:tcPr>
          <w:p w14:paraId="1FD8F011">
            <w:pPr>
              <w:spacing w:line="360" w:lineRule="auto"/>
              <w:jc w:val="both"/>
              <w:rPr>
                <w:rFonts w:ascii="Arial" w:hAnsi="Arial" w:cs="Arial"/>
              </w:rPr>
            </w:pPr>
            <w:r>
              <w:rPr>
                <w:rFonts w:ascii="Arial" w:hAnsi="Arial" w:cs="Arial"/>
              </w:rPr>
              <w:t>Interviews with RPA leaders in Big 4 firms show that RPA automates data-intensive, repetitive tasks, improving efficiency and freeing staff for higher-judgment work in tax, advisory, and assurance.</w:t>
            </w:r>
          </w:p>
        </w:tc>
        <w:tc>
          <w:tcPr>
            <w:tcW w:w="2027" w:type="dxa"/>
            <w:tcBorders>
              <w:top w:val="single" w:color="auto" w:sz="4" w:space="0"/>
              <w:left w:val="single" w:color="auto" w:sz="4" w:space="0"/>
              <w:bottom w:val="single" w:color="auto" w:sz="4" w:space="0"/>
              <w:right w:val="single" w:color="auto" w:sz="4" w:space="0"/>
            </w:tcBorders>
            <w:vAlign w:val="center"/>
          </w:tcPr>
          <w:p w14:paraId="1FD8F012">
            <w:pPr>
              <w:spacing w:line="360" w:lineRule="auto"/>
              <w:jc w:val="both"/>
              <w:rPr>
                <w:rFonts w:ascii="Arial" w:hAnsi="Arial" w:cs="Arial"/>
              </w:rPr>
            </w:pPr>
            <w:r>
              <w:rPr>
                <w:rFonts w:ascii="Arial" w:hAnsi="Arial" w:cs="Arial"/>
              </w:rPr>
              <w:t>Evidence based on qualitative interviews in large public accounting firms; may not generalize to small practices or other regions.</w:t>
            </w:r>
          </w:p>
        </w:tc>
      </w:tr>
      <w:tr w14:paraId="1FD8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9" w:hRule="atLeast"/>
        </w:trPr>
        <w:tc>
          <w:tcPr>
            <w:tcW w:w="528" w:type="dxa"/>
            <w:tcBorders>
              <w:top w:val="single" w:color="auto" w:sz="4" w:space="0"/>
              <w:left w:val="single" w:color="auto" w:sz="4" w:space="0"/>
              <w:bottom w:val="single" w:color="auto" w:sz="4" w:space="0"/>
              <w:right w:val="single" w:color="auto" w:sz="4" w:space="0"/>
            </w:tcBorders>
            <w:vAlign w:val="center"/>
          </w:tcPr>
          <w:p w14:paraId="1FD8F014">
            <w:pPr>
              <w:spacing w:line="360" w:lineRule="auto"/>
              <w:jc w:val="both"/>
              <w:rPr>
                <w:rFonts w:ascii="Arial" w:hAnsi="Arial" w:cs="Arial"/>
              </w:rPr>
            </w:pPr>
            <w:r>
              <w:rPr>
                <w:rFonts w:ascii="Arial" w:hAnsi="Arial" w:cs="Arial"/>
              </w:rPr>
              <w:t>11</w:t>
            </w:r>
          </w:p>
        </w:tc>
        <w:tc>
          <w:tcPr>
            <w:tcW w:w="1389" w:type="dxa"/>
            <w:tcBorders>
              <w:top w:val="single" w:color="auto" w:sz="4" w:space="0"/>
              <w:left w:val="single" w:color="auto" w:sz="4" w:space="0"/>
              <w:bottom w:val="single" w:color="auto" w:sz="4" w:space="0"/>
              <w:right w:val="single" w:color="auto" w:sz="4" w:space="0"/>
            </w:tcBorders>
            <w:vAlign w:val="center"/>
          </w:tcPr>
          <w:p w14:paraId="1FD8F015">
            <w:pPr>
              <w:spacing w:line="360" w:lineRule="auto"/>
              <w:jc w:val="both"/>
              <w:rPr>
                <w:rFonts w:ascii="Arial" w:hAnsi="Arial" w:cs="Arial"/>
              </w:rPr>
            </w:pPr>
            <w:r>
              <w:rPr>
                <w:rFonts w:ascii="Arial" w:hAnsi="Arial" w:cs="Arial"/>
              </w:rPr>
              <w:t>Robotic Process Automation</w:t>
            </w:r>
          </w:p>
        </w:tc>
        <w:tc>
          <w:tcPr>
            <w:tcW w:w="3253" w:type="dxa"/>
            <w:tcBorders>
              <w:top w:val="single" w:color="auto" w:sz="4" w:space="0"/>
              <w:left w:val="single" w:color="auto" w:sz="4" w:space="0"/>
              <w:bottom w:val="single" w:color="auto" w:sz="4" w:space="0"/>
              <w:right w:val="single" w:color="auto" w:sz="4" w:space="0"/>
            </w:tcBorders>
            <w:vAlign w:val="center"/>
          </w:tcPr>
          <w:p w14:paraId="1FD8F016">
            <w:pPr>
              <w:spacing w:line="360" w:lineRule="auto"/>
              <w:jc w:val="both"/>
              <w:rPr>
                <w:rFonts w:ascii="Arial" w:hAnsi="Arial" w:cs="Arial"/>
                <w:highlight w:val="magenta"/>
              </w:rPr>
            </w:pPr>
            <w:r>
              <w:rPr>
                <w:rFonts w:ascii="Arial" w:hAnsi="Arial" w:cs="Arial"/>
              </w:rPr>
              <w:t xml:space="preserve">Huang, F., &amp; Vasarhelyi, M. A. (2019). Applying robotic process automation (RPA) in auditing: A framework. </w:t>
            </w:r>
            <w:r>
              <w:rPr>
                <w:rFonts w:ascii="Arial" w:hAnsi="Arial" w:cs="Arial"/>
                <w:i/>
                <w:iCs/>
              </w:rPr>
              <w:t>International Journal of Accounting Information Systems, 35</w:t>
            </w:r>
            <w:r>
              <w:rPr>
                <w:rFonts w:ascii="Arial" w:hAnsi="Arial" w:cs="Arial"/>
              </w:rPr>
              <w:t xml:space="preserve">, 100433. </w:t>
            </w:r>
            <w:r>
              <w:fldChar w:fldCharType="begin"/>
            </w:r>
            <w:r>
              <w:instrText xml:space="preserve"> HYPERLINK "https://doi.org/10.1016/j.accinf.2019.100433" </w:instrText>
            </w:r>
            <w:r>
              <w:fldChar w:fldCharType="separate"/>
            </w:r>
            <w:r>
              <w:rPr>
                <w:rStyle w:val="17"/>
                <w:rFonts w:ascii="Arial" w:hAnsi="Arial" w:cs="Arial"/>
              </w:rPr>
              <w:t>https://doi.org/10.1016/j.accinf.2019.100433</w:t>
            </w:r>
            <w:r>
              <w:rPr>
                <w:rStyle w:val="17"/>
                <w:rFonts w:ascii="Arial" w:hAnsi="Arial" w:cs="Arial"/>
              </w:rPr>
              <w:fldChar w:fldCharType="end"/>
            </w:r>
            <w:r>
              <w:rPr>
                <w:rFonts w:ascii="Arial" w:hAnsi="Arial" w:cs="Aria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F017">
            <w:pPr>
              <w:spacing w:line="360" w:lineRule="auto"/>
              <w:jc w:val="both"/>
              <w:rPr>
                <w:rFonts w:ascii="Arial" w:hAnsi="Arial" w:cs="Arial"/>
              </w:rPr>
            </w:pPr>
            <w:r>
              <w:rPr>
                <w:rFonts w:ascii="Arial" w:hAnsi="Arial" w:cs="Arial"/>
              </w:rPr>
              <w:t>Proposes an RPA framework for auditing and demonstrates a pilot implementation in the confirmation process, showing that RPA can reduce manual work on low-judgment tasks and support audit efficiency.</w:t>
            </w:r>
          </w:p>
        </w:tc>
        <w:tc>
          <w:tcPr>
            <w:tcW w:w="2027" w:type="dxa"/>
            <w:tcBorders>
              <w:top w:val="single" w:color="auto" w:sz="4" w:space="0"/>
              <w:left w:val="single" w:color="auto" w:sz="4" w:space="0"/>
              <w:bottom w:val="single" w:color="auto" w:sz="4" w:space="0"/>
              <w:right w:val="single" w:color="auto" w:sz="4" w:space="0"/>
            </w:tcBorders>
            <w:vAlign w:val="center"/>
          </w:tcPr>
          <w:p w14:paraId="1FD8F018">
            <w:pPr>
              <w:spacing w:line="360" w:lineRule="auto"/>
              <w:jc w:val="both"/>
              <w:rPr>
                <w:rFonts w:ascii="Arial" w:hAnsi="Arial" w:cs="Arial"/>
              </w:rPr>
            </w:pPr>
            <w:r>
              <w:rPr>
                <w:rFonts w:ascii="Arial" w:hAnsi="Arial" w:cs="Arial"/>
              </w:rPr>
              <w:t>Focuses on one audit process (confirmations) and a pilot case; broader empirical validation across audit firms is still limited.</w:t>
            </w:r>
          </w:p>
        </w:tc>
      </w:tr>
      <w:tr w14:paraId="1FD8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1A">
            <w:pPr>
              <w:spacing w:line="360" w:lineRule="auto"/>
              <w:jc w:val="both"/>
              <w:rPr>
                <w:rFonts w:ascii="Arial" w:hAnsi="Arial" w:cs="Arial"/>
              </w:rPr>
            </w:pPr>
            <w:r>
              <w:rPr>
                <w:rFonts w:ascii="Arial" w:hAnsi="Arial" w:cs="Arial"/>
              </w:rPr>
              <w:t>12</w:t>
            </w:r>
          </w:p>
        </w:tc>
        <w:tc>
          <w:tcPr>
            <w:tcW w:w="1389" w:type="dxa"/>
            <w:tcBorders>
              <w:top w:val="single" w:color="auto" w:sz="4" w:space="0"/>
              <w:left w:val="single" w:color="auto" w:sz="4" w:space="0"/>
              <w:bottom w:val="single" w:color="auto" w:sz="4" w:space="0"/>
              <w:right w:val="single" w:color="auto" w:sz="4" w:space="0"/>
            </w:tcBorders>
            <w:vAlign w:val="center"/>
          </w:tcPr>
          <w:p w14:paraId="1FD8F01B">
            <w:pPr>
              <w:spacing w:line="360" w:lineRule="auto"/>
              <w:jc w:val="both"/>
              <w:rPr>
                <w:rFonts w:ascii="Arial" w:hAnsi="Arial" w:cs="Arial"/>
              </w:rPr>
            </w:pPr>
            <w:r>
              <w:rPr>
                <w:rFonts w:ascii="Arial" w:hAnsi="Arial" w:cs="Arial"/>
              </w:rPr>
              <w:t>Robotic Process Automation</w:t>
            </w:r>
          </w:p>
        </w:tc>
        <w:tc>
          <w:tcPr>
            <w:tcW w:w="3253" w:type="dxa"/>
            <w:tcBorders>
              <w:top w:val="single" w:color="auto" w:sz="4" w:space="0"/>
              <w:left w:val="single" w:color="auto" w:sz="4" w:space="0"/>
              <w:bottom w:val="single" w:color="auto" w:sz="4" w:space="0"/>
              <w:right w:val="single" w:color="auto" w:sz="4" w:space="0"/>
            </w:tcBorders>
            <w:vAlign w:val="center"/>
          </w:tcPr>
          <w:p w14:paraId="1FD8F01C">
            <w:pPr>
              <w:spacing w:line="360" w:lineRule="auto"/>
              <w:jc w:val="both"/>
              <w:rPr>
                <w:rFonts w:ascii="Arial" w:hAnsi="Arial" w:cs="Arial"/>
                <w:highlight w:val="magenta"/>
              </w:rPr>
            </w:pPr>
            <w:r>
              <w:rPr>
                <w:rFonts w:ascii="Arial" w:hAnsi="Arial" w:cs="Arial"/>
              </w:rPr>
              <w:t xml:space="preserve">Kokina, J., &amp; Blanchette, S. (2019). Early evidence of digital labor in accounting: Innovation with robotic process automation. International </w:t>
            </w:r>
            <w:r>
              <w:rPr>
                <w:rFonts w:ascii="Arial" w:hAnsi="Arial" w:cs="Arial"/>
                <w:i/>
                <w:iCs/>
              </w:rPr>
              <w:t>Journal of Accounting Information Systems,</w:t>
            </w:r>
            <w:r>
              <w:rPr>
                <w:rFonts w:ascii="Arial" w:hAnsi="Arial" w:cs="Arial"/>
              </w:rPr>
              <w:t xml:space="preserve"> 35, 100431. </w:t>
            </w:r>
            <w:r>
              <w:fldChar w:fldCharType="begin"/>
            </w:r>
            <w:r>
              <w:instrText xml:space="preserve"> HYPERLINK "https://doi.org/10.1016/j.accinf.2019.100431" </w:instrText>
            </w:r>
            <w:r>
              <w:fldChar w:fldCharType="separate"/>
            </w:r>
            <w:r>
              <w:rPr>
                <w:rStyle w:val="17"/>
                <w:rFonts w:ascii="Arial" w:hAnsi="Arial" w:cs="Arial"/>
              </w:rPr>
              <w:t>https://doi.org/10.1016/j.accinf.2019.100431</w:t>
            </w:r>
            <w:r>
              <w:rPr>
                <w:rStyle w:val="17"/>
                <w:rFonts w:ascii="Arial" w:hAnsi="Arial" w:cs="Arial"/>
              </w:rPr>
              <w:fldChar w:fldCharType="end"/>
            </w:r>
            <w:r>
              <w:rPr>
                <w:rFonts w:ascii="Arial" w:hAnsi="Arial" w:cs="Aria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F01D">
            <w:pPr>
              <w:spacing w:line="360" w:lineRule="auto"/>
              <w:jc w:val="both"/>
              <w:rPr>
                <w:rFonts w:ascii="Arial" w:hAnsi="Arial" w:cs="Arial"/>
              </w:rPr>
            </w:pPr>
            <w:r>
              <w:rPr>
                <w:rFonts w:ascii="Arial" w:hAnsi="Arial" w:cs="Arial"/>
              </w:rPr>
              <w:t>Case-study evidence shows RPA creates “digital labor” in accounting, automating structured, rules-based tasks and leading to cost savings, fewer errors, better process documentation, and improved report quality.</w:t>
            </w:r>
          </w:p>
        </w:tc>
        <w:tc>
          <w:tcPr>
            <w:tcW w:w="2027" w:type="dxa"/>
            <w:tcBorders>
              <w:top w:val="single" w:color="auto" w:sz="4" w:space="0"/>
              <w:left w:val="single" w:color="auto" w:sz="4" w:space="0"/>
              <w:bottom w:val="single" w:color="auto" w:sz="4" w:space="0"/>
              <w:right w:val="single" w:color="auto" w:sz="4" w:space="0"/>
            </w:tcBorders>
            <w:vAlign w:val="center"/>
          </w:tcPr>
          <w:p w14:paraId="1FD8F01E">
            <w:pPr>
              <w:spacing w:line="360" w:lineRule="auto"/>
              <w:jc w:val="both"/>
              <w:rPr>
                <w:rFonts w:ascii="Arial" w:hAnsi="Arial" w:cs="Arial"/>
              </w:rPr>
            </w:pPr>
            <w:r>
              <w:rPr>
                <w:rFonts w:ascii="Arial" w:hAnsi="Arial" w:cs="Arial"/>
              </w:rPr>
              <w:t>Qualitative, interview-based study; early adopters only, so long-term impacts and failures are not fully captured.</w:t>
            </w:r>
          </w:p>
        </w:tc>
      </w:tr>
      <w:tr w14:paraId="1FD8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20">
            <w:pPr>
              <w:spacing w:line="360" w:lineRule="auto"/>
              <w:jc w:val="both"/>
              <w:rPr>
                <w:rFonts w:ascii="Arial" w:hAnsi="Arial" w:cs="Arial"/>
              </w:rPr>
            </w:pPr>
            <w:r>
              <w:rPr>
                <w:rFonts w:ascii="Arial" w:hAnsi="Arial" w:cs="Arial"/>
              </w:rPr>
              <w:t>13</w:t>
            </w:r>
          </w:p>
        </w:tc>
        <w:tc>
          <w:tcPr>
            <w:tcW w:w="1389" w:type="dxa"/>
            <w:tcBorders>
              <w:top w:val="single" w:color="auto" w:sz="4" w:space="0"/>
              <w:left w:val="single" w:color="auto" w:sz="4" w:space="0"/>
              <w:bottom w:val="single" w:color="auto" w:sz="4" w:space="0"/>
              <w:right w:val="single" w:color="auto" w:sz="4" w:space="0"/>
            </w:tcBorders>
            <w:vAlign w:val="center"/>
          </w:tcPr>
          <w:p w14:paraId="1FD8F021">
            <w:pPr>
              <w:spacing w:line="360" w:lineRule="auto"/>
              <w:jc w:val="both"/>
              <w:rPr>
                <w:rFonts w:ascii="Arial" w:hAnsi="Arial" w:cs="Arial"/>
              </w:rPr>
            </w:pPr>
            <w:r>
              <w:rPr>
                <w:rFonts w:ascii="Arial" w:hAnsi="Arial" w:cs="Arial"/>
              </w:rPr>
              <w:t>NLP</w:t>
            </w:r>
          </w:p>
        </w:tc>
        <w:tc>
          <w:tcPr>
            <w:tcW w:w="3253" w:type="dxa"/>
            <w:tcBorders>
              <w:top w:val="single" w:color="auto" w:sz="4" w:space="0"/>
              <w:left w:val="single" w:color="auto" w:sz="4" w:space="0"/>
              <w:bottom w:val="single" w:color="auto" w:sz="4" w:space="0"/>
              <w:right w:val="single" w:color="auto" w:sz="4" w:space="0"/>
            </w:tcBorders>
            <w:vAlign w:val="center"/>
          </w:tcPr>
          <w:p w14:paraId="1FD8F022">
            <w:pPr>
              <w:spacing w:line="360" w:lineRule="auto"/>
              <w:jc w:val="both"/>
              <w:rPr>
                <w:rFonts w:ascii="Arial" w:hAnsi="Arial" w:cs="Arial"/>
              </w:rPr>
            </w:pPr>
            <w:r>
              <w:rPr>
                <w:rFonts w:ascii="Arial" w:hAnsi="Arial" w:cs="Arial"/>
              </w:rPr>
              <w:t xml:space="preserve">Siano, F., &amp; Wysocki, P. D. (2021). Transfer learning and textual analysis of accounting disclosures: Applying Big Data methods to smaller data sets. </w:t>
            </w:r>
            <w:r>
              <w:rPr>
                <w:rFonts w:ascii="Arial" w:hAnsi="Arial" w:cs="Arial"/>
                <w:i/>
                <w:iCs/>
              </w:rPr>
              <w:t>Accounting Horizons</w:t>
            </w:r>
            <w:r>
              <w:rPr>
                <w:rFonts w:ascii="Arial" w:hAnsi="Arial" w:cs="Arial"/>
              </w:rPr>
              <w:t>, 35(3), 217–244. https://doi.org/10.2308/HORIZONS-19-161</w:t>
            </w:r>
          </w:p>
        </w:tc>
        <w:tc>
          <w:tcPr>
            <w:tcW w:w="2520" w:type="dxa"/>
            <w:tcBorders>
              <w:top w:val="single" w:color="auto" w:sz="4" w:space="0"/>
              <w:left w:val="single" w:color="auto" w:sz="4" w:space="0"/>
              <w:bottom w:val="single" w:color="auto" w:sz="4" w:space="0"/>
              <w:right w:val="single" w:color="auto" w:sz="4" w:space="0"/>
            </w:tcBorders>
            <w:vAlign w:val="center"/>
          </w:tcPr>
          <w:p w14:paraId="1FD8F023">
            <w:pPr>
              <w:spacing w:line="360" w:lineRule="auto"/>
              <w:jc w:val="both"/>
              <w:rPr>
                <w:rFonts w:ascii="Arial" w:hAnsi="Arial" w:cs="Arial"/>
              </w:rPr>
            </w:pPr>
            <w:r>
              <w:rPr>
                <w:rFonts w:ascii="Arial" w:hAnsi="Arial" w:cs="Arial"/>
              </w:rPr>
              <w:t>Transfer learning (e.g., using BERT) improves classification of disclosures compared to traditional text-analysis tools.</w:t>
            </w:r>
          </w:p>
        </w:tc>
        <w:tc>
          <w:tcPr>
            <w:tcW w:w="2027" w:type="dxa"/>
            <w:tcBorders>
              <w:top w:val="single" w:color="auto" w:sz="4" w:space="0"/>
              <w:left w:val="single" w:color="auto" w:sz="4" w:space="0"/>
              <w:bottom w:val="single" w:color="auto" w:sz="4" w:space="0"/>
              <w:right w:val="single" w:color="auto" w:sz="4" w:space="0"/>
            </w:tcBorders>
            <w:vAlign w:val="center"/>
          </w:tcPr>
          <w:p w14:paraId="1FD8F024">
            <w:pPr>
              <w:spacing w:line="360" w:lineRule="auto"/>
              <w:jc w:val="both"/>
              <w:rPr>
                <w:rFonts w:ascii="Arial" w:hAnsi="Arial" w:cs="Arial"/>
              </w:rPr>
            </w:pPr>
            <w:r>
              <w:rPr>
                <w:rFonts w:ascii="Arial" w:hAnsi="Arial" w:cs="Arial"/>
              </w:rPr>
              <w:t>U.S. and U.K. disclosures focus; still small sample size for deep ML fine-tuning.</w:t>
            </w:r>
          </w:p>
        </w:tc>
      </w:tr>
      <w:tr w14:paraId="1FD8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26">
            <w:pPr>
              <w:spacing w:line="360" w:lineRule="auto"/>
              <w:jc w:val="both"/>
              <w:rPr>
                <w:rFonts w:ascii="Arial" w:hAnsi="Arial" w:cs="Arial"/>
              </w:rPr>
            </w:pPr>
            <w:r>
              <w:rPr>
                <w:rFonts w:ascii="Arial" w:hAnsi="Arial" w:cs="Arial"/>
              </w:rPr>
              <w:t>14</w:t>
            </w:r>
          </w:p>
        </w:tc>
        <w:tc>
          <w:tcPr>
            <w:tcW w:w="1389" w:type="dxa"/>
            <w:tcBorders>
              <w:top w:val="single" w:color="auto" w:sz="4" w:space="0"/>
              <w:left w:val="single" w:color="auto" w:sz="4" w:space="0"/>
              <w:bottom w:val="single" w:color="auto" w:sz="4" w:space="0"/>
              <w:right w:val="single" w:color="auto" w:sz="4" w:space="0"/>
            </w:tcBorders>
            <w:vAlign w:val="center"/>
          </w:tcPr>
          <w:p w14:paraId="1FD8F027">
            <w:pPr>
              <w:spacing w:line="360" w:lineRule="auto"/>
              <w:jc w:val="both"/>
              <w:rPr>
                <w:rFonts w:ascii="Arial" w:hAnsi="Arial" w:cs="Arial"/>
              </w:rPr>
            </w:pPr>
            <w:r>
              <w:rPr>
                <w:rFonts w:ascii="Arial" w:hAnsi="Arial" w:cs="Arial"/>
              </w:rPr>
              <w:t>NLP</w:t>
            </w:r>
          </w:p>
        </w:tc>
        <w:tc>
          <w:tcPr>
            <w:tcW w:w="3253" w:type="dxa"/>
            <w:tcBorders>
              <w:top w:val="single" w:color="auto" w:sz="4" w:space="0"/>
              <w:left w:val="single" w:color="auto" w:sz="4" w:space="0"/>
              <w:bottom w:val="single" w:color="auto" w:sz="4" w:space="0"/>
              <w:right w:val="single" w:color="auto" w:sz="4" w:space="0"/>
            </w:tcBorders>
            <w:vAlign w:val="center"/>
          </w:tcPr>
          <w:p w14:paraId="1FD8F028">
            <w:pPr>
              <w:spacing w:line="360" w:lineRule="auto"/>
              <w:jc w:val="both"/>
              <w:rPr>
                <w:rFonts w:ascii="Arial" w:hAnsi="Arial" w:cs="Arial"/>
                <w:color w:val="EE0000"/>
              </w:rPr>
            </w:pPr>
            <w:r>
              <w:rPr>
                <w:rFonts w:ascii="Arial" w:hAnsi="Arial" w:cs="Arial"/>
                <w:color w:val="000000" w:themeColor="text1"/>
                <w14:textFill>
                  <w14:solidFill>
                    <w14:schemeClr w14:val="tx1"/>
                  </w14:solidFill>
                </w14:textFill>
              </w:rPr>
              <w:t xml:space="preserve">Tetlock, P. C. (2007). Giving content to investor sentiment: The role of media in the stock market. </w:t>
            </w:r>
            <w:r>
              <w:rPr>
                <w:rFonts w:ascii="Arial" w:hAnsi="Arial" w:cs="Arial"/>
                <w:i/>
                <w:iCs/>
                <w:color w:val="000000" w:themeColor="text1"/>
                <w14:textFill>
                  <w14:solidFill>
                    <w14:schemeClr w14:val="tx1"/>
                  </w14:solidFill>
                </w14:textFill>
              </w:rPr>
              <w:t>Journal of Finance, 62(3),</w:t>
            </w:r>
            <w:r>
              <w:rPr>
                <w:rFonts w:ascii="Arial" w:hAnsi="Arial" w:cs="Arial"/>
                <w:color w:val="000000" w:themeColor="text1"/>
                <w14:textFill>
                  <w14:solidFill>
                    <w14:schemeClr w14:val="tx1"/>
                  </w14:solidFill>
                </w14:textFill>
              </w:rPr>
              <w:t xml:space="preserve"> 1139–1168. </w:t>
            </w:r>
            <w:r>
              <w:fldChar w:fldCharType="begin"/>
            </w:r>
            <w:r>
              <w:instrText xml:space="preserve"> HYPERLINK "https://doi.org/10.1111/j.1540-6261.2007.01232.x" </w:instrText>
            </w:r>
            <w:r>
              <w:fldChar w:fldCharType="separate"/>
            </w:r>
            <w:r>
              <w:rPr>
                <w:rStyle w:val="17"/>
                <w:rFonts w:ascii="Arial" w:hAnsi="Arial" w:cs="Arial"/>
              </w:rPr>
              <w:t>https://doi.org/10.1111/j.1540-6261.2007.01232.x</w:t>
            </w:r>
            <w:r>
              <w:rPr>
                <w:rStyle w:val="17"/>
                <w:rFonts w:ascii="Arial" w:hAnsi="Arial" w:cs="Arial"/>
              </w:rPr>
              <w:fldChar w:fldCharType="end"/>
            </w:r>
            <w:r>
              <w:rPr>
                <w:rFonts w:ascii="Arial" w:hAnsi="Arial" w:cs="Arial"/>
                <w:color w:val="000000" w:themeColor="text1"/>
                <w14:textFill>
                  <w14:solidFill>
                    <w14:schemeClr w14:val="tx1"/>
                  </w14:solidFill>
                </w14:textFil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F029">
            <w:pPr>
              <w:spacing w:line="360" w:lineRule="auto"/>
              <w:jc w:val="both"/>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NLP using negative–positive word dictionaries shows that pessimistic language in financial news predicts downward market reactions.</w:t>
            </w:r>
          </w:p>
        </w:tc>
        <w:tc>
          <w:tcPr>
            <w:tcW w:w="2027" w:type="dxa"/>
            <w:tcBorders>
              <w:top w:val="single" w:color="auto" w:sz="4" w:space="0"/>
              <w:left w:val="single" w:color="auto" w:sz="4" w:space="0"/>
              <w:bottom w:val="single" w:color="auto" w:sz="4" w:space="0"/>
              <w:right w:val="single" w:color="auto" w:sz="4" w:space="0"/>
            </w:tcBorders>
            <w:vAlign w:val="center"/>
          </w:tcPr>
          <w:p w14:paraId="1FD8F02A">
            <w:pPr>
              <w:spacing w:line="360" w:lineRule="auto"/>
              <w:jc w:val="both"/>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Uses simple dictionary-based NLP; cannot detect complex linguistic nuances (context, multi-word expressions).</w:t>
            </w:r>
          </w:p>
        </w:tc>
      </w:tr>
      <w:tr w14:paraId="1FD8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2C">
            <w:pPr>
              <w:spacing w:line="360" w:lineRule="auto"/>
              <w:jc w:val="both"/>
              <w:rPr>
                <w:rFonts w:ascii="Arial" w:hAnsi="Arial" w:cs="Arial"/>
              </w:rPr>
            </w:pPr>
            <w:r>
              <w:rPr>
                <w:rFonts w:ascii="Arial" w:hAnsi="Arial" w:cs="Arial"/>
              </w:rPr>
              <w:t>15</w:t>
            </w:r>
          </w:p>
        </w:tc>
        <w:tc>
          <w:tcPr>
            <w:tcW w:w="1389" w:type="dxa"/>
            <w:tcBorders>
              <w:top w:val="single" w:color="auto" w:sz="4" w:space="0"/>
              <w:left w:val="single" w:color="auto" w:sz="4" w:space="0"/>
              <w:bottom w:val="single" w:color="auto" w:sz="4" w:space="0"/>
              <w:right w:val="single" w:color="auto" w:sz="4" w:space="0"/>
            </w:tcBorders>
            <w:vAlign w:val="center"/>
          </w:tcPr>
          <w:p w14:paraId="1FD8F02D">
            <w:pPr>
              <w:spacing w:line="360" w:lineRule="auto"/>
              <w:jc w:val="both"/>
              <w:rPr>
                <w:rFonts w:ascii="Arial" w:hAnsi="Arial" w:cs="Arial"/>
              </w:rPr>
            </w:pPr>
            <w:r>
              <w:rPr>
                <w:rFonts w:ascii="Arial" w:hAnsi="Arial" w:cs="Arial"/>
              </w:rPr>
              <w:t>NLP</w:t>
            </w:r>
          </w:p>
        </w:tc>
        <w:tc>
          <w:tcPr>
            <w:tcW w:w="3253" w:type="dxa"/>
            <w:tcBorders>
              <w:top w:val="single" w:color="auto" w:sz="4" w:space="0"/>
              <w:left w:val="single" w:color="auto" w:sz="4" w:space="0"/>
              <w:bottom w:val="single" w:color="auto" w:sz="4" w:space="0"/>
              <w:right w:val="single" w:color="auto" w:sz="4" w:space="0"/>
            </w:tcBorders>
            <w:vAlign w:val="center"/>
          </w:tcPr>
          <w:p w14:paraId="1FD8F02E">
            <w:pPr>
              <w:spacing w:line="360" w:lineRule="auto"/>
              <w:jc w:val="both"/>
              <w:rPr>
                <w:rFonts w:ascii="Arial" w:hAnsi="Arial" w:cs="Arial"/>
              </w:rPr>
            </w:pPr>
            <w:r>
              <w:rPr>
                <w:rFonts w:ascii="Arial" w:hAnsi="Arial" w:cs="Arial"/>
              </w:rPr>
              <w:t xml:space="preserve">Li, F. (2010). The information content of forward-looking statements in corporate filings—A naïve Bayesian machine-learning approach. Journal of Accounting Research, 48(5), 1049–1102. </w:t>
            </w:r>
            <w:r>
              <w:fldChar w:fldCharType="begin"/>
            </w:r>
            <w:r>
              <w:instrText xml:space="preserve"> HYPERLINK "https://doi.org/10.1111/j.1475-679X.2010.00382.x" </w:instrText>
            </w:r>
            <w:r>
              <w:fldChar w:fldCharType="separate"/>
            </w:r>
            <w:r>
              <w:rPr>
                <w:rStyle w:val="17"/>
                <w:rFonts w:ascii="Arial" w:hAnsi="Arial" w:cs="Arial"/>
              </w:rPr>
              <w:t>https://doi.org/10.1111/j.1475-679X.2010.00382.x</w:t>
            </w:r>
            <w:r>
              <w:rPr>
                <w:rStyle w:val="17"/>
                <w:rFonts w:ascii="Arial" w:hAnsi="Arial" w:cs="Arial"/>
              </w:rPr>
              <w:fldChar w:fldCharType="end"/>
            </w:r>
            <w:r>
              <w:rPr>
                <w:rFonts w:ascii="Arial" w:hAnsi="Arial" w:cs="Aria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F02F">
            <w:pPr>
              <w:spacing w:line="360" w:lineRule="auto"/>
              <w:jc w:val="both"/>
              <w:rPr>
                <w:rFonts w:ascii="Arial" w:hAnsi="Arial" w:cs="Arial"/>
              </w:rPr>
            </w:pPr>
            <w:r>
              <w:rPr>
                <w:rFonts w:ascii="Arial" w:hAnsi="Arial" w:cs="Arial"/>
              </w:rPr>
              <w:t>Forward-looking statements in filings (textual disclosures) have predictive content for firm performance/returns.</w:t>
            </w:r>
          </w:p>
        </w:tc>
        <w:tc>
          <w:tcPr>
            <w:tcW w:w="2027" w:type="dxa"/>
            <w:tcBorders>
              <w:top w:val="single" w:color="auto" w:sz="4" w:space="0"/>
              <w:left w:val="single" w:color="auto" w:sz="4" w:space="0"/>
              <w:bottom w:val="single" w:color="auto" w:sz="4" w:space="0"/>
              <w:right w:val="single" w:color="auto" w:sz="4" w:space="0"/>
            </w:tcBorders>
            <w:vAlign w:val="center"/>
          </w:tcPr>
          <w:p w14:paraId="1FD8F030">
            <w:pPr>
              <w:spacing w:line="360" w:lineRule="auto"/>
              <w:jc w:val="both"/>
              <w:rPr>
                <w:rFonts w:ascii="Arial" w:hAnsi="Arial" w:cs="Arial"/>
              </w:rPr>
            </w:pPr>
            <w:r>
              <w:rPr>
                <w:rFonts w:ascii="Arial" w:hAnsi="Arial" w:cs="Arial"/>
              </w:rPr>
              <w:t>Based on older ML methods; does not use modern deep</w:t>
            </w:r>
            <w:r>
              <w:rPr>
                <w:rFonts w:ascii="Cambria Math" w:hAnsi="Cambria Math" w:cs="Cambria Math"/>
              </w:rPr>
              <w:t>‐</w:t>
            </w:r>
            <w:r>
              <w:rPr>
                <w:rFonts w:ascii="Arial" w:hAnsi="Arial" w:cs="Arial"/>
              </w:rPr>
              <w:t>learning/NLP techniques.</w:t>
            </w:r>
          </w:p>
        </w:tc>
      </w:tr>
      <w:tr w14:paraId="1FD8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4" w:hRule="atLeast"/>
        </w:trPr>
        <w:tc>
          <w:tcPr>
            <w:tcW w:w="528" w:type="dxa"/>
            <w:tcBorders>
              <w:top w:val="single" w:color="auto" w:sz="4" w:space="0"/>
              <w:left w:val="single" w:color="auto" w:sz="4" w:space="0"/>
              <w:bottom w:val="single" w:color="auto" w:sz="4" w:space="0"/>
              <w:right w:val="single" w:color="auto" w:sz="4" w:space="0"/>
            </w:tcBorders>
            <w:vAlign w:val="center"/>
          </w:tcPr>
          <w:p w14:paraId="1FD8F032">
            <w:pPr>
              <w:spacing w:line="360" w:lineRule="auto"/>
              <w:jc w:val="both"/>
              <w:rPr>
                <w:rFonts w:ascii="Arial" w:hAnsi="Arial" w:cs="Arial"/>
              </w:rPr>
            </w:pPr>
            <w:r>
              <w:rPr>
                <w:rFonts w:ascii="Arial" w:hAnsi="Arial" w:cs="Arial"/>
              </w:rPr>
              <w:t>16</w:t>
            </w:r>
          </w:p>
        </w:tc>
        <w:tc>
          <w:tcPr>
            <w:tcW w:w="1389" w:type="dxa"/>
            <w:tcBorders>
              <w:top w:val="single" w:color="auto" w:sz="4" w:space="0"/>
              <w:left w:val="single" w:color="auto" w:sz="4" w:space="0"/>
              <w:bottom w:val="single" w:color="auto" w:sz="4" w:space="0"/>
              <w:right w:val="single" w:color="auto" w:sz="4" w:space="0"/>
            </w:tcBorders>
            <w:vAlign w:val="center"/>
          </w:tcPr>
          <w:p w14:paraId="1FD8F033">
            <w:pPr>
              <w:spacing w:line="360" w:lineRule="auto"/>
              <w:jc w:val="both"/>
              <w:rPr>
                <w:rFonts w:ascii="Arial" w:hAnsi="Arial" w:cs="Arial"/>
                <w:color w:val="EE0000"/>
              </w:rPr>
            </w:pPr>
            <w:r>
              <w:rPr>
                <w:rFonts w:ascii="Arial" w:hAnsi="Arial" w:cs="Arial"/>
              </w:rPr>
              <w:t>Neural Network</w:t>
            </w:r>
          </w:p>
        </w:tc>
        <w:tc>
          <w:tcPr>
            <w:tcW w:w="3253" w:type="dxa"/>
            <w:tcBorders>
              <w:top w:val="single" w:color="auto" w:sz="4" w:space="0"/>
              <w:left w:val="single" w:color="auto" w:sz="4" w:space="0"/>
              <w:bottom w:val="single" w:color="auto" w:sz="4" w:space="0"/>
              <w:right w:val="single" w:color="auto" w:sz="4" w:space="0"/>
            </w:tcBorders>
            <w:vAlign w:val="center"/>
          </w:tcPr>
          <w:p w14:paraId="1FD8F034">
            <w:pPr>
              <w:spacing w:line="360" w:lineRule="auto"/>
              <w:jc w:val="both"/>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 xml:space="preserve">Kraus, M., &amp; Feuerriegel, S. (2017). Decision support from financial disclosures with deep neural networks and transfer learning. </w:t>
            </w:r>
            <w:r>
              <w:rPr>
                <w:rFonts w:ascii="Arial" w:hAnsi="Arial" w:cs="Arial"/>
                <w:i/>
                <w:iCs/>
                <w:color w:val="000000" w:themeColor="text1"/>
                <w14:textFill>
                  <w14:solidFill>
                    <w14:schemeClr w14:val="tx1"/>
                  </w14:solidFill>
                </w14:textFill>
              </w:rPr>
              <w:t>Decision Support Systems, 104,</w:t>
            </w:r>
            <w:r>
              <w:rPr>
                <w:rFonts w:ascii="Arial" w:hAnsi="Arial" w:cs="Arial"/>
                <w:color w:val="000000" w:themeColor="text1"/>
                <w14:textFill>
                  <w14:solidFill>
                    <w14:schemeClr w14:val="tx1"/>
                  </w14:solidFill>
                </w14:textFill>
              </w:rPr>
              <w:t xml:space="preserve"> 38–48. https://doi.org/10.1016/j.dss.2017.10.001</w:t>
            </w:r>
          </w:p>
        </w:tc>
        <w:tc>
          <w:tcPr>
            <w:tcW w:w="2520" w:type="dxa"/>
            <w:tcBorders>
              <w:top w:val="single" w:color="auto" w:sz="4" w:space="0"/>
              <w:left w:val="single" w:color="auto" w:sz="4" w:space="0"/>
              <w:bottom w:val="single" w:color="auto" w:sz="4" w:space="0"/>
              <w:right w:val="single" w:color="auto" w:sz="4" w:space="0"/>
            </w:tcBorders>
            <w:vAlign w:val="center"/>
          </w:tcPr>
          <w:p w14:paraId="1FD8F035">
            <w:pPr>
              <w:spacing w:line="360" w:lineRule="auto"/>
              <w:jc w:val="both"/>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Deep neural networks applied to annual report text improve prediction of financial outcomes compared to traditional models, showing that NN-based NLP can extract useful signals from corporate disclosures.</w:t>
            </w:r>
          </w:p>
        </w:tc>
        <w:tc>
          <w:tcPr>
            <w:tcW w:w="2027" w:type="dxa"/>
            <w:tcBorders>
              <w:top w:val="single" w:color="auto" w:sz="4" w:space="0"/>
              <w:left w:val="single" w:color="auto" w:sz="4" w:space="0"/>
              <w:bottom w:val="single" w:color="auto" w:sz="4" w:space="0"/>
              <w:right w:val="single" w:color="auto" w:sz="4" w:space="0"/>
            </w:tcBorders>
            <w:vAlign w:val="center"/>
          </w:tcPr>
          <w:p w14:paraId="1FD8F036">
            <w:pPr>
              <w:spacing w:line="360" w:lineRule="auto"/>
              <w:jc w:val="both"/>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Requires large amounts of labeled text; model behaves like a “black box,” which limits interpretability for regulators and auditors.</w:t>
            </w:r>
          </w:p>
        </w:tc>
      </w:tr>
      <w:tr w14:paraId="1FD8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38">
            <w:pPr>
              <w:spacing w:line="360" w:lineRule="auto"/>
              <w:jc w:val="both"/>
              <w:rPr>
                <w:rFonts w:ascii="Arial" w:hAnsi="Arial" w:cs="Arial"/>
              </w:rPr>
            </w:pPr>
            <w:r>
              <w:rPr>
                <w:rFonts w:ascii="Arial" w:hAnsi="Arial" w:cs="Arial"/>
              </w:rPr>
              <w:t>17</w:t>
            </w:r>
          </w:p>
        </w:tc>
        <w:tc>
          <w:tcPr>
            <w:tcW w:w="1389" w:type="dxa"/>
            <w:tcBorders>
              <w:top w:val="single" w:color="auto" w:sz="4" w:space="0"/>
              <w:left w:val="single" w:color="auto" w:sz="4" w:space="0"/>
              <w:bottom w:val="single" w:color="auto" w:sz="4" w:space="0"/>
              <w:right w:val="single" w:color="auto" w:sz="4" w:space="0"/>
            </w:tcBorders>
            <w:vAlign w:val="center"/>
          </w:tcPr>
          <w:p w14:paraId="1FD8F039">
            <w:pPr>
              <w:spacing w:line="360" w:lineRule="auto"/>
              <w:jc w:val="both"/>
              <w:rPr>
                <w:rFonts w:ascii="Arial" w:hAnsi="Arial" w:cs="Arial"/>
              </w:rPr>
            </w:pPr>
            <w:r>
              <w:rPr>
                <w:rFonts w:ascii="Arial" w:hAnsi="Arial" w:cs="Arial"/>
              </w:rPr>
              <w:t>Expert System</w:t>
            </w:r>
          </w:p>
        </w:tc>
        <w:tc>
          <w:tcPr>
            <w:tcW w:w="3253" w:type="dxa"/>
            <w:tcBorders>
              <w:top w:val="single" w:color="auto" w:sz="4" w:space="0"/>
              <w:left w:val="single" w:color="auto" w:sz="4" w:space="0"/>
              <w:bottom w:val="single" w:color="auto" w:sz="4" w:space="0"/>
              <w:right w:val="single" w:color="auto" w:sz="4" w:space="0"/>
            </w:tcBorders>
            <w:vAlign w:val="center"/>
          </w:tcPr>
          <w:p w14:paraId="1FD8F03A">
            <w:pPr>
              <w:spacing w:line="360" w:lineRule="auto"/>
              <w:jc w:val="both"/>
              <w:rPr>
                <w:rFonts w:ascii="Arial" w:hAnsi="Arial" w:cs="Arial"/>
                <w:highlight w:val="magenta"/>
              </w:rPr>
            </w:pPr>
            <w:r>
              <w:rPr>
                <w:rFonts w:ascii="Arial" w:hAnsi="Arial" w:cs="Arial"/>
              </w:rPr>
              <w:t>Issa, H., Sun, T., &amp; Vasarhelyi, M. A. (2016). Research ideas for artificial intelligence in auditing: The formalization of audit and workforce supplementation. Journal of Emerging Technologies in Accounting, 13(2), 1–20. https://doi.org/10.2308/jeta-10511</w:t>
            </w:r>
          </w:p>
        </w:tc>
        <w:tc>
          <w:tcPr>
            <w:tcW w:w="2520" w:type="dxa"/>
            <w:tcBorders>
              <w:top w:val="single" w:color="auto" w:sz="4" w:space="0"/>
              <w:left w:val="single" w:color="auto" w:sz="4" w:space="0"/>
              <w:bottom w:val="single" w:color="auto" w:sz="4" w:space="0"/>
              <w:right w:val="single" w:color="auto" w:sz="4" w:space="0"/>
            </w:tcBorders>
            <w:vAlign w:val="center"/>
          </w:tcPr>
          <w:p w14:paraId="1FD8F03B">
            <w:pPr>
              <w:spacing w:line="360" w:lineRule="auto"/>
              <w:jc w:val="both"/>
              <w:rPr>
                <w:rFonts w:ascii="Arial" w:hAnsi="Arial" w:cs="Arial"/>
              </w:rPr>
            </w:pPr>
            <w:r>
              <w:rPr>
                <w:rFonts w:ascii="Arial" w:hAnsi="Arial" w:cs="Arial"/>
              </w:rPr>
              <w:t>Expert-system-based rule automation can support auditors in analytical procedures and anomaly detection.</w:t>
            </w:r>
          </w:p>
        </w:tc>
        <w:tc>
          <w:tcPr>
            <w:tcW w:w="2027" w:type="dxa"/>
            <w:tcBorders>
              <w:top w:val="single" w:color="auto" w:sz="4" w:space="0"/>
              <w:left w:val="single" w:color="auto" w:sz="4" w:space="0"/>
              <w:bottom w:val="single" w:color="auto" w:sz="4" w:space="0"/>
              <w:right w:val="single" w:color="auto" w:sz="4" w:space="0"/>
            </w:tcBorders>
            <w:vAlign w:val="center"/>
          </w:tcPr>
          <w:p w14:paraId="1FD8F03C">
            <w:pPr>
              <w:spacing w:line="360" w:lineRule="auto"/>
              <w:jc w:val="both"/>
              <w:rPr>
                <w:rFonts w:ascii="Arial" w:hAnsi="Arial" w:cs="Arial"/>
              </w:rPr>
            </w:pPr>
            <w:r>
              <w:rPr>
                <w:rFonts w:ascii="Arial" w:hAnsi="Arial" w:cs="Arial"/>
              </w:rPr>
              <w:t>Expert systems struggle with unstructured tasks; limited scalability compared to ML-based methods.</w:t>
            </w:r>
          </w:p>
        </w:tc>
      </w:tr>
      <w:tr w14:paraId="1FD8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4" w:hRule="atLeast"/>
        </w:trPr>
        <w:tc>
          <w:tcPr>
            <w:tcW w:w="528" w:type="dxa"/>
            <w:tcBorders>
              <w:top w:val="single" w:color="auto" w:sz="4" w:space="0"/>
              <w:left w:val="single" w:color="auto" w:sz="4" w:space="0"/>
              <w:bottom w:val="single" w:color="auto" w:sz="4" w:space="0"/>
              <w:right w:val="single" w:color="auto" w:sz="4" w:space="0"/>
            </w:tcBorders>
            <w:vAlign w:val="center"/>
          </w:tcPr>
          <w:p w14:paraId="1FD8F03E">
            <w:pPr>
              <w:spacing w:line="360" w:lineRule="auto"/>
              <w:jc w:val="both"/>
              <w:rPr>
                <w:rFonts w:ascii="Arial" w:hAnsi="Arial" w:cs="Arial"/>
              </w:rPr>
            </w:pPr>
            <w:r>
              <w:rPr>
                <w:rFonts w:ascii="Arial" w:hAnsi="Arial" w:cs="Arial"/>
              </w:rPr>
              <w:t>18</w:t>
            </w:r>
          </w:p>
        </w:tc>
        <w:tc>
          <w:tcPr>
            <w:tcW w:w="1389" w:type="dxa"/>
            <w:tcBorders>
              <w:top w:val="single" w:color="auto" w:sz="4" w:space="0"/>
              <w:left w:val="single" w:color="auto" w:sz="4" w:space="0"/>
              <w:bottom w:val="single" w:color="auto" w:sz="4" w:space="0"/>
              <w:right w:val="single" w:color="auto" w:sz="4" w:space="0"/>
            </w:tcBorders>
            <w:vAlign w:val="center"/>
          </w:tcPr>
          <w:p w14:paraId="1FD8F03F">
            <w:pPr>
              <w:spacing w:line="360" w:lineRule="auto"/>
              <w:jc w:val="both"/>
              <w:rPr>
                <w:rFonts w:ascii="Arial" w:hAnsi="Arial" w:cs="Arial"/>
              </w:rPr>
            </w:pPr>
            <w:r>
              <w:rPr>
                <w:rFonts w:ascii="Arial" w:hAnsi="Arial" w:cs="Arial"/>
              </w:rPr>
              <w:t>Expert System</w:t>
            </w:r>
          </w:p>
        </w:tc>
        <w:tc>
          <w:tcPr>
            <w:tcW w:w="3253" w:type="dxa"/>
            <w:tcBorders>
              <w:top w:val="single" w:color="auto" w:sz="4" w:space="0"/>
              <w:left w:val="single" w:color="auto" w:sz="4" w:space="0"/>
              <w:bottom w:val="single" w:color="auto" w:sz="4" w:space="0"/>
              <w:right w:val="single" w:color="auto" w:sz="4" w:space="0"/>
            </w:tcBorders>
            <w:vAlign w:val="center"/>
          </w:tcPr>
          <w:p w14:paraId="1FD8F040">
            <w:pPr>
              <w:spacing w:line="360" w:lineRule="auto"/>
              <w:jc w:val="both"/>
              <w:rPr>
                <w:rFonts w:ascii="Arial" w:hAnsi="Arial" w:cs="Arial"/>
              </w:rPr>
            </w:pPr>
            <w:r>
              <w:rPr>
                <w:rFonts w:ascii="Arial" w:hAnsi="Arial" w:cs="Arial"/>
              </w:rPr>
              <w:t xml:space="preserve">O’Leary, D. E., &amp; O’Keefe, R. M. (1997). The impact of artificial intelligence in accounting work: Expert systems use in auditing and tax. </w:t>
            </w:r>
            <w:r>
              <w:rPr>
                <w:rFonts w:ascii="Arial" w:hAnsi="Arial" w:cs="Arial"/>
                <w:i/>
                <w:iCs/>
              </w:rPr>
              <w:t>AI &amp; Society, 11(1–2),</w:t>
            </w:r>
            <w:r>
              <w:rPr>
                <w:rFonts w:ascii="Arial" w:hAnsi="Arial" w:cs="Arial"/>
              </w:rPr>
              <w:t xml:space="preserve"> 36–47. https://doi.org/10.1007/BF02812437</w:t>
            </w:r>
          </w:p>
        </w:tc>
        <w:tc>
          <w:tcPr>
            <w:tcW w:w="2520" w:type="dxa"/>
            <w:tcBorders>
              <w:top w:val="single" w:color="auto" w:sz="4" w:space="0"/>
              <w:left w:val="single" w:color="auto" w:sz="4" w:space="0"/>
              <w:bottom w:val="single" w:color="auto" w:sz="4" w:space="0"/>
              <w:right w:val="single" w:color="auto" w:sz="4" w:space="0"/>
            </w:tcBorders>
            <w:vAlign w:val="center"/>
          </w:tcPr>
          <w:p w14:paraId="1FD8F041">
            <w:pPr>
              <w:spacing w:line="360" w:lineRule="auto"/>
              <w:jc w:val="both"/>
              <w:rPr>
                <w:rFonts w:ascii="Arial" w:hAnsi="Arial" w:cs="Arial"/>
              </w:rPr>
            </w:pPr>
            <w:r>
              <w:rPr>
                <w:rFonts w:ascii="Arial" w:hAnsi="Arial" w:cs="Arial"/>
              </w:rPr>
              <w:t>Reviews early expert systems used in auditing and tax, showing they can support complex judgment tasks, improve consistency, and enhance efficiency in audit and tax decision-making.</w:t>
            </w:r>
          </w:p>
        </w:tc>
        <w:tc>
          <w:tcPr>
            <w:tcW w:w="2027" w:type="dxa"/>
            <w:tcBorders>
              <w:top w:val="single" w:color="auto" w:sz="4" w:space="0"/>
              <w:left w:val="single" w:color="auto" w:sz="4" w:space="0"/>
              <w:bottom w:val="single" w:color="auto" w:sz="4" w:space="0"/>
              <w:right w:val="single" w:color="auto" w:sz="4" w:space="0"/>
            </w:tcBorders>
            <w:vAlign w:val="center"/>
          </w:tcPr>
          <w:p w14:paraId="1FD8F042">
            <w:pPr>
              <w:spacing w:line="360" w:lineRule="auto"/>
              <w:jc w:val="both"/>
              <w:rPr>
                <w:rFonts w:ascii="Arial" w:hAnsi="Arial" w:cs="Arial"/>
              </w:rPr>
            </w:pPr>
            <w:r>
              <w:rPr>
                <w:rFonts w:ascii="Arial" w:hAnsi="Arial" w:cs="Arial"/>
              </w:rPr>
              <w:t>Based on early expert systems from the 1980s–1990s; technology is outdated compared to modern AI, and evidence is mainly descriptive rather than large-sample empirical.</w:t>
            </w:r>
          </w:p>
        </w:tc>
      </w:tr>
      <w:tr w14:paraId="1FD8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44">
            <w:pPr>
              <w:spacing w:line="360" w:lineRule="auto"/>
              <w:jc w:val="both"/>
              <w:rPr>
                <w:rFonts w:ascii="Arial" w:hAnsi="Arial" w:cs="Arial"/>
              </w:rPr>
            </w:pPr>
            <w:r>
              <w:rPr>
                <w:rFonts w:ascii="Arial" w:hAnsi="Arial" w:cs="Arial"/>
              </w:rPr>
              <w:t>19</w:t>
            </w:r>
          </w:p>
        </w:tc>
        <w:tc>
          <w:tcPr>
            <w:tcW w:w="1389" w:type="dxa"/>
            <w:tcBorders>
              <w:top w:val="single" w:color="auto" w:sz="4" w:space="0"/>
              <w:left w:val="single" w:color="auto" w:sz="4" w:space="0"/>
              <w:bottom w:val="single" w:color="auto" w:sz="4" w:space="0"/>
              <w:right w:val="single" w:color="auto" w:sz="4" w:space="0"/>
            </w:tcBorders>
            <w:vAlign w:val="center"/>
          </w:tcPr>
          <w:p w14:paraId="1FD8F045">
            <w:pPr>
              <w:spacing w:line="360" w:lineRule="auto"/>
              <w:jc w:val="both"/>
              <w:rPr>
                <w:rFonts w:ascii="Arial" w:hAnsi="Arial" w:cs="Arial"/>
              </w:rPr>
            </w:pPr>
            <w:r>
              <w:rPr>
                <w:rFonts w:ascii="Arial" w:hAnsi="Arial" w:cs="Arial"/>
              </w:rPr>
              <w:t>Automation</w:t>
            </w:r>
          </w:p>
        </w:tc>
        <w:tc>
          <w:tcPr>
            <w:tcW w:w="3253" w:type="dxa"/>
            <w:tcBorders>
              <w:top w:val="single" w:color="auto" w:sz="4" w:space="0"/>
              <w:left w:val="single" w:color="auto" w:sz="4" w:space="0"/>
              <w:bottom w:val="single" w:color="auto" w:sz="4" w:space="0"/>
              <w:right w:val="single" w:color="auto" w:sz="4" w:space="0"/>
            </w:tcBorders>
            <w:vAlign w:val="center"/>
          </w:tcPr>
          <w:p w14:paraId="1FD8F046">
            <w:pPr>
              <w:spacing w:line="360" w:lineRule="auto"/>
              <w:jc w:val="both"/>
              <w:rPr>
                <w:rFonts w:ascii="Arial" w:hAnsi="Arial" w:cs="Arial"/>
              </w:rPr>
            </w:pPr>
            <w:r>
              <w:rPr>
                <w:rFonts w:ascii="Arial" w:hAnsi="Arial" w:cs="Arial"/>
              </w:rPr>
              <w:t xml:space="preserve">Moll, J., &amp; Yigitbasioglu, O. (2019). The role of internet technologies in shaping management accounting. </w:t>
            </w:r>
            <w:r>
              <w:rPr>
                <w:rFonts w:ascii="Arial" w:hAnsi="Arial" w:cs="Arial"/>
                <w:i/>
                <w:iCs/>
              </w:rPr>
              <w:t>British Accounting Review, 51</w:t>
            </w:r>
            <w:r>
              <w:rPr>
                <w:rFonts w:ascii="Arial" w:hAnsi="Arial" w:cs="Arial"/>
              </w:rPr>
              <w:t xml:space="preserve">(6), 100833. </w:t>
            </w:r>
            <w:r>
              <w:fldChar w:fldCharType="begin"/>
            </w:r>
            <w:r>
              <w:instrText xml:space="preserve"> HYPERLINK "https://doi.org/10.1016/j.bar.2019.04.002" </w:instrText>
            </w:r>
            <w:r>
              <w:fldChar w:fldCharType="separate"/>
            </w:r>
            <w:r>
              <w:rPr>
                <w:rStyle w:val="17"/>
                <w:rFonts w:ascii="Arial" w:hAnsi="Arial" w:cs="Arial"/>
              </w:rPr>
              <w:t>https://doi.org/10.1016/j.bar.2019.04.002</w:t>
            </w:r>
            <w:r>
              <w:rPr>
                <w:rStyle w:val="17"/>
                <w:rFonts w:ascii="Arial" w:hAnsi="Arial" w:cs="Arial"/>
              </w:rPr>
              <w:fldChar w:fldCharType="end"/>
            </w:r>
          </w:p>
        </w:tc>
        <w:tc>
          <w:tcPr>
            <w:tcW w:w="2520" w:type="dxa"/>
            <w:tcBorders>
              <w:top w:val="single" w:color="auto" w:sz="4" w:space="0"/>
              <w:left w:val="single" w:color="auto" w:sz="4" w:space="0"/>
              <w:bottom w:val="single" w:color="auto" w:sz="4" w:space="0"/>
              <w:right w:val="single" w:color="auto" w:sz="4" w:space="0"/>
            </w:tcBorders>
            <w:vAlign w:val="center"/>
          </w:tcPr>
          <w:p w14:paraId="1FD8F047">
            <w:pPr>
              <w:spacing w:line="360" w:lineRule="auto"/>
              <w:jc w:val="both"/>
              <w:rPr>
                <w:rFonts w:ascii="Arial" w:hAnsi="Arial" w:cs="Arial"/>
              </w:rPr>
            </w:pPr>
            <w:r>
              <w:rPr>
                <w:rFonts w:ascii="Arial" w:hAnsi="Arial" w:cs="Arial"/>
              </w:rPr>
              <w:t>Internet-based technologies (automation, big data, blockchain) are transforming management accounting practices and decision-making roles.</w:t>
            </w:r>
          </w:p>
        </w:tc>
        <w:tc>
          <w:tcPr>
            <w:tcW w:w="2027" w:type="dxa"/>
            <w:tcBorders>
              <w:top w:val="single" w:color="auto" w:sz="4" w:space="0"/>
              <w:left w:val="single" w:color="auto" w:sz="4" w:space="0"/>
              <w:bottom w:val="single" w:color="auto" w:sz="4" w:space="0"/>
              <w:right w:val="single" w:color="auto" w:sz="4" w:space="0"/>
            </w:tcBorders>
            <w:vAlign w:val="center"/>
          </w:tcPr>
          <w:p w14:paraId="1FD8F048">
            <w:pPr>
              <w:spacing w:line="360" w:lineRule="auto"/>
              <w:jc w:val="both"/>
              <w:rPr>
                <w:rFonts w:ascii="Arial" w:hAnsi="Arial" w:cs="Arial"/>
              </w:rPr>
            </w:pPr>
            <w:r>
              <w:rPr>
                <w:rFonts w:ascii="Arial" w:hAnsi="Arial" w:cs="Arial"/>
              </w:rPr>
              <w:t>Conceptual review; lacks empirical testing of actual automation adoption and outcomes.</w:t>
            </w:r>
          </w:p>
        </w:tc>
      </w:tr>
      <w:tr w14:paraId="1FD8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4A">
            <w:pPr>
              <w:spacing w:line="360" w:lineRule="auto"/>
              <w:jc w:val="both"/>
              <w:rPr>
                <w:rFonts w:ascii="Arial" w:hAnsi="Arial" w:cs="Arial"/>
              </w:rPr>
            </w:pPr>
            <w:r>
              <w:rPr>
                <w:rFonts w:ascii="Arial" w:hAnsi="Arial" w:cs="Arial"/>
              </w:rPr>
              <w:t>20</w:t>
            </w:r>
          </w:p>
        </w:tc>
        <w:tc>
          <w:tcPr>
            <w:tcW w:w="1389" w:type="dxa"/>
            <w:tcBorders>
              <w:top w:val="single" w:color="auto" w:sz="4" w:space="0"/>
              <w:left w:val="single" w:color="auto" w:sz="4" w:space="0"/>
              <w:bottom w:val="single" w:color="auto" w:sz="4" w:space="0"/>
              <w:right w:val="single" w:color="auto" w:sz="4" w:space="0"/>
            </w:tcBorders>
            <w:vAlign w:val="center"/>
          </w:tcPr>
          <w:p w14:paraId="1FD8F04B">
            <w:pPr>
              <w:spacing w:line="360" w:lineRule="auto"/>
              <w:jc w:val="both"/>
              <w:rPr>
                <w:rFonts w:ascii="Arial" w:hAnsi="Arial" w:cs="Arial"/>
              </w:rPr>
            </w:pPr>
            <w:r>
              <w:rPr>
                <w:rFonts w:ascii="Arial" w:hAnsi="Arial" w:cs="Arial"/>
              </w:rPr>
              <w:t>Automation</w:t>
            </w:r>
          </w:p>
        </w:tc>
        <w:tc>
          <w:tcPr>
            <w:tcW w:w="3253" w:type="dxa"/>
            <w:tcBorders>
              <w:top w:val="single" w:color="auto" w:sz="4" w:space="0"/>
              <w:left w:val="single" w:color="auto" w:sz="4" w:space="0"/>
              <w:bottom w:val="single" w:color="auto" w:sz="4" w:space="0"/>
              <w:right w:val="single" w:color="auto" w:sz="4" w:space="0"/>
            </w:tcBorders>
            <w:vAlign w:val="center"/>
          </w:tcPr>
          <w:p w14:paraId="1FD8F04C">
            <w:pPr>
              <w:spacing w:line="360" w:lineRule="auto"/>
              <w:jc w:val="both"/>
              <w:rPr>
                <w:rFonts w:ascii="Arial" w:hAnsi="Arial" w:cs="Arial"/>
              </w:rPr>
            </w:pPr>
            <w:r>
              <w:rPr>
                <w:rFonts w:ascii="Arial" w:hAnsi="Arial" w:cs="Arial"/>
              </w:rPr>
              <w:t xml:space="preserve">Kokina, J., &amp; Davenport, T. H. (2017). The emergence of artificial intelligence: How automation is changing auditing. </w:t>
            </w:r>
            <w:r>
              <w:rPr>
                <w:rFonts w:ascii="Arial" w:hAnsi="Arial" w:cs="Arial"/>
                <w:i/>
                <w:iCs/>
              </w:rPr>
              <w:t>Journal of Emerging Technologies in Accounting</w:t>
            </w:r>
            <w:r>
              <w:rPr>
                <w:rFonts w:ascii="Arial" w:hAnsi="Arial" w:cs="Arial"/>
              </w:rPr>
              <w:t xml:space="preserve">, 14(1), 115–122. </w:t>
            </w:r>
            <w:r>
              <w:fldChar w:fldCharType="begin"/>
            </w:r>
            <w:r>
              <w:instrText xml:space="preserve"> HYPERLINK "https://doi.org/10.2308/jeta-51730" </w:instrText>
            </w:r>
            <w:r>
              <w:fldChar w:fldCharType="separate"/>
            </w:r>
            <w:r>
              <w:rPr>
                <w:rStyle w:val="17"/>
                <w:rFonts w:ascii="Arial" w:hAnsi="Arial" w:cs="Arial"/>
              </w:rPr>
              <w:t>https://doi.org/10.2308/jeta-51730</w:t>
            </w:r>
            <w:r>
              <w:rPr>
                <w:rStyle w:val="17"/>
                <w:rFonts w:ascii="Arial" w:hAnsi="Arial" w:cs="Arial"/>
              </w:rPr>
              <w:fldChar w:fldCharType="end"/>
            </w:r>
            <w:r>
              <w:rPr>
                <w:rFonts w:ascii="Arial" w:hAnsi="Arial" w:cs="Aria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F04D">
            <w:pPr>
              <w:spacing w:line="360" w:lineRule="auto"/>
              <w:jc w:val="both"/>
              <w:rPr>
                <w:rFonts w:ascii="Arial" w:hAnsi="Arial" w:cs="Arial"/>
              </w:rPr>
            </w:pPr>
            <w:r>
              <w:rPr>
                <w:rFonts w:ascii="Arial" w:hAnsi="Arial" w:cs="Arial"/>
              </w:rPr>
              <w:t>Automation and AI reshape audit processes by reducing repetitive manual tasks, but auditors’ trust and acceptance remain slow due to concerns about reliability and professional judgment.</w:t>
            </w:r>
          </w:p>
        </w:tc>
        <w:tc>
          <w:tcPr>
            <w:tcW w:w="2027" w:type="dxa"/>
            <w:tcBorders>
              <w:top w:val="single" w:color="auto" w:sz="4" w:space="0"/>
              <w:left w:val="single" w:color="auto" w:sz="4" w:space="0"/>
              <w:bottom w:val="single" w:color="auto" w:sz="4" w:space="0"/>
              <w:right w:val="single" w:color="auto" w:sz="4" w:space="0"/>
            </w:tcBorders>
            <w:vAlign w:val="center"/>
          </w:tcPr>
          <w:p w14:paraId="1FD8F04E">
            <w:pPr>
              <w:spacing w:line="360" w:lineRule="auto"/>
              <w:jc w:val="both"/>
              <w:rPr>
                <w:rFonts w:ascii="Arial" w:hAnsi="Arial" w:cs="Arial"/>
              </w:rPr>
            </w:pPr>
            <w:r>
              <w:rPr>
                <w:rFonts w:ascii="Arial" w:hAnsi="Arial" w:cs="Arial"/>
              </w:rPr>
              <w:t>Conceptual; based on industry observations, not a large empirical dataset.</w:t>
            </w:r>
          </w:p>
        </w:tc>
      </w:tr>
      <w:tr w14:paraId="1FD8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50">
            <w:pPr>
              <w:spacing w:line="360" w:lineRule="auto"/>
              <w:jc w:val="both"/>
              <w:rPr>
                <w:rFonts w:ascii="Arial" w:hAnsi="Arial" w:cs="Arial"/>
              </w:rPr>
            </w:pPr>
            <w:r>
              <w:rPr>
                <w:rFonts w:ascii="Arial" w:hAnsi="Arial" w:cs="Arial"/>
              </w:rPr>
              <w:t>21</w:t>
            </w:r>
          </w:p>
        </w:tc>
        <w:tc>
          <w:tcPr>
            <w:tcW w:w="1389" w:type="dxa"/>
            <w:tcBorders>
              <w:top w:val="single" w:color="auto" w:sz="4" w:space="0"/>
              <w:left w:val="single" w:color="auto" w:sz="4" w:space="0"/>
              <w:bottom w:val="single" w:color="auto" w:sz="4" w:space="0"/>
              <w:right w:val="single" w:color="auto" w:sz="4" w:space="0"/>
            </w:tcBorders>
            <w:vAlign w:val="center"/>
          </w:tcPr>
          <w:p w14:paraId="1FD8F051">
            <w:pPr>
              <w:spacing w:line="360" w:lineRule="auto"/>
              <w:jc w:val="both"/>
              <w:rPr>
                <w:rFonts w:ascii="Arial" w:hAnsi="Arial" w:cs="Arial"/>
              </w:rPr>
            </w:pPr>
            <w:r>
              <w:rPr>
                <w:rFonts w:ascii="Arial" w:hAnsi="Arial" w:cs="Arial"/>
              </w:rPr>
              <w:t>Analytics</w:t>
            </w:r>
          </w:p>
        </w:tc>
        <w:tc>
          <w:tcPr>
            <w:tcW w:w="3253" w:type="dxa"/>
            <w:tcBorders>
              <w:top w:val="single" w:color="auto" w:sz="4" w:space="0"/>
              <w:left w:val="single" w:color="auto" w:sz="4" w:space="0"/>
              <w:bottom w:val="single" w:color="auto" w:sz="4" w:space="0"/>
              <w:right w:val="single" w:color="auto" w:sz="4" w:space="0"/>
            </w:tcBorders>
            <w:vAlign w:val="center"/>
          </w:tcPr>
          <w:p w14:paraId="1FD8F052">
            <w:pPr>
              <w:spacing w:line="360" w:lineRule="auto"/>
              <w:jc w:val="both"/>
              <w:rPr>
                <w:rFonts w:ascii="Arial" w:hAnsi="Arial" w:cs="Arial"/>
                <w:highlight w:val="magenta"/>
              </w:rPr>
            </w:pPr>
            <w:r>
              <w:rPr>
                <w:rFonts w:ascii="Arial" w:hAnsi="Arial" w:cs="Arial"/>
              </w:rPr>
              <w:t xml:space="preserve">Gao, R., Huang, S., &amp; Wang, R. (2020). Data analytics and audit quality. </w:t>
            </w:r>
            <w:r>
              <w:rPr>
                <w:rFonts w:ascii="Arial" w:hAnsi="Arial" w:cs="Arial"/>
                <w:i/>
                <w:iCs/>
              </w:rPr>
              <w:t>SSRN Electronic Journal</w:t>
            </w:r>
            <w:r>
              <w:rPr>
                <w:rFonts w:ascii="Arial" w:hAnsi="Arial" w:cs="Arial"/>
              </w:rPr>
              <w:t xml:space="preserve">. </w:t>
            </w:r>
            <w:r>
              <w:fldChar w:fldCharType="begin"/>
            </w:r>
            <w:r>
              <w:instrText xml:space="preserve"> HYPERLINK "https://doi.org/10.2139/ssrn.3928355" </w:instrText>
            </w:r>
            <w:r>
              <w:fldChar w:fldCharType="separate"/>
            </w:r>
            <w:r>
              <w:rPr>
                <w:rStyle w:val="17"/>
                <w:rFonts w:ascii="Arial" w:hAnsi="Arial" w:cs="Arial"/>
              </w:rPr>
              <w:t>https://doi.org/10.2139/ssrn.3928355</w:t>
            </w:r>
            <w:r>
              <w:rPr>
                <w:rStyle w:val="17"/>
                <w:rFonts w:ascii="Arial" w:hAnsi="Arial" w:cs="Arial"/>
              </w:rPr>
              <w:fldChar w:fldCharType="end"/>
            </w:r>
            <w:r>
              <w:rPr>
                <w:rFonts w:ascii="Arial" w:hAnsi="Arial" w:cs="Aria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F053">
            <w:pPr>
              <w:spacing w:line="360" w:lineRule="auto"/>
              <w:jc w:val="both"/>
              <w:rPr>
                <w:rFonts w:ascii="Arial" w:hAnsi="Arial" w:cs="Arial"/>
              </w:rPr>
            </w:pPr>
            <w:r>
              <w:rPr>
                <w:rFonts w:ascii="Arial" w:hAnsi="Arial" w:cs="Arial"/>
              </w:rPr>
              <w:t>Using hand-collected data on audit firms’ data-analytics skills, the study finds that investment in data analytics improves audit quality (fewer restatements). The effect is stronger for complex, highly digitalized clients and for difficult accounting estimates.</w:t>
            </w:r>
          </w:p>
        </w:tc>
        <w:tc>
          <w:tcPr>
            <w:tcW w:w="2027" w:type="dxa"/>
            <w:tcBorders>
              <w:top w:val="single" w:color="auto" w:sz="4" w:space="0"/>
              <w:left w:val="single" w:color="auto" w:sz="4" w:space="0"/>
              <w:bottom w:val="single" w:color="auto" w:sz="4" w:space="0"/>
              <w:right w:val="single" w:color="auto" w:sz="4" w:space="0"/>
            </w:tcBorders>
            <w:vAlign w:val="center"/>
          </w:tcPr>
          <w:p w14:paraId="1FD8F054">
            <w:pPr>
              <w:spacing w:line="360" w:lineRule="auto"/>
              <w:jc w:val="both"/>
              <w:rPr>
                <w:rFonts w:ascii="Arial" w:hAnsi="Arial" w:cs="Arial"/>
              </w:rPr>
            </w:pPr>
            <w:r>
              <w:rPr>
                <w:rFonts w:ascii="Arial" w:hAnsi="Arial" w:cs="Arial"/>
              </w:rPr>
              <w:t>Working paper (SSRN), not yet published in a peer-reviewed journal; evidence is from one country/setting.</w:t>
            </w:r>
          </w:p>
        </w:tc>
      </w:tr>
      <w:tr w14:paraId="1FD8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56">
            <w:pPr>
              <w:spacing w:line="360" w:lineRule="auto"/>
              <w:jc w:val="both"/>
              <w:rPr>
                <w:rFonts w:ascii="Arial" w:hAnsi="Arial" w:cs="Arial"/>
              </w:rPr>
            </w:pPr>
            <w:r>
              <w:rPr>
                <w:rFonts w:ascii="Arial" w:hAnsi="Arial" w:cs="Arial"/>
              </w:rPr>
              <w:t>sssssssss22</w:t>
            </w:r>
          </w:p>
        </w:tc>
        <w:tc>
          <w:tcPr>
            <w:tcW w:w="1389" w:type="dxa"/>
            <w:tcBorders>
              <w:top w:val="single" w:color="auto" w:sz="4" w:space="0"/>
              <w:left w:val="single" w:color="auto" w:sz="4" w:space="0"/>
              <w:bottom w:val="single" w:color="auto" w:sz="4" w:space="0"/>
              <w:right w:val="single" w:color="auto" w:sz="4" w:space="0"/>
            </w:tcBorders>
            <w:vAlign w:val="center"/>
          </w:tcPr>
          <w:p w14:paraId="1FD8F057">
            <w:pPr>
              <w:spacing w:line="360" w:lineRule="auto"/>
              <w:jc w:val="both"/>
              <w:rPr>
                <w:rFonts w:ascii="Arial" w:hAnsi="Arial" w:cs="Arial"/>
              </w:rPr>
            </w:pPr>
            <w:r>
              <w:rPr>
                <w:rFonts w:ascii="Arial" w:hAnsi="Arial" w:cs="Arial"/>
              </w:rPr>
              <w:t>Analytics</w:t>
            </w:r>
          </w:p>
        </w:tc>
        <w:tc>
          <w:tcPr>
            <w:tcW w:w="3253" w:type="dxa"/>
            <w:tcBorders>
              <w:top w:val="single" w:color="auto" w:sz="4" w:space="0"/>
              <w:left w:val="single" w:color="auto" w:sz="4" w:space="0"/>
              <w:bottom w:val="single" w:color="auto" w:sz="4" w:space="0"/>
              <w:right w:val="single" w:color="auto" w:sz="4" w:space="0"/>
            </w:tcBorders>
            <w:vAlign w:val="center"/>
          </w:tcPr>
          <w:p w14:paraId="1FD8F058">
            <w:pPr>
              <w:spacing w:line="360" w:lineRule="auto"/>
              <w:jc w:val="both"/>
              <w:rPr>
                <w:rFonts w:ascii="Arial" w:hAnsi="Arial" w:cs="Arial"/>
              </w:rPr>
            </w:pPr>
            <w:r>
              <w:rPr>
                <w:rFonts w:ascii="Arial" w:hAnsi="Arial" w:cs="Arial"/>
              </w:rPr>
              <w:t xml:space="preserve">Dalwai, T., Mohammadi, S. S., Chugh, G., &amp; Somerville, A. (2021). </w:t>
            </w:r>
            <w:r>
              <w:rPr>
                <w:rFonts w:ascii="Arial" w:hAnsi="Arial" w:cs="Arial"/>
                <w:i/>
                <w:iCs/>
              </w:rPr>
              <w:t>Big data analytics and accounting education: A systematic literature review.</w:t>
            </w:r>
            <w:r>
              <w:rPr>
                <w:rFonts w:ascii="Arial" w:hAnsi="Arial" w:cs="Arial"/>
              </w:rPr>
              <w:t xml:space="preserve"> In N. R. Al Mawali, A. M. Al Lawati, &amp; A. S. (Eds.), </w:t>
            </w:r>
            <w:r>
              <w:rPr>
                <w:rFonts w:ascii="Arial" w:hAnsi="Arial" w:cs="Arial"/>
                <w:i/>
                <w:iCs/>
              </w:rPr>
              <w:t>Fourth Industrial Revolution and Business Dynamics</w:t>
            </w:r>
            <w:r>
              <w:rPr>
                <w:rFonts w:ascii="Arial" w:hAnsi="Arial" w:cs="Arial"/>
              </w:rPr>
              <w:t xml:space="preserve"> (pp. 159-174). Springer. https://doi.org/10.1007/978-981-16-3250-1_8</w:t>
            </w:r>
          </w:p>
        </w:tc>
        <w:tc>
          <w:tcPr>
            <w:tcW w:w="2520" w:type="dxa"/>
            <w:tcBorders>
              <w:top w:val="single" w:color="auto" w:sz="4" w:space="0"/>
              <w:left w:val="single" w:color="auto" w:sz="4" w:space="0"/>
              <w:bottom w:val="single" w:color="auto" w:sz="4" w:space="0"/>
              <w:right w:val="single" w:color="auto" w:sz="4" w:space="0"/>
            </w:tcBorders>
            <w:vAlign w:val="center"/>
          </w:tcPr>
          <w:p w14:paraId="1FD8F059">
            <w:pPr>
              <w:spacing w:line="360" w:lineRule="auto"/>
              <w:jc w:val="both"/>
              <w:rPr>
                <w:rFonts w:ascii="Arial" w:hAnsi="Arial" w:cs="Arial"/>
              </w:rPr>
            </w:pPr>
            <w:r>
              <w:rPr>
                <w:rFonts w:ascii="Arial" w:hAnsi="Arial" w:cs="Arial"/>
              </w:rPr>
              <w:t>Big data analytics (BDA) and accounting education is limited and fragmented. The progress is uneven across fields, especially in auditing (as usage is not compulsory)</w:t>
            </w:r>
          </w:p>
        </w:tc>
        <w:tc>
          <w:tcPr>
            <w:tcW w:w="2027" w:type="dxa"/>
            <w:tcBorders>
              <w:top w:val="single" w:color="auto" w:sz="4" w:space="0"/>
              <w:left w:val="single" w:color="auto" w:sz="4" w:space="0"/>
              <w:bottom w:val="single" w:color="auto" w:sz="4" w:space="0"/>
              <w:right w:val="single" w:color="auto" w:sz="4" w:space="0"/>
            </w:tcBorders>
            <w:vAlign w:val="center"/>
          </w:tcPr>
          <w:p w14:paraId="1FD8F05A">
            <w:pPr>
              <w:spacing w:line="360" w:lineRule="auto"/>
              <w:jc w:val="both"/>
              <w:rPr>
                <w:rFonts w:ascii="Arial" w:hAnsi="Arial" w:cs="Arial"/>
              </w:rPr>
            </w:pPr>
            <w:r>
              <w:rPr>
                <w:rFonts w:ascii="Arial" w:hAnsi="Arial" w:cs="Arial"/>
              </w:rPr>
              <w:t>Much of the available research is conceptual rather than empirical, which restricts strong conclusions about educational outcomes</w:t>
            </w:r>
          </w:p>
        </w:tc>
      </w:tr>
      <w:tr w14:paraId="1FD8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5C">
            <w:pPr>
              <w:spacing w:line="360" w:lineRule="auto"/>
              <w:jc w:val="both"/>
              <w:rPr>
                <w:rFonts w:ascii="Arial" w:hAnsi="Arial" w:cs="Arial"/>
              </w:rPr>
            </w:pPr>
            <w:r>
              <w:rPr>
                <w:rFonts w:ascii="Arial" w:hAnsi="Arial" w:cs="Arial"/>
              </w:rPr>
              <w:t>23</w:t>
            </w:r>
          </w:p>
        </w:tc>
        <w:tc>
          <w:tcPr>
            <w:tcW w:w="1389" w:type="dxa"/>
            <w:tcBorders>
              <w:top w:val="single" w:color="auto" w:sz="4" w:space="0"/>
              <w:left w:val="single" w:color="auto" w:sz="4" w:space="0"/>
              <w:bottom w:val="single" w:color="auto" w:sz="4" w:space="0"/>
              <w:right w:val="single" w:color="auto" w:sz="4" w:space="0"/>
            </w:tcBorders>
            <w:vAlign w:val="center"/>
          </w:tcPr>
          <w:p w14:paraId="1FD8F05D">
            <w:pPr>
              <w:spacing w:line="360" w:lineRule="auto"/>
              <w:jc w:val="both"/>
              <w:rPr>
                <w:rFonts w:ascii="Arial" w:hAnsi="Arial" w:cs="Arial"/>
              </w:rPr>
            </w:pPr>
            <w:r>
              <w:rPr>
                <w:rFonts w:ascii="Arial" w:hAnsi="Arial" w:cs="Arial"/>
              </w:rPr>
              <w:t>Big Data</w:t>
            </w:r>
          </w:p>
        </w:tc>
        <w:tc>
          <w:tcPr>
            <w:tcW w:w="3253" w:type="dxa"/>
            <w:tcBorders>
              <w:top w:val="single" w:color="auto" w:sz="4" w:space="0"/>
              <w:left w:val="single" w:color="auto" w:sz="4" w:space="0"/>
              <w:bottom w:val="single" w:color="auto" w:sz="4" w:space="0"/>
              <w:right w:val="single" w:color="auto" w:sz="4" w:space="0"/>
            </w:tcBorders>
            <w:vAlign w:val="center"/>
          </w:tcPr>
          <w:p w14:paraId="1FD8F05E">
            <w:pPr>
              <w:spacing w:line="360" w:lineRule="auto"/>
              <w:jc w:val="both"/>
              <w:rPr>
                <w:rFonts w:ascii="Arial" w:hAnsi="Arial" w:cs="Arial"/>
              </w:rPr>
            </w:pPr>
            <w:r>
              <w:rPr>
                <w:rFonts w:ascii="Arial" w:hAnsi="Arial" w:cs="Arial"/>
              </w:rPr>
              <w:t xml:space="preserve">Yoon, K., Hoogduin, L., &amp; Zhang, L. (2015). </w:t>
            </w:r>
            <w:r>
              <w:rPr>
                <w:rFonts w:ascii="Arial" w:hAnsi="Arial" w:cs="Arial"/>
                <w:i/>
                <w:iCs/>
              </w:rPr>
              <w:t>Big data as complementary audit evidence.</w:t>
            </w:r>
            <w:r>
              <w:rPr>
                <w:rFonts w:ascii="Arial" w:hAnsi="Arial" w:cs="Arial"/>
              </w:rPr>
              <w:t xml:space="preserve"> </w:t>
            </w:r>
            <w:r>
              <w:rPr>
                <w:rFonts w:ascii="Arial" w:hAnsi="Arial" w:cs="Arial"/>
                <w:i/>
                <w:iCs/>
              </w:rPr>
              <w:t>Accounting Horizons, 29</w:t>
            </w:r>
            <w:r>
              <w:rPr>
                <w:rFonts w:ascii="Arial" w:hAnsi="Arial" w:cs="Arial"/>
              </w:rPr>
              <w:t>(2), 431-438. https://doi.org/10.2308/acch-51076</w:t>
            </w:r>
          </w:p>
        </w:tc>
        <w:tc>
          <w:tcPr>
            <w:tcW w:w="2520" w:type="dxa"/>
            <w:tcBorders>
              <w:top w:val="single" w:color="auto" w:sz="4" w:space="0"/>
              <w:left w:val="single" w:color="auto" w:sz="4" w:space="0"/>
              <w:bottom w:val="single" w:color="auto" w:sz="4" w:space="0"/>
              <w:right w:val="single" w:color="auto" w:sz="4" w:space="0"/>
            </w:tcBorders>
            <w:vAlign w:val="center"/>
          </w:tcPr>
          <w:p w14:paraId="1FD8F05F">
            <w:pPr>
              <w:spacing w:line="360" w:lineRule="auto"/>
              <w:jc w:val="both"/>
              <w:rPr>
                <w:rFonts w:ascii="Arial" w:hAnsi="Arial" w:cs="Arial"/>
              </w:rPr>
            </w:pPr>
            <w:r>
              <w:rPr>
                <w:rFonts w:ascii="Arial" w:hAnsi="Arial" w:cs="Arial"/>
              </w:rPr>
              <w:t xml:space="preserve">The authors argue that Big Data can serve as </w:t>
            </w:r>
            <w:r>
              <w:rPr>
                <w:rFonts w:ascii="Arial" w:hAnsi="Arial" w:cs="Arial"/>
                <w:b/>
                <w:bCs/>
              </w:rPr>
              <w:t>complementary audit evidence</w:t>
            </w:r>
            <w:r>
              <w:rPr>
                <w:rFonts w:ascii="Arial" w:hAnsi="Arial" w:cs="Arial"/>
              </w:rPr>
              <w:t>, enhancing audit sufficiency (via large volumes/variety) and relevance (through timely/non-traditional data).</w:t>
            </w:r>
          </w:p>
        </w:tc>
        <w:tc>
          <w:tcPr>
            <w:tcW w:w="2027" w:type="dxa"/>
            <w:tcBorders>
              <w:top w:val="single" w:color="auto" w:sz="4" w:space="0"/>
              <w:left w:val="single" w:color="auto" w:sz="4" w:space="0"/>
              <w:bottom w:val="single" w:color="auto" w:sz="4" w:space="0"/>
              <w:right w:val="single" w:color="auto" w:sz="4" w:space="0"/>
            </w:tcBorders>
            <w:vAlign w:val="center"/>
          </w:tcPr>
          <w:p w14:paraId="1FD8F060">
            <w:pPr>
              <w:spacing w:line="360" w:lineRule="auto"/>
              <w:jc w:val="both"/>
              <w:rPr>
                <w:rFonts w:ascii="Arial" w:hAnsi="Arial" w:cs="Arial"/>
              </w:rPr>
            </w:pPr>
            <w:r>
              <w:rPr>
                <w:rFonts w:ascii="Arial" w:hAnsi="Arial" w:cs="Arial"/>
              </w:rPr>
              <w:t>The paper is conceptual rather than empirical: no field data on actual audit engagements using Big Data were presented.</w:t>
            </w:r>
          </w:p>
        </w:tc>
      </w:tr>
      <w:tr w14:paraId="1FD8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62">
            <w:pPr>
              <w:spacing w:line="360" w:lineRule="auto"/>
              <w:jc w:val="both"/>
              <w:rPr>
                <w:rFonts w:ascii="Arial" w:hAnsi="Arial" w:cs="Arial"/>
              </w:rPr>
            </w:pPr>
            <w:r>
              <w:rPr>
                <w:rFonts w:ascii="Arial" w:hAnsi="Arial" w:cs="Arial"/>
              </w:rPr>
              <w:t>24</w:t>
            </w:r>
          </w:p>
        </w:tc>
        <w:tc>
          <w:tcPr>
            <w:tcW w:w="1389" w:type="dxa"/>
            <w:tcBorders>
              <w:top w:val="single" w:color="auto" w:sz="4" w:space="0"/>
              <w:left w:val="single" w:color="auto" w:sz="4" w:space="0"/>
              <w:bottom w:val="single" w:color="auto" w:sz="4" w:space="0"/>
              <w:right w:val="single" w:color="auto" w:sz="4" w:space="0"/>
            </w:tcBorders>
            <w:vAlign w:val="center"/>
          </w:tcPr>
          <w:p w14:paraId="1FD8F063">
            <w:pPr>
              <w:spacing w:line="360" w:lineRule="auto"/>
              <w:jc w:val="both"/>
              <w:rPr>
                <w:rFonts w:ascii="Arial" w:hAnsi="Arial" w:cs="Arial"/>
              </w:rPr>
            </w:pPr>
            <w:r>
              <w:rPr>
                <w:rFonts w:ascii="Arial" w:hAnsi="Arial" w:cs="Arial"/>
              </w:rPr>
              <w:t>Big Data</w:t>
            </w:r>
          </w:p>
        </w:tc>
        <w:tc>
          <w:tcPr>
            <w:tcW w:w="3253" w:type="dxa"/>
            <w:tcBorders>
              <w:top w:val="single" w:color="auto" w:sz="4" w:space="0"/>
              <w:left w:val="single" w:color="auto" w:sz="4" w:space="0"/>
              <w:bottom w:val="single" w:color="auto" w:sz="4" w:space="0"/>
              <w:right w:val="single" w:color="auto" w:sz="4" w:space="0"/>
            </w:tcBorders>
            <w:vAlign w:val="center"/>
          </w:tcPr>
          <w:p w14:paraId="1FD8F064">
            <w:pPr>
              <w:spacing w:line="360" w:lineRule="auto"/>
              <w:jc w:val="both"/>
              <w:rPr>
                <w:rFonts w:ascii="Arial" w:hAnsi="Arial" w:cs="Arial"/>
              </w:rPr>
            </w:pPr>
            <w:r>
              <w:rPr>
                <w:rFonts w:ascii="Arial" w:hAnsi="Arial" w:cs="Arial"/>
              </w:rPr>
              <w:t xml:space="preserve">Cao, M., Chychyla, R., &amp; Stewart, T. (2015). Big data analytics in financial statement audits. </w:t>
            </w:r>
            <w:r>
              <w:rPr>
                <w:rFonts w:ascii="Arial" w:hAnsi="Arial" w:cs="Arial"/>
                <w:i/>
                <w:iCs/>
              </w:rPr>
              <w:t>Accounting Horizons, 29</w:t>
            </w:r>
            <w:r>
              <w:rPr>
                <w:rFonts w:ascii="Arial" w:hAnsi="Arial" w:cs="Arial"/>
              </w:rPr>
              <w:t xml:space="preserve">(2), 423–429. </w:t>
            </w:r>
            <w:r>
              <w:fldChar w:fldCharType="begin"/>
            </w:r>
            <w:r>
              <w:instrText xml:space="preserve"> HYPERLINK "https://doi.org/10.2308/acch-51068" </w:instrText>
            </w:r>
            <w:r>
              <w:fldChar w:fldCharType="separate"/>
            </w:r>
            <w:r>
              <w:rPr>
                <w:rStyle w:val="17"/>
                <w:rFonts w:ascii="Arial" w:hAnsi="Arial" w:cs="Arial"/>
              </w:rPr>
              <w:t>https://doi.org/10.2308/acch-51068</w:t>
            </w:r>
            <w:r>
              <w:rPr>
                <w:rStyle w:val="17"/>
                <w:rFonts w:ascii="Arial" w:hAnsi="Arial" w:cs="Arial"/>
              </w:rPr>
              <w:fldChar w:fldCharType="end"/>
            </w:r>
          </w:p>
        </w:tc>
        <w:tc>
          <w:tcPr>
            <w:tcW w:w="2520" w:type="dxa"/>
            <w:tcBorders>
              <w:top w:val="single" w:color="auto" w:sz="4" w:space="0"/>
              <w:left w:val="single" w:color="auto" w:sz="4" w:space="0"/>
              <w:bottom w:val="single" w:color="auto" w:sz="4" w:space="0"/>
              <w:right w:val="single" w:color="auto" w:sz="4" w:space="0"/>
            </w:tcBorders>
            <w:vAlign w:val="center"/>
          </w:tcPr>
          <w:p w14:paraId="1FD8F065">
            <w:pPr>
              <w:spacing w:line="360" w:lineRule="auto"/>
              <w:jc w:val="both"/>
              <w:rPr>
                <w:rFonts w:ascii="Arial" w:hAnsi="Arial" w:cs="Arial"/>
              </w:rPr>
            </w:pPr>
            <w:r>
              <w:rPr>
                <w:rFonts w:ascii="Arial" w:hAnsi="Arial" w:cs="Arial"/>
              </w:rPr>
              <w:t>Big data analytics improves audit effectiveness &amp; efficiency by enabling comprehensive ledger-level testing and anomaly detection.</w:t>
            </w:r>
          </w:p>
        </w:tc>
        <w:tc>
          <w:tcPr>
            <w:tcW w:w="2027" w:type="dxa"/>
            <w:tcBorders>
              <w:top w:val="single" w:color="auto" w:sz="4" w:space="0"/>
              <w:left w:val="single" w:color="auto" w:sz="4" w:space="0"/>
              <w:bottom w:val="single" w:color="auto" w:sz="4" w:space="0"/>
              <w:right w:val="single" w:color="auto" w:sz="4" w:space="0"/>
            </w:tcBorders>
            <w:vAlign w:val="center"/>
          </w:tcPr>
          <w:p w14:paraId="1FD8F066">
            <w:pPr>
              <w:spacing w:line="360" w:lineRule="auto"/>
              <w:jc w:val="both"/>
              <w:rPr>
                <w:rFonts w:ascii="Arial" w:hAnsi="Arial" w:cs="Arial"/>
              </w:rPr>
            </w:pPr>
            <w:r>
              <w:rPr>
                <w:rFonts w:ascii="Arial" w:hAnsi="Arial" w:cs="Arial"/>
              </w:rPr>
              <w:t>Case/firm-based discussion; significant cost/resources needed for implementation; focuses on structured data rather than full unstructured universe.</w:t>
            </w:r>
          </w:p>
        </w:tc>
      </w:tr>
      <w:tr w14:paraId="1FD8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dxa"/>
            <w:tcBorders>
              <w:top w:val="single" w:color="auto" w:sz="4" w:space="0"/>
              <w:left w:val="single" w:color="auto" w:sz="4" w:space="0"/>
              <w:bottom w:val="single" w:color="auto" w:sz="4" w:space="0"/>
              <w:right w:val="single" w:color="auto" w:sz="4" w:space="0"/>
            </w:tcBorders>
            <w:vAlign w:val="center"/>
          </w:tcPr>
          <w:p w14:paraId="1FD8F068">
            <w:pPr>
              <w:spacing w:after="0" w:line="360" w:lineRule="auto"/>
              <w:jc w:val="both"/>
              <w:rPr>
                <w:rFonts w:ascii="Arial" w:hAnsi="Arial" w:cs="Arial"/>
              </w:rPr>
            </w:pPr>
            <w:r>
              <w:rPr>
                <w:rFonts w:ascii="Arial" w:hAnsi="Arial" w:cs="Arial"/>
              </w:rPr>
              <w:t>25</w:t>
            </w:r>
          </w:p>
        </w:tc>
        <w:tc>
          <w:tcPr>
            <w:tcW w:w="1389" w:type="dxa"/>
            <w:tcBorders>
              <w:top w:val="single" w:color="auto" w:sz="4" w:space="0"/>
              <w:left w:val="single" w:color="auto" w:sz="4" w:space="0"/>
              <w:bottom w:val="single" w:color="auto" w:sz="4" w:space="0"/>
              <w:right w:val="single" w:color="auto" w:sz="4" w:space="0"/>
            </w:tcBorders>
            <w:vAlign w:val="center"/>
          </w:tcPr>
          <w:p w14:paraId="1FD8F069">
            <w:pPr>
              <w:spacing w:after="0" w:line="360" w:lineRule="auto"/>
              <w:jc w:val="both"/>
              <w:rPr>
                <w:rFonts w:ascii="Arial" w:hAnsi="Arial" w:cs="Arial"/>
              </w:rPr>
            </w:pPr>
            <w:r>
              <w:rPr>
                <w:rFonts w:ascii="Arial" w:hAnsi="Arial" w:cs="Arial"/>
              </w:rPr>
              <w:t>Big Data</w:t>
            </w:r>
          </w:p>
        </w:tc>
        <w:tc>
          <w:tcPr>
            <w:tcW w:w="3253" w:type="dxa"/>
            <w:tcBorders>
              <w:top w:val="single" w:color="auto" w:sz="4" w:space="0"/>
              <w:left w:val="single" w:color="auto" w:sz="4" w:space="0"/>
              <w:bottom w:val="single" w:color="auto" w:sz="4" w:space="0"/>
              <w:right w:val="single" w:color="auto" w:sz="4" w:space="0"/>
            </w:tcBorders>
            <w:vAlign w:val="center"/>
          </w:tcPr>
          <w:p w14:paraId="1FD8F06A">
            <w:pPr>
              <w:spacing w:after="0" w:line="360" w:lineRule="auto"/>
              <w:jc w:val="both"/>
              <w:rPr>
                <w:rFonts w:ascii="Arial" w:hAnsi="Arial" w:cs="Arial"/>
              </w:rPr>
            </w:pPr>
            <w:r>
              <w:rPr>
                <w:rFonts w:ascii="Arial" w:hAnsi="Arial" w:cs="Arial"/>
              </w:rPr>
              <w:t>Warren, J. D., Moffitt, K. C., &amp; Byrnes, P. (2015). How big data will change accounting</w:t>
            </w:r>
            <w:r>
              <w:rPr>
                <w:rFonts w:ascii="Arial" w:hAnsi="Arial" w:cs="Arial"/>
                <w:i/>
                <w:iCs/>
              </w:rPr>
              <w:t>.</w:t>
            </w:r>
            <w:r>
              <w:rPr>
                <w:rFonts w:ascii="Arial" w:hAnsi="Arial" w:cs="Arial"/>
              </w:rPr>
              <w:t xml:space="preserve"> </w:t>
            </w:r>
            <w:r>
              <w:rPr>
                <w:rFonts w:ascii="Arial" w:hAnsi="Arial" w:cs="Arial"/>
                <w:i/>
                <w:iCs/>
              </w:rPr>
              <w:t>Accounting Horizons, 29</w:t>
            </w:r>
            <w:r>
              <w:rPr>
                <w:rFonts w:ascii="Arial" w:hAnsi="Arial" w:cs="Arial"/>
              </w:rPr>
              <w:t xml:space="preserve">(2), 397-407. </w:t>
            </w:r>
            <w:r>
              <w:fldChar w:fldCharType="begin"/>
            </w:r>
            <w:r>
              <w:instrText xml:space="preserve"> HYPERLINK "https://doi.org/10.2308/acch-51069" </w:instrText>
            </w:r>
            <w:r>
              <w:fldChar w:fldCharType="separate"/>
            </w:r>
            <w:r>
              <w:rPr>
                <w:rStyle w:val="17"/>
                <w:rFonts w:ascii="Arial" w:hAnsi="Arial" w:cs="Arial"/>
              </w:rPr>
              <w:t>https://doi.org/10.2308/acch-51069</w:t>
            </w:r>
            <w:r>
              <w:rPr>
                <w:rStyle w:val="17"/>
                <w:rFonts w:ascii="Arial" w:hAnsi="Arial" w:cs="Arial"/>
              </w:rPr>
              <w:fldChar w:fldCharType="end"/>
            </w:r>
            <w:r>
              <w:rPr>
                <w:rFonts w:ascii="Arial" w:hAnsi="Arial" w:cs="Arial"/>
              </w:rPr>
              <w:t xml:space="preserve"> </w:t>
            </w:r>
          </w:p>
        </w:tc>
        <w:tc>
          <w:tcPr>
            <w:tcW w:w="2520" w:type="dxa"/>
            <w:tcBorders>
              <w:top w:val="single" w:color="auto" w:sz="4" w:space="0"/>
              <w:left w:val="single" w:color="auto" w:sz="4" w:space="0"/>
              <w:bottom w:val="single" w:color="auto" w:sz="4" w:space="0"/>
              <w:right w:val="single" w:color="auto" w:sz="4" w:space="0"/>
            </w:tcBorders>
            <w:vAlign w:val="center"/>
          </w:tcPr>
          <w:p w14:paraId="1FD8F06B">
            <w:pPr>
              <w:spacing w:after="0" w:line="360" w:lineRule="auto"/>
              <w:jc w:val="both"/>
              <w:rPr>
                <w:rFonts w:ascii="Arial" w:hAnsi="Arial" w:cs="Arial"/>
              </w:rPr>
            </w:pPr>
            <w:r>
              <w:rPr>
                <w:rFonts w:ascii="Arial" w:hAnsi="Arial" w:cs="Arial"/>
              </w:rPr>
              <w:t>Argues that big data (including video, audio, textual, large volume/nonfinancial data) will significantly affect managerial accounting, financial accounting and reporting: e.g., improve quality and relevance of information, enhance decision-making, assist in standard setting.</w:t>
            </w:r>
          </w:p>
          <w:p w14:paraId="1FD8F06C">
            <w:pPr>
              <w:spacing w:after="0" w:line="360" w:lineRule="auto"/>
              <w:jc w:val="both"/>
              <w:rPr>
                <w:rFonts w:ascii="Arial" w:hAnsi="Arial" w:cs="Arial"/>
              </w:rPr>
            </w:pPr>
          </w:p>
        </w:tc>
        <w:tc>
          <w:tcPr>
            <w:tcW w:w="2027" w:type="dxa"/>
            <w:tcBorders>
              <w:top w:val="single" w:color="auto" w:sz="4" w:space="0"/>
              <w:left w:val="single" w:color="auto" w:sz="4" w:space="0"/>
              <w:bottom w:val="single" w:color="auto" w:sz="4" w:space="0"/>
              <w:right w:val="single" w:color="auto" w:sz="4" w:space="0"/>
            </w:tcBorders>
            <w:vAlign w:val="center"/>
          </w:tcPr>
          <w:p w14:paraId="1FD8F06D">
            <w:pPr>
              <w:spacing w:after="0" w:line="360" w:lineRule="auto"/>
              <w:jc w:val="both"/>
              <w:rPr>
                <w:rFonts w:ascii="Arial" w:hAnsi="Arial" w:cs="Arial"/>
              </w:rPr>
            </w:pPr>
            <w:r>
              <w:rPr>
                <w:rFonts w:ascii="Arial" w:hAnsi="Arial" w:cs="Arial"/>
              </w:rPr>
              <w:t>Conceptual in nature (no empirical test). Little on how practitioners are adapting; what are barriers; how actual systems/processes change.</w:t>
            </w:r>
          </w:p>
        </w:tc>
      </w:tr>
      <w:bookmarkEnd w:id="101"/>
    </w:tbl>
    <w:p w14:paraId="1FD8F06F">
      <w:pPr>
        <w:spacing w:line="360" w:lineRule="auto"/>
        <w:jc w:val="both"/>
        <w:rPr>
          <w:rFonts w:ascii="Arial" w:hAnsi="Arial" w:cs="Arial"/>
        </w:rPr>
      </w:pPr>
    </w:p>
    <w:sectPr>
      <w:type w:val="continuous"/>
      <w:pgSz w:w="12240" w:h="15840"/>
      <w:pgMar w:top="1440" w:right="1440" w:bottom="1440" w:left="1440"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iyam Rupali"/>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Siyam Rupali">
    <w:panose1 w:val="02000500000000020004"/>
    <w:charset w:val="00"/>
    <w:family w:val="auto"/>
    <w:pitch w:val="default"/>
    <w:sig w:usb0="80018001" w:usb1="00002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36322"/>
    </w:sdtPr>
    <w:sdtContent>
      <w:p w14:paraId="1FD8F0C0">
        <w:pPr>
          <w:pStyle w:val="15"/>
          <w:jc w:val="right"/>
        </w:pPr>
        <w:r>
          <w:fldChar w:fldCharType="begin"/>
        </w:r>
        <w:r>
          <w:instrText xml:space="preserve"> PAGE   \* MERGEFORMAT </w:instrText>
        </w:r>
        <w:r>
          <w:fldChar w:fldCharType="separate"/>
        </w:r>
        <w:r>
          <w:t>2</w:t>
        </w:r>
        <w:r>
          <w:fldChar w:fldCharType="end"/>
        </w:r>
      </w:p>
    </w:sdtContent>
  </w:sdt>
  <w:p w14:paraId="1FD8F0C1">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8F0BE">
    <w:pPr>
      <w:pStyle w:val="16"/>
    </w:pPr>
  </w:p>
  <w:p w14:paraId="1FD8F0BF">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7F67B6"/>
    <w:multiLevelType w:val="multilevel"/>
    <w:tmpl w:val="157F67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357D43B4"/>
    <w:multiLevelType w:val="multilevel"/>
    <w:tmpl w:val="357D43B4"/>
    <w:lvl w:ilvl="0" w:tentative="0">
      <w:start w:val="1"/>
      <w:numFmt w:val="decimal"/>
      <w:lvlText w:val="%1"/>
      <w:lvlJc w:val="left"/>
      <w:pPr>
        <w:ind w:left="400" w:hanging="400"/>
      </w:pPr>
      <w:rPr>
        <w:rFonts w:hint="default"/>
      </w:rPr>
    </w:lvl>
    <w:lvl w:ilvl="1" w:tentative="0">
      <w:start w:val="3"/>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160" w:hanging="2160"/>
      </w:pPr>
      <w:rPr>
        <w:rFonts w:hint="default"/>
      </w:rPr>
    </w:lvl>
  </w:abstractNum>
  <w:abstractNum w:abstractNumId="2">
    <w:nsid w:val="3A1C08A8"/>
    <w:multiLevelType w:val="multilevel"/>
    <w:tmpl w:val="3A1C08A8"/>
    <w:lvl w:ilvl="0" w:tentative="0">
      <w:start w:val="1"/>
      <w:numFmt w:val="bullet"/>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6F210AD6"/>
    <w:multiLevelType w:val="multilevel"/>
    <w:tmpl w:val="6F210AD6"/>
    <w:lvl w:ilvl="0" w:tentative="0">
      <w:start w:val="1"/>
      <w:numFmt w:val="decimal"/>
      <w:lvlText w:val="%1"/>
      <w:lvlJc w:val="left"/>
      <w:pPr>
        <w:ind w:left="400" w:hanging="400"/>
      </w:pPr>
      <w:rPr>
        <w:rFonts w:hint="default"/>
      </w:rPr>
    </w:lvl>
    <w:lvl w:ilvl="1" w:tentative="0">
      <w:start w:val="2"/>
      <w:numFmt w:val="decimal"/>
      <w:lvlText w:val="%1.%2"/>
      <w:lvlJc w:val="left"/>
      <w:pPr>
        <w:ind w:left="720" w:hanging="72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3240" w:hanging="1080"/>
      </w:pPr>
      <w:rPr>
        <w:rFonts w:hint="default"/>
      </w:rPr>
    </w:lvl>
    <w:lvl w:ilvl="4" w:tentative="0">
      <w:start w:val="1"/>
      <w:numFmt w:val="decimal"/>
      <w:lvlText w:val="%1.%2.%3.%4.%5"/>
      <w:lvlJc w:val="left"/>
      <w:pPr>
        <w:ind w:left="4320" w:hanging="1440"/>
      </w:pPr>
      <w:rPr>
        <w:rFonts w:hint="default"/>
      </w:rPr>
    </w:lvl>
    <w:lvl w:ilvl="5" w:tentative="0">
      <w:start w:val="1"/>
      <w:numFmt w:val="decimal"/>
      <w:lvlText w:val="%1.%2.%3.%4.%5.%6"/>
      <w:lvlJc w:val="left"/>
      <w:pPr>
        <w:ind w:left="5040" w:hanging="1440"/>
      </w:pPr>
      <w:rPr>
        <w:rFonts w:hint="default"/>
      </w:rPr>
    </w:lvl>
    <w:lvl w:ilvl="6" w:tentative="0">
      <w:start w:val="1"/>
      <w:numFmt w:val="decimal"/>
      <w:lvlText w:val="%1.%2.%3.%4.%5.%6.%7"/>
      <w:lvlJc w:val="left"/>
      <w:pPr>
        <w:ind w:left="6120" w:hanging="1800"/>
      </w:pPr>
      <w:rPr>
        <w:rFonts w:hint="default"/>
      </w:rPr>
    </w:lvl>
    <w:lvl w:ilvl="7" w:tentative="0">
      <w:start w:val="1"/>
      <w:numFmt w:val="decimal"/>
      <w:lvlText w:val="%1.%2.%3.%4.%5.%6.%7.%8"/>
      <w:lvlJc w:val="left"/>
      <w:pPr>
        <w:ind w:left="7200" w:hanging="2160"/>
      </w:pPr>
      <w:rPr>
        <w:rFonts w:hint="default"/>
      </w:rPr>
    </w:lvl>
    <w:lvl w:ilvl="8" w:tentative="0">
      <w:start w:val="1"/>
      <w:numFmt w:val="decimal"/>
      <w:lvlText w:val="%1.%2.%3.%4.%5.%6.%7.%8.%9"/>
      <w:lvlJc w:val="left"/>
      <w:pPr>
        <w:ind w:left="7920" w:hanging="2160"/>
      </w:pPr>
      <w:rPr>
        <w:rFonts w:hint="default"/>
      </w:rPr>
    </w:lvl>
  </w:abstractNum>
  <w:num w:numId="1">
    <w:abstractNumId w:val="3"/>
  </w:num>
  <w:num w:numId="2">
    <w:abstractNumId w:val="1"/>
  </w:num>
  <w:num w:numId="3">
    <w:abstractNumId w:val="0"/>
  </w:num>
  <w:num w:numId="4">
    <w:abstractNumId w:val="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BCB"/>
    <w:rsid w:val="00002BA2"/>
    <w:rsid w:val="000416A3"/>
    <w:rsid w:val="000609F0"/>
    <w:rsid w:val="00071FBC"/>
    <w:rsid w:val="000720EA"/>
    <w:rsid w:val="00075255"/>
    <w:rsid w:val="0007561B"/>
    <w:rsid w:val="00085B0B"/>
    <w:rsid w:val="00086601"/>
    <w:rsid w:val="000B3F8C"/>
    <w:rsid w:val="000C4A3A"/>
    <w:rsid w:val="000D368A"/>
    <w:rsid w:val="000E1025"/>
    <w:rsid w:val="00103C26"/>
    <w:rsid w:val="00112E29"/>
    <w:rsid w:val="00114ABF"/>
    <w:rsid w:val="00116C20"/>
    <w:rsid w:val="00142320"/>
    <w:rsid w:val="00156E1E"/>
    <w:rsid w:val="001622DE"/>
    <w:rsid w:val="00165169"/>
    <w:rsid w:val="0016691D"/>
    <w:rsid w:val="00183779"/>
    <w:rsid w:val="00191863"/>
    <w:rsid w:val="00194488"/>
    <w:rsid w:val="001B624B"/>
    <w:rsid w:val="001C6225"/>
    <w:rsid w:val="001C64D8"/>
    <w:rsid w:val="001D5189"/>
    <w:rsid w:val="001E7FE3"/>
    <w:rsid w:val="00204F59"/>
    <w:rsid w:val="0021008C"/>
    <w:rsid w:val="00232679"/>
    <w:rsid w:val="00234DBF"/>
    <w:rsid w:val="00235C08"/>
    <w:rsid w:val="00245D56"/>
    <w:rsid w:val="0026225F"/>
    <w:rsid w:val="0026315E"/>
    <w:rsid w:val="00266D58"/>
    <w:rsid w:val="00280F09"/>
    <w:rsid w:val="00282821"/>
    <w:rsid w:val="002A1452"/>
    <w:rsid w:val="002A7A78"/>
    <w:rsid w:val="002B41A5"/>
    <w:rsid w:val="002C4074"/>
    <w:rsid w:val="002C4812"/>
    <w:rsid w:val="002C71E2"/>
    <w:rsid w:val="002D22CC"/>
    <w:rsid w:val="002D7673"/>
    <w:rsid w:val="002E5C67"/>
    <w:rsid w:val="003007F3"/>
    <w:rsid w:val="00301BFD"/>
    <w:rsid w:val="003200FB"/>
    <w:rsid w:val="003567BC"/>
    <w:rsid w:val="00361382"/>
    <w:rsid w:val="00365BBC"/>
    <w:rsid w:val="00371BF8"/>
    <w:rsid w:val="003933A1"/>
    <w:rsid w:val="00396BCB"/>
    <w:rsid w:val="003A1DB4"/>
    <w:rsid w:val="003B20D4"/>
    <w:rsid w:val="003C0CFF"/>
    <w:rsid w:val="003C1D26"/>
    <w:rsid w:val="003C4B32"/>
    <w:rsid w:val="003F30AE"/>
    <w:rsid w:val="0042580F"/>
    <w:rsid w:val="00427375"/>
    <w:rsid w:val="00446518"/>
    <w:rsid w:val="00446C87"/>
    <w:rsid w:val="004543D8"/>
    <w:rsid w:val="00461F54"/>
    <w:rsid w:val="004830C2"/>
    <w:rsid w:val="00492FA4"/>
    <w:rsid w:val="004971FF"/>
    <w:rsid w:val="00497546"/>
    <w:rsid w:val="004D246A"/>
    <w:rsid w:val="004D5E67"/>
    <w:rsid w:val="004E5936"/>
    <w:rsid w:val="00517C58"/>
    <w:rsid w:val="00522030"/>
    <w:rsid w:val="00542186"/>
    <w:rsid w:val="00543EB7"/>
    <w:rsid w:val="00550729"/>
    <w:rsid w:val="00555CEE"/>
    <w:rsid w:val="005859B7"/>
    <w:rsid w:val="00590F2A"/>
    <w:rsid w:val="005A4521"/>
    <w:rsid w:val="005C3FC4"/>
    <w:rsid w:val="005C5A11"/>
    <w:rsid w:val="005D0A2E"/>
    <w:rsid w:val="005D271F"/>
    <w:rsid w:val="005E62DA"/>
    <w:rsid w:val="005E6A2D"/>
    <w:rsid w:val="006030C1"/>
    <w:rsid w:val="00611DE8"/>
    <w:rsid w:val="006162F7"/>
    <w:rsid w:val="006256F4"/>
    <w:rsid w:val="00626251"/>
    <w:rsid w:val="00631142"/>
    <w:rsid w:val="0065682E"/>
    <w:rsid w:val="00662639"/>
    <w:rsid w:val="00666D61"/>
    <w:rsid w:val="0067785B"/>
    <w:rsid w:val="006803F2"/>
    <w:rsid w:val="0068182B"/>
    <w:rsid w:val="0069618E"/>
    <w:rsid w:val="00697784"/>
    <w:rsid w:val="006A0B90"/>
    <w:rsid w:val="006B57AC"/>
    <w:rsid w:val="006B6FC5"/>
    <w:rsid w:val="006D12A3"/>
    <w:rsid w:val="00703408"/>
    <w:rsid w:val="00705140"/>
    <w:rsid w:val="007057B1"/>
    <w:rsid w:val="007221A4"/>
    <w:rsid w:val="00725E35"/>
    <w:rsid w:val="00741875"/>
    <w:rsid w:val="0075033F"/>
    <w:rsid w:val="00760038"/>
    <w:rsid w:val="00776B8A"/>
    <w:rsid w:val="007A37BE"/>
    <w:rsid w:val="007C03F4"/>
    <w:rsid w:val="007F6005"/>
    <w:rsid w:val="0080507F"/>
    <w:rsid w:val="0080631D"/>
    <w:rsid w:val="00814665"/>
    <w:rsid w:val="008156FE"/>
    <w:rsid w:val="008167D4"/>
    <w:rsid w:val="00824B1E"/>
    <w:rsid w:val="008313A4"/>
    <w:rsid w:val="0083437C"/>
    <w:rsid w:val="00844608"/>
    <w:rsid w:val="00852BFD"/>
    <w:rsid w:val="00857C47"/>
    <w:rsid w:val="008607FF"/>
    <w:rsid w:val="0087374A"/>
    <w:rsid w:val="00884FE0"/>
    <w:rsid w:val="008934B3"/>
    <w:rsid w:val="008A1442"/>
    <w:rsid w:val="008A332F"/>
    <w:rsid w:val="008B5061"/>
    <w:rsid w:val="008E1286"/>
    <w:rsid w:val="008F5199"/>
    <w:rsid w:val="00904584"/>
    <w:rsid w:val="00907AC2"/>
    <w:rsid w:val="00921796"/>
    <w:rsid w:val="00934720"/>
    <w:rsid w:val="00934D85"/>
    <w:rsid w:val="009409C0"/>
    <w:rsid w:val="00955473"/>
    <w:rsid w:val="00965837"/>
    <w:rsid w:val="009705AD"/>
    <w:rsid w:val="00973E09"/>
    <w:rsid w:val="00977FA3"/>
    <w:rsid w:val="00993EFD"/>
    <w:rsid w:val="00997F6E"/>
    <w:rsid w:val="009A11A4"/>
    <w:rsid w:val="009B5B61"/>
    <w:rsid w:val="009C274B"/>
    <w:rsid w:val="009C2A1C"/>
    <w:rsid w:val="009E03E2"/>
    <w:rsid w:val="009E62E1"/>
    <w:rsid w:val="00A03C4B"/>
    <w:rsid w:val="00A250BF"/>
    <w:rsid w:val="00A26087"/>
    <w:rsid w:val="00A26A07"/>
    <w:rsid w:val="00A31C4B"/>
    <w:rsid w:val="00A370C0"/>
    <w:rsid w:val="00A379AF"/>
    <w:rsid w:val="00A42B20"/>
    <w:rsid w:val="00A45F3A"/>
    <w:rsid w:val="00A5464C"/>
    <w:rsid w:val="00A669CD"/>
    <w:rsid w:val="00A70F0D"/>
    <w:rsid w:val="00A71FAC"/>
    <w:rsid w:val="00A91194"/>
    <w:rsid w:val="00A97CBE"/>
    <w:rsid w:val="00AD0659"/>
    <w:rsid w:val="00AE1443"/>
    <w:rsid w:val="00AE3E94"/>
    <w:rsid w:val="00AE7A0E"/>
    <w:rsid w:val="00B06B5B"/>
    <w:rsid w:val="00B15CE1"/>
    <w:rsid w:val="00B1751E"/>
    <w:rsid w:val="00B2227D"/>
    <w:rsid w:val="00B22BD8"/>
    <w:rsid w:val="00B307DB"/>
    <w:rsid w:val="00B30F0D"/>
    <w:rsid w:val="00B37E06"/>
    <w:rsid w:val="00B40E70"/>
    <w:rsid w:val="00B534E0"/>
    <w:rsid w:val="00B62CC0"/>
    <w:rsid w:val="00B70E7A"/>
    <w:rsid w:val="00B81EE1"/>
    <w:rsid w:val="00B91613"/>
    <w:rsid w:val="00B91A70"/>
    <w:rsid w:val="00BA37CD"/>
    <w:rsid w:val="00BB1C8D"/>
    <w:rsid w:val="00BD0255"/>
    <w:rsid w:val="00BD59A4"/>
    <w:rsid w:val="00BD6586"/>
    <w:rsid w:val="00BF7DCA"/>
    <w:rsid w:val="00C14C8F"/>
    <w:rsid w:val="00C31955"/>
    <w:rsid w:val="00C32DF9"/>
    <w:rsid w:val="00C560C9"/>
    <w:rsid w:val="00C569EC"/>
    <w:rsid w:val="00C752FD"/>
    <w:rsid w:val="00CA5F34"/>
    <w:rsid w:val="00CC0982"/>
    <w:rsid w:val="00CD3459"/>
    <w:rsid w:val="00CE5884"/>
    <w:rsid w:val="00CF17B6"/>
    <w:rsid w:val="00CF5BA2"/>
    <w:rsid w:val="00CF6E56"/>
    <w:rsid w:val="00D10A84"/>
    <w:rsid w:val="00D22339"/>
    <w:rsid w:val="00D259D2"/>
    <w:rsid w:val="00D32A12"/>
    <w:rsid w:val="00D33DBA"/>
    <w:rsid w:val="00D42003"/>
    <w:rsid w:val="00D507D5"/>
    <w:rsid w:val="00D55A8A"/>
    <w:rsid w:val="00D64DFC"/>
    <w:rsid w:val="00D66BA0"/>
    <w:rsid w:val="00D813D2"/>
    <w:rsid w:val="00D877A6"/>
    <w:rsid w:val="00D973E1"/>
    <w:rsid w:val="00DA22DC"/>
    <w:rsid w:val="00DB4A02"/>
    <w:rsid w:val="00DB51F3"/>
    <w:rsid w:val="00DE0703"/>
    <w:rsid w:val="00E06CA8"/>
    <w:rsid w:val="00E12D80"/>
    <w:rsid w:val="00E1342D"/>
    <w:rsid w:val="00E20800"/>
    <w:rsid w:val="00E22AFB"/>
    <w:rsid w:val="00E44C24"/>
    <w:rsid w:val="00E4659D"/>
    <w:rsid w:val="00E55506"/>
    <w:rsid w:val="00E6088D"/>
    <w:rsid w:val="00EA372A"/>
    <w:rsid w:val="00EA4441"/>
    <w:rsid w:val="00EE454F"/>
    <w:rsid w:val="00EF0AE8"/>
    <w:rsid w:val="00F061FC"/>
    <w:rsid w:val="00F13C37"/>
    <w:rsid w:val="00F209A0"/>
    <w:rsid w:val="00F34FA1"/>
    <w:rsid w:val="00F465D2"/>
    <w:rsid w:val="00F51AF2"/>
    <w:rsid w:val="00F602DA"/>
    <w:rsid w:val="00F61D3F"/>
    <w:rsid w:val="00F85C90"/>
    <w:rsid w:val="00F869F9"/>
    <w:rsid w:val="00F909F0"/>
    <w:rsid w:val="00F963CF"/>
    <w:rsid w:val="00F97073"/>
    <w:rsid w:val="00FA5736"/>
    <w:rsid w:val="00FC730A"/>
    <w:rsid w:val="00FD59EC"/>
    <w:rsid w:val="00FE1AE5"/>
    <w:rsid w:val="00FF1A4A"/>
    <w:rsid w:val="00FF224C"/>
    <w:rsid w:val="00FF3B0D"/>
    <w:rsid w:val="0C97425F"/>
    <w:rsid w:val="342A4835"/>
    <w:rsid w:val="518F136D"/>
    <w:rsid w:val="6E2F5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semiHidden="0" w:name="heading 2"/>
    <w:lsdException w:qFormat="1"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2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6"/>
    <w:unhideWhenUsed/>
    <w:qFormat/>
    <w:uiPriority w:val="9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7"/>
    <w:unhideWhenUsed/>
    <w:qFormat/>
    <w:uiPriority w:val="9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0"/>
    <w:rPr>
      <w:i/>
      <w:iCs/>
    </w:rPr>
  </w:style>
  <w:style w:type="character" w:styleId="14">
    <w:name w:val="FollowedHyperlink"/>
    <w:basedOn w:val="11"/>
    <w:unhideWhenUsed/>
    <w:qFormat/>
    <w:uiPriority w:val="99"/>
    <w:rPr>
      <w:color w:val="800080"/>
      <w:u w:val="single"/>
    </w:rPr>
  </w:style>
  <w:style w:type="paragraph" w:styleId="15">
    <w:name w:val="footer"/>
    <w:basedOn w:val="1"/>
    <w:link w:val="44"/>
    <w:unhideWhenUsed/>
    <w:qFormat/>
    <w:uiPriority w:val="99"/>
    <w:pPr>
      <w:tabs>
        <w:tab w:val="center" w:pos="4680"/>
        <w:tab w:val="right" w:pos="9360"/>
      </w:tabs>
      <w:spacing w:after="0" w:line="240" w:lineRule="auto"/>
    </w:pPr>
  </w:style>
  <w:style w:type="paragraph" w:styleId="16">
    <w:name w:val="header"/>
    <w:basedOn w:val="1"/>
    <w:link w:val="43"/>
    <w:unhideWhenUsed/>
    <w:qFormat/>
    <w:uiPriority w:val="99"/>
    <w:pPr>
      <w:tabs>
        <w:tab w:val="center" w:pos="4680"/>
        <w:tab w:val="right" w:pos="9360"/>
      </w:tabs>
      <w:spacing w:after="0" w:line="240" w:lineRule="auto"/>
    </w:pPr>
  </w:style>
  <w:style w:type="character" w:styleId="17">
    <w:name w:val="Hyperlink"/>
    <w:basedOn w:val="11"/>
    <w:unhideWhenUsed/>
    <w:qFormat/>
    <w:uiPriority w:val="99"/>
    <w:rPr>
      <w:color w:val="0000FF"/>
      <w:u w:val="single"/>
    </w:rPr>
  </w:style>
  <w:style w:type="paragraph" w:styleId="18">
    <w:name w:val="Normal (Web)"/>
    <w:basedOn w:val="1"/>
    <w:unhideWhenUsed/>
    <w:qFormat/>
    <w:uiPriority w:val="0"/>
    <w:pPr>
      <w:spacing w:before="100" w:beforeAutospacing="1" w:after="100" w:afterAutospacing="1" w:line="240" w:lineRule="auto"/>
    </w:pPr>
    <w:rPr>
      <w:rFonts w:ascii="Times New Roman" w:hAnsi="Times New Roman" w:eastAsia="SimSun" w:cs="Times New Roman"/>
      <w:kern w:val="0"/>
      <w14:ligatures w14:val="none"/>
    </w:rPr>
  </w:style>
  <w:style w:type="character" w:styleId="19">
    <w:name w:val="Strong"/>
    <w:basedOn w:val="11"/>
    <w:qFormat/>
    <w:uiPriority w:val="0"/>
    <w:rPr>
      <w:b/>
      <w:bCs/>
    </w:rPr>
  </w:style>
  <w:style w:type="paragraph" w:styleId="20">
    <w:name w:val="Subtitle"/>
    <w:basedOn w:val="1"/>
    <w:next w:val="1"/>
    <w:link w:val="3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1">
    <w:name w:val="Table Grid"/>
    <w:basedOn w:val="1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Title"/>
    <w:basedOn w:val="1"/>
    <w:next w:val="1"/>
    <w:link w:val="3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3">
    <w:name w:val="toc 1"/>
    <w:basedOn w:val="1"/>
    <w:next w:val="1"/>
    <w:autoRedefine/>
    <w:unhideWhenUsed/>
    <w:qFormat/>
    <w:uiPriority w:val="39"/>
    <w:pPr>
      <w:spacing w:after="100"/>
    </w:pPr>
  </w:style>
  <w:style w:type="paragraph" w:styleId="24">
    <w:name w:val="toc 2"/>
    <w:basedOn w:val="1"/>
    <w:next w:val="1"/>
    <w:autoRedefine/>
    <w:unhideWhenUsed/>
    <w:qFormat/>
    <w:uiPriority w:val="39"/>
    <w:pPr>
      <w:spacing w:after="100"/>
      <w:ind w:left="240"/>
    </w:pPr>
  </w:style>
  <w:style w:type="character" w:customStyle="1" w:styleId="25">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6">
    <w:name w:val="Heading 2 Char"/>
    <w:basedOn w:val="11"/>
    <w:link w:val="3"/>
    <w:qFormat/>
    <w:uiPriority w:val="99"/>
    <w:rPr>
      <w:rFonts w:asciiTheme="majorHAnsi" w:hAnsiTheme="majorHAnsi" w:eastAsiaTheme="majorEastAsia" w:cstheme="majorBidi"/>
      <w:color w:val="2F5597" w:themeColor="accent1" w:themeShade="BF"/>
      <w:sz w:val="32"/>
      <w:szCs w:val="32"/>
    </w:rPr>
  </w:style>
  <w:style w:type="character" w:customStyle="1" w:styleId="27">
    <w:name w:val="Heading 3 Char"/>
    <w:basedOn w:val="11"/>
    <w:link w:val="4"/>
    <w:qFormat/>
    <w:uiPriority w:val="99"/>
    <w:rPr>
      <w:rFonts w:eastAsiaTheme="majorEastAsia" w:cstheme="majorBidi"/>
      <w:color w:val="2F5597" w:themeColor="accent1" w:themeShade="BF"/>
      <w:sz w:val="28"/>
      <w:szCs w:val="28"/>
    </w:rPr>
  </w:style>
  <w:style w:type="character" w:customStyle="1" w:styleId="28">
    <w:name w:val="Heading 4 Char"/>
    <w:basedOn w:val="11"/>
    <w:link w:val="5"/>
    <w:semiHidden/>
    <w:qFormat/>
    <w:uiPriority w:val="9"/>
    <w:rPr>
      <w:rFonts w:eastAsiaTheme="majorEastAsia" w:cstheme="majorBidi"/>
      <w:i/>
      <w:iCs/>
      <w:color w:val="2F5597" w:themeColor="accent1" w:themeShade="BF"/>
    </w:rPr>
  </w:style>
  <w:style w:type="character" w:customStyle="1" w:styleId="29">
    <w:name w:val="Heading 5 Char"/>
    <w:basedOn w:val="11"/>
    <w:link w:val="6"/>
    <w:semiHidden/>
    <w:qFormat/>
    <w:uiPriority w:val="9"/>
    <w:rPr>
      <w:rFonts w:eastAsiaTheme="majorEastAsia" w:cstheme="majorBidi"/>
      <w:color w:val="2F5597" w:themeColor="accent1" w:themeShade="BF"/>
    </w:rPr>
  </w:style>
  <w:style w:type="character" w:customStyle="1" w:styleId="30">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1">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3">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4">
    <w:name w:val="Title Char"/>
    <w:basedOn w:val="11"/>
    <w:link w:val="22"/>
    <w:qFormat/>
    <w:uiPriority w:val="10"/>
    <w:rPr>
      <w:rFonts w:asciiTheme="majorHAnsi" w:hAnsiTheme="majorHAnsi" w:eastAsiaTheme="majorEastAsia" w:cstheme="majorBidi"/>
      <w:spacing w:val="-10"/>
      <w:kern w:val="28"/>
      <w:sz w:val="56"/>
      <w:szCs w:val="56"/>
    </w:rPr>
  </w:style>
  <w:style w:type="character" w:customStyle="1" w:styleId="35">
    <w:name w:val="Subtitle Char"/>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Quote Char"/>
    <w:basedOn w:val="11"/>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1"/>
    <w:basedOn w:val="11"/>
    <w:qFormat/>
    <w:uiPriority w:val="21"/>
    <w:rPr>
      <w:i/>
      <w:iCs/>
      <w:color w:val="2F5597" w:themeColor="accent1" w:themeShade="BF"/>
    </w:rPr>
  </w:style>
  <w:style w:type="paragraph" w:styleId="40">
    <w:name w:val="Intense Quote"/>
    <w:basedOn w:val="1"/>
    <w:next w:val="1"/>
    <w:link w:val="4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1">
    <w:name w:val="Intense Quote Char"/>
    <w:basedOn w:val="11"/>
    <w:link w:val="40"/>
    <w:qFormat/>
    <w:uiPriority w:val="30"/>
    <w:rPr>
      <w:i/>
      <w:iCs/>
      <w:color w:val="2F5597" w:themeColor="accent1" w:themeShade="BF"/>
    </w:rPr>
  </w:style>
  <w:style w:type="character" w:customStyle="1" w:styleId="42">
    <w:name w:val="Intense Reference1"/>
    <w:basedOn w:val="11"/>
    <w:qFormat/>
    <w:uiPriority w:val="32"/>
    <w:rPr>
      <w:b/>
      <w:bCs/>
      <w:smallCaps/>
      <w:color w:val="2F5597" w:themeColor="accent1" w:themeShade="BF"/>
      <w:spacing w:val="5"/>
    </w:rPr>
  </w:style>
  <w:style w:type="character" w:customStyle="1" w:styleId="43">
    <w:name w:val="Header Char"/>
    <w:basedOn w:val="11"/>
    <w:link w:val="16"/>
    <w:qFormat/>
    <w:uiPriority w:val="99"/>
  </w:style>
  <w:style w:type="character" w:customStyle="1" w:styleId="44">
    <w:name w:val="Footer Char"/>
    <w:basedOn w:val="11"/>
    <w:link w:val="15"/>
    <w:qFormat/>
    <w:uiPriority w:val="99"/>
  </w:style>
  <w:style w:type="paragraph" w:customStyle="1" w:styleId="45">
    <w:name w:val="msonormal"/>
    <w:basedOn w:val="1"/>
    <w:qFormat/>
    <w:uiPriority w:val="0"/>
    <w:pPr>
      <w:spacing w:before="100" w:beforeAutospacing="1" w:after="100" w:afterAutospacing="1" w:line="240" w:lineRule="auto"/>
    </w:pPr>
    <w:rPr>
      <w:rFonts w:ascii="Times New Roman" w:hAnsi="Times New Roman" w:eastAsia="Times New Roman" w:cs="Times New Roman"/>
      <w:kern w:val="0"/>
      <w14:ligatures w14:val="none"/>
    </w:rPr>
  </w:style>
  <w:style w:type="character" w:customStyle="1" w:styleId="46">
    <w:name w:val="10"/>
    <w:basedOn w:val="11"/>
    <w:qFormat/>
    <w:uiPriority w:val="0"/>
    <w:rPr>
      <w:rFonts w:hint="default" w:ascii="Times New Roman" w:hAnsi="Times New Roman" w:cs="Times New Roman"/>
    </w:rPr>
  </w:style>
  <w:style w:type="character" w:customStyle="1" w:styleId="47">
    <w:name w:val="15"/>
    <w:basedOn w:val="11"/>
    <w:qFormat/>
    <w:uiPriority w:val="0"/>
    <w:rPr>
      <w:rFonts w:hint="default" w:ascii="Times New Roman" w:hAnsi="Times New Roman" w:cs="Times New Roman"/>
      <w:i/>
      <w:iCs/>
    </w:rPr>
  </w:style>
  <w:style w:type="character" w:customStyle="1" w:styleId="48">
    <w:name w:val="16"/>
    <w:basedOn w:val="11"/>
    <w:qFormat/>
    <w:uiPriority w:val="0"/>
    <w:rPr>
      <w:rFonts w:hint="default" w:ascii="Times New Roman" w:hAnsi="Times New Roman" w:cs="Times New Roman"/>
      <w:b/>
      <w:bCs/>
    </w:rPr>
  </w:style>
  <w:style w:type="character" w:customStyle="1" w:styleId="49">
    <w:name w:val="17"/>
    <w:basedOn w:val="11"/>
    <w:qFormat/>
    <w:uiPriority w:val="0"/>
    <w:rPr>
      <w:rFonts w:hint="eastAsia" w:ascii="SimSun" w:hAnsi="SimSun" w:eastAsia="SimSun"/>
      <w:b/>
      <w:bCs/>
      <w:kern w:val="44"/>
      <w:sz w:val="48"/>
      <w:szCs w:val="48"/>
    </w:rPr>
  </w:style>
  <w:style w:type="character" w:customStyle="1" w:styleId="50">
    <w:name w:val="18"/>
    <w:basedOn w:val="11"/>
    <w:qFormat/>
    <w:uiPriority w:val="0"/>
    <w:rPr>
      <w:rFonts w:hint="default" w:ascii="Times New Roman" w:hAnsi="Times New Roman" w:cs="Times New Roman"/>
      <w:color w:val="0000FF"/>
      <w:u w:val="single"/>
    </w:rPr>
  </w:style>
  <w:style w:type="character" w:customStyle="1" w:styleId="51">
    <w:name w:val="Unresolved Mention1"/>
    <w:basedOn w:val="11"/>
    <w:semiHidden/>
    <w:unhideWhenUsed/>
    <w:qFormat/>
    <w:uiPriority w:val="99"/>
    <w:rPr>
      <w:color w:val="605E5C"/>
      <w:shd w:val="clear" w:color="auto" w:fill="E1DFDD"/>
    </w:rPr>
  </w:style>
  <w:style w:type="paragraph" w:customStyle="1" w:styleId="52">
    <w:name w:val="TOC Heading1"/>
    <w:basedOn w:val="2"/>
    <w:next w:val="1"/>
    <w:unhideWhenUsed/>
    <w:qFormat/>
    <w:uiPriority w:val="39"/>
    <w:pPr>
      <w:spacing w:before="240" w:after="0" w:line="259" w:lineRule="auto"/>
      <w:outlineLvl w:val="9"/>
    </w:pPr>
    <w:rPr>
      <w:kern w:val="0"/>
      <w:sz w:val="32"/>
      <w:szCs w:val="32"/>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6" Type="http://schemas.openxmlformats.org/officeDocument/2006/relationships/fontTable" Target="fontTable.xml"/><Relationship Id="rId45" Type="http://schemas.openxmlformats.org/officeDocument/2006/relationships/customXml" Target="../customXml/item2.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chart" Target="charts/chart29.xml"/><Relationship Id="rId41" Type="http://schemas.openxmlformats.org/officeDocument/2006/relationships/chart" Target="charts/chart28.xml"/><Relationship Id="rId40" Type="http://schemas.openxmlformats.org/officeDocument/2006/relationships/chart" Target="charts/chart27.xml"/><Relationship Id="rId4" Type="http://schemas.openxmlformats.org/officeDocument/2006/relationships/endnotes" Target="endnotes.xml"/><Relationship Id="rId39" Type="http://schemas.openxmlformats.org/officeDocument/2006/relationships/chart" Target="charts/chart26.xml"/><Relationship Id="rId38" Type="http://schemas.openxmlformats.org/officeDocument/2006/relationships/chart" Target="charts/chart25.xml"/><Relationship Id="rId37" Type="http://schemas.openxmlformats.org/officeDocument/2006/relationships/chart" Target="charts/chart24.xml"/><Relationship Id="rId36" Type="http://schemas.openxmlformats.org/officeDocument/2006/relationships/chart" Target="charts/chart23.xml"/><Relationship Id="rId35" Type="http://schemas.openxmlformats.org/officeDocument/2006/relationships/chart" Target="charts/chart22.xml"/><Relationship Id="rId34" Type="http://schemas.openxmlformats.org/officeDocument/2006/relationships/chart" Target="charts/chart21.xml"/><Relationship Id="rId33" Type="http://schemas.openxmlformats.org/officeDocument/2006/relationships/chart" Target="charts/chart20.xml"/><Relationship Id="rId32" Type="http://schemas.openxmlformats.org/officeDocument/2006/relationships/chart" Target="charts/chart19.xml"/><Relationship Id="rId31" Type="http://schemas.openxmlformats.org/officeDocument/2006/relationships/chart" Target="charts/chart18.xml"/><Relationship Id="rId30" Type="http://schemas.openxmlformats.org/officeDocument/2006/relationships/chart" Target="charts/chart17.xml"/><Relationship Id="rId3" Type="http://schemas.openxmlformats.org/officeDocument/2006/relationships/footnotes" Target="footnotes.xml"/><Relationship Id="rId29" Type="http://schemas.openxmlformats.org/officeDocument/2006/relationships/chart" Target="charts/chart16.xml"/><Relationship Id="rId28" Type="http://schemas.openxmlformats.org/officeDocument/2006/relationships/chart" Target="charts/chart15.xml"/><Relationship Id="rId27" Type="http://schemas.openxmlformats.org/officeDocument/2006/relationships/chart" Target="charts/chart14.xml"/><Relationship Id="rId26" Type="http://schemas.openxmlformats.org/officeDocument/2006/relationships/chart" Target="charts/chart13.xml"/><Relationship Id="rId25" Type="http://schemas.openxmlformats.org/officeDocument/2006/relationships/chart" Target="charts/chart12.xml"/><Relationship Id="rId24" Type="http://schemas.openxmlformats.org/officeDocument/2006/relationships/chart" Target="charts/chart11.xml"/><Relationship Id="rId23" Type="http://schemas.openxmlformats.org/officeDocument/2006/relationships/chart" Target="charts/chart10.xml"/><Relationship Id="rId22" Type="http://schemas.openxmlformats.org/officeDocument/2006/relationships/chart" Target="charts/chart9.xml"/><Relationship Id="rId21" Type="http://schemas.openxmlformats.org/officeDocument/2006/relationships/chart" Target="charts/chart8.xml"/><Relationship Id="rId20" Type="http://schemas.openxmlformats.org/officeDocument/2006/relationships/chart" Target="charts/chart7.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image" Target="media/image6.jpeg"/><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ttps://d.docs.live.net/7bacac5b70b8b91b/Desktop/research/AI_final%20cha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7bacac5b70b8b91b/Desktop/research/AI_final%20chart.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https://d.docs.live.net/7bacac5b70b8b91b/Desktop/research/AI_final%20chart.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https://d.docs.live.net/7bacac5b70b8b91b/Desktop/research/AI_final%20chart.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ttps://d.docs.live.net/7bacac5b70b8b91b/Desktop/research/AI_final%20chart.xlsx"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9.xml"/><Relationship Id="rId3" Type="http://schemas.microsoft.com/office/2011/relationships/chartStyle" Target="style9.xml"/><Relationship Id="rId2" Type="http://schemas.openxmlformats.org/officeDocument/2006/relationships/chartUserShapes" Target="../drawings/drawing2.xml"/><Relationship Id="rId1" Type="http://schemas.openxmlformats.org/officeDocument/2006/relationships/oleObject" Target="https://d.docs.live.net/7bacac5b70b8b91b/Desktop/research/AI_final%20char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d.docs.live.net/7bacac5b70b8b91b/Desktop/research/AI_final%20chart.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ttps://d.docs.live.net/7bacac5b70b8b91b/Desktop/research/Keyword_Frequency_Charts_From_File.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https://d.docs.live.net/7bacac5b70b8b91b/Desktop/research/Keyword_Frequency_Charts_From_File.xlsx" TargetMode="External"/></Relationships>
</file>

<file path=word/charts/_rels/chart10.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chartUserShapes" Target="../drawings/drawing1.xml"/><Relationship Id="rId1" Type="http://schemas.openxmlformats.org/officeDocument/2006/relationships/oleObject" Target="https://d.docs.live.net/7bacac5b70b8b91b/Desktop/research/Keyword_Frequency_Charts_From_File.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https://d.docs.live.net/7bacac5b70b8b91b/Desktop/research/Keyword_Frequency_Charts_From_File.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https://d.docs.live.net/7bacac5b70b8b91b/Desktop/research/Keyword_Frequency_Charts_From_File.xlsx" TargetMode="External"/></Relationships>
</file>

<file path=word/charts/_rels/chart13.xml.rels><?xml version="1.0" encoding="UTF-8" standalone="yes"?>
<Relationships xmlns="http://schemas.openxmlformats.org/package/2006/relationships"><Relationship Id="rId4" Type="http://schemas.microsoft.com/office/2011/relationships/chartColorStyle" Target="colors10.xml"/><Relationship Id="rId3" Type="http://schemas.microsoft.com/office/2011/relationships/chartStyle" Target="style10.xml"/><Relationship Id="rId2" Type="http://schemas.openxmlformats.org/officeDocument/2006/relationships/chartUserShapes" Target="../drawings/drawing3.xml"/><Relationship Id="rId1" Type="http://schemas.openxmlformats.org/officeDocument/2006/relationships/oleObject" Target="https://d.docs.live.net/7bacac5b70b8b91b/Desktop/research/Keyword_Frequency_Charts_From_File.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https://d.docs.live.net/7bacac5b70b8b91b/Desktop/research/Keyword_Frequency_Charts_From_File.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https://d.docs.live.net/7bacac5b70b8b91b/Desktop/research/Keyword_Frequency_Charts_From_File.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https://d.docs.live.net/7bacac5b70b8b91b/Desktop/AI_14_Charts_from_Excel_FINAL.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https://d.docs.live.net/7bacac5b70b8b91b/Desktop/AI_14_Charts_from_Excel_FINAL.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https://d.docs.live.net/7bacac5b70b8b91b/Desktop/AI_14_Charts_from_Excel_FINAL.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https://d.docs.live.net/7bacac5b70b8b91b/Desktop/AI_14_Charts_from_Excel_FINAL.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https://d.docs.live.net/7bacac5b70b8b91b/Desktop/AI_14_Charts_from_Excel_FINAL.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https://d.docs.live.net/7bacac5b70b8b91b/Desktop/AI_14_Charts_from_Excel_FINAL.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https://d.docs.live.net/7bacac5b70b8b91b/Desktop/AI_14_Charts_from_Excel_FINAL.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https://d.docs.live.net/7bacac5b70b8b91b/Desktop/AI_14_Charts_from_Excel_FINAL.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https://d.docs.live.net/7bacac5b70b8b91b/Desktop/AI_14_Charts_from_Excel_FINAL.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https://d.docs.live.net/7bacac5b70b8b91b/Desktop/AI_14_Charts_from_Excel_FINAL.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https://d.docs.live.net/7bacac5b70b8b91b/Desktop/AI_14_Charts_from_Excel_FINAL.xlsx" TargetMode="External"/></Relationships>
</file>

<file path=word/charts/_rels/chart27.xml.rels><?xml version="1.0" encoding="UTF-8" standalone="yes"?>
<Relationships xmlns="http://schemas.openxmlformats.org/package/2006/relationships"><Relationship Id="rId4" Type="http://schemas.microsoft.com/office/2011/relationships/chartColorStyle" Target="colors16.xml"/><Relationship Id="rId3" Type="http://schemas.microsoft.com/office/2011/relationships/chartStyle" Target="style16.xml"/><Relationship Id="rId2" Type="http://schemas.openxmlformats.org/officeDocument/2006/relationships/chartUserShapes" Target="../drawings/drawing4.xml"/><Relationship Id="rId1" Type="http://schemas.openxmlformats.org/officeDocument/2006/relationships/oleObject" Target="https://d.docs.live.net/7bacac5b70b8b91b/Desktop/AI_14_Charts_from_Excel_FINAL.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https://d.docs.live.net/7bacac5b70b8b91b/Desktop/AI_14_Charts_from_Excel_FINAL.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https://d.docs.live.net/7bacac5b70b8b91b/Desktop/AI_14_Charts_from_Excel_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en-US" sz="1800" b="1" i="0" u="none" strike="noStrike" kern="1200" cap="all" spc="50" baseline="0">
                <a:solidFill>
                  <a:sysClr val="windowText" lastClr="000000"/>
                </a:solidFill>
                <a:latin typeface="+mn-lt"/>
                <a:ea typeface="+mn-ea"/>
                <a:cs typeface="+mn-cs"/>
              </a:defRPr>
            </a:pPr>
            <a:r>
              <a:rPr lang="en-US">
                <a:solidFill>
                  <a:sysClr val="windowText" lastClr="000000"/>
                </a:solidFill>
              </a:rPr>
              <a:t>Total AI Disclosures by Country</a:t>
            </a:r>
            <a:endParaRPr lang="en-US">
              <a:solidFill>
                <a:sysClr val="windowText" lastClr="000000"/>
              </a:solidFill>
            </a:endParaRPr>
          </a:p>
        </c:rich>
      </c:tx>
      <c:layout/>
      <c:overlay val="0"/>
      <c:spPr>
        <a:noFill/>
        <a:ln>
          <a:noFill/>
        </a:ln>
        <a:effectLst/>
      </c:spPr>
    </c:title>
    <c:autoTitleDeleted val="0"/>
    <c:plotArea>
      <c:layout/>
      <c:barChart>
        <c:barDir val="bar"/>
        <c:grouping val="clustered"/>
        <c:varyColors val="0"/>
        <c:ser>
          <c:idx val="0"/>
          <c:order val="0"/>
          <c:tx>
            <c:strRef>
              <c:f>'1. Country_Totals'!$B$1</c:f>
              <c:strCache>
                <c:ptCount val="1"/>
                <c:pt idx="0">
                  <c:v>Frequency</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'1. Country_Totals'!$A$2:$A$8</c:f>
              <c:strCache>
                <c:ptCount val="7"/>
                <c:pt idx="0">
                  <c:v>NSE</c:v>
                </c:pt>
                <c:pt idx="1">
                  <c:v>MSE</c:v>
                </c:pt>
                <c:pt idx="2">
                  <c:v>DSE</c:v>
                </c:pt>
                <c:pt idx="3">
                  <c:v>CSE</c:v>
                </c:pt>
                <c:pt idx="4">
                  <c:v>PSX</c:v>
                </c:pt>
                <c:pt idx="5">
                  <c:v>RSEB</c:v>
                </c:pt>
                <c:pt idx="6">
                  <c:v>NEPSE</c:v>
                </c:pt>
              </c:strCache>
            </c:strRef>
          </c:cat>
          <c:val>
            <c:numRef>
              <c:f>'1. Country_Totals'!$B$2:$B$8</c:f>
              <c:numCache>
                <c:formatCode>General</c:formatCode>
                <c:ptCount val="7"/>
                <c:pt idx="0">
                  <c:v>667</c:v>
                </c:pt>
                <c:pt idx="1">
                  <c:v>110</c:v>
                </c:pt>
                <c:pt idx="2">
                  <c:v>107</c:v>
                </c:pt>
                <c:pt idx="3">
                  <c:v>75</c:v>
                </c:pt>
                <c:pt idx="4">
                  <c:v>70</c:v>
                </c:pt>
                <c:pt idx="5">
                  <c:v>20</c:v>
                </c:pt>
                <c:pt idx="6">
                  <c:v>3</c:v>
                </c:pt>
              </c:numCache>
            </c:numRef>
          </c:val>
        </c:ser>
        <c:dLbls>
          <c:showLegendKey val="0"/>
          <c:showVal val="1"/>
          <c:showCatName val="0"/>
          <c:showSerName val="0"/>
          <c:showPercent val="0"/>
          <c:showBubbleSize val="0"/>
        </c:dLbls>
        <c:gapWidth val="355"/>
        <c:axId val="50010001"/>
        <c:axId val="50010002"/>
      </c:barChart>
      <c:catAx>
        <c:axId val="50010001"/>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ysClr val="windowText" lastClr="000000"/>
                    </a:solidFill>
                    <a:latin typeface="+mn-lt"/>
                    <a:ea typeface="+mn-ea"/>
                    <a:cs typeface="+mn-cs"/>
                  </a:defRPr>
                </a:pPr>
                <a:r>
                  <a:rPr lang="en-US">
                    <a:solidFill>
                      <a:sysClr val="windowText" lastClr="000000"/>
                    </a:solidFill>
                  </a:rPr>
                  <a:t>ExchangeS</a:t>
                </a:r>
                <a:endParaRPr lang="en-US">
                  <a:solidFill>
                    <a:sysClr val="windowText" lastClr="000000"/>
                  </a:solidFill>
                </a:endParaRPr>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10002"/>
        <c:crosses val="autoZero"/>
        <c:auto val="1"/>
        <c:lblAlgn val="ctr"/>
        <c:lblOffset val="100"/>
        <c:noMultiLvlLbl val="0"/>
      </c:catAx>
      <c:valAx>
        <c:axId val="5001000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1000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b700aa4d-5286-4937-8459-b1f25a460be6}"/>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800" b="1" i="0" u="none" strike="noStrike" kern="1200" baseline="0">
                <a:solidFill>
                  <a:schemeClr val="tx1"/>
                </a:solidFill>
                <a:latin typeface="+mn-lt"/>
                <a:ea typeface="+mn-ea"/>
                <a:cs typeface="+mn-cs"/>
              </a:defRPr>
            </a:pPr>
            <a:r>
              <a:rPr lang="en-US"/>
              <a:t>Year-wise Disclosures by Country </a:t>
            </a:r>
            <a:endParaRPr lang="en-US"/>
          </a:p>
        </c:rich>
      </c:tx>
      <c:layout/>
      <c:overlay val="0"/>
    </c:title>
    <c:autoTitleDeleted val="0"/>
    <c:plotArea>
      <c:layout/>
      <c:barChart>
        <c:barDir val="col"/>
        <c:grouping val="clustered"/>
        <c:varyColors val="0"/>
        <c:ser>
          <c:idx val="0"/>
          <c:order val="0"/>
          <c:tx>
            <c:strRef>
              <c:f>'2. Year by Country disclosure'!$B$1</c:f>
              <c:strCache>
                <c:ptCount val="1"/>
                <c:pt idx="0">
                  <c:v>CSE</c:v>
                </c:pt>
              </c:strCache>
            </c:strRef>
          </c:tx>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'2. Year by Country disclosure'!$A$2:$A$6</c:f>
              <c:numCache>
                <c:formatCode>General</c:formatCode>
                <c:ptCount val="5"/>
                <c:pt idx="0">
                  <c:v>2020</c:v>
                </c:pt>
                <c:pt idx="1">
                  <c:v>2021</c:v>
                </c:pt>
                <c:pt idx="2">
                  <c:v>2022</c:v>
                </c:pt>
                <c:pt idx="3">
                  <c:v>2023</c:v>
                </c:pt>
                <c:pt idx="4">
                  <c:v>2024</c:v>
                </c:pt>
              </c:numCache>
            </c:numRef>
          </c:cat>
          <c:val>
            <c:numRef>
              <c:f>'2. Year by Country disclosure'!$B$2:$B$6</c:f>
              <c:numCache>
                <c:formatCode>General</c:formatCode>
                <c:ptCount val="5"/>
                <c:pt idx="0">
                  <c:v>4</c:v>
                </c:pt>
                <c:pt idx="1">
                  <c:v>4</c:v>
                </c:pt>
                <c:pt idx="2">
                  <c:v>6</c:v>
                </c:pt>
                <c:pt idx="3">
                  <c:v>27</c:v>
                </c:pt>
                <c:pt idx="4">
                  <c:v>34</c:v>
                </c:pt>
              </c:numCache>
            </c:numRef>
          </c:val>
        </c:ser>
        <c:ser>
          <c:idx val="1"/>
          <c:order val="1"/>
          <c:tx>
            <c:strRef>
              <c:f>'2. Year by Country disclosure'!$C$1</c:f>
              <c:strCache>
                <c:ptCount val="1"/>
                <c:pt idx="0">
                  <c:v>DSE</c:v>
                </c:pt>
              </c:strCache>
            </c:strRef>
          </c:tx>
          <c:invertIfNegative val="0"/>
          <c:dLbls>
            <c:dLbl>
              <c:idx val="2"/>
              <c:layout>
                <c:manualLayout>
                  <c:x val="0"/>
                  <c:y val="0.009397692977370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797257826705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'2. Year by Country disclosure'!$A$2:$A$6</c:f>
              <c:numCache>
                <c:formatCode>General</c:formatCode>
                <c:ptCount val="5"/>
                <c:pt idx="0">
                  <c:v>2020</c:v>
                </c:pt>
                <c:pt idx="1">
                  <c:v>2021</c:v>
                </c:pt>
                <c:pt idx="2">
                  <c:v>2022</c:v>
                </c:pt>
                <c:pt idx="3">
                  <c:v>2023</c:v>
                </c:pt>
                <c:pt idx="4">
                  <c:v>2024</c:v>
                </c:pt>
              </c:numCache>
            </c:numRef>
          </c:cat>
          <c:val>
            <c:numRef>
              <c:f>'2. Year by Country disclosure'!$C$2:$C$6</c:f>
              <c:numCache>
                <c:formatCode>General</c:formatCode>
                <c:ptCount val="5"/>
                <c:pt idx="0">
                  <c:v>13</c:v>
                </c:pt>
                <c:pt idx="1">
                  <c:v>23</c:v>
                </c:pt>
                <c:pt idx="2">
                  <c:v>23</c:v>
                </c:pt>
                <c:pt idx="3">
                  <c:v>28</c:v>
                </c:pt>
                <c:pt idx="4">
                  <c:v>20</c:v>
                </c:pt>
              </c:numCache>
            </c:numRef>
          </c:val>
        </c:ser>
        <c:ser>
          <c:idx val="2"/>
          <c:order val="2"/>
          <c:tx>
            <c:strRef>
              <c:f>'2. Year by Country disclosure'!$D$1</c:f>
              <c:strCache>
                <c:ptCount val="1"/>
                <c:pt idx="0">
                  <c:v>MSE</c:v>
                </c:pt>
              </c:strCache>
            </c:strRef>
          </c:tx>
          <c:invertIfNegative val="0"/>
          <c:dLbls>
            <c:dLbl>
              <c:idx val="0"/>
              <c:layout>
                <c:manualLayout>
                  <c:x val="0"/>
                  <c:y val="0.01423971685014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9561517833278e-17"/>
                  <c:y val="0.00474657228338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9.9123035666556e-17"/>
                  <c:y val="-0.00949314456676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911809866745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en-US" sz="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'2. Year by Country disclosure'!$A$2:$A$6</c:f>
              <c:numCache>
                <c:formatCode>General</c:formatCode>
                <c:ptCount val="5"/>
                <c:pt idx="0">
                  <c:v>2020</c:v>
                </c:pt>
                <c:pt idx="1">
                  <c:v>2021</c:v>
                </c:pt>
                <c:pt idx="2">
                  <c:v>2022</c:v>
                </c:pt>
                <c:pt idx="3">
                  <c:v>2023</c:v>
                </c:pt>
                <c:pt idx="4">
                  <c:v>2024</c:v>
                </c:pt>
              </c:numCache>
            </c:numRef>
          </c:cat>
          <c:val>
            <c:numRef>
              <c:f>'2. Year by Country disclosure'!$D$2:$D$6</c:f>
              <c:numCache>
                <c:formatCode>General</c:formatCode>
                <c:ptCount val="5"/>
                <c:pt idx="0">
                  <c:v>11</c:v>
                </c:pt>
                <c:pt idx="1">
                  <c:v>15</c:v>
                </c:pt>
                <c:pt idx="2">
                  <c:v>30</c:v>
                </c:pt>
                <c:pt idx="3">
                  <c:v>25</c:v>
                </c:pt>
                <c:pt idx="4">
                  <c:v>29</c:v>
                </c:pt>
              </c:numCache>
            </c:numRef>
          </c:val>
        </c:ser>
        <c:ser>
          <c:idx val="3"/>
          <c:order val="3"/>
          <c:tx>
            <c:strRef>
              <c:f>'2. Year by Country disclosure'!$E$1</c:f>
              <c:strCache>
                <c:ptCount val="1"/>
                <c:pt idx="0">
                  <c:v>NEPSE</c:v>
                </c:pt>
              </c:strCache>
            </c:strRef>
          </c:tx>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'2. Year by Country disclosure'!$A$2:$A$6</c:f>
              <c:numCache>
                <c:formatCode>General</c:formatCode>
                <c:ptCount val="5"/>
                <c:pt idx="0">
                  <c:v>2020</c:v>
                </c:pt>
                <c:pt idx="1">
                  <c:v>2021</c:v>
                </c:pt>
                <c:pt idx="2">
                  <c:v>2022</c:v>
                </c:pt>
                <c:pt idx="3">
                  <c:v>2023</c:v>
                </c:pt>
                <c:pt idx="4">
                  <c:v>2024</c:v>
                </c:pt>
              </c:numCache>
            </c:numRef>
          </c:cat>
          <c:val>
            <c:numRef>
              <c:f>'2. Year by Country disclosure'!$E$2:$E$6</c:f>
              <c:numCache>
                <c:formatCode>General</c:formatCode>
                <c:ptCount val="5"/>
                <c:pt idx="0">
                  <c:v>0</c:v>
                </c:pt>
                <c:pt idx="1">
                  <c:v>0</c:v>
                </c:pt>
                <c:pt idx="2">
                  <c:v>0</c:v>
                </c:pt>
                <c:pt idx="3">
                  <c:v>0</c:v>
                </c:pt>
                <c:pt idx="4">
                  <c:v>3</c:v>
                </c:pt>
              </c:numCache>
            </c:numRef>
          </c:val>
        </c:ser>
        <c:ser>
          <c:idx val="4"/>
          <c:order val="4"/>
          <c:tx>
            <c:strRef>
              <c:f>'2. Year by Country disclosure'!$F$1</c:f>
              <c:strCache>
                <c:ptCount val="1"/>
                <c:pt idx="0">
                  <c:v>NSE</c:v>
                </c:pt>
              </c:strCache>
            </c:strRef>
          </c:tx>
          <c:invertIfNegative val="0"/>
          <c:dLbls>
            <c:spPr>
              <a:noFill/>
              <a:ln>
                <a:noFill/>
              </a:ln>
              <a:effectLst/>
            </c:spPr>
            <c:txPr>
              <a:bodyPr rot="0" spcFirstLastPara="0"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'2. Year by Country disclosure'!$A$2:$A$6</c:f>
              <c:numCache>
                <c:formatCode>General</c:formatCode>
                <c:ptCount val="5"/>
                <c:pt idx="0">
                  <c:v>2020</c:v>
                </c:pt>
                <c:pt idx="1">
                  <c:v>2021</c:v>
                </c:pt>
                <c:pt idx="2">
                  <c:v>2022</c:v>
                </c:pt>
                <c:pt idx="3">
                  <c:v>2023</c:v>
                </c:pt>
                <c:pt idx="4">
                  <c:v>2024</c:v>
                </c:pt>
              </c:numCache>
            </c:numRef>
          </c:cat>
          <c:val>
            <c:numRef>
              <c:f>'2. Year by Country disclosure'!$F$2:$F$6</c:f>
              <c:numCache>
                <c:formatCode>General</c:formatCode>
                <c:ptCount val="5"/>
                <c:pt idx="0">
                  <c:v>43</c:v>
                </c:pt>
                <c:pt idx="1">
                  <c:v>50</c:v>
                </c:pt>
                <c:pt idx="2">
                  <c:v>156</c:v>
                </c:pt>
                <c:pt idx="3">
                  <c:v>204</c:v>
                </c:pt>
                <c:pt idx="4">
                  <c:v>213</c:v>
                </c:pt>
              </c:numCache>
            </c:numRef>
          </c:val>
        </c:ser>
        <c:ser>
          <c:idx val="5"/>
          <c:order val="5"/>
          <c:tx>
            <c:strRef>
              <c:f>'2. Year by Country disclosure'!$G$1</c:f>
              <c:strCache>
                <c:ptCount val="1"/>
                <c:pt idx="0">
                  <c:v>PSX</c:v>
                </c:pt>
              </c:strCache>
            </c:strRef>
          </c:tx>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'2. Year by Country disclosure'!$A$2:$A$6</c:f>
              <c:numCache>
                <c:formatCode>General</c:formatCode>
                <c:ptCount val="5"/>
                <c:pt idx="0">
                  <c:v>2020</c:v>
                </c:pt>
                <c:pt idx="1">
                  <c:v>2021</c:v>
                </c:pt>
                <c:pt idx="2">
                  <c:v>2022</c:v>
                </c:pt>
                <c:pt idx="3">
                  <c:v>2023</c:v>
                </c:pt>
                <c:pt idx="4">
                  <c:v>2024</c:v>
                </c:pt>
              </c:numCache>
            </c:numRef>
          </c:cat>
          <c:val>
            <c:numRef>
              <c:f>'2. Year by Country disclosure'!$G$2:$G$6</c:f>
              <c:numCache>
                <c:formatCode>General</c:formatCode>
                <c:ptCount val="5"/>
                <c:pt idx="0">
                  <c:v>3</c:v>
                </c:pt>
                <c:pt idx="1">
                  <c:v>13</c:v>
                </c:pt>
                <c:pt idx="2">
                  <c:v>13</c:v>
                </c:pt>
                <c:pt idx="3">
                  <c:v>15</c:v>
                </c:pt>
                <c:pt idx="4">
                  <c:v>26</c:v>
                </c:pt>
              </c:numCache>
            </c:numRef>
          </c:val>
        </c:ser>
        <c:ser>
          <c:idx val="6"/>
          <c:order val="6"/>
          <c:tx>
            <c:strRef>
              <c:f>'2. Year by Country disclosure'!$H$1</c:f>
              <c:strCache>
                <c:ptCount val="1"/>
                <c:pt idx="0">
                  <c:v>RSEB</c:v>
                </c:pt>
              </c:strCache>
            </c:strRef>
          </c:tx>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numRef>
              <c:f>'2. Year by Country disclosure'!$A$2:$A$6</c:f>
              <c:numCache>
                <c:formatCode>General</c:formatCode>
                <c:ptCount val="5"/>
                <c:pt idx="0">
                  <c:v>2020</c:v>
                </c:pt>
                <c:pt idx="1">
                  <c:v>2021</c:v>
                </c:pt>
                <c:pt idx="2">
                  <c:v>2022</c:v>
                </c:pt>
                <c:pt idx="3">
                  <c:v>2023</c:v>
                </c:pt>
                <c:pt idx="4">
                  <c:v>2024</c:v>
                </c:pt>
              </c:numCache>
            </c:numRef>
          </c:cat>
          <c:val>
            <c:numRef>
              <c:f>'2. Year by Country disclosure'!$H$2:$H$6</c:f>
              <c:numCache>
                <c:formatCode>General</c:formatCode>
                <c:ptCount val="5"/>
                <c:pt idx="0">
                  <c:v>5</c:v>
                </c:pt>
                <c:pt idx="1">
                  <c:v>3</c:v>
                </c:pt>
                <c:pt idx="2">
                  <c:v>2</c:v>
                </c:pt>
                <c:pt idx="3">
                  <c:v>2</c:v>
                </c:pt>
                <c:pt idx="4">
                  <c:v>7</c:v>
                </c:pt>
              </c:numCache>
            </c:numRef>
          </c:val>
        </c:ser>
        <c:dLbls>
          <c:showLegendKey val="0"/>
          <c:showVal val="1"/>
          <c:showCatName val="0"/>
          <c:showSerName val="0"/>
          <c:showPercent val="0"/>
          <c:showBubbleSize val="0"/>
        </c:dLbls>
        <c:gapWidth val="150"/>
        <c:axId val="50020001"/>
        <c:axId val="50020002"/>
      </c:barChart>
      <c:catAx>
        <c:axId val="50020001"/>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Year</a:t>
                </a:r>
                <a:endParaRPr lang="en-US"/>
              </a:p>
            </c:rich>
          </c:tx>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020002"/>
        <c:crosses val="autoZero"/>
        <c:auto val="1"/>
        <c:lblAlgn val="ctr"/>
        <c:lblOffset val="100"/>
        <c:noMultiLvlLbl val="0"/>
      </c:catAx>
      <c:valAx>
        <c:axId val="50020002"/>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Frequency</a:t>
                </a:r>
                <a:endParaRPr lang="en-US"/>
              </a:p>
            </c:rich>
          </c:tx>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020001"/>
        <c:crosses val="autoZero"/>
        <c:crossBetween val="between"/>
      </c:valAx>
    </c:plotArea>
    <c:legend>
      <c:legendPos val="b"/>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de7925f-a40d-4a0c-bb1c-2074a67295b7}"/>
      </c:ext>
    </c:extLst>
  </c:chart>
  <c:spPr>
    <a:ln w="6350" cap="flat" cmpd="sng" algn="ctr">
      <a:solidFill>
        <a:schemeClr val="accent1"/>
      </a:solidFill>
      <a:prstDash val="solid"/>
      <a:round/>
    </a:ln>
  </c:spPr>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400" b="0" i="0" u="none" strike="noStrike" kern="1200" spc="0" baseline="0">
                <a:solidFill>
                  <a:sysClr val="windowText" lastClr="000000">
                    <a:lumMod val="65000"/>
                    <a:lumOff val="35000"/>
                  </a:sysClr>
                </a:solidFill>
                <a:latin typeface="+mn-lt"/>
                <a:ea typeface="+mn-ea"/>
                <a:cs typeface="+mn-cs"/>
              </a:defRPr>
            </a:pPr>
            <a:r>
              <a:rPr lang="en-US" sz="1400" b="1" i="0" u="none" strike="noStrike" kern="1200" baseline="0">
                <a:solidFill>
                  <a:sysClr val="windowText" lastClr="000000">
                    <a:lumMod val="75000"/>
                    <a:lumOff val="25000"/>
                  </a:sysClr>
                </a:solidFill>
              </a:rPr>
              <a:t>Yearly Trend Analysis</a:t>
            </a:r>
            <a:endParaRPr lang="en-US" sz="1400" b="1" i="0" u="none" strike="noStrike" kern="1200" baseline="0">
              <a:solidFill>
                <a:sysClr val="windowText" lastClr="000000">
                  <a:lumMod val="75000"/>
                  <a:lumOff val="25000"/>
                </a:sysClr>
              </a:solidFill>
            </a:endParaRPr>
          </a:p>
        </c:rich>
      </c:tx>
      <c:layout/>
      <c:overlay val="0"/>
      <c:spPr>
        <a:noFill/>
        <a:ln>
          <a:noFill/>
        </a:ln>
        <a:effectLst/>
      </c:spPr>
    </c:title>
    <c:autoTitleDeleted val="0"/>
    <c:plotArea>
      <c:layout/>
      <c:lineChart>
        <c:grouping val="standard"/>
        <c:varyColors val="0"/>
        <c:ser>
          <c:idx val="0"/>
          <c:order val="0"/>
          <c:tx>
            <c:strRef>
              <c:f>'3.Year Wise Trend Analysis'!$J$1</c:f>
              <c:strCache>
                <c:ptCount val="1"/>
                <c:pt idx="0">
                  <c:v>TOTAL</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'3.Year Wise Trend Analysis'!$I$2:$I$6</c:f>
              <c:numCache>
                <c:formatCode>General</c:formatCode>
                <c:ptCount val="5"/>
                <c:pt idx="0">
                  <c:v>2020</c:v>
                </c:pt>
                <c:pt idx="1">
                  <c:v>2021</c:v>
                </c:pt>
                <c:pt idx="2">
                  <c:v>2022</c:v>
                </c:pt>
                <c:pt idx="3">
                  <c:v>2023</c:v>
                </c:pt>
                <c:pt idx="4">
                  <c:v>2024</c:v>
                </c:pt>
              </c:numCache>
            </c:numRef>
          </c:cat>
          <c:val>
            <c:numRef>
              <c:f>'3.Year Wise Trend Analysis'!$J$2:$J$6</c:f>
              <c:numCache>
                <c:formatCode>General</c:formatCode>
                <c:ptCount val="5"/>
                <c:pt idx="0">
                  <c:v>79</c:v>
                </c:pt>
                <c:pt idx="1">
                  <c:v>108</c:v>
                </c:pt>
                <c:pt idx="2">
                  <c:v>230</c:v>
                </c:pt>
                <c:pt idx="3">
                  <c:v>301</c:v>
                </c:pt>
                <c:pt idx="4">
                  <c:v>332</c:v>
                </c:pt>
              </c:numCache>
            </c:numRef>
          </c:val>
          <c:smooth val="0"/>
        </c:ser>
        <c:dLbls>
          <c:showLegendKey val="0"/>
          <c:showVal val="0"/>
          <c:showCatName val="0"/>
          <c:showSerName val="0"/>
          <c:showPercent val="0"/>
          <c:showBubbleSize val="0"/>
        </c:dLbls>
        <c:marker val="0"/>
        <c:smooth val="0"/>
        <c:axId val="266276176"/>
        <c:axId val="266261296"/>
      </c:lineChart>
      <c:catAx>
        <c:axId val="266276176"/>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Year</a:t>
                </a:r>
                <a:endParaRPr 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266261296"/>
        <c:crosses val="autoZero"/>
        <c:auto val="1"/>
        <c:lblAlgn val="ctr"/>
        <c:lblOffset val="100"/>
        <c:noMultiLvlLbl val="0"/>
      </c:catAx>
      <c:valAx>
        <c:axId val="266261296"/>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Frequency</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266276176"/>
        <c:crosses val="autoZero"/>
        <c:crossBetween val="between"/>
      </c:valAx>
      <c:spPr>
        <a:noFill/>
        <a:ln>
          <a:noFill/>
        </a:ln>
        <a:effectLst/>
      </c:spPr>
    </c:plotArea>
    <c:plotVisOnly val="1"/>
    <c:dispBlanksAs val="gap"/>
    <c:showDLblsOverMax val="0"/>
    <c:extLst>
      <c:ext uri="{0b15fc19-7d7d-44ad-8c2d-2c3a37ce22c3}">
        <chartProps xmlns="https://web.wps.cn/et/2018/main" chartId="{1e89e1cd-2251-444d-9b3d-a4d82360423b}"/>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40" b="0" i="0" u="none" strike="noStrike" kern="1200" cap="all" spc="0" baseline="0">
                <a:solidFill>
                  <a:sysClr val="windowText" lastClr="000000"/>
                </a:solidFill>
                <a:latin typeface="+mn-lt"/>
                <a:ea typeface="+mn-ea"/>
                <a:cs typeface="+mn-cs"/>
              </a:defRPr>
            </a:pPr>
            <a:r>
              <a:rPr lang="en-US">
                <a:solidFill>
                  <a:sysClr val="windowText" lastClr="000000"/>
                </a:solidFill>
              </a:rPr>
              <a:t>Keywords</a:t>
            </a:r>
            <a:r>
              <a:rPr lang="en-US" baseline="0">
                <a:solidFill>
                  <a:sysClr val="windowText" lastClr="000000"/>
                </a:solidFill>
              </a:rPr>
              <a:t> trend</a:t>
            </a:r>
            <a:r>
              <a:rPr lang="en-US">
                <a:solidFill>
                  <a:sysClr val="windowText" lastClr="000000"/>
                </a:solidFill>
              </a:rPr>
              <a:t> Over Time </a:t>
            </a:r>
            <a:endParaRPr lang="en-US">
              <a:solidFill>
                <a:sysClr val="windowText" lastClr="000000"/>
              </a:solidFill>
            </a:endParaRPr>
          </a:p>
        </c:rich>
      </c:tx>
      <c:layout/>
      <c:overlay val="0"/>
      <c:spPr>
        <a:noFill/>
        <a:ln>
          <a:noFill/>
        </a:ln>
        <a:effectLst/>
      </c:spPr>
    </c:title>
    <c:autoTitleDeleted val="0"/>
    <c:plotArea>
      <c:layout/>
      <c:lineChart>
        <c:grouping val="standard"/>
        <c:varyColors val="0"/>
        <c:ser>
          <c:idx val="0"/>
          <c:order val="0"/>
          <c:tx>
            <c:strRef>
              <c:f>'C:\Users\LENOVO\OneDrive\Documents\Downloads\[AI_Disclosure_Dashboards.xlsx]Trend_Top10_Keywords'!$B$1</c:f>
              <c:strCache>
                <c:ptCount val="1"/>
                <c:pt idx="0">
                  <c:v>Analytics</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dLbl>
              <c:idx val="0"/>
              <c:layout>
                <c:manualLayout>
                  <c:x val="-0.0420529338449849"/>
                  <c:y val="-0.0286412113202696"/>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61584152970401"/>
                  <c:y val="-0.0095238095238095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700" b="1" i="0" u="none" strike="noStrike" kern="1200" baseline="0">
                    <a:solidFill>
                      <a:schemeClr val="accent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'C:\Users\LENOVO\OneDrive\Documents\Downloads\[AI_Disclosure_Dashboards.xlsx]Trend_Top10_Keywords'!$A$2:$A$6</c:f>
              <c:numCache>
                <c:formatCode>General</c:formatCode>
                <c:ptCount val="5"/>
                <c:pt idx="0">
                  <c:v>2020</c:v>
                </c:pt>
                <c:pt idx="1">
                  <c:v>2021</c:v>
                </c:pt>
                <c:pt idx="2">
                  <c:v>2022</c:v>
                </c:pt>
                <c:pt idx="3">
                  <c:v>2023</c:v>
                </c:pt>
                <c:pt idx="4">
                  <c:v>2024</c:v>
                </c:pt>
              </c:numCache>
            </c:numRef>
          </c:cat>
          <c:val>
            <c:numRef>
              <c:f>'C:\Users\LENOVO\OneDrive\Documents\Downloads\[AI_Disclosure_Dashboards.xlsx]Trend_Top10_Keywords'!$B$2:$B$6</c:f>
              <c:numCache>
                <c:formatCode>General</c:formatCode>
                <c:ptCount val="5"/>
                <c:pt idx="0">
                  <c:v>28</c:v>
                </c:pt>
                <c:pt idx="1">
                  <c:v>37</c:v>
                </c:pt>
                <c:pt idx="2">
                  <c:v>96</c:v>
                </c:pt>
                <c:pt idx="3">
                  <c:v>117</c:v>
                </c:pt>
                <c:pt idx="4">
                  <c:v>128</c:v>
                </c:pt>
              </c:numCache>
            </c:numRef>
          </c:val>
          <c:smooth val="0"/>
        </c:ser>
        <c:ser>
          <c:idx val="1"/>
          <c:order val="1"/>
          <c:tx>
            <c:strRef>
              <c:f>'C:\Users\LENOVO\OneDrive\Documents\Downloads\[AI_Disclosure_Dashboards.xlsx]Trend_Top10_Keywords'!$C$1</c:f>
              <c:strCache>
                <c:ptCount val="1"/>
                <c:pt idx="0">
                  <c:v>Artificial Intelligence</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dLbl>
              <c:idx val="0"/>
              <c:layout>
                <c:manualLayout>
                  <c:x val="-0.0397231314158998"/>
                  <c:y val="-0.014320605660134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20529273188931"/>
                  <c:y val="-0.023889726104811"/>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2"/>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305204118210139"/>
                      <c:h val="0.0360165111696965"/>
                    </c:manualLayout>
                  </c15:layout>
                </c:ext>
              </c:extLst>
            </c:dLbl>
            <c:spPr>
              <a:noFill/>
              <a:ln>
                <a:noFill/>
              </a:ln>
              <a:effectLst/>
            </c:spPr>
            <c:txPr>
              <a:bodyPr rot="0" spcFirstLastPara="1" vertOverflow="ellipsis" vert="horz" wrap="square" lIns="38100" tIns="19050" rIns="38100" bIns="19050" anchor="ctr" anchorCtr="1">
                <a:spAutoFit/>
              </a:bodyPr>
              <a:lstStyle/>
              <a:p>
                <a:pPr>
                  <a:defRPr lang="en-US" sz="500" b="1" i="0" u="none" strike="noStrike" kern="1200" baseline="0">
                    <a:solidFill>
                      <a:schemeClr val="accent2"/>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'C:\Users\LENOVO\OneDrive\Documents\Downloads\[AI_Disclosure_Dashboards.xlsx]Trend_Top10_Keywords'!$A$2:$A$6</c:f>
              <c:numCache>
                <c:formatCode>General</c:formatCode>
                <c:ptCount val="5"/>
                <c:pt idx="0">
                  <c:v>2020</c:v>
                </c:pt>
                <c:pt idx="1">
                  <c:v>2021</c:v>
                </c:pt>
                <c:pt idx="2">
                  <c:v>2022</c:v>
                </c:pt>
                <c:pt idx="3">
                  <c:v>2023</c:v>
                </c:pt>
                <c:pt idx="4">
                  <c:v>2024</c:v>
                </c:pt>
              </c:numCache>
            </c:numRef>
          </c:cat>
          <c:val>
            <c:numRef>
              <c:f>'C:\Users\LENOVO\OneDrive\Documents\Downloads\[AI_Disclosure_Dashboards.xlsx]Trend_Top10_Keywords'!$C$2:$C$6</c:f>
              <c:numCache>
                <c:formatCode>General</c:formatCode>
                <c:ptCount val="5"/>
                <c:pt idx="0">
                  <c:v>15</c:v>
                </c:pt>
                <c:pt idx="1">
                  <c:v>16</c:v>
                </c:pt>
                <c:pt idx="2">
                  <c:v>38</c:v>
                </c:pt>
                <c:pt idx="3">
                  <c:v>42</c:v>
                </c:pt>
                <c:pt idx="4">
                  <c:v>44</c:v>
                </c:pt>
              </c:numCache>
            </c:numRef>
          </c:val>
          <c:smooth val="0"/>
        </c:ser>
        <c:ser>
          <c:idx val="2"/>
          <c:order val="2"/>
          <c:tx>
            <c:strRef>
              <c:f>'C:\Users\LENOVO\OneDrive\Documents\Downloads\[AI_Disclosure_Dashboards.xlsx]Trend_Top10_Keywords'!$D$1</c:f>
              <c:strCache>
                <c:ptCount val="1"/>
                <c:pt idx="0">
                  <c:v>Automation</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dLbl>
              <c:idx val="0"/>
              <c:layout>
                <c:manualLayout>
                  <c:x val="-0.0723403654230903"/>
                  <c:y val="0"/>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61584152970401"/>
                  <c:y val="0.0095238095238095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700" b="1" i="0" u="none" strike="noStrike" kern="1200" baseline="0">
                    <a:solidFill>
                      <a:schemeClr val="accent3"/>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'C:\Users\LENOVO\OneDrive\Documents\Downloads\[AI_Disclosure_Dashboards.xlsx]Trend_Top10_Keywords'!$A$2:$A$6</c:f>
              <c:numCache>
                <c:formatCode>General</c:formatCode>
                <c:ptCount val="5"/>
                <c:pt idx="0">
                  <c:v>2020</c:v>
                </c:pt>
                <c:pt idx="1">
                  <c:v>2021</c:v>
                </c:pt>
                <c:pt idx="2">
                  <c:v>2022</c:v>
                </c:pt>
                <c:pt idx="3">
                  <c:v>2023</c:v>
                </c:pt>
                <c:pt idx="4">
                  <c:v>2024</c:v>
                </c:pt>
              </c:numCache>
            </c:numRef>
          </c:cat>
          <c:val>
            <c:numRef>
              <c:f>'C:\Users\LENOVO\OneDrive\Documents\Downloads\[AI_Disclosure_Dashboards.xlsx]Trend_Top10_Keywords'!$D$2:$D$6</c:f>
              <c:numCache>
                <c:formatCode>General</c:formatCode>
                <c:ptCount val="5"/>
                <c:pt idx="0">
                  <c:v>27</c:v>
                </c:pt>
                <c:pt idx="1">
                  <c:v>49</c:v>
                </c:pt>
                <c:pt idx="2">
                  <c:v>62</c:v>
                </c:pt>
                <c:pt idx="3">
                  <c:v>102</c:v>
                </c:pt>
                <c:pt idx="4">
                  <c:v>123</c:v>
                </c:pt>
              </c:numCache>
            </c:numRef>
          </c:val>
          <c:smooth val="0"/>
        </c:ser>
        <c:ser>
          <c:idx val="3"/>
          <c:order val="3"/>
          <c:tx>
            <c:strRef>
              <c:f>'C:\Users\LENOVO\OneDrive\Documents\Downloads\[AI_Disclosure_Dashboards.xlsx]Trend_Top10_Keywords'!$E$1</c:f>
              <c:strCache>
                <c:ptCount val="1"/>
                <c:pt idx="0">
                  <c:v>Big Data</c:v>
                </c:pt>
              </c:strCache>
            </c:strRef>
          </c:tx>
          <c:spPr>
            <a:ln w="19050" cap="rnd" cmpd="sng" algn="ctr">
              <a:solidFill>
                <a:schemeClr val="accent4">
                  <a:shade val="95000"/>
                  <a:satMod val="105000"/>
                </a:schemeClr>
              </a:solidFill>
              <a:round/>
            </a:ln>
            <a:effectLst/>
          </c:spPr>
          <c:marker>
            <c:symbol val="circle"/>
            <c:size val="17"/>
            <c:spPr>
              <a:solidFill>
                <a:schemeClr val="lt1"/>
              </a:solidFill>
              <a:ln>
                <a:noFill/>
              </a:ln>
              <a:effectLst/>
            </c:spPr>
          </c:marker>
          <c:dLbls>
            <c:dLbl>
              <c:idx val="0"/>
              <c:layout>
                <c:manualLayout>
                  <c:x val="-0.0367350792443145"/>
                  <c:y val="-0.0238676863956599"/>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4"/>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98720357859808"/>
                      <c:h val="0.0339954036845873"/>
                    </c:manualLayout>
                  </c15:layout>
                </c:ext>
              </c:extLst>
            </c:dLbl>
            <c:dLbl>
              <c:idx val="1"/>
              <c:layout>
                <c:manualLayout>
                  <c:x val="-0.0367114296975975"/>
                  <c:y val="-0.0119615341144558"/>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4"/>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98720357859808"/>
                      <c:h val="0.029210714689372"/>
                    </c:manualLayout>
                  </c15:layout>
                </c:ext>
              </c:extLst>
            </c:dLbl>
            <c:dLbl>
              <c:idx val="3"/>
              <c:layout>
                <c:manualLayout>
                  <c:x val="-0.033806660372343"/>
                  <c:y val="-0.0263156011001017"/>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4"/>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40628637951106"/>
                      <c:h val="0.025478657273104"/>
                    </c:manualLayout>
                  </c15:layout>
                </c:ext>
              </c:extLst>
            </c:dLbl>
            <c:dLbl>
              <c:idx val="4"/>
              <c:layout>
                <c:manualLayout>
                  <c:x val="-0.0372990934340425"/>
                  <c:y val="-0.0215311004784689"/>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4"/>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210477299185099"/>
                      <c:h val="0.0350480352635346"/>
                    </c:manualLayout>
                  </c15:layout>
                </c:ext>
              </c:extLst>
            </c:dLbl>
            <c:spPr>
              <a:noFill/>
              <a:ln>
                <a:noFill/>
              </a:ln>
              <a:effectLst/>
            </c:spPr>
            <c:txPr>
              <a:bodyPr rot="0" spcFirstLastPara="1" vertOverflow="ellipsis" vert="horz" wrap="square" lIns="38100" tIns="19050" rIns="38100" bIns="19050" anchor="ctr" anchorCtr="1">
                <a:spAutoFit/>
              </a:bodyPr>
              <a:lstStyle/>
              <a:p>
                <a:pPr>
                  <a:defRPr lang="en-US" sz="500" b="1" i="0" u="none" strike="noStrike" kern="1200" baseline="0">
                    <a:solidFill>
                      <a:schemeClr val="accent4"/>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'C:\Users\LENOVO\OneDrive\Documents\Downloads\[AI_Disclosure_Dashboards.xlsx]Trend_Top10_Keywords'!$A$2:$A$6</c:f>
              <c:numCache>
                <c:formatCode>General</c:formatCode>
                <c:ptCount val="5"/>
                <c:pt idx="0">
                  <c:v>2020</c:v>
                </c:pt>
                <c:pt idx="1">
                  <c:v>2021</c:v>
                </c:pt>
                <c:pt idx="2">
                  <c:v>2022</c:v>
                </c:pt>
                <c:pt idx="3">
                  <c:v>2023</c:v>
                </c:pt>
                <c:pt idx="4">
                  <c:v>2024</c:v>
                </c:pt>
              </c:numCache>
            </c:numRef>
          </c:cat>
          <c:val>
            <c:numRef>
              <c:f>'C:\Users\LENOVO\OneDrive\Documents\Downloads\[AI_Disclosure_Dashboards.xlsx]Trend_Top10_Keywords'!$E$2:$E$6</c:f>
              <c:numCache>
                <c:formatCode>General</c:formatCode>
                <c:ptCount val="5"/>
                <c:pt idx="0">
                  <c:v>5</c:v>
                </c:pt>
                <c:pt idx="1">
                  <c:v>1</c:v>
                </c:pt>
                <c:pt idx="2">
                  <c:v>15</c:v>
                </c:pt>
                <c:pt idx="3">
                  <c:v>7</c:v>
                </c:pt>
                <c:pt idx="4">
                  <c:v>9</c:v>
                </c:pt>
              </c:numCache>
            </c:numRef>
          </c:val>
          <c:smooth val="0"/>
        </c:ser>
        <c:ser>
          <c:idx val="4"/>
          <c:order val="4"/>
          <c:tx>
            <c:strRef>
              <c:f>'C:\Users\LENOVO\OneDrive\Documents\Downloads\[AI_Disclosure_Dashboards.xlsx]Trend_Top10_Keywords'!$F$1</c:f>
              <c:strCache>
                <c:ptCount val="1"/>
                <c:pt idx="0">
                  <c:v>Deep Learning</c:v>
                </c:pt>
              </c:strCache>
            </c:strRef>
          </c:tx>
          <c:spPr>
            <a:ln w="19050" cap="rnd" cmpd="sng" algn="ctr">
              <a:solidFill>
                <a:schemeClr val="accent5">
                  <a:shade val="95000"/>
                  <a:satMod val="105000"/>
                </a:schemeClr>
              </a:solidFill>
              <a:round/>
            </a:ln>
            <a:effectLst/>
          </c:spPr>
          <c:marker>
            <c:symbol val="circle"/>
            <c:size val="17"/>
            <c:spPr>
              <a:solidFill>
                <a:schemeClr val="lt1"/>
              </a:solidFill>
              <a:ln>
                <a:noFill/>
              </a:ln>
              <a:effectLst/>
            </c:spPr>
          </c:marker>
          <c:dLbls>
            <c:dLbl>
              <c:idx val="0"/>
              <c:layout>
                <c:manualLayout>
                  <c:x val="-0.0367351139383457"/>
                  <c:y val="0.00954688250563231"/>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5"/>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98847720077357"/>
                      <c:h val="0.0243690852327869"/>
                    </c:manualLayout>
                  </c15:layout>
                </c:ext>
              </c:extLst>
            </c:dLbl>
            <c:dLbl>
              <c:idx val="1"/>
              <c:layout>
                <c:manualLayout>
                  <c:x val="-0.0367114296975975"/>
                  <c:y val="0.0047846889952153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78928987194412"/>
                  <c:y val="-0.0143540669856459"/>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5"/>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222351571594878"/>
                      <c:h val="0.0265312888520514"/>
                    </c:manualLayout>
                  </c15:layout>
                </c:ext>
              </c:extLst>
            </c:dLbl>
            <c:dLbl>
              <c:idx val="3"/>
              <c:layout>
                <c:manualLayout>
                  <c:x val="-0.0367664286434509"/>
                  <c:y val="9.41867912443959e-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67114490160345"/>
                  <c:y val="-0.0047957114860278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500" b="1" i="0" u="none" strike="noStrike" kern="1200" baseline="0">
                    <a:solidFill>
                      <a:schemeClr val="accent5"/>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'C:\Users\LENOVO\OneDrive\Documents\Downloads\[AI_Disclosure_Dashboards.xlsx]Trend_Top10_Keywords'!$A$2:$A$6</c:f>
              <c:numCache>
                <c:formatCode>General</c:formatCode>
                <c:ptCount val="5"/>
                <c:pt idx="0">
                  <c:v>2020</c:v>
                </c:pt>
                <c:pt idx="1">
                  <c:v>2021</c:v>
                </c:pt>
                <c:pt idx="2">
                  <c:v>2022</c:v>
                </c:pt>
                <c:pt idx="3">
                  <c:v>2023</c:v>
                </c:pt>
                <c:pt idx="4">
                  <c:v>2024</c:v>
                </c:pt>
              </c:numCache>
            </c:numRef>
          </c:cat>
          <c:val>
            <c:numRef>
              <c:f>'C:\Users\LENOVO\OneDrive\Documents\Downloads\[AI_Disclosure_Dashboards.xlsx]Trend_Top10_Keywords'!$F$2:$F$6</c:f>
              <c:numCache>
                <c:formatCode>General</c:formatCode>
                <c:ptCount val="5"/>
                <c:pt idx="0">
                  <c:v>0</c:v>
                </c:pt>
                <c:pt idx="1">
                  <c:v>0</c:v>
                </c:pt>
                <c:pt idx="2">
                  <c:v>2</c:v>
                </c:pt>
                <c:pt idx="3">
                  <c:v>2</c:v>
                </c:pt>
                <c:pt idx="4">
                  <c:v>1</c:v>
                </c:pt>
              </c:numCache>
            </c:numRef>
          </c:val>
          <c:smooth val="0"/>
        </c:ser>
        <c:ser>
          <c:idx val="5"/>
          <c:order val="5"/>
          <c:tx>
            <c:strRef>
              <c:f>'C:\Users\LENOVO\OneDrive\Documents\Downloads\[AI_Disclosure_Dashboards.xlsx]Trend_Top10_Keywords'!$G$1</c:f>
              <c:strCache>
                <c:ptCount val="1"/>
                <c:pt idx="0">
                  <c:v>Machine Learning</c:v>
                </c:pt>
              </c:strCache>
            </c:strRef>
          </c:tx>
          <c:spPr>
            <a:ln w="19050" cap="rnd" cmpd="sng" algn="ctr">
              <a:solidFill>
                <a:schemeClr val="accent6">
                  <a:shade val="95000"/>
                  <a:satMod val="105000"/>
                </a:schemeClr>
              </a:solidFill>
              <a:round/>
            </a:ln>
            <a:effectLst/>
          </c:spPr>
          <c:marker>
            <c:symbol val="circle"/>
            <c:size val="17"/>
            <c:spPr>
              <a:solidFill>
                <a:schemeClr val="lt1"/>
              </a:solidFill>
              <a:ln>
                <a:noFill/>
              </a:ln>
              <a:effectLst/>
            </c:spPr>
          </c:marker>
          <c:dLbls>
            <c:dLbl>
              <c:idx val="0"/>
              <c:layout>
                <c:manualLayout>
                  <c:x val="-0.0361584419748947"/>
                  <c:y val="-0.0119336501156549"/>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6"/>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87316115298437"/>
                      <c:h val="0.0349663334212867"/>
                    </c:manualLayout>
                  </c15:layout>
                </c:ext>
              </c:extLst>
            </c:dLbl>
            <c:dLbl>
              <c:idx val="1"/>
              <c:layout>
                <c:manualLayout>
                  <c:x val="-0.0343831409897977"/>
                  <c:y val="-0.0263156011001017"/>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6"/>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52154583703812"/>
                      <c:h val="0.0196413366989413"/>
                    </c:manualLayout>
                  </c15:layout>
                </c:ext>
              </c:extLst>
            </c:dLbl>
            <c:dLbl>
              <c:idx val="2"/>
              <c:layout>
                <c:manualLayout>
                  <c:x val="-0.0408252582253756"/>
                  <c:y val="-0.014404640335790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08401289084746"/>
                  <c:y val="-0.0095900251135172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08381839348079"/>
                  <c:y val="-0.0095693779904306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500" b="1" i="0" u="none" strike="noStrike" kern="1200" baseline="0">
                    <a:solidFill>
                      <a:schemeClr val="accent6"/>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'C:\Users\LENOVO\OneDrive\Documents\Downloads\[AI_Disclosure_Dashboards.xlsx]Trend_Top10_Keywords'!$A$2:$A$6</c:f>
              <c:numCache>
                <c:formatCode>General</c:formatCode>
                <c:ptCount val="5"/>
                <c:pt idx="0">
                  <c:v>2020</c:v>
                </c:pt>
                <c:pt idx="1">
                  <c:v>2021</c:v>
                </c:pt>
                <c:pt idx="2">
                  <c:v>2022</c:v>
                </c:pt>
                <c:pt idx="3">
                  <c:v>2023</c:v>
                </c:pt>
                <c:pt idx="4">
                  <c:v>2024</c:v>
                </c:pt>
              </c:numCache>
            </c:numRef>
          </c:cat>
          <c:val>
            <c:numRef>
              <c:f>'C:\Users\LENOVO\OneDrive\Documents\Downloads\[AI_Disclosure_Dashboards.xlsx]Trend_Top10_Keywords'!$G$2:$G$6</c:f>
              <c:numCache>
                <c:formatCode>General</c:formatCode>
                <c:ptCount val="5"/>
                <c:pt idx="0">
                  <c:v>3</c:v>
                </c:pt>
                <c:pt idx="1">
                  <c:v>2</c:v>
                </c:pt>
                <c:pt idx="2">
                  <c:v>17</c:v>
                </c:pt>
                <c:pt idx="3">
                  <c:v>24</c:v>
                </c:pt>
                <c:pt idx="4">
                  <c:v>22</c:v>
                </c:pt>
              </c:numCache>
            </c:numRef>
          </c:val>
          <c:smooth val="0"/>
        </c:ser>
        <c:ser>
          <c:idx val="6"/>
          <c:order val="6"/>
          <c:tx>
            <c:strRef>
              <c:f>'C:\Users\LENOVO\OneDrive\Documents\Downloads\[AI_Disclosure_Dashboards.xlsx]Trend_Top10_Keywords'!$H$1</c:f>
              <c:strCache>
                <c:ptCount val="1"/>
                <c:pt idx="0">
                  <c:v>Natural Language Processing</c:v>
                </c:pt>
              </c:strCache>
            </c:strRef>
          </c:tx>
          <c:spPr>
            <a:ln w="19050" cap="rnd" cmpd="sng" algn="ctr">
              <a:solidFill>
                <a:schemeClr val="accent1">
                  <a:lumMod val="60000"/>
                  <a:shade val="95000"/>
                  <a:satMod val="105000"/>
                </a:schemeClr>
              </a:solidFill>
              <a:round/>
            </a:ln>
            <a:effectLst/>
          </c:spPr>
          <c:marker>
            <c:symbol val="circle"/>
            <c:size val="17"/>
            <c:spPr>
              <a:solidFill>
                <a:schemeClr val="lt1"/>
              </a:solidFill>
              <a:ln>
                <a:noFill/>
              </a:ln>
              <a:effectLst/>
            </c:spPr>
          </c:marker>
          <c:dLbls>
            <c:dLbl>
              <c:idx val="0"/>
              <c:layout>
                <c:manualLayout>
                  <c:x val="-0.0349843711328866"/>
                  <c:y val="0.00955826394906378"/>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1">
                          <a:lumMod val="60000"/>
                        </a:schemeClr>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63911525029104"/>
                      <c:h val="0.0398327242587499"/>
                    </c:manualLayout>
                  </c15:layout>
                </c:ext>
              </c:extLst>
            </c:dLbl>
            <c:dLbl>
              <c:idx val="1"/>
              <c:layout>
                <c:manualLayout>
                  <c:x val="-0.0372991850989523"/>
                  <c:y val="0.0047846889952153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72991850989523"/>
                  <c:y val="0"/>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67762065166225"/>
                  <c:y val="0.019214043064053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72991279200955"/>
                  <c:y val="0.00956905877161528"/>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600" b="1" i="0" u="none" strike="noStrike" kern="1200" baseline="0">
                      <a:solidFill>
                        <a:schemeClr val="accent1">
                          <a:lumMod val="60000"/>
                        </a:schemeClr>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210614139589287"/>
                      <c:h val="0.0397398686413316"/>
                    </c:manualLayout>
                  </c15:layout>
                </c:ext>
              </c:extLst>
            </c:dLbl>
            <c:spPr>
              <a:noFill/>
              <a:ln>
                <a:noFill/>
              </a:ln>
              <a:effectLst/>
            </c:spPr>
            <c:txPr>
              <a:bodyPr rot="0" spcFirstLastPara="1" vertOverflow="ellipsis" vert="horz" wrap="square" lIns="38100" tIns="19050" rIns="38100" bIns="19050" anchor="ctr" anchorCtr="1">
                <a:spAutoFit/>
              </a:bodyPr>
              <a:lstStyle/>
              <a:p>
                <a:pPr>
                  <a:defRPr lang="en-US" sz="600" b="1" i="0" u="none" strike="noStrike" kern="1200" baseline="0">
                    <a:solidFill>
                      <a:schemeClr val="accent1">
                        <a:lumMod val="60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'C:\Users\LENOVO\OneDrive\Documents\Downloads\[AI_Disclosure_Dashboards.xlsx]Trend_Top10_Keywords'!$A$2:$A$6</c:f>
              <c:numCache>
                <c:formatCode>General</c:formatCode>
                <c:ptCount val="5"/>
                <c:pt idx="0">
                  <c:v>2020</c:v>
                </c:pt>
                <c:pt idx="1">
                  <c:v>2021</c:v>
                </c:pt>
                <c:pt idx="2">
                  <c:v>2022</c:v>
                </c:pt>
                <c:pt idx="3">
                  <c:v>2023</c:v>
                </c:pt>
                <c:pt idx="4">
                  <c:v>2024</c:v>
                </c:pt>
              </c:numCache>
            </c:numRef>
          </c:cat>
          <c:val>
            <c:numRef>
              <c:f>'C:\Users\LENOVO\OneDrive\Documents\Downloads\[AI_Disclosure_Dashboards.xlsx]Trend_Top10_Keywords'!$H$2:$H$6</c:f>
              <c:numCache>
                <c:formatCode>General</c:formatCode>
                <c:ptCount val="5"/>
                <c:pt idx="0">
                  <c:v>0</c:v>
                </c:pt>
                <c:pt idx="1">
                  <c:v>0</c:v>
                </c:pt>
                <c:pt idx="2">
                  <c:v>0</c:v>
                </c:pt>
                <c:pt idx="3">
                  <c:v>1</c:v>
                </c:pt>
                <c:pt idx="4">
                  <c:v>0</c:v>
                </c:pt>
              </c:numCache>
            </c:numRef>
          </c:val>
          <c:smooth val="0"/>
        </c:ser>
        <c:ser>
          <c:idx val="7"/>
          <c:order val="7"/>
          <c:tx>
            <c:strRef>
              <c:f>'C:\Users\LENOVO\OneDrive\Documents\Downloads\[AI_Disclosure_Dashboards.xlsx]Trend_Top10_Keywords'!$I$1</c:f>
              <c:strCache>
                <c:ptCount val="1"/>
                <c:pt idx="0">
                  <c:v>Robotic Process Automation</c:v>
                </c:pt>
              </c:strCache>
            </c:strRef>
          </c:tx>
          <c:spPr>
            <a:ln w="19050" cap="rnd" cmpd="sng" algn="ctr">
              <a:solidFill>
                <a:schemeClr val="accent2">
                  <a:lumMod val="60000"/>
                  <a:shade val="95000"/>
                  <a:satMod val="105000"/>
                </a:schemeClr>
              </a:solidFill>
              <a:round/>
            </a:ln>
            <a:effectLst/>
          </c:spPr>
          <c:marker>
            <c:symbol val="circle"/>
            <c:size val="17"/>
            <c:spPr>
              <a:solidFill>
                <a:schemeClr val="lt1"/>
              </a:solidFill>
              <a:ln>
                <a:noFill/>
              </a:ln>
              <a:effectLst/>
            </c:spPr>
          </c:marker>
          <c:dLbls>
            <c:dLbl>
              <c:idx val="0"/>
              <c:layout>
                <c:manualLayout>
                  <c:x val="-0.0332531876472368"/>
                  <c:y val="-0.00485156161699883"/>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2">
                          <a:lumMod val="60000"/>
                        </a:schemeClr>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28871696625815"/>
                      <c:h val="0.014856647703726"/>
                    </c:manualLayout>
                  </c15:layout>
                </c:ext>
              </c:extLst>
            </c:dLbl>
            <c:dLbl>
              <c:idx val="1"/>
              <c:layout>
                <c:manualLayout>
                  <c:x val="-0.0367114296975975"/>
                  <c:y val="-0.038277700335305"/>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2">
                          <a:lumMod val="60000"/>
                        </a:schemeClr>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98720357859808"/>
                      <c:h val="0.0244260256941566"/>
                    </c:manualLayout>
                  </c15:layout>
                </c:ext>
              </c:extLst>
            </c:dLbl>
            <c:dLbl>
              <c:idx val="2"/>
              <c:layout>
                <c:manualLayout>
                  <c:x val="-0.0367169295921828"/>
                  <c:y val="1.71419960064801e-5"/>
                </c:manualLayout>
              </c:layout>
              <c:dLblPos val="r"/>
              <c:showLegendKey val="0"/>
              <c:showVal val="1"/>
              <c:showCatName val="0"/>
              <c:showSerName val="0"/>
              <c:showPercent val="0"/>
              <c:showBubbleSize val="0"/>
              <c:extLst>
                <c:ext xmlns:c15="http://schemas.microsoft.com/office/drawing/2012/chart" uri="{CE6537A1-D6FC-4f65-9D91-7224C49458BB}">
                  <c15:layout>
                    <c:manualLayout>
                      <c:w val="0.0222003244937805"/>
                      <c:h val="0.0435647816750179"/>
                    </c:manualLayout>
                  </c15:layout>
                </c:ext>
              </c:extLst>
            </c:dLbl>
            <c:dLbl>
              <c:idx val="3"/>
              <c:layout>
                <c:manualLayout>
                  <c:x val="-0.036758912120851"/>
                  <c:y val="-0.0119615341144558"/>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2">
                          <a:lumMod val="60000"/>
                        </a:schemeClr>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198720357859808"/>
                      <c:h val="0.029210714689372"/>
                    </c:manualLayout>
                  </c15:layout>
                </c:ext>
              </c:extLst>
            </c:dLbl>
            <c:dLbl>
              <c:idx val="4"/>
              <c:layout>
                <c:manualLayout>
                  <c:x val="-0.0378928987194412"/>
                  <c:y val="-0.0119615341144558"/>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en-US" sz="500" b="1" i="0" u="none" strike="noStrike" kern="1200" baseline="0">
                      <a:solidFill>
                        <a:schemeClr val="accent2">
                          <a:lumMod val="60000"/>
                        </a:schemeClr>
                      </a:solidFill>
                      <a:latin typeface="+mn-lt"/>
                      <a:ea typeface="+mn-ea"/>
                      <a:cs typeface="+mn-cs"/>
                    </a:defRPr>
                  </a:pPr>
                </a:p>
              </c:txPr>
              <c:dLblPos val="r"/>
              <c:showLegendKey val="0"/>
              <c:showVal val="1"/>
              <c:showCatName val="0"/>
              <c:showSerName val="0"/>
              <c:showPercent val="0"/>
              <c:showBubbleSize val="0"/>
              <c:extLst>
                <c:ext xmlns:c15="http://schemas.microsoft.com/office/drawing/2012/chart" uri="{CE6537A1-D6FC-4f65-9D91-7224C49458BB}">
                  <c15:layout>
                    <c:manualLayout>
                      <c:w val="0.0222351571594878"/>
                      <c:h val="0.0313159778472667"/>
                    </c:manualLayout>
                  </c15:layout>
                </c:ext>
              </c:extLst>
            </c:dLbl>
            <c:spPr>
              <a:noFill/>
              <a:ln>
                <a:noFill/>
              </a:ln>
              <a:effectLst/>
            </c:spPr>
            <c:txPr>
              <a:bodyPr rot="0" spcFirstLastPara="1" vertOverflow="ellipsis" vert="horz" wrap="square" lIns="38100" tIns="19050" rIns="38100" bIns="19050" anchor="ctr" anchorCtr="1">
                <a:spAutoFit/>
              </a:bodyPr>
              <a:lstStyle/>
              <a:p>
                <a:pPr>
                  <a:defRPr lang="en-US" sz="500" b="1" i="0" u="none" strike="noStrike" kern="1200" baseline="0">
                    <a:solidFill>
                      <a:schemeClr val="accent2">
                        <a:lumMod val="60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'C:\Users\LENOVO\OneDrive\Documents\Downloads\[AI_Disclosure_Dashboards.xlsx]Trend_Top10_Keywords'!$A$2:$A$6</c:f>
              <c:numCache>
                <c:formatCode>General</c:formatCode>
                <c:ptCount val="5"/>
                <c:pt idx="0">
                  <c:v>2020</c:v>
                </c:pt>
                <c:pt idx="1">
                  <c:v>2021</c:v>
                </c:pt>
                <c:pt idx="2">
                  <c:v>2022</c:v>
                </c:pt>
                <c:pt idx="3">
                  <c:v>2023</c:v>
                </c:pt>
                <c:pt idx="4">
                  <c:v>2024</c:v>
                </c:pt>
              </c:numCache>
            </c:numRef>
          </c:cat>
          <c:val>
            <c:numRef>
              <c:f>'C:\Users\LENOVO\OneDrive\Documents\Downloads\[AI_Disclosure_Dashboards.xlsx]Trend_Top10_Keywords'!$I$2:$I$6</c:f>
              <c:numCache>
                <c:formatCode>General</c:formatCode>
                <c:ptCount val="5"/>
                <c:pt idx="0">
                  <c:v>1</c:v>
                </c:pt>
                <c:pt idx="1">
                  <c:v>3</c:v>
                </c:pt>
                <c:pt idx="2">
                  <c:v>0</c:v>
                </c:pt>
                <c:pt idx="3">
                  <c:v>6</c:v>
                </c:pt>
                <c:pt idx="4">
                  <c:v>5</c:v>
                </c:pt>
              </c:numCache>
            </c:numRef>
          </c:val>
          <c:smooth val="0"/>
        </c:ser>
        <c:dLbls>
          <c:showLegendKey val="0"/>
          <c:showVal val="1"/>
          <c:showCatName val="0"/>
          <c:showSerName val="0"/>
          <c:showPercent val="0"/>
          <c:showBubbleSize val="0"/>
        </c:dLbls>
        <c:marker val="1"/>
        <c:smooth val="0"/>
        <c:axId val="50010001"/>
        <c:axId val="50010002"/>
      </c:lineChart>
      <c:catAx>
        <c:axId val="50010001"/>
        <c:scaling>
          <c:orientation val="minMax"/>
        </c:scaling>
        <c:delete val="0"/>
        <c:axPos val="b"/>
        <c:title>
          <c:tx>
            <c:rich>
              <a:bodyPr rot="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r>
                  <a:rPr lang="en-US">
                    <a:solidFill>
                      <a:sysClr val="windowText" lastClr="000000"/>
                    </a:solidFill>
                  </a:rPr>
                  <a:t>Year</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p>
        </c:txPr>
        <c:crossAx val="50010002"/>
        <c:crosses val="autoZero"/>
        <c:auto val="1"/>
        <c:lblAlgn val="ctr"/>
        <c:lblOffset val="100"/>
        <c:noMultiLvlLbl val="0"/>
      </c:catAx>
      <c:valAx>
        <c:axId val="50010002"/>
        <c:scaling>
          <c:orientation val="minMax"/>
        </c:scaling>
        <c:delete val="1"/>
        <c:axPos val="l"/>
        <c:title>
          <c:tx>
            <c:rich>
              <a:bodyPr rot="-54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r>
                  <a:rPr lang="en-US"/>
                  <a:t>Frequency</a:t>
                </a:r>
                <a:endParaRPr lang="en-US"/>
              </a:p>
            </c:rich>
          </c:tx>
          <c:layout/>
          <c:overlay val="0"/>
          <c:spPr>
            <a:noFill/>
            <a:ln>
              <a:noFill/>
            </a:ln>
            <a:effectLst/>
          </c:spPr>
        </c:title>
        <c:numFmt formatCode="General"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p>
        </c:txPr>
        <c:crossAx val="5001000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7b121cd-4879-419a-93cd-dada85fc74df}"/>
      </c:ext>
    </c:extLst>
  </c:chart>
  <c:spPr>
    <a:solidFill>
      <a:schemeClr val="lt1"/>
    </a:solidFill>
    <a:ln w="9525" cap="flat" cmpd="sng" algn="ctr">
      <a:solidFill>
        <a:schemeClr val="dk1">
          <a:lumMod val="15000"/>
          <a:lumOff val="85000"/>
        </a:schemeClr>
      </a:solidFill>
      <a:round/>
    </a:ln>
    <a:effectLst/>
  </c:spPr>
  <c:txPr>
    <a:bodyPr/>
    <a:lstStyle/>
    <a:p>
      <a:pPr>
        <a:defRPr lang="en-US"/>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400" b="0" i="0" u="none" strike="noStrike" kern="1200" spc="0" baseline="0">
                <a:solidFill>
                  <a:sysClr val="windowText" lastClr="000000">
                    <a:lumMod val="65000"/>
                    <a:lumOff val="35000"/>
                  </a:sysClr>
                </a:solidFill>
                <a:latin typeface="+mn-lt"/>
                <a:ea typeface="+mn-ea"/>
                <a:cs typeface="+mn-cs"/>
              </a:defRPr>
            </a:pPr>
            <a:r>
              <a:rPr lang="en-US" sz="1400" b="1" i="0" u="none" strike="noStrike" kern="1200" baseline="0">
                <a:solidFill>
                  <a:sysClr val="windowText" lastClr="000000"/>
                </a:solidFill>
              </a:rPr>
              <a:t>Yearly Total vs 3-Year Moving Average</a:t>
            </a:r>
            <a:endParaRPr lang="en-US" sz="1400" b="1" i="0" u="none" strike="noStrike" kern="1200" baseline="0">
              <a:solidFill>
                <a:sysClr val="windowText" lastClr="000000"/>
              </a:solidFill>
            </a:endParaRPr>
          </a:p>
        </c:rich>
      </c:tx>
      <c:layout/>
      <c:overlay val="0"/>
      <c:spPr>
        <a:noFill/>
        <a:ln>
          <a:noFill/>
        </a:ln>
        <a:effectLst/>
      </c:spPr>
    </c:title>
    <c:autoTitleDeleted val="0"/>
    <c:plotArea>
      <c:layout/>
      <c:lineChart>
        <c:grouping val="standard"/>
        <c:varyColors val="0"/>
        <c:ser>
          <c:idx val="0"/>
          <c:order val="0"/>
          <c:tx>
            <c:strRef>
              <c:f>'6'!$B$1</c:f>
              <c:strCache>
                <c:ptCount val="1"/>
                <c:pt idx="0">
                  <c:v>Total Frequency</c:v>
                </c:pt>
              </c:strCache>
            </c:strRef>
          </c:tx>
          <c:spPr>
            <a:ln w="28575" cap="rnd">
              <a:solidFill>
                <a:schemeClr val="accent1"/>
              </a:solidFill>
              <a:round/>
            </a:ln>
            <a:effectLst/>
          </c:spPr>
          <c:marker>
            <c:symbol val="none"/>
          </c:marker>
          <c:dLbls>
            <c:dLbl>
              <c:idx val="4"/>
              <c:layout>
                <c:manualLayout>
                  <c:x val="-0.0764657516368303"/>
                  <c:y val="-0.027723628171572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ysClr val="windowText" lastClr="000000"/>
                    </a:solidFill>
                    <a:latin typeface="+mn-lt"/>
                    <a:ea typeface="+mn-ea"/>
                    <a:cs typeface="+mn-cs"/>
                  </a:defRPr>
                </a:pPr>
              </a:p>
            </c:txPr>
            <c:dLblPos val="l"/>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'6'!$A$2:$A$7</c:f>
              <c:numCache>
                <c:formatCode>General</c:formatCode>
                <c:ptCount val="6"/>
                <c:pt idx="0">
                  <c:v>2020</c:v>
                </c:pt>
                <c:pt idx="1">
                  <c:v>2021</c:v>
                </c:pt>
                <c:pt idx="2">
                  <c:v>2022</c:v>
                </c:pt>
                <c:pt idx="3">
                  <c:v>2023</c:v>
                </c:pt>
                <c:pt idx="4">
                  <c:v>2024</c:v>
                </c:pt>
              </c:numCache>
            </c:numRef>
          </c:cat>
          <c:val>
            <c:numRef>
              <c:f>'6'!$B$2:$B$7</c:f>
              <c:numCache>
                <c:formatCode>General</c:formatCode>
                <c:ptCount val="6"/>
                <c:pt idx="0">
                  <c:v>79</c:v>
                </c:pt>
                <c:pt idx="1">
                  <c:v>108</c:v>
                </c:pt>
                <c:pt idx="2">
                  <c:v>230</c:v>
                </c:pt>
                <c:pt idx="3">
                  <c:v>301</c:v>
                </c:pt>
                <c:pt idx="4">
                  <c:v>332</c:v>
                </c:pt>
              </c:numCache>
            </c:numRef>
          </c:val>
          <c:smooth val="0"/>
        </c:ser>
        <c:ser>
          <c:idx val="1"/>
          <c:order val="1"/>
          <c:tx>
            <c:strRef>
              <c:f>'6'!$C$1</c:f>
              <c:strCache>
                <c:ptCount val="1"/>
                <c:pt idx="0">
                  <c:v>MA_3yr</c:v>
                </c:pt>
              </c:strCache>
            </c:strRef>
          </c:tx>
          <c:spPr>
            <a:ln w="28575" cap="rnd">
              <a:solidFill>
                <a:schemeClr val="accent2"/>
              </a:solidFill>
              <a:round/>
            </a:ln>
            <a:effectLst/>
          </c:spPr>
          <c:marker>
            <c:symbol val="none"/>
          </c:marker>
          <c:dLbls>
            <c:dLbl>
              <c:idx val="4"/>
              <c:layout>
                <c:manualLayout>
                  <c:x val="-0.0178603702587519"/>
                  <c:y val="-0.0161247108512706"/>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ysClr val="windowText" lastClr="000000"/>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'6'!$A$2:$A$7</c:f>
              <c:numCache>
                <c:formatCode>General</c:formatCode>
                <c:ptCount val="6"/>
                <c:pt idx="0">
                  <c:v>2020</c:v>
                </c:pt>
                <c:pt idx="1">
                  <c:v>2021</c:v>
                </c:pt>
                <c:pt idx="2">
                  <c:v>2022</c:v>
                </c:pt>
                <c:pt idx="3">
                  <c:v>2023</c:v>
                </c:pt>
                <c:pt idx="4">
                  <c:v>2024</c:v>
                </c:pt>
              </c:numCache>
            </c:numRef>
          </c:cat>
          <c:val>
            <c:numRef>
              <c:f>'6'!$C$2:$C$7</c:f>
              <c:numCache>
                <c:formatCode>General</c:formatCode>
                <c:ptCount val="6"/>
                <c:pt idx="0">
                  <c:v>79</c:v>
                </c:pt>
                <c:pt idx="1">
                  <c:v>108</c:v>
                </c:pt>
                <c:pt idx="2">
                  <c:v>139</c:v>
                </c:pt>
                <c:pt idx="3">
                  <c:v>127.8</c:v>
                </c:pt>
                <c:pt idx="4">
                  <c:v>287.666666666667</c:v>
                </c:pt>
              </c:numCache>
            </c:numRef>
          </c:val>
          <c:smooth val="0"/>
        </c:ser>
        <c:dLbls>
          <c:showLegendKey val="0"/>
          <c:showVal val="0"/>
          <c:showCatName val="0"/>
          <c:showSerName val="0"/>
          <c:showPercent val="0"/>
          <c:showBubbleSize val="0"/>
        </c:dLbls>
        <c:marker val="0"/>
        <c:smooth val="0"/>
        <c:axId val="1294087248"/>
        <c:axId val="1294087728"/>
      </c:lineChart>
      <c:catAx>
        <c:axId val="1294087248"/>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solidFill>
                      <a:sysClr val="windowText" lastClr="000000"/>
                    </a:solidFill>
                  </a:rPr>
                  <a:t>Year</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1294087728"/>
        <c:crosses val="autoZero"/>
        <c:auto val="1"/>
        <c:lblAlgn val="ctr"/>
        <c:lblOffset val="100"/>
        <c:noMultiLvlLbl val="0"/>
      </c:catAx>
      <c:valAx>
        <c:axId val="1294087728"/>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solidFill>
                      <a:sysClr val="windowText" lastClr="000000"/>
                    </a:solidFill>
                  </a:rPr>
                  <a:t>Frequency</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12940872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e8f2d298-739b-443c-9906-866b458a56d7}"/>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cap="none" spc="20" baseline="0">
                <a:solidFill>
                  <a:schemeClr val="tx1"/>
                </a:solidFill>
                <a:latin typeface="+mn-lt"/>
                <a:ea typeface="+mn-ea"/>
                <a:cs typeface="+mn-cs"/>
              </a:defRPr>
            </a:pPr>
            <a:r>
              <a:rPr lang="en-US">
                <a:solidFill>
                  <a:schemeClr val="tx1"/>
                </a:solidFill>
              </a:rPr>
              <a:t>Top 10 Companies by Disclosure Frequency (with Exchange)</a:t>
            </a:r>
            <a:endParaRPr lang="en-US">
              <a:solidFill>
                <a:schemeClr val="tx1"/>
              </a:solidFill>
            </a:endParaRPr>
          </a:p>
        </c:rich>
      </c:tx>
      <c:layout/>
      <c:overlay val="0"/>
      <c:spPr>
        <a:noFill/>
        <a:ln>
          <a:noFill/>
        </a:ln>
        <a:effectLst/>
      </c:spPr>
    </c:title>
    <c:autoTitleDeleted val="0"/>
    <c:plotArea>
      <c:layout/>
      <c:barChart>
        <c:barDir val="bar"/>
        <c:grouping val="clustered"/>
        <c:varyColors val="0"/>
        <c:ser>
          <c:idx val="0"/>
          <c:order val="0"/>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'C:\Users\LENOVO\OneDrive\Documents\Downloads\[Top10_Companies_With_Exchanges.xlsx]Top10_Companies'!$B$2:$B$11</c:f>
              <c:strCache>
                <c:ptCount val="10"/>
                <c:pt idx="0">
                  <c:v>Bharat Electronics Ltd.</c:v>
                </c:pt>
                <c:pt idx="1">
                  <c:v>Adani Ports &amp; Special Economic Zone Ltd</c:v>
                </c:pt>
                <c:pt idx="2">
                  <c:v>Hero MotoCorp Ltd.</c:v>
                </c:pt>
                <c:pt idx="3">
                  <c:v>IndusInd Bank Ltd.</c:v>
                </c:pt>
                <c:pt idx="4">
                  <c:v>
State Bank of India (SBI)</c:v>
                </c:pt>
                <c:pt idx="5">
                  <c:v>Islamic Bank Bangladesh</c:v>
                </c:pt>
                <c:pt idx="6">
                  <c:v>Bajaj Finance Ltd.</c:v>
                </c:pt>
                <c:pt idx="7">
                  <c:v>Reliance Insurance Ltd..</c:v>
                </c:pt>
                <c:pt idx="8">
                  <c:v>State Trading Organization PLC</c:v>
                </c:pt>
                <c:pt idx="9">
                  <c:v>Pak Elektron Ltd.</c:v>
                </c:pt>
              </c:strCache>
            </c:strRef>
          </c:cat>
          <c:val>
            <c:numRef>
              <c:f>'C:\Users\LENOVO\OneDrive\Documents\Downloads\[Top10_Companies_With_Exchanges.xlsx]Top10_Companies'!$C$2:$C$11</c:f>
              <c:numCache>
                <c:formatCode>General</c:formatCode>
                <c:ptCount val="10"/>
                <c:pt idx="0">
                  <c:v>34</c:v>
                </c:pt>
                <c:pt idx="1">
                  <c:v>17</c:v>
                </c:pt>
                <c:pt idx="2">
                  <c:v>15</c:v>
                </c:pt>
                <c:pt idx="3">
                  <c:v>10</c:v>
                </c:pt>
                <c:pt idx="4">
                  <c:v>9</c:v>
                </c:pt>
                <c:pt idx="5">
                  <c:v>8</c:v>
                </c:pt>
                <c:pt idx="6">
                  <c:v>7</c:v>
                </c:pt>
                <c:pt idx="7">
                  <c:v>7</c:v>
                </c:pt>
                <c:pt idx="8">
                  <c:v>6</c:v>
                </c:pt>
                <c:pt idx="9">
                  <c:v>6</c:v>
                </c:pt>
              </c:numCache>
            </c:numRef>
          </c:val>
        </c:ser>
        <c:dLbls>
          <c:showLegendKey val="0"/>
          <c:showVal val="1"/>
          <c:showCatName val="0"/>
          <c:showSerName val="0"/>
          <c:showPercent val="0"/>
          <c:showBubbleSize val="0"/>
        </c:dLbls>
        <c:gapWidth val="100"/>
        <c:axId val="50010001"/>
        <c:axId val="50010002"/>
      </c:barChart>
      <c:catAx>
        <c:axId val="50010001"/>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chemeClr val="tx1"/>
                    </a:solidFill>
                    <a:latin typeface="+mn-lt"/>
                    <a:ea typeface="+mn-ea"/>
                    <a:cs typeface="+mn-cs"/>
                  </a:defRPr>
                </a:pPr>
                <a:r>
                  <a:rPr lang="en-US">
                    <a:solidFill>
                      <a:schemeClr val="tx1"/>
                    </a:solidFill>
                  </a:rPr>
                  <a:t>Company</a:t>
                </a:r>
                <a:endParaRPr lang="en-US">
                  <a:solidFill>
                    <a:schemeClr val="tx1"/>
                  </a:solidFill>
                </a:endParaRPr>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10002"/>
        <c:crosses val="autoZero"/>
        <c:auto val="1"/>
        <c:lblAlgn val="ctr"/>
        <c:lblOffset val="100"/>
        <c:noMultiLvlLbl val="0"/>
      </c:catAx>
      <c:valAx>
        <c:axId val="50010002"/>
        <c:scaling>
          <c:orientation val="minMax"/>
        </c:scaling>
        <c:delete val="0"/>
        <c:axPos val="b"/>
        <c:title>
          <c:tx>
            <c:rich>
              <a:bodyPr rot="0" spcFirstLastPara="1" vertOverflow="ellipsis" vert="horz" wrap="square" anchor="ctr" anchorCtr="1"/>
              <a:lstStyle/>
              <a:p>
                <a:pPr>
                  <a:defRPr lang="en-US" sz="900" b="0" i="0" u="none" strike="noStrike" kern="1200" cap="all" baseline="0">
                    <a:solidFill>
                      <a:sysClr val="windowText" lastClr="000000"/>
                    </a:solidFill>
                    <a:latin typeface="+mn-lt"/>
                    <a:ea typeface="+mn-ea"/>
                    <a:cs typeface="+mn-cs"/>
                  </a:defRPr>
                </a:pPr>
                <a:r>
                  <a:rPr lang="en-US">
                    <a:solidFill>
                      <a:sysClr val="windowText" lastClr="000000"/>
                    </a:solidFill>
                  </a:rPr>
                  <a:t>Total Frequency</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p>
        </c:txPr>
        <c:crossAx val="50010001"/>
        <c:crosses val="autoZero"/>
        <c:crossBetween val="between"/>
      </c:valAx>
      <c:spPr>
        <a:noFill/>
        <a:ln>
          <a:noFill/>
        </a:ln>
        <a:effectLst/>
      </c:spPr>
    </c:plotArea>
    <c:plotVisOnly val="1"/>
    <c:dispBlanksAs val="gap"/>
    <c:showDLblsOverMax val="0"/>
    <c:extLst>
      <c:ext uri="{0b15fc19-7d7d-44ad-8c2d-2c3a37ce22c3}">
        <chartProps xmlns="https://web.wps.cn/et/2018/main" chartId="{efd56296-9098-4f3b-bf78-e620723f05b3}"/>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800" b="1" i="0" u="none" strike="noStrike" kern="1200" baseline="0">
                <a:solidFill>
                  <a:schemeClr val="tx1"/>
                </a:solidFill>
                <a:latin typeface="+mn-lt"/>
                <a:ea typeface="+mn-ea"/>
                <a:cs typeface="+mn-cs"/>
              </a:defRPr>
            </a:pPr>
            <a:r>
              <a:rPr lang="en-US" b="1"/>
              <a:t>Top 5 Keywords: 2020 vs 2024</a:t>
            </a:r>
            <a:endParaRPr lang="en-US" b="1"/>
          </a:p>
        </c:rich>
      </c:tx>
      <c:layout/>
      <c:overlay val="0"/>
    </c:title>
    <c:autoTitleDeleted val="0"/>
    <c:plotArea>
      <c:layout/>
      <c:barChart>
        <c:barDir val="bar"/>
        <c:grouping val="clustered"/>
        <c:varyColors val="0"/>
        <c:ser>
          <c:idx val="0"/>
          <c:order val="0"/>
          <c:tx>
            <c:strRef>
              <c:f>2020</c:f>
              <c:strCache>
                <c:ptCount val="1"/>
                <c:pt idx="0">
                  <c:v>2020</c:v>
                </c:pt>
              </c:strCache>
            </c:strRef>
          </c:tx>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'C:\Users\LENOVO\OneDrive\Documents\Downloads\[Top5_2020_vs_2024.xlsx]Top5_Comparison'!$A$2:$A$6</c:f>
              <c:strCache>
                <c:ptCount val="5"/>
                <c:pt idx="0">
                  <c:v>Analytics</c:v>
                </c:pt>
                <c:pt idx="1">
                  <c:v>Automation</c:v>
                </c:pt>
                <c:pt idx="2">
                  <c:v>Artificial Intelligence</c:v>
                </c:pt>
                <c:pt idx="3">
                  <c:v>Machine Learning</c:v>
                </c:pt>
                <c:pt idx="4">
                  <c:v>Big Data</c:v>
                </c:pt>
              </c:strCache>
            </c:strRef>
          </c:cat>
          <c:val>
            <c:numRef>
              <c:f>'C:\Users\LENOVO\OneDrive\Documents\Downloads\[Top5_2020_vs_2024.xlsx]Top5_Comparison'!$B$2:$B$6</c:f>
              <c:numCache>
                <c:formatCode>General</c:formatCode>
                <c:ptCount val="5"/>
                <c:pt idx="0">
                  <c:v>28</c:v>
                </c:pt>
                <c:pt idx="1">
                  <c:v>27</c:v>
                </c:pt>
                <c:pt idx="2">
                  <c:v>15</c:v>
                </c:pt>
                <c:pt idx="3">
                  <c:v>3</c:v>
                </c:pt>
                <c:pt idx="4">
                  <c:v>5</c:v>
                </c:pt>
              </c:numCache>
            </c:numRef>
          </c:val>
        </c:ser>
        <c:ser>
          <c:idx val="1"/>
          <c:order val="1"/>
          <c:tx>
            <c:strRef>
              <c:f>2024</c:f>
              <c:strCache>
                <c:ptCount val="1"/>
                <c:pt idx="0">
                  <c:v>2024</c:v>
                </c:pt>
              </c:strCache>
            </c:strRef>
          </c:tx>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'C:\Users\LENOVO\OneDrive\Documents\Downloads\[Top5_2020_vs_2024.xlsx]Top5_Comparison'!$A$2:$A$6</c:f>
              <c:strCache>
                <c:ptCount val="5"/>
                <c:pt idx="0">
                  <c:v>Analytics</c:v>
                </c:pt>
                <c:pt idx="1">
                  <c:v>Automation</c:v>
                </c:pt>
                <c:pt idx="2">
                  <c:v>Artificial Intelligence</c:v>
                </c:pt>
                <c:pt idx="3">
                  <c:v>Machine Learning</c:v>
                </c:pt>
                <c:pt idx="4">
                  <c:v>Big Data</c:v>
                </c:pt>
              </c:strCache>
            </c:strRef>
          </c:cat>
          <c:val>
            <c:numRef>
              <c:f>'C:\Users\LENOVO\OneDrive\Documents\Downloads\[Top5_2020_vs_2024.xlsx]Top5_Comparison'!$C$2:$C$6</c:f>
              <c:numCache>
                <c:formatCode>General</c:formatCode>
                <c:ptCount val="5"/>
                <c:pt idx="0">
                  <c:v>128</c:v>
                </c:pt>
                <c:pt idx="1">
                  <c:v>123</c:v>
                </c:pt>
                <c:pt idx="2">
                  <c:v>44</c:v>
                </c:pt>
                <c:pt idx="3">
                  <c:v>22</c:v>
                </c:pt>
                <c:pt idx="4">
                  <c:v>9</c:v>
                </c:pt>
              </c:numCache>
            </c:numRef>
          </c:val>
        </c:ser>
        <c:dLbls>
          <c:showLegendKey val="0"/>
          <c:showVal val="1"/>
          <c:showCatName val="0"/>
          <c:showSerName val="0"/>
          <c:showPercent val="0"/>
          <c:showBubbleSize val="0"/>
        </c:dLbls>
        <c:gapWidth val="150"/>
        <c:axId val="50010001"/>
        <c:axId val="50010002"/>
      </c:barChart>
      <c:catAx>
        <c:axId val="50010001"/>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b="0"/>
                  <a:t>Keyword</a:t>
                </a:r>
                <a:endParaRPr lang="en-US" b="0"/>
              </a:p>
            </c:rich>
          </c:tx>
          <c:layout/>
          <c:overlay val="0"/>
        </c:title>
        <c:numFmt formatCode="General"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010002"/>
        <c:crosses val="autoZero"/>
        <c:auto val="1"/>
        <c:lblAlgn val="ctr"/>
        <c:lblOffset val="100"/>
        <c:noMultiLvlLbl val="0"/>
      </c:catAx>
      <c:valAx>
        <c:axId val="50010002"/>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b="0"/>
                  <a:t>Frequency</a:t>
                </a:r>
                <a:endParaRPr lang="en-US" b="0"/>
              </a:p>
            </c:rich>
          </c:tx>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010001"/>
        <c:crosses val="autoZero"/>
        <c:crossBetween val="between"/>
      </c:valAx>
    </c:plotArea>
    <c:legend>
      <c:legendPos val="b"/>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4ab8334-9616-458d-b877-8b7cfd2ec3dd}"/>
      </c:ext>
    </c:extLst>
  </c:chart>
  <c:txPr>
    <a:bodyPr/>
    <a:lstStyle/>
    <a:p>
      <a:pPr>
        <a:defRPr lang="en-US"/>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ysClr val="windowText" lastClr="000000"/>
                </a:solidFill>
                <a:latin typeface="+mn-lt"/>
                <a:ea typeface="+mn-ea"/>
                <a:cs typeface="+mn-cs"/>
              </a:defRPr>
            </a:pPr>
            <a:r>
              <a:rPr lang="en-US">
                <a:solidFill>
                  <a:sysClr val="windowText" lastClr="000000"/>
                </a:solidFill>
              </a:rPr>
              <a:t>AI- Disclosures Across Exchanges </a:t>
            </a:r>
            <a:endParaRPr lang="en-US">
              <a:solidFill>
                <a:sysClr val="windowText" lastClr="000000"/>
              </a:solidFill>
            </a:endParaRPr>
          </a:p>
        </c:rich>
      </c:tx>
      <c:layout/>
      <c:overlay val="0"/>
      <c:spPr>
        <a:noFill/>
        <a:ln>
          <a:noFill/>
        </a:ln>
        <a:effectLst/>
      </c:spPr>
    </c:title>
    <c:autoTitleDeleted val="0"/>
    <c:plotArea>
      <c:layout/>
      <c:lineChart>
        <c:grouping val="standard"/>
        <c:varyColors val="0"/>
        <c:ser>
          <c:idx val="0"/>
          <c:order val="0"/>
          <c:tx>
            <c:strRef>
              <c:f>'Artificial Intelligence'!$B$1</c:f>
              <c:strCache>
                <c:ptCount val="1"/>
                <c:pt idx="0">
                  <c:v>Frequency</c:v>
                </c:pt>
              </c:strCache>
            </c:strRef>
          </c:tx>
          <c:spPr>
            <a:ln w="28575" cap="rnd">
              <a:solidFill>
                <a:schemeClr val="accent1"/>
              </a:solidFill>
              <a:round/>
            </a:ln>
            <a:effectLst/>
          </c:spPr>
          <c:marker>
            <c:symbol val="none"/>
          </c:marker>
          <c:dLbls>
            <c:dLbl>
              <c:idx val="4"/>
              <c:layout>
                <c:manualLayout>
                  <c:x val="-0.0574799624925657"/>
                  <c:y val="-0.033421621722245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'Artificial Intelligence'!$A$2:$A$9</c:f>
              <c:strCache>
                <c:ptCount val="7"/>
                <c:pt idx="0">
                  <c:v>DSE</c:v>
                </c:pt>
                <c:pt idx="1">
                  <c:v>CSE</c:v>
                </c:pt>
                <c:pt idx="2">
                  <c:v>NEPSE</c:v>
                </c:pt>
                <c:pt idx="3">
                  <c:v>MSE</c:v>
                </c:pt>
                <c:pt idx="4">
                  <c:v>PSX</c:v>
                </c:pt>
                <c:pt idx="5">
                  <c:v>NSE</c:v>
                </c:pt>
                <c:pt idx="6">
                  <c:v>RSEB</c:v>
                </c:pt>
              </c:strCache>
            </c:strRef>
          </c:cat>
          <c:val>
            <c:numRef>
              <c:f>'Artificial Intelligence'!$B$2:$B$9</c:f>
              <c:numCache>
                <c:formatCode>General</c:formatCode>
                <c:ptCount val="8"/>
                <c:pt idx="0">
                  <c:v>16</c:v>
                </c:pt>
                <c:pt idx="1">
                  <c:v>4</c:v>
                </c:pt>
                <c:pt idx="2">
                  <c:v>1</c:v>
                </c:pt>
                <c:pt idx="3">
                  <c:v>17</c:v>
                </c:pt>
                <c:pt idx="4">
                  <c:v>16</c:v>
                </c:pt>
                <c:pt idx="5">
                  <c:v>97</c:v>
                </c:pt>
                <c:pt idx="6">
                  <c:v>3</c:v>
                </c:pt>
              </c:numCache>
            </c:numRef>
          </c:val>
          <c:smooth val="0"/>
        </c:ser>
        <c:dLbls>
          <c:showLegendKey val="0"/>
          <c:showVal val="1"/>
          <c:showCatName val="0"/>
          <c:showSerName val="0"/>
          <c:showPercent val="0"/>
          <c:showBubbleSize val="0"/>
        </c:dLbls>
        <c:marker val="0"/>
        <c:smooth val="0"/>
        <c:axId val="1445873967"/>
        <c:axId val="1445868687"/>
      </c:lineChart>
      <c:catAx>
        <c:axId val="1445873967"/>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solidFill>
                      <a:sysClr val="windowText" lastClr="000000"/>
                    </a:solidFill>
                  </a:rPr>
                  <a:t>Exchanges</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1445868687"/>
        <c:crosses val="autoZero"/>
        <c:auto val="1"/>
        <c:lblAlgn val="ctr"/>
        <c:lblOffset val="100"/>
        <c:noMultiLvlLbl val="0"/>
      </c:catAx>
      <c:valAx>
        <c:axId val="1445868687"/>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US">
                    <a:solidFill>
                      <a:sysClr val="windowText" lastClr="000000"/>
                    </a:solidFill>
                  </a:rPr>
                  <a:t>Frequency</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1445873967"/>
        <c:crosses val="autoZero"/>
        <c:crossBetween val="between"/>
      </c:valAx>
      <c:spPr>
        <a:noFill/>
        <a:ln>
          <a:noFill/>
        </a:ln>
        <a:effectLst/>
      </c:spPr>
    </c:plotArea>
    <c:plotVisOnly val="1"/>
    <c:dispBlanksAs val="gap"/>
    <c:showDLblsOverMax val="0"/>
    <c:extLst>
      <c:ext uri="{0b15fc19-7d7d-44ad-8c2d-2c3a37ce22c3}">
        <chartProps xmlns="https://web.wps.cn/et/2018/main" chartId="{6ad3bd3c-2ab9-4022-9b14-4656855a7d18}"/>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0" i="0" u="none" strike="noStrike" kern="1200" cap="none" spc="50" baseline="0">
                <a:solidFill>
                  <a:schemeClr val="tx1"/>
                </a:solidFill>
                <a:latin typeface="+mn-lt"/>
                <a:ea typeface="+mn-ea"/>
                <a:cs typeface="+mn-cs"/>
              </a:defRPr>
            </a:pPr>
            <a:r>
              <a:rPr lang="en-US">
                <a:solidFill>
                  <a:schemeClr val="tx1"/>
                </a:solidFill>
              </a:rPr>
              <a:t>ML Disclosures Across Exchanges </a:t>
            </a:r>
            <a:endParaRPr lang="en-US">
              <a:solidFill>
                <a:schemeClr val="tx1"/>
              </a:solidFill>
            </a:endParaRPr>
          </a:p>
        </c:rich>
      </c:tx>
      <c:layout/>
      <c:overlay val="0"/>
      <c:spPr>
        <a:noFill/>
        <a:ln>
          <a:noFill/>
        </a:ln>
        <a:effectLst/>
      </c:spPr>
    </c:title>
    <c:autoTitleDeleted val="0"/>
    <c:plotArea>
      <c:layout/>
      <c:barChart>
        <c:barDir val="bar"/>
        <c:grouping val="clustered"/>
        <c:varyColors val="0"/>
        <c:ser>
          <c:idx val="0"/>
          <c:order val="0"/>
          <c:tx>
            <c:strRef>
              <c:f>'Machine learning'!$B$1</c:f>
              <c:strCache>
                <c:ptCount val="1"/>
                <c:pt idx="0">
                  <c:v>Frequency</c:v>
                </c:pt>
              </c:strCache>
            </c:strRef>
          </c:tx>
          <c:spPr>
            <a:noFill/>
            <a:ln w="25400" cap="flat" cmpd="sng" algn="ctr">
              <a:solidFill>
                <a:schemeClr val="accent1"/>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65000"/>
                        <a:lumOff val="3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'Machine learning'!$A$2:$A$8</c:f>
              <c:strCache>
                <c:ptCount val="7"/>
                <c:pt idx="0">
                  <c:v>DSE</c:v>
                </c:pt>
                <c:pt idx="1">
                  <c:v>CSE</c:v>
                </c:pt>
                <c:pt idx="2">
                  <c:v>NEPSE</c:v>
                </c:pt>
                <c:pt idx="3">
                  <c:v>MSE</c:v>
                </c:pt>
                <c:pt idx="4">
                  <c:v>PSX</c:v>
                </c:pt>
                <c:pt idx="5">
                  <c:v>NSE</c:v>
                </c:pt>
                <c:pt idx="6">
                  <c:v>RSEB</c:v>
                </c:pt>
              </c:strCache>
            </c:strRef>
          </c:cat>
          <c:val>
            <c:numRef>
              <c:f>'Machine learning'!$B$2:$B$8</c:f>
              <c:numCache>
                <c:formatCode>General</c:formatCode>
                <c:ptCount val="7"/>
                <c:pt idx="0">
                  <c:v>6</c:v>
                </c:pt>
                <c:pt idx="1">
                  <c:v>1</c:v>
                </c:pt>
                <c:pt idx="2">
                  <c:v>0</c:v>
                </c:pt>
                <c:pt idx="3">
                  <c:v>3</c:v>
                </c:pt>
                <c:pt idx="4">
                  <c:v>6</c:v>
                </c:pt>
                <c:pt idx="5">
                  <c:v>52</c:v>
                </c:pt>
                <c:pt idx="6">
                  <c:v>0</c:v>
                </c:pt>
              </c:numCache>
            </c:numRef>
          </c:val>
        </c:ser>
        <c:dLbls>
          <c:showLegendKey val="0"/>
          <c:showVal val="1"/>
          <c:showCatName val="0"/>
          <c:showSerName val="0"/>
          <c:showPercent val="0"/>
          <c:showBubbleSize val="0"/>
        </c:dLbls>
        <c:gapWidth val="227"/>
        <c:overlap val="-48"/>
        <c:axId val="1445861967"/>
        <c:axId val="1445878767"/>
      </c:barChart>
      <c:catAx>
        <c:axId val="1445861967"/>
        <c:scaling>
          <c:orientation val="minMax"/>
        </c:scaling>
        <c:delete val="0"/>
        <c:axPos val="l"/>
        <c:title>
          <c:tx>
            <c:rich>
              <a:bodyPr rot="-54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r>
                  <a:rPr lang="en-US">
                    <a:solidFill>
                      <a:schemeClr val="tx1"/>
                    </a:solidFill>
                  </a:rPr>
                  <a:t>Exchanges</a:t>
                </a:r>
                <a:endParaRPr lang="en-US">
                  <a:solidFill>
                    <a:schemeClr val="tx1"/>
                  </a:solidFill>
                </a:endParaRPr>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1445878767"/>
        <c:crosses val="autoZero"/>
        <c:auto val="1"/>
        <c:lblAlgn val="ctr"/>
        <c:lblOffset val="100"/>
        <c:noMultiLvlLbl val="0"/>
      </c:catAx>
      <c:valAx>
        <c:axId val="1445878767"/>
        <c:scaling>
          <c:orientation val="minMax"/>
        </c:scaling>
        <c:delete val="0"/>
        <c:axPos val="b"/>
        <c:title>
          <c:tx>
            <c:rich>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r>
                  <a:rPr lang="en-US">
                    <a:solidFill>
                      <a:schemeClr val="tx1"/>
                    </a:solidFill>
                  </a:rPr>
                  <a:t>Frequency</a:t>
                </a:r>
                <a:endParaRPr lang="en-US">
                  <a:solidFill>
                    <a:schemeClr val="tx1"/>
                  </a:solidFill>
                </a:endParaRPr>
              </a:p>
            </c:rich>
          </c:tx>
          <c:layout/>
          <c:overlay val="0"/>
          <c:spPr>
            <a:noFill/>
            <a:ln>
              <a:noFill/>
            </a:ln>
            <a:effectLst/>
          </c:spPr>
        </c:title>
        <c:numFmt formatCode="General" sourceLinked="1"/>
        <c:majorTickMark val="none"/>
        <c:minorTickMark val="none"/>
        <c:tickLblPos val="nextTo"/>
        <c:spPr>
          <a:noFill/>
          <a:ln w="9525">
            <a:solidFill>
              <a:schemeClr val="tx1">
                <a:lumMod val="15000"/>
                <a:lumOff val="85000"/>
              </a:schemeClr>
            </a:solid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p>
        </c:txPr>
        <c:crossAx val="1445861967"/>
        <c:crosses val="autoZero"/>
        <c:crossBetween val="between"/>
      </c:valAx>
      <c:spPr>
        <a:noFill/>
        <a:ln>
          <a:noFill/>
        </a:ln>
        <a:effectLst/>
      </c:spPr>
    </c:plotArea>
    <c:plotVisOnly val="1"/>
    <c:dispBlanksAs val="gap"/>
    <c:showDLblsOverMax val="0"/>
    <c:extLst>
      <c:ext uri="{0b15fc19-7d7d-44ad-8c2d-2c3a37ce22c3}">
        <chartProps xmlns="https://web.wps.cn/et/2018/main" chartId="{7e04595d-6e64-4e21-84ad-0b3e134c03c2}"/>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800" b="1" i="0" u="none" strike="noStrike" kern="1200" cap="all" spc="150" baseline="0">
                <a:solidFill>
                  <a:schemeClr val="tx1"/>
                </a:solidFill>
                <a:latin typeface="+mn-lt"/>
                <a:ea typeface="+mn-ea"/>
                <a:cs typeface="+mn-cs"/>
              </a:defRPr>
            </a:pPr>
            <a:r>
              <a:rPr lang="en-US" sz="1600" b="0" i="0" u="none" strike="noStrike" kern="1200" spc="0" baseline="0">
                <a:solidFill>
                  <a:schemeClr val="tx1"/>
                </a:solidFill>
              </a:rPr>
              <a:t>DL dISCLOSURES Across Exchanges </a:t>
            </a:r>
            <a:endParaRPr lang="en-US" sz="1600" b="0" i="0" u="none" strike="noStrike" kern="1200" spc="0" baseline="0">
              <a:solidFill>
                <a:schemeClr val="tx1"/>
              </a:solidFill>
            </a:endParaRPr>
          </a:p>
        </c:rich>
      </c:tx>
      <c:layout/>
      <c:overlay val="0"/>
      <c:spPr>
        <a:noFill/>
        <a:ln>
          <a:noFill/>
        </a:ln>
        <a:effectLst/>
      </c:spPr>
    </c:title>
    <c:autoTitleDeleted val="0"/>
    <c:plotArea>
      <c:layout>
        <c:manualLayout>
          <c:layoutTarget val="inner"/>
          <c:xMode val="edge"/>
          <c:yMode val="edge"/>
          <c:x val="0.0546568745383747"/>
          <c:y val="0.276693497247953"/>
          <c:w val="0.803703024536568"/>
          <c:h val="0.549876070309992"/>
        </c:manualLayout>
      </c:layout>
      <c:lineChart>
        <c:grouping val="standard"/>
        <c:varyColors val="0"/>
        <c:ser>
          <c:idx val="0"/>
          <c:order val="0"/>
          <c:tx>
            <c:strRef>
              <c:f>'Deep learning'!$B$1</c:f>
              <c:strCache>
                <c:ptCount val="1"/>
                <c:pt idx="0">
                  <c:v>Frequency</c:v>
                </c:pt>
              </c:strCache>
            </c:strRef>
          </c:tx>
          <c:spPr>
            <a:ln w="25400" cap="rnd">
              <a:pattFill prst="narVert">
                <a:fgClr>
                  <a:schemeClr val="accent1"/>
                </a:fgClr>
                <a:bgClr>
                  <a:schemeClr val="accent1">
                    <a:lumMod val="20000"/>
                    <a:lumOff val="80000"/>
                  </a:schemeClr>
                </a:bgClr>
              </a:pattFill>
              <a:round/>
            </a:ln>
            <a:effectLst>
              <a:innerShdw blurRad="114300">
                <a:scrgbClr r="0" g="0" b="0"/>
              </a:innerShdw>
            </a:effectLst>
          </c:spPr>
          <c:marker>
            <c:symbol val="circle"/>
            <c:size val="6"/>
            <c:spPr>
              <a:solidFill>
                <a:schemeClr val="accent1"/>
              </a:solidFill>
              <a:ln>
                <a:noFill/>
              </a:ln>
              <a:effectLst/>
            </c:spPr>
          </c:marker>
          <c:dLbls>
            <c:dLbl>
              <c:idx val="0"/>
              <c:layout/>
              <c:tx>
                <c:rich>
                  <a:bodyPr rot="0" spcFirstLastPara="1" vertOverflow="clip" vert="horz" wrap="square" lIns="38100" tIns="19050" rIns="38100" bIns="19050" anchor="ctr" anchorCtr="1"/>
                  <a:lstStyle/>
                  <a:p>
                    <a:fld id="{fdd7b58d-1c3e-4496-ac5f-682284431092}" type="CATEGORYNAME">
                      <a:t>[CATEGORY NAME]</a:t>
                    </a:fld>
                    <a:r>
                      <a:t>,</a:t>
                    </a:r>
                    <a:fld id="{d0d812c3-1444-4d39-b2a4-c57642415bbc}" type="VALUE">
                      <a:t>[VALUE]</a:t>
                    </a:fld>
                    <a:endParaRPr lang="en-US" b="0" i="0" u="none" strike="noStrike" baseline="0">
                      <a:latin typeface="Times New Roman" panose="02020603050405020304" charset="0"/>
                      <a:ea typeface="Times New Roman" panose="02020603050405020304" charset="0"/>
                      <a:cs typeface="+mn-ea"/>
                    </a:endParaRPr>
                  </a:p>
                </c:rich>
              </c:tx>
              <c:dLblPos val="r"/>
              <c:showLegendKey val="0"/>
              <c:showVal val="1"/>
              <c:showCatName val="1"/>
              <c:showSerName val="0"/>
              <c:showPercent val="0"/>
              <c:showBubbleSize val="0"/>
              <c:extLst>
                <c:ext xmlns:c15="http://schemas.microsoft.com/office/drawing/2012/chart" uri="{CE6537A1-D6FC-4f65-9D91-7224C49458BB}">
                  <c15:layout>
                    <c:manualLayout>
                      <c:w val="0.0371357913878437"/>
                      <c:h val="0.0641074309915019"/>
                    </c:manualLayout>
                  </c15:layout>
                </c:ext>
              </c:extLst>
            </c:dLbl>
            <c:dLbl>
              <c:idx val="1"/>
              <c:layout/>
              <c:tx>
                <c:rich>
                  <a:bodyPr rot="0" spcFirstLastPara="1" vertOverflow="clip" vert="horz" wrap="square" lIns="38100" tIns="19050" rIns="38100" bIns="19050" anchor="ctr" anchorCtr="1"/>
                  <a:lstStyle/>
                  <a:p>
                    <a:fld id="{5ac766a8-bfff-4853-9777-88b53373a75c}" type="CATEGORYNAME">
                      <a:t>[CATEGORY NAME]</a:t>
                    </a:fld>
                    <a:r>
                      <a:t>,</a:t>
                    </a:r>
                    <a:fld id="{b5cd817d-587d-47cc-a890-4d9314d3f21f}" type="VALUE">
                      <a:t>[VALUE]</a:t>
                    </a:fld>
                    <a:endParaRPr lang="en-US" b="0" i="0" u="none" strike="noStrike" baseline="0">
                      <a:latin typeface="Times New Roman" panose="02020603050405020304" charset="0"/>
                      <a:ea typeface="Times New Roman" panose="02020603050405020304" charset="0"/>
                      <a:cs typeface="+mn-ea"/>
                    </a:endParaRPr>
                  </a:p>
                </c:rich>
              </c:tx>
              <c:dLblPos val="r"/>
              <c:showLegendKey val="0"/>
              <c:showVal val="1"/>
              <c:showCatName val="1"/>
              <c:showSerName val="0"/>
              <c:showPercent val="0"/>
              <c:showBubbleSize val="0"/>
              <c:extLst>
                <c:ext xmlns:c15="http://schemas.microsoft.com/office/drawing/2012/chart" uri="{CE6537A1-D6FC-4f65-9D91-7224C49458BB}">
                  <c15:layout>
                    <c:manualLayout>
                      <c:w val="0.0270042602011006"/>
                      <c:h val="0.0641074309915019"/>
                    </c:manualLayout>
                  </c15:layout>
                </c:ext>
              </c:extLst>
            </c:dLbl>
            <c:dLbl>
              <c:idx val="2"/>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0</a:t>
                    </a:r>
                    <a:endParaRPr lang="en-US"/>
                  </a:p>
                </c:rich>
              </c:tx>
              <c:dLblPos val="r"/>
              <c:showLegendKey val="0"/>
              <c:showVal val="1"/>
              <c:showCatName val="1"/>
              <c:showSerName val="0"/>
              <c:showPercent val="0"/>
              <c:showBubbleSize val="0"/>
              <c:extLst>
                <c:ext xmlns:c15="http://schemas.microsoft.com/office/drawing/2012/chart" uri="{CE6537A1-D6FC-4f65-9D91-7224C49458BB}"/>
              </c:extLst>
            </c:dLbl>
            <c:dLbl>
              <c:idx val="3"/>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0</a:t>
                    </a:r>
                    <a:endParaRPr lang="en-US"/>
                  </a:p>
                </c:rich>
              </c:tx>
              <c:dLblPos val="r"/>
              <c:showLegendKey val="0"/>
              <c:showVal val="1"/>
              <c:showCatName val="1"/>
              <c:showSerName val="0"/>
              <c:showPercent val="0"/>
              <c:showBubbleSize val="0"/>
              <c:extLst>
                <c:ext xmlns:c15="http://schemas.microsoft.com/office/drawing/2012/chart" uri="{CE6537A1-D6FC-4f65-9D91-7224C49458BB}"/>
              </c:extLst>
            </c:dLbl>
            <c:dLbl>
              <c:idx val="4"/>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1</a:t>
                    </a:r>
                    <a:endParaRPr lang="en-US"/>
                  </a:p>
                </c:rich>
              </c:tx>
              <c:dLblPos val="r"/>
              <c:showLegendKey val="0"/>
              <c:showVal val="1"/>
              <c:showCatName val="1"/>
              <c:showSerName val="0"/>
              <c:showPercent val="0"/>
              <c:showBubbleSize val="0"/>
              <c:extLst>
                <c:ext xmlns:c15="http://schemas.microsoft.com/office/drawing/2012/chart" uri="{CE6537A1-D6FC-4f65-9D91-7224C49458BB}"/>
              </c:extLst>
            </c:dLbl>
            <c:dLbl>
              <c:idx val="5"/>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4</a:t>
                    </a:r>
                    <a:endParaRPr lang="en-US"/>
                  </a:p>
                </c:rich>
              </c:tx>
              <c:dLblPos val="r"/>
              <c:showLegendKey val="0"/>
              <c:showVal val="1"/>
              <c:showCatName val="1"/>
              <c:showSerName val="0"/>
              <c:showPercent val="0"/>
              <c:showBubbleSize val="0"/>
              <c:extLst>
                <c:ext xmlns:c15="http://schemas.microsoft.com/office/drawing/2012/chart" uri="{CE6537A1-D6FC-4f65-9D91-7224C49458BB}"/>
              </c:extLst>
            </c:dLbl>
            <c:dLbl>
              <c:idx val="6"/>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0</a:t>
                    </a:r>
                    <a:endParaRPr lang="en-US"/>
                  </a:p>
                </c:rich>
              </c:tx>
              <c:dLblPos val="r"/>
              <c:showLegendKey val="0"/>
              <c:showVal val="1"/>
              <c:showCatName val="1"/>
              <c:showSerName val="0"/>
              <c:showPercent val="0"/>
              <c:showBubbleSize val="0"/>
              <c:extLs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p>
            </c:txPr>
            <c:dLblPos val="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a:solidFill>
                        <a:schemeClr val="tx1">
                          <a:lumMod val="35000"/>
                          <a:lumOff val="65000"/>
                        </a:schemeClr>
                      </a:solidFill>
                    </a:ln>
                    <a:effectLst/>
                  </c:spPr>
                </c15:leaderLines>
              </c:ext>
            </c:extLst>
          </c:dLbls>
          <c:cat>
            <c:strRef>
              <c:f>'Deep learning'!$A$2:$A$8</c:f>
              <c:strCache>
                <c:ptCount val="7"/>
                <c:pt idx="0">
                  <c:v>DSE</c:v>
                </c:pt>
                <c:pt idx="1">
                  <c:v>CSE</c:v>
                </c:pt>
                <c:pt idx="2">
                  <c:v>NEPSE</c:v>
                </c:pt>
                <c:pt idx="3">
                  <c:v>MSE</c:v>
                </c:pt>
                <c:pt idx="4">
                  <c:v>PSX</c:v>
                </c:pt>
                <c:pt idx="5">
                  <c:v>NSE</c:v>
                </c:pt>
                <c:pt idx="6">
                  <c:v>RSEB</c:v>
                </c:pt>
              </c:strCache>
            </c:strRef>
          </c:cat>
          <c:val>
            <c:numRef>
              <c:f>'Deep learning'!$B$2:$B$8</c:f>
              <c:numCache>
                <c:formatCode>General</c:formatCode>
                <c:ptCount val="7"/>
                <c:pt idx="0">
                  <c:v>0</c:v>
                </c:pt>
                <c:pt idx="1">
                  <c:v>0</c:v>
                </c:pt>
                <c:pt idx="2">
                  <c:v>0</c:v>
                </c:pt>
                <c:pt idx="3">
                  <c:v>0</c:v>
                </c:pt>
                <c:pt idx="4">
                  <c:v>1</c:v>
                </c:pt>
                <c:pt idx="5">
                  <c:v>4</c:v>
                </c:pt>
                <c:pt idx="6">
                  <c:v>0</c:v>
                </c:pt>
              </c:numCache>
            </c:numRef>
          </c:val>
          <c:smooth val="0"/>
        </c:ser>
        <c:dLbls>
          <c:showLegendKey val="0"/>
          <c:showVal val="0"/>
          <c:showCatName val="0"/>
          <c:showSerName val="0"/>
          <c:showPercent val="0"/>
          <c:showBubbleSize val="0"/>
        </c:dLbls>
        <c:marker val="1"/>
        <c:smooth val="0"/>
        <c:axId val="1899082991"/>
        <c:axId val="1899070031"/>
      </c:lineChart>
      <c:catAx>
        <c:axId val="1899082991"/>
        <c:scaling>
          <c:orientation val="minMax"/>
        </c:scaling>
        <c:delete val="0"/>
        <c:axPos val="b"/>
        <c:title>
          <c:tx>
            <c:rich>
              <a:bodyPr rot="-5400000" spcFirstLastPara="1" vertOverflow="ellipsis" vert="horz" wrap="square" anchor="ctr" anchorCtr="1"/>
              <a:lstStyle/>
              <a:p>
                <a:pPr>
                  <a:defRPr lang="en-US" sz="900" b="1" i="0" u="none" strike="noStrike" kern="1200" baseline="0">
                    <a:solidFill>
                      <a:schemeClr val="tx1">
                        <a:lumMod val="65000"/>
                        <a:lumOff val="35000"/>
                      </a:schemeClr>
                    </a:solidFill>
                    <a:latin typeface="+mn-lt"/>
                    <a:ea typeface="+mn-ea"/>
                    <a:cs typeface="+mn-cs"/>
                  </a:defRPr>
                </a:pPr>
                <a:r>
                  <a:rPr lang="en-US"/>
                  <a:t> </a:t>
                </a:r>
                <a:endParaRPr lang="en-US"/>
              </a:p>
            </c:rich>
          </c:tx>
          <c:layout/>
          <c:overlay val="0"/>
          <c:spPr>
            <a:noFill/>
            <a:ln>
              <a:noFill/>
            </a:ln>
            <a:effectLst/>
          </c:spPr>
        </c:title>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p>
        </c:txPr>
        <c:crossAx val="1899070031"/>
        <c:crosses val="autoZero"/>
        <c:auto val="1"/>
        <c:lblAlgn val="ctr"/>
        <c:lblOffset val="100"/>
        <c:noMultiLvlLbl val="0"/>
      </c:catAx>
      <c:valAx>
        <c:axId val="1899070031"/>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p>
        </c:txPr>
        <c:crossAx val="1899082991"/>
        <c:crosses val="autoZero"/>
        <c:crossBetween val="between"/>
      </c:valAx>
      <c:spPr>
        <a:noFill/>
        <a:ln>
          <a:noFill/>
        </a:ln>
        <a:effectLst/>
      </c:spPr>
    </c:plotArea>
    <c:plotVisOnly val="1"/>
    <c:dispBlanksAs val="gap"/>
    <c:showDLblsOverMax val="0"/>
    <c:extLst>
      <c:ext uri="{0b15fc19-7d7d-44ad-8c2d-2c3a37ce22c3}">
        <chartProps xmlns="https://web.wps.cn/et/2018/main" chartId="{57e24164-6b40-4629-ba78-8c5995a51557}"/>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en-US" sz="1400" b="0" i="0" u="none" strike="noStrike" kern="1200" cap="none" spc="20" baseline="0">
                <a:solidFill>
                  <a:schemeClr val="tx1"/>
                </a:solidFill>
                <a:latin typeface="+mn-lt"/>
                <a:ea typeface="+mn-ea"/>
                <a:cs typeface="+mn-cs"/>
              </a:defRPr>
            </a:pPr>
            <a:r>
              <a:rPr lang="en-US">
                <a:solidFill>
                  <a:schemeClr val="tx1"/>
                </a:solidFill>
              </a:rPr>
              <a:t>RPA Disclosure Across Exchanges </a:t>
            </a:r>
            <a:endParaRPr lang="en-US">
              <a:solidFill>
                <a:schemeClr val="tx1"/>
              </a:solidFill>
            </a:endParaRPr>
          </a:p>
        </c:rich>
      </c:tx>
      <c:layout/>
      <c:overlay val="0"/>
      <c:spPr>
        <a:noFill/>
        <a:ln>
          <a:noFill/>
        </a:ln>
        <a:effectLst/>
      </c:spPr>
    </c:title>
    <c:autoTitleDeleted val="0"/>
    <c:plotArea>
      <c:layout/>
      <c:lineChart>
        <c:grouping val="stacked"/>
        <c:varyColors val="0"/>
        <c:ser>
          <c:idx val="0"/>
          <c:order val="0"/>
          <c:tx>
            <c:strRef>
              <c:f>'RPA(Robotic Process Autom'!$B$1</c:f>
              <c:strCache>
                <c:ptCount val="1"/>
                <c:pt idx="0">
                  <c:v>Frequency</c:v>
                </c:pt>
              </c:strCache>
            </c:strRef>
          </c:tx>
          <c:spPr>
            <a:ln w="22225" cap="rnd" cmpd="sng" algn="ctr">
              <a:solidFill>
                <a:schemeClr val="accent5"/>
              </a:solidFill>
              <a:round/>
            </a:ln>
            <a:effectLst/>
          </c:spPr>
          <c:marker>
            <c:symbol val="none"/>
          </c:marker>
          <c:dLbls>
            <c:dLbl>
              <c:idx val="0"/>
              <c:layout>
                <c:manualLayout>
                  <c:x val="-0.0298702978978908"/>
                  <c:y val="-0.037630103490192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70993982784204"/>
                  <c:y val="-0.028222577617644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711322338962"/>
                  <c:y val="-0.033635574254597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8702978978908"/>
                  <c:y val="-0.037630103490192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54120971368316"/>
                  <c:y val="-0.0235188146813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98702978978908"/>
                  <c:y val="-0.032926340553918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15575990394799"/>
                  <c:y val="-0.018815051745096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'RPA(Robotic Process Autom'!$A$2:$A$8</c:f>
              <c:strCache>
                <c:ptCount val="7"/>
                <c:pt idx="0">
                  <c:v>DSE</c:v>
                </c:pt>
                <c:pt idx="1">
                  <c:v>CSE</c:v>
                </c:pt>
                <c:pt idx="2">
                  <c:v>NEPSE</c:v>
                </c:pt>
                <c:pt idx="3">
                  <c:v>MSE</c:v>
                </c:pt>
                <c:pt idx="4">
                  <c:v>PSX</c:v>
                </c:pt>
                <c:pt idx="5">
                  <c:v>NSE</c:v>
                </c:pt>
                <c:pt idx="6">
                  <c:v>RSEB</c:v>
                </c:pt>
              </c:strCache>
            </c:strRef>
          </c:cat>
          <c:val>
            <c:numRef>
              <c:f>'RPA(Robotic Process Autom'!$B$2:$B$8</c:f>
              <c:numCache>
                <c:formatCode>General</c:formatCode>
                <c:ptCount val="7"/>
                <c:pt idx="0">
                  <c:v>3</c:v>
                </c:pt>
                <c:pt idx="1">
                  <c:v>0</c:v>
                </c:pt>
                <c:pt idx="2">
                  <c:v>1</c:v>
                </c:pt>
                <c:pt idx="3">
                  <c:v>0</c:v>
                </c:pt>
                <c:pt idx="4">
                  <c:v>2</c:v>
                </c:pt>
                <c:pt idx="5">
                  <c:v>9</c:v>
                </c:pt>
                <c:pt idx="6">
                  <c:v>0</c:v>
                </c:pt>
              </c:numCache>
            </c:numRef>
          </c:val>
          <c:smooth val="0"/>
        </c:ser>
        <c:dLbls>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0"/>
        <c:smooth val="0"/>
        <c:axId val="1851646319"/>
        <c:axId val="1851644879"/>
      </c:lineChart>
      <c:catAx>
        <c:axId val="1851646319"/>
        <c:scaling>
          <c:orientation val="minMax"/>
        </c:scaling>
        <c:delete val="0"/>
        <c:axPos val="b"/>
        <c:title>
          <c:tx>
            <c:rich>
              <a:bodyPr rot="0" spcFirstLastPara="1" vertOverflow="ellipsis" vert="horz" wrap="square" anchor="ctr" anchorCtr="1"/>
              <a:lstStyle/>
              <a:p>
                <a:pPr>
                  <a:defRPr lang="en-US" sz="900" b="0" i="0" u="none" strike="noStrike" kern="1200" cap="all" baseline="0">
                    <a:solidFill>
                      <a:schemeClr val="tx1"/>
                    </a:solidFill>
                    <a:latin typeface="+mn-lt"/>
                    <a:ea typeface="+mn-ea"/>
                    <a:cs typeface="+mn-cs"/>
                  </a:defRPr>
                </a:pPr>
                <a:r>
                  <a:rPr lang="en-US">
                    <a:solidFill>
                      <a:schemeClr val="tx1"/>
                    </a:solidFill>
                  </a:rPr>
                  <a:t>Exchanges</a:t>
                </a:r>
                <a:endParaRPr lang="en-US">
                  <a:solidFill>
                    <a:schemeClr val="tx1"/>
                  </a:solidFill>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900" b="0" i="0" u="none" strike="noStrike" kern="1200" spc="20" baseline="0">
                <a:solidFill>
                  <a:schemeClr val="tx1"/>
                </a:solidFill>
                <a:latin typeface="+mn-lt"/>
                <a:ea typeface="+mn-ea"/>
                <a:cs typeface="+mn-cs"/>
              </a:defRPr>
            </a:pPr>
          </a:p>
        </c:txPr>
        <c:crossAx val="1851644879"/>
        <c:crosses val="autoZero"/>
        <c:auto val="1"/>
        <c:lblAlgn val="ctr"/>
        <c:lblOffset val="100"/>
        <c:noMultiLvlLbl val="0"/>
      </c:catAx>
      <c:valAx>
        <c:axId val="1851644879"/>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chemeClr val="tx1"/>
                    </a:solidFill>
                    <a:latin typeface="+mn-lt"/>
                    <a:ea typeface="+mn-ea"/>
                    <a:cs typeface="+mn-cs"/>
                  </a:defRPr>
                </a:pPr>
                <a:r>
                  <a:rPr lang="en-US">
                    <a:solidFill>
                      <a:schemeClr val="tx1"/>
                    </a:solidFill>
                  </a:rPr>
                  <a:t> Frequency</a:t>
                </a:r>
                <a:endParaRPr lang="en-US">
                  <a:solidFill>
                    <a:schemeClr val="tx1"/>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spc="20" baseline="0">
                <a:solidFill>
                  <a:schemeClr val="tx1"/>
                </a:solidFill>
                <a:latin typeface="+mn-lt"/>
                <a:ea typeface="+mn-ea"/>
                <a:cs typeface="+mn-cs"/>
              </a:defRPr>
            </a:pPr>
          </a:p>
        </c:txPr>
        <c:crossAx val="1851646319"/>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zero"/>
    <c:showDLblsOverMax val="0"/>
    <c:extLst>
      <c:ext uri="{0b15fc19-7d7d-44ad-8c2d-2c3a37ce22c3}">
        <chartProps xmlns="https://web.wps.cn/et/2018/main" chartId="{82cb9360-1dee-42f4-87e2-3de24161e2a3}"/>
      </c:ext>
    </c:extLst>
  </c:chart>
  <c:spPr>
    <a:solidFill>
      <a:schemeClr val="lt1"/>
    </a:solidFill>
    <a:ln w="9525" cap="flat" cmpd="sng" algn="ctr">
      <a:solidFill>
        <a:schemeClr val="dk1">
          <a:lumMod val="15000"/>
          <a:lumOff val="85000"/>
        </a:schemeClr>
      </a:solidFill>
      <a:round/>
    </a:ln>
    <a:effectLst/>
  </c:spPr>
  <c:txPr>
    <a:bodyPr/>
    <a:lstStyle/>
    <a:p>
      <a:pPr>
        <a:defRPr lang="en-US"/>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ysClr val="windowText" lastClr="000000"/>
                </a:solidFill>
                <a:latin typeface="+mn-lt"/>
                <a:ea typeface="+mn-ea"/>
                <a:cs typeface="+mn-cs"/>
              </a:defRPr>
            </a:pPr>
            <a:r>
              <a:rPr lang="en-US">
                <a:solidFill>
                  <a:sysClr val="windowText" lastClr="000000"/>
                </a:solidFill>
              </a:rPr>
              <a:t>NLP Disclosures Across Exchanges </a:t>
            </a:r>
            <a:endParaRPr lang="en-US">
              <a:solidFill>
                <a:sysClr val="windowText" lastClr="000000"/>
              </a:solidFill>
            </a:endParaRPr>
          </a:p>
        </c:rich>
      </c:tx>
      <c:layout/>
      <c:overlay val="0"/>
      <c:spPr>
        <a:noFill/>
        <a:ln>
          <a:noFill/>
        </a:ln>
        <a:effectLst/>
      </c:spPr>
    </c:title>
    <c:autoTitleDeleted val="0"/>
    <c:plotArea>
      <c:layout/>
      <c:radarChart>
        <c:radarStyle val="marker"/>
        <c:varyColors val="0"/>
        <c:ser>
          <c:idx val="0"/>
          <c:order val="0"/>
          <c:tx>
            <c:strRef>
              <c:f>'NPL(natural language proc'!$B$1</c:f>
              <c:strCache>
                <c:ptCount val="1"/>
                <c:pt idx="0">
                  <c:v>Frequency</c:v>
                </c:pt>
              </c:strCache>
            </c:strRef>
          </c:tx>
          <c:spPr>
            <a:ln w="31750" cap="rnd">
              <a:solidFill>
                <a:schemeClr val="accent1"/>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strRef>
              <c:f>'NPL(natural language proc'!$A$2:$A$8</c:f>
              <c:strCache>
                <c:ptCount val="7"/>
                <c:pt idx="0">
                  <c:v>DSE</c:v>
                </c:pt>
                <c:pt idx="1">
                  <c:v>CSE</c:v>
                </c:pt>
                <c:pt idx="2">
                  <c:v>NEPSE</c:v>
                </c:pt>
                <c:pt idx="3">
                  <c:v>MSE</c:v>
                </c:pt>
                <c:pt idx="4">
                  <c:v>PSX</c:v>
                </c:pt>
                <c:pt idx="5">
                  <c:v>NSE</c:v>
                </c:pt>
                <c:pt idx="6">
                  <c:v>RSEB</c:v>
                </c:pt>
              </c:strCache>
            </c:strRef>
          </c:cat>
          <c:val>
            <c:numRef>
              <c:f>'NPL(natural language proc'!$B$2:$B$8</c:f>
              <c:numCache>
                <c:formatCode>General</c:formatCode>
                <c:ptCount val="7"/>
                <c:pt idx="0">
                  <c:v>0</c:v>
                </c:pt>
                <c:pt idx="1">
                  <c:v>0</c:v>
                </c:pt>
                <c:pt idx="2">
                  <c:v>0</c:v>
                </c:pt>
                <c:pt idx="3">
                  <c:v>0</c:v>
                </c:pt>
                <c:pt idx="4">
                  <c:v>0</c:v>
                </c:pt>
                <c:pt idx="5">
                  <c:v>1</c:v>
                </c:pt>
                <c:pt idx="6">
                  <c:v>0</c:v>
                </c:pt>
              </c:numCache>
            </c:numRef>
          </c:val>
        </c:ser>
        <c:dLbls>
          <c:showLegendKey val="0"/>
          <c:showVal val="1"/>
          <c:showCatName val="0"/>
          <c:showSerName val="0"/>
          <c:showPercent val="0"/>
          <c:showBubbleSize val="0"/>
        </c:dLbls>
        <c:axId val="1899083471"/>
        <c:axId val="1899070991"/>
      </c:radarChart>
      <c:catAx>
        <c:axId val="1899083471"/>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2"/>
                </a:solidFill>
                <a:latin typeface="+mn-lt"/>
                <a:ea typeface="+mn-ea"/>
                <a:cs typeface="+mn-cs"/>
              </a:defRPr>
            </a:pPr>
          </a:p>
        </c:txPr>
        <c:crossAx val="1899070991"/>
        <c:crosses val="autoZero"/>
        <c:auto val="1"/>
        <c:lblAlgn val="ctr"/>
        <c:lblOffset val="100"/>
        <c:noMultiLvlLbl val="0"/>
      </c:catAx>
      <c:valAx>
        <c:axId val="1899070991"/>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2"/>
                </a:solidFill>
                <a:latin typeface="+mn-lt"/>
                <a:ea typeface="+mn-ea"/>
                <a:cs typeface="+mn-cs"/>
              </a:defRPr>
            </a:pPr>
          </a:p>
        </c:txPr>
        <c:crossAx val="189908347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p>
      </c:txPr>
    </c:legend>
    <c:plotVisOnly val="1"/>
    <c:dispBlanksAs val="gap"/>
    <c:showDLblsOverMax val="0"/>
    <c:extLst>
      <c:ext uri="{0b15fc19-7d7d-44ad-8c2d-2c3a37ce22c3}">
        <chartProps xmlns="https://web.wps.cn/et/2018/main" chartId="{dc19adb3-a5a6-4ee7-8b8f-fd20133d7892}"/>
      </c:ext>
    </c:extLst>
  </c:chart>
  <c:spPr>
    <a:solidFill>
      <a:schemeClr val="bg1"/>
    </a:solidFill>
    <a:ln w="9525" cap="flat" cmpd="sng" algn="ctr">
      <a:solidFill>
        <a:schemeClr val="tx2">
          <a:lumMod val="15000"/>
          <a:lumOff val="85000"/>
        </a:schemeClr>
      </a:solidFill>
      <a:round/>
    </a:ln>
    <a:effectLst/>
  </c:spPr>
  <c:txPr>
    <a:bodyPr/>
    <a:lstStyle/>
    <a:p>
      <a:pPr>
        <a:defRPr lang="en-US"/>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400" b="0" i="0" u="none" strike="noStrike" kern="1200" spc="0" baseline="0">
                <a:solidFill>
                  <a:schemeClr val="tx1"/>
                </a:solidFill>
                <a:latin typeface="+mn-lt"/>
                <a:ea typeface="+mn-ea"/>
                <a:cs typeface="+mn-cs"/>
              </a:defRPr>
            </a:pPr>
            <a:r>
              <a:rPr lang="en-US" sz="1400" b="0" i="0" u="none" strike="noStrike" kern="1200" spc="0" baseline="0">
                <a:solidFill>
                  <a:schemeClr val="tx1"/>
                </a:solidFill>
              </a:rPr>
              <a:t>Automated- Disclosure Across Exchanges </a:t>
            </a:r>
            <a:endParaRPr lang="en-US" sz="1400" b="0" i="0" u="none" strike="noStrike" kern="1200" spc="0" baseline="0">
              <a:solidFill>
                <a:schemeClr val="tx1"/>
              </a:solidFill>
            </a:endParaRPr>
          </a:p>
        </c:rich>
      </c:tx>
      <c:layout/>
      <c:overlay val="0"/>
      <c:spPr>
        <a:noFill/>
        <a:ln>
          <a:noFill/>
        </a:ln>
        <a:effectLst/>
      </c:spPr>
    </c:title>
    <c:autoTitleDeleted val="0"/>
    <c:plotArea>
      <c:layout>
        <c:manualLayout>
          <c:layoutTarget val="inner"/>
          <c:xMode val="edge"/>
          <c:yMode val="edge"/>
          <c:x val="0.202315845057142"/>
          <c:y val="0.12248653066704"/>
          <c:w val="0.698631608280438"/>
          <c:h val="0.676231739620124"/>
        </c:manualLayout>
      </c:layout>
      <c:barChart>
        <c:barDir val="bar"/>
        <c:grouping val="clustered"/>
        <c:varyColors val="0"/>
        <c:ser>
          <c:idx val="0"/>
          <c:order val="0"/>
          <c:tx>
            <c:strRef>
              <c:f>Automated!$A$2</c:f>
              <c:strCache>
                <c:ptCount val="1"/>
                <c:pt idx="0">
                  <c:v>DSE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Automated!$B$1</c:f>
              <c:strCache>
                <c:ptCount val="1"/>
                <c:pt idx="0">
                  <c:v>Frequency</c:v>
                </c:pt>
              </c:strCache>
            </c:strRef>
          </c:cat>
          <c:val>
            <c:numRef>
              <c:f>Automated!$B$2</c:f>
              <c:numCache>
                <c:formatCode>General</c:formatCode>
                <c:ptCount val="1"/>
                <c:pt idx="0">
                  <c:v>70</c:v>
                </c:pt>
              </c:numCache>
            </c:numRef>
          </c:val>
        </c:ser>
        <c:ser>
          <c:idx val="1"/>
          <c:order val="1"/>
          <c:tx>
            <c:strRef>
              <c:f>Automated!$A$3</c:f>
              <c:strCache>
                <c:ptCount val="1"/>
                <c:pt idx="0">
                  <c:v>CSE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Automated!$B$1</c:f>
              <c:strCache>
                <c:ptCount val="1"/>
                <c:pt idx="0">
                  <c:v>Frequency</c:v>
                </c:pt>
              </c:strCache>
            </c:strRef>
          </c:cat>
          <c:val>
            <c:numRef>
              <c:f>Automated!$B$3</c:f>
              <c:numCache>
                <c:formatCode>General</c:formatCode>
                <c:ptCount val="1"/>
                <c:pt idx="0">
                  <c:v>47</c:v>
                </c:pt>
              </c:numCache>
            </c:numRef>
          </c:val>
        </c:ser>
        <c:ser>
          <c:idx val="2"/>
          <c:order val="2"/>
          <c:tx>
            <c:strRef>
              <c:f>Automated!$A$4</c:f>
              <c:strCache>
                <c:ptCount val="1"/>
                <c:pt idx="0">
                  <c:v>NEPSE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Automated!$B$1</c:f>
              <c:strCache>
                <c:ptCount val="1"/>
                <c:pt idx="0">
                  <c:v>Frequency</c:v>
                </c:pt>
              </c:strCache>
            </c:strRef>
          </c:cat>
          <c:val>
            <c:numRef>
              <c:f>Automated!$B$4</c:f>
              <c:numCache>
                <c:formatCode>General</c:formatCode>
                <c:ptCount val="1"/>
                <c:pt idx="0">
                  <c:v>1</c:v>
                </c:pt>
              </c:numCache>
            </c:numRef>
          </c:val>
        </c:ser>
        <c:ser>
          <c:idx val="3"/>
          <c:order val="3"/>
          <c:tx>
            <c:strRef>
              <c:f>Automated!$A$5</c:f>
              <c:strCache>
                <c:ptCount val="1"/>
                <c:pt idx="0">
                  <c:v>MSE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Automated!$B$1</c:f>
              <c:strCache>
                <c:ptCount val="1"/>
                <c:pt idx="0">
                  <c:v>Frequency</c:v>
                </c:pt>
              </c:strCache>
            </c:strRef>
          </c:cat>
          <c:val>
            <c:numRef>
              <c:f>Automated!$B$5</c:f>
              <c:numCache>
                <c:formatCode>General</c:formatCode>
                <c:ptCount val="1"/>
                <c:pt idx="0">
                  <c:v>47</c:v>
                </c:pt>
              </c:numCache>
            </c:numRef>
          </c:val>
        </c:ser>
        <c:ser>
          <c:idx val="4"/>
          <c:order val="4"/>
          <c:tx>
            <c:strRef>
              <c:f>Automated!$A$6</c:f>
              <c:strCache>
                <c:ptCount val="1"/>
                <c:pt idx="0">
                  <c:v>PSX</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Automated!$B$1</c:f>
              <c:strCache>
                <c:ptCount val="1"/>
                <c:pt idx="0">
                  <c:v>Frequency</c:v>
                </c:pt>
              </c:strCache>
            </c:strRef>
          </c:cat>
          <c:val>
            <c:numRef>
              <c:f>Automated!$B$6</c:f>
              <c:numCache>
                <c:formatCode>General</c:formatCode>
                <c:ptCount val="1"/>
                <c:pt idx="0">
                  <c:v>12</c:v>
                </c:pt>
              </c:numCache>
            </c:numRef>
          </c:val>
        </c:ser>
        <c:ser>
          <c:idx val="5"/>
          <c:order val="5"/>
          <c:tx>
            <c:strRef>
              <c:f>Automated!$A$7</c:f>
              <c:strCache>
                <c:ptCount val="1"/>
                <c:pt idx="0">
                  <c:v>NSE</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Automated!$B$1</c:f>
              <c:strCache>
                <c:ptCount val="1"/>
                <c:pt idx="0">
                  <c:v>Frequency</c:v>
                </c:pt>
              </c:strCache>
            </c:strRef>
          </c:cat>
          <c:val>
            <c:numRef>
              <c:f>Automated!$B$7</c:f>
              <c:numCache>
                <c:formatCode>General</c:formatCode>
                <c:ptCount val="1"/>
                <c:pt idx="0">
                  <c:v>171</c:v>
                </c:pt>
              </c:numCache>
            </c:numRef>
          </c:val>
        </c:ser>
        <c:ser>
          <c:idx val="6"/>
          <c:order val="6"/>
          <c:tx>
            <c:strRef>
              <c:f>Automated!$A$8</c:f>
              <c:strCache>
                <c:ptCount val="1"/>
                <c:pt idx="0">
                  <c:v>RSEB</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Automated!$B$1</c:f>
              <c:strCache>
                <c:ptCount val="1"/>
                <c:pt idx="0">
                  <c:v>Frequency</c:v>
                </c:pt>
              </c:strCache>
            </c:strRef>
          </c:cat>
          <c:val>
            <c:numRef>
              <c:f>Automated!$B$8</c:f>
              <c:numCache>
                <c:formatCode>General</c:formatCode>
                <c:ptCount val="1"/>
                <c:pt idx="0">
                  <c:v>14</c:v>
                </c:pt>
              </c:numCache>
            </c:numRef>
          </c:val>
        </c:ser>
        <c:dLbls>
          <c:showLegendKey val="0"/>
          <c:showVal val="1"/>
          <c:showCatName val="0"/>
          <c:showSerName val="0"/>
          <c:showPercent val="0"/>
          <c:showBubbleSize val="0"/>
        </c:dLbls>
        <c:gapWidth val="182"/>
        <c:axId val="1851631919"/>
        <c:axId val="1851617039"/>
      </c:barChart>
      <c:catAx>
        <c:axId val="1851631919"/>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851617039"/>
        <c:crosses val="autoZero"/>
        <c:auto val="1"/>
        <c:lblAlgn val="ctr"/>
        <c:lblOffset val="100"/>
        <c:noMultiLvlLbl val="0"/>
      </c:catAx>
      <c:valAx>
        <c:axId val="1851617039"/>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r>
                  <a:rPr lang="en-US">
                    <a:solidFill>
                      <a:schemeClr val="tx1"/>
                    </a:solidFill>
                  </a:rPr>
                  <a:t>Frequency</a:t>
                </a:r>
                <a:endParaRPr lang="en-US">
                  <a:solidFill>
                    <a:schemeClr val="tx1"/>
                  </a:solidFill>
                </a:endParaRPr>
              </a:p>
            </c:rich>
          </c:tx>
          <c:layout>
            <c:manualLayout>
              <c:xMode val="edge"/>
              <c:yMode val="edge"/>
              <c:x val="0.492397642564704"/>
              <c:y val="0.883961128956154"/>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p>
        </c:txPr>
        <c:crossAx val="1851631919"/>
        <c:crosses val="autoZero"/>
        <c:crossBetween val="between"/>
      </c:valAx>
      <c:spPr>
        <a:noFill/>
        <a:ln>
          <a:noFill/>
        </a:ln>
        <a:effectLst/>
      </c:spPr>
    </c:plotArea>
    <c:legend>
      <c:legendPos val="l"/>
      <c:layout>
        <c:manualLayout>
          <c:xMode val="edge"/>
          <c:yMode val="edge"/>
          <c:x val="0.0567088428370284"/>
          <c:y val="0.268316918350734"/>
          <c:w val="0.0727124234223372"/>
          <c:h val="0.38489225337243"/>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ed91679-45f1-4425-a76d-85f34f4ca321}"/>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cap="none" spc="20" baseline="0">
                <a:solidFill>
                  <a:schemeClr val="tx1"/>
                </a:solidFill>
                <a:latin typeface="+mn-lt"/>
                <a:ea typeface="+mn-ea"/>
                <a:cs typeface="+mn-cs"/>
              </a:defRPr>
            </a:pPr>
            <a:r>
              <a:rPr lang="en-US" sz="1400" b="0" i="0" u="none" strike="noStrike" kern="1200" spc="0" baseline="0">
                <a:solidFill>
                  <a:schemeClr val="tx1"/>
                </a:solidFill>
              </a:rPr>
              <a:t>Analytics- Disclosures Across Exchanges </a:t>
            </a:r>
            <a:endParaRPr lang="en-US" sz="1400" b="0" i="0" u="none" strike="noStrike" kern="1200" spc="0" baseline="0">
              <a:solidFill>
                <a:schemeClr val="tx1"/>
              </a:solidFill>
            </a:endParaRPr>
          </a:p>
        </c:rich>
      </c:tx>
      <c:layout/>
      <c:overlay val="0"/>
      <c:spPr>
        <a:noFill/>
        <a:ln>
          <a:noFill/>
        </a:ln>
        <a:effectLst/>
      </c:spPr>
    </c:title>
    <c:autoTitleDeleted val="0"/>
    <c:plotArea>
      <c:layout/>
      <c:areaChart>
        <c:grouping val="stacked"/>
        <c:varyColors val="0"/>
        <c:ser>
          <c:idx val="0"/>
          <c:order val="0"/>
          <c:tx>
            <c:strRef>
              <c:f>'Analytics '!$B$1</c:f>
              <c:strCache>
                <c:ptCount val="1"/>
                <c:pt idx="0">
                  <c:v>Frequency</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dLbls>
            <c:dLbl>
              <c:idx val="0"/>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10</a:t>
                    </a:r>
                    <a:endParaRPr lang="en-US"/>
                  </a:p>
                </c:rich>
              </c:tx>
              <c:showLegendKey val="0"/>
              <c:showVal val="1"/>
              <c:showCatName val="1"/>
              <c:showSerName val="0"/>
              <c:showPercent val="0"/>
              <c:showBubbleSize val="0"/>
              <c:extLst>
                <c:ext xmlns:c15="http://schemas.microsoft.com/office/drawing/2012/chart" uri="{CE6537A1-D6FC-4f65-9D91-7224C49458BB}"/>
              </c:extLst>
            </c:dLbl>
            <c:dLbl>
              <c:idx val="1"/>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20</a:t>
                    </a:r>
                    <a:endParaRPr lang="en-US"/>
                  </a:p>
                </c:rich>
              </c:tx>
              <c:showLegendKey val="0"/>
              <c:showVal val="1"/>
              <c:showCatName val="1"/>
              <c:showSerName val="0"/>
              <c:showPercent val="0"/>
              <c:showBubbleSize val="0"/>
              <c:extLst>
                <c:ext xmlns:c15="http://schemas.microsoft.com/office/drawing/2012/chart" uri="{CE6537A1-D6FC-4f65-9D91-7224C49458BB}"/>
              </c:extLst>
            </c:dLbl>
            <c:dLbl>
              <c:idx val="2"/>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0</a:t>
                    </a:r>
                    <a:endParaRPr lang="en-US"/>
                  </a:p>
                </c:rich>
              </c:tx>
              <c:showLegendKey val="0"/>
              <c:showVal val="1"/>
              <c:showCatName val="1"/>
              <c:showSerName val="0"/>
              <c:showPercent val="0"/>
              <c:showBubbleSize val="0"/>
              <c:extLst>
                <c:ext xmlns:c15="http://schemas.microsoft.com/office/drawing/2012/chart" uri="{CE6537A1-D6FC-4f65-9D91-7224C49458BB}"/>
              </c:extLst>
            </c:dLbl>
            <c:dLbl>
              <c:idx val="3"/>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41</a:t>
                    </a:r>
                    <a:endParaRPr lang="en-US"/>
                  </a:p>
                </c:rich>
              </c:tx>
              <c:showLegendKey val="0"/>
              <c:showVal val="1"/>
              <c:showCatName val="1"/>
              <c:showSerName val="0"/>
              <c:showPercent val="0"/>
              <c:showBubbleSize val="0"/>
              <c:extLst>
                <c:ext xmlns:c15="http://schemas.microsoft.com/office/drawing/2012/chart" uri="{CE6537A1-D6FC-4f65-9D91-7224C49458BB}"/>
              </c:extLst>
            </c:dLbl>
            <c:dLbl>
              <c:idx val="4"/>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32</a:t>
                    </a:r>
                    <a:endParaRPr lang="en-US"/>
                  </a:p>
                </c:rich>
              </c:tx>
              <c:showLegendKey val="0"/>
              <c:showVal val="1"/>
              <c:showCatName val="1"/>
              <c:showSerName val="0"/>
              <c:showPercent val="0"/>
              <c:showBubbleSize val="0"/>
              <c:extLst>
                <c:ext xmlns:c15="http://schemas.microsoft.com/office/drawing/2012/chart" uri="{CE6537A1-D6FC-4f65-9D91-7224C49458BB}"/>
              </c:extLst>
            </c:dLbl>
            <c:dLbl>
              <c:idx val="5"/>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301</a:t>
                    </a:r>
                    <a:endParaRPr lang="en-US"/>
                  </a:p>
                </c:rich>
              </c:tx>
              <c:showLegendKey val="0"/>
              <c:showVal val="1"/>
              <c:showCatName val="1"/>
              <c:showSerName val="0"/>
              <c:showPercent val="0"/>
              <c:showBubbleSize val="0"/>
              <c:extLst>
                <c:ext xmlns:c15="http://schemas.microsoft.com/office/drawing/2012/chart" uri="{CE6537A1-D6FC-4f65-9D91-7224C49458BB}"/>
              </c:extLst>
            </c:dLbl>
            <c:dLbl>
              <c:idx val="6"/>
              <c:layout/>
              <c:tx>
                <c:rich>
                  <a:bodyPr rot="0" spcFirstLastPara="1" vertOverflow="clip" vert="horz" wrap="square" lIns="38100" tIns="19050" rIns="38100" bIns="19050" anchor="ctr" anchorCtr="1"/>
                  <a:lstStyle/>
                  <a:p>
                    <a:pPr>
                      <a:defRPr lang="en-US" sz="900" b="0" i="0" u="none" strike="noStrike" kern="1200" baseline="0">
                        <a:solidFill>
                          <a:schemeClr val="tx1"/>
                        </a:solidFill>
                        <a:latin typeface="+mn-lt"/>
                        <a:ea typeface="+mn-ea"/>
                        <a:cs typeface="+mn-cs"/>
                      </a:defRPr>
                    </a:pPr>
                    <a:r>
                      <a:rPr lang="en-US"/>
                      <a:t>2</a:t>
                    </a:r>
                    <a:endParaRPr lang="en-US"/>
                  </a:p>
                </c:rich>
              </c:tx>
              <c:showLegendKey val="0"/>
              <c:showVal val="1"/>
              <c:showCatName val="1"/>
              <c:showSerName val="0"/>
              <c:showPercent val="0"/>
              <c:showBubbleSize val="0"/>
              <c:extLs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15:showLeaderLines val="0"/>
                <c15:leaderLines>
                  <c:spPr>
                    <a:ln w="9525">
                      <a:solidFill>
                        <a:schemeClr val="tx1">
                          <a:lumMod val="35000"/>
                          <a:lumOff val="65000"/>
                        </a:schemeClr>
                      </a:solidFill>
                    </a:ln>
                    <a:effectLst/>
                  </c:spPr>
                </c15:leaderLines>
              </c:ext>
            </c:extLst>
          </c:dLbls>
          <c:cat>
            <c:strRef>
              <c:f>'Analytics '!$A$2:$A$8</c:f>
              <c:strCache>
                <c:ptCount val="7"/>
                <c:pt idx="0">
                  <c:v>DSE</c:v>
                </c:pt>
                <c:pt idx="1">
                  <c:v>CSE</c:v>
                </c:pt>
                <c:pt idx="2">
                  <c:v>NEPSE</c:v>
                </c:pt>
                <c:pt idx="3">
                  <c:v>MSE</c:v>
                </c:pt>
                <c:pt idx="4">
                  <c:v>PSX</c:v>
                </c:pt>
                <c:pt idx="5">
                  <c:v>NSE</c:v>
                </c:pt>
                <c:pt idx="6">
                  <c:v>RSEB</c:v>
                </c:pt>
              </c:strCache>
            </c:strRef>
          </c:cat>
          <c:val>
            <c:numRef>
              <c:f>'Analytics '!$B$2:$B$8</c:f>
              <c:numCache>
                <c:formatCode>General</c:formatCode>
                <c:ptCount val="7"/>
                <c:pt idx="0">
                  <c:v>10</c:v>
                </c:pt>
                <c:pt idx="1">
                  <c:v>20</c:v>
                </c:pt>
                <c:pt idx="2">
                  <c:v>0</c:v>
                </c:pt>
                <c:pt idx="3">
                  <c:v>41</c:v>
                </c:pt>
                <c:pt idx="4">
                  <c:v>32</c:v>
                </c:pt>
                <c:pt idx="5">
                  <c:v>301</c:v>
                </c:pt>
                <c:pt idx="6">
                  <c:v>2</c:v>
                </c:pt>
              </c:numCache>
            </c:numRef>
          </c:val>
        </c:ser>
        <c:dLbls>
          <c:showLegendKey val="0"/>
          <c:showVal val="0"/>
          <c:showCatName val="0"/>
          <c:showSerName val="0"/>
          <c:showPercent val="0"/>
          <c:showBubbleSize val="0"/>
        </c:dLbls>
        <c:axId val="1899097391"/>
        <c:axId val="1899092111"/>
      </c:areaChart>
      <c:catAx>
        <c:axId val="1899097391"/>
        <c:scaling>
          <c:orientation val="minMax"/>
        </c:scaling>
        <c:delete val="0"/>
        <c:axPos val="b"/>
        <c:title>
          <c:tx>
            <c:rich>
              <a:bodyPr rot="0" spcFirstLastPara="1" vertOverflow="ellipsis" vert="horz" wrap="square" anchor="ctr" anchorCtr="1"/>
              <a:lstStyle/>
              <a:p>
                <a:pPr>
                  <a:defRPr lang="en-US" sz="900" b="0" i="0" u="none" strike="noStrike" kern="1200" cap="all" baseline="0">
                    <a:solidFill>
                      <a:schemeClr val="tx1"/>
                    </a:solidFill>
                    <a:latin typeface="+mn-lt"/>
                    <a:ea typeface="+mn-ea"/>
                    <a:cs typeface="+mn-cs"/>
                  </a:defRPr>
                </a:pPr>
                <a:r>
                  <a:rPr lang="en-US">
                    <a:solidFill>
                      <a:schemeClr val="tx1"/>
                    </a:solidFill>
                  </a:rPr>
                  <a:t>Exchanges</a:t>
                </a:r>
                <a:endParaRPr lang="en-US">
                  <a:solidFill>
                    <a:schemeClr val="tx1"/>
                  </a:solidFill>
                </a:endParaRPr>
              </a:p>
            </c:rich>
          </c:tx>
          <c:layout/>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p>
        </c:txPr>
        <c:crossAx val="1899092111"/>
        <c:crosses val="autoZero"/>
        <c:auto val="1"/>
        <c:lblAlgn val="ctr"/>
        <c:lblOffset val="100"/>
        <c:noMultiLvlLbl val="0"/>
      </c:catAx>
      <c:valAx>
        <c:axId val="1899092111"/>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chemeClr val="tx1"/>
                    </a:solidFill>
                    <a:latin typeface="+mn-lt"/>
                    <a:ea typeface="+mn-ea"/>
                    <a:cs typeface="+mn-cs"/>
                  </a:defRPr>
                </a:pPr>
                <a:r>
                  <a:rPr lang="en-US">
                    <a:solidFill>
                      <a:schemeClr val="tx1"/>
                    </a:solidFill>
                  </a:rPr>
                  <a:t>Frequency</a:t>
                </a:r>
                <a:endParaRPr lang="en-US">
                  <a:solidFill>
                    <a:schemeClr val="tx1"/>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p>
        </c:txPr>
        <c:crossAx val="1899097391"/>
        <c:crosses val="autoZero"/>
        <c:crossBetween val="midCat"/>
      </c:valAx>
      <c:spPr>
        <a:noFill/>
        <a:ln w="25400">
          <a:noFill/>
        </a:ln>
        <a:effectLst/>
      </c:spPr>
    </c:plotArea>
    <c:plotVisOnly val="1"/>
    <c:dispBlanksAs val="zero"/>
    <c:showDLblsOverMax val="0"/>
    <c:extLst>
      <c:ext uri="{0b15fc19-7d7d-44ad-8c2d-2c3a37ce22c3}">
        <chartProps xmlns="https://web.wps.cn/et/2018/main" chartId="{d79f22c0-476f-4714-b393-1da84f50e072}"/>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chemeClr val="tx1"/>
                </a:solidFill>
              </a:rPr>
              <a:t>BD Disclosure Across Exchanges </a:t>
            </a:r>
            <a:endParaRPr lang="en-US" sz="1400" b="0" i="0" u="none" strike="noStrike" kern="1200" spc="0" baseline="0">
              <a:solidFill>
                <a:schemeClr val="tx1"/>
              </a:solidFill>
            </a:endParaRPr>
          </a:p>
        </c:rich>
      </c:tx>
      <c:layout/>
      <c:overlay val="0"/>
      <c:spPr>
        <a:noFill/>
        <a:ln>
          <a:noFill/>
        </a:ln>
        <a:effectLst/>
      </c:spPr>
    </c:title>
    <c:autoTitleDeleted val="0"/>
    <c:plotArea>
      <c:layout/>
      <c:lineChart>
        <c:grouping val="standard"/>
        <c:varyColors val="0"/>
        <c:ser>
          <c:idx val="0"/>
          <c:order val="0"/>
          <c:tx>
            <c:strRef>
              <c:f>'Big data'!$B$1</c:f>
              <c:strCache>
                <c:ptCount val="1"/>
                <c:pt idx="0">
                  <c:v>Frequency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'Big data'!$A$2:$A$8</c:f>
              <c:strCache>
                <c:ptCount val="7"/>
                <c:pt idx="0">
                  <c:v>DSE</c:v>
                </c:pt>
                <c:pt idx="1">
                  <c:v>CSE</c:v>
                </c:pt>
                <c:pt idx="2">
                  <c:v>NEPSE</c:v>
                </c:pt>
                <c:pt idx="3">
                  <c:v>MSE</c:v>
                </c:pt>
                <c:pt idx="4">
                  <c:v>PSX</c:v>
                </c:pt>
                <c:pt idx="5">
                  <c:v>NSE</c:v>
                </c:pt>
                <c:pt idx="6">
                  <c:v>RSEB</c:v>
                </c:pt>
              </c:strCache>
            </c:strRef>
          </c:cat>
          <c:val>
            <c:numRef>
              <c:f>'Big data'!$B$2:$B$8</c:f>
              <c:numCache>
                <c:formatCode>General</c:formatCode>
                <c:ptCount val="7"/>
                <c:pt idx="0">
                  <c:v>1</c:v>
                </c:pt>
                <c:pt idx="1">
                  <c:v>3</c:v>
                </c:pt>
                <c:pt idx="2">
                  <c:v>0</c:v>
                </c:pt>
                <c:pt idx="3">
                  <c:v>2</c:v>
                </c:pt>
                <c:pt idx="4">
                  <c:v>1</c:v>
                </c:pt>
                <c:pt idx="5">
                  <c:v>30</c:v>
                </c:pt>
                <c:pt idx="6">
                  <c:v>20</c:v>
                </c:pt>
              </c:numCache>
            </c:numRef>
          </c:val>
          <c:smooth val="0"/>
        </c:ser>
        <c:dLbls>
          <c:showLegendKey val="0"/>
          <c:showVal val="1"/>
          <c:showCatName val="0"/>
          <c:showSerName val="0"/>
          <c:showPercent val="0"/>
          <c:showBubbleSize val="0"/>
        </c:dLbls>
        <c:marker val="1"/>
        <c:smooth val="0"/>
        <c:axId val="786925520"/>
        <c:axId val="786923120"/>
      </c:lineChart>
      <c:catAx>
        <c:axId val="786925520"/>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Exchanges</a:t>
                </a:r>
                <a:endParaRPr 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786923120"/>
        <c:crosses val="autoZero"/>
        <c:auto val="1"/>
        <c:lblAlgn val="ctr"/>
        <c:lblOffset val="100"/>
        <c:noMultiLvlLbl val="0"/>
      </c:catAx>
      <c:valAx>
        <c:axId val="786923120"/>
        <c:scaling>
          <c:orientation val="minMax"/>
        </c:scaling>
        <c:delete val="0"/>
        <c:axPos val="l"/>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Frequency</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786925520"/>
        <c:crosses val="autoZero"/>
        <c:crossBetween val="between"/>
      </c:valAx>
      <c:spPr>
        <a:noFill/>
        <a:ln w="25400">
          <a:noFill/>
        </a:ln>
        <a:effectLst/>
      </c:spPr>
    </c:plotArea>
    <c:plotVisOnly val="1"/>
    <c:dispBlanksAs val="gap"/>
    <c:showDLblsOverMax val="0"/>
    <c:extLst>
      <c:ext uri="{0b15fc19-7d7d-44ad-8c2d-2c3a37ce22c3}">
        <chartProps xmlns="https://web.wps.cn/et/2018/main" chartId="{4c080c94-935d-4fab-92fe-c86df174e35a}"/>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ysClr val="windowText" lastClr="000000"/>
                </a:solidFill>
                <a:latin typeface="+mn-lt"/>
                <a:ea typeface="+mn-ea"/>
                <a:cs typeface="+mn-cs"/>
              </a:defRPr>
            </a:pPr>
            <a:r>
              <a:rPr lang="en-US">
                <a:solidFill>
                  <a:sysClr val="windowText" lastClr="000000"/>
                </a:solidFill>
              </a:rPr>
              <a:t>DSE– AI</a:t>
            </a:r>
            <a:r>
              <a:rPr lang="en-US" baseline="0">
                <a:solidFill>
                  <a:sysClr val="windowText" lastClr="000000"/>
                </a:solidFill>
              </a:rPr>
              <a:t> Disclosures </a:t>
            </a:r>
            <a:endParaRPr lang="en-US">
              <a:solidFill>
                <a:sysClr val="windowText" lastClr="000000"/>
              </a:solidFill>
            </a:endParaRPr>
          </a:p>
        </c:rich>
      </c:tx>
      <c:layout/>
      <c:overlay val="0"/>
      <c:spPr>
        <a:noFill/>
        <a:ln>
          <a:noFill/>
        </a:ln>
        <a:effectLst/>
      </c:spPr>
    </c:title>
    <c:autoTitleDeleted val="0"/>
    <c:plotArea>
      <c:layout/>
      <c:barChart>
        <c:barDir val="col"/>
        <c:grouping val="clustered"/>
        <c:varyColors val="0"/>
        <c:ser>
          <c:idx val="0"/>
          <c:order val="0"/>
          <c:tx>
            <c:strRef>
              <c:f>DSE_AI – AI Keywords</c:f>
              <c:strCache>
                <c:ptCount val="1"/>
                <c:pt idx="0">
                  <c:v>DSE_AI – AI Keywords</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delete val="1"/>
          </c:dLbls>
          <c:cat>
            <c:strRef>
              <c:f>DSE_AI!$A$2:$A$11</c:f>
              <c:strCache>
                <c:ptCount val="10"/>
                <c:pt idx="0">
                  <c:v>Artificial Intelligence</c:v>
                </c:pt>
                <c:pt idx="1">
                  <c:v>Machine learning</c:v>
                </c:pt>
                <c:pt idx="2">
                  <c:v>Deep learning</c:v>
                </c:pt>
                <c:pt idx="3">
                  <c:v>Robotic Process Automation</c:v>
                </c:pt>
                <c:pt idx="4">
                  <c:v>Natural language processing</c:v>
                </c:pt>
                <c:pt idx="5">
                  <c:v>Neural Network</c:v>
                </c:pt>
                <c:pt idx="6">
                  <c:v>Expert system</c:v>
                </c:pt>
                <c:pt idx="7">
                  <c:v>Automated</c:v>
                </c:pt>
                <c:pt idx="8">
                  <c:v>Analytics</c:v>
                </c:pt>
                <c:pt idx="9">
                  <c:v>Big data</c:v>
                </c:pt>
              </c:strCache>
            </c:strRef>
          </c:cat>
          <c:val>
            <c:numRef>
              <c:f>DSE_AI!$B$2:$B$11</c:f>
              <c:numCache>
                <c:formatCode>General</c:formatCode>
                <c:ptCount val="10"/>
                <c:pt idx="0">
                  <c:v>13</c:v>
                </c:pt>
                <c:pt idx="1">
                  <c:v>3</c:v>
                </c:pt>
                <c:pt idx="2">
                  <c:v>0</c:v>
                </c:pt>
                <c:pt idx="3">
                  <c:v>3</c:v>
                </c:pt>
                <c:pt idx="4">
                  <c:v>0</c:v>
                </c:pt>
                <c:pt idx="5">
                  <c:v>0</c:v>
                </c:pt>
                <c:pt idx="6">
                  <c:v>0</c:v>
                </c:pt>
                <c:pt idx="7">
                  <c:v>70</c:v>
                </c:pt>
                <c:pt idx="8">
                  <c:v>10</c:v>
                </c:pt>
                <c:pt idx="9">
                  <c:v>1</c:v>
                </c:pt>
              </c:numCache>
            </c:numRef>
          </c:val>
        </c:ser>
        <c:dLbls>
          <c:showLegendKey val="0"/>
          <c:showVal val="0"/>
          <c:showCatName val="0"/>
          <c:showSerName val="0"/>
          <c:showPercent val="0"/>
          <c:showBubbleSize val="0"/>
        </c:dLbls>
        <c:gapWidth val="150"/>
        <c:axId val="50010001"/>
        <c:axId val="50010002"/>
      </c:barChart>
      <c:catAx>
        <c:axId val="50010001"/>
        <c:scaling>
          <c:orientation val="minMax"/>
        </c:scaling>
        <c:delete val="0"/>
        <c:axPos val="b"/>
        <c:title>
          <c:tx>
            <c:rich>
              <a:bodyPr rot="0" spcFirstLastPara="1" vertOverflow="ellipsis" vert="horz" wrap="square" anchor="ctr" anchorCtr="1"/>
              <a:lstStyle/>
              <a:p>
                <a:pPr>
                  <a:defRPr lang="en-US" sz="900" b="1" i="0" u="none" strike="noStrike" kern="1200" baseline="0">
                    <a:solidFill>
                      <a:sysClr val="windowText" lastClr="000000"/>
                    </a:solidFill>
                    <a:latin typeface="+mn-lt"/>
                    <a:ea typeface="+mn-ea"/>
                    <a:cs typeface="+mn-cs"/>
                  </a:defRPr>
                </a:pPr>
                <a:r>
                  <a:rPr lang="en-US">
                    <a:solidFill>
                      <a:sysClr val="windowText" lastClr="000000"/>
                    </a:solidFill>
                  </a:rPr>
                  <a:t>AI Keyword</a:t>
                </a:r>
                <a:endParaRPr lang="en-US">
                  <a:solidFill>
                    <a:sysClr val="windowText" lastClr="000000"/>
                  </a:solidFill>
                </a:endParaRPr>
              </a:p>
            </c:rich>
          </c:tx>
          <c:layout/>
          <c:overlay val="0"/>
          <c:spPr>
            <a:noFill/>
            <a:ln>
              <a:noFill/>
            </a:ln>
            <a:effectLst/>
          </c:spPr>
        </c:title>
        <c:numFmt formatCode="General" sourceLinked="0"/>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10002"/>
        <c:crosses val="autoZero"/>
        <c:auto val="1"/>
        <c:lblAlgn val="ctr"/>
        <c:lblOffset val="100"/>
        <c:noMultiLvlLbl val="0"/>
      </c:catAx>
      <c:valAx>
        <c:axId val="50010002"/>
        <c:scaling>
          <c:orientation val="minMax"/>
        </c:scaling>
        <c:delete val="0"/>
        <c:axPos val="l"/>
        <c:title>
          <c:tx>
            <c:rich>
              <a:bodyPr rot="-5400000" spcFirstLastPara="1" vertOverflow="ellipsis" vert="horz" wrap="square" anchor="ctr" anchorCtr="1"/>
              <a:lstStyle/>
              <a:p>
                <a:pPr>
                  <a:defRPr lang="en-US" sz="900" b="1" i="0" u="none" strike="noStrike" kern="1200" baseline="0">
                    <a:solidFill>
                      <a:sysClr val="windowText" lastClr="000000"/>
                    </a:solidFill>
                    <a:latin typeface="+mn-lt"/>
                    <a:ea typeface="+mn-ea"/>
                    <a:cs typeface="+mn-cs"/>
                  </a:defRPr>
                </a:pPr>
                <a:r>
                  <a:rPr lang="en-US">
                    <a:solidFill>
                      <a:sysClr val="windowText" lastClr="000000"/>
                    </a:solidFill>
                  </a:rPr>
                  <a:t>Frequency</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10001"/>
        <c:crosses val="autoZero"/>
        <c:crossBetween val="between"/>
      </c:valAx>
      <c:spPr>
        <a:noFill/>
        <a:ln>
          <a:noFill/>
        </a:ln>
        <a:effectLst/>
      </c:spPr>
    </c:plotArea>
    <c:plotVisOnly val="1"/>
    <c:dispBlanksAs val="gap"/>
    <c:showDLblsOverMax val="0"/>
    <c:extLst>
      <c:ext uri="{0b15fc19-7d7d-44ad-8c2d-2c3a37ce22c3}">
        <chartProps xmlns="https://web.wps.cn/et/2018/main" chartId="{12b2d904-6001-4030-b9a1-14b67d96adb3}"/>
      </c:ext>
    </c:extLst>
  </c:chart>
  <c:spPr>
    <a:solidFill>
      <a:schemeClr val="bg1"/>
    </a:solidFill>
    <a:ln w="9525" cap="flat" cmpd="sng" algn="ctr">
      <a:solidFill>
        <a:schemeClr val="tx2">
          <a:lumMod val="15000"/>
          <a:lumOff val="85000"/>
        </a:schemeClr>
      </a:solidFill>
      <a:round/>
    </a:ln>
    <a:effectLst/>
  </c:spPr>
  <c:txPr>
    <a:bodyPr/>
    <a:lstStyle/>
    <a:p>
      <a:pPr>
        <a:defRPr lang="en-US"/>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1"/>
                </a:solidFill>
                <a:latin typeface="+mn-lt"/>
                <a:ea typeface="+mn-ea"/>
                <a:cs typeface="+mn-cs"/>
              </a:defRPr>
            </a:pPr>
            <a:r>
              <a:rPr lang="en-US">
                <a:solidFill>
                  <a:schemeClr val="tx1"/>
                </a:solidFill>
              </a:rPr>
              <a:t>DSE_AI Disclosures by Company</a:t>
            </a:r>
            <a:endParaRPr lang="en-US">
              <a:solidFill>
                <a:schemeClr val="tx1"/>
              </a:solidFill>
            </a:endParaRPr>
          </a:p>
        </c:rich>
      </c:tx>
      <c:layout/>
      <c:overlay val="0"/>
      <c:spPr>
        <a:noFill/>
        <a:ln>
          <a:noFill/>
        </a:ln>
        <a:effectLst/>
      </c:spPr>
    </c:title>
    <c:autoTitleDeleted val="0"/>
    <c:plotArea>
      <c:layout/>
      <c:barChart>
        <c:barDir val="col"/>
        <c:grouping val="clustered"/>
        <c:varyColors val="0"/>
        <c:ser>
          <c:idx val="0"/>
          <c:order val="0"/>
          <c:tx>
            <c:strRef>
              <c:f>DSE_AI – AI by Company</c:f>
              <c:strCache>
                <c:ptCount val="1"/>
                <c:pt idx="0">
                  <c:v>DSE_AI – AI by Company</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elete val="1"/>
          </c:dLbls>
          <c:cat>
            <c:strRef>
              <c:f>DSE_AI!$A$14:$A$20</c:f>
              <c:strCache>
                <c:ptCount val="7"/>
                <c:pt idx="0">
                  <c:v>Meghna Petroleum Ltd</c:v>
                </c:pt>
                <c:pt idx="1">
                  <c:v>Islamic Bank Bangladesh</c:v>
                </c:pt>
                <c:pt idx="2">
                  <c:v>Midland Bank Ltd.</c:v>
                </c:pt>
                <c:pt idx="3">
                  <c:v>Fareast Finance &amp; Investment Ltd.</c:v>
                </c:pt>
                <c:pt idx="4">
                  <c:v>Reliance Insurance Ltd..</c:v>
                </c:pt>
                <c:pt idx="5">
                  <c:v>Eastern Lubricants Ltd..</c:v>
                </c:pt>
                <c:pt idx="6">
                  <c:v>Union Capital Ltd.</c:v>
                </c:pt>
              </c:strCache>
            </c:strRef>
          </c:cat>
          <c:val>
            <c:numRef>
              <c:f>DSE_AI!$B$14:$B$20</c:f>
              <c:numCache>
                <c:formatCode>General</c:formatCode>
                <c:ptCount val="7"/>
                <c:pt idx="0">
                  <c:v>0</c:v>
                </c:pt>
                <c:pt idx="1">
                  <c:v>50</c:v>
                </c:pt>
                <c:pt idx="2">
                  <c:v>18</c:v>
                </c:pt>
                <c:pt idx="3">
                  <c:v>4</c:v>
                </c:pt>
                <c:pt idx="4">
                  <c:v>17</c:v>
                </c:pt>
                <c:pt idx="5">
                  <c:v>0</c:v>
                </c:pt>
                <c:pt idx="6">
                  <c:v>14</c:v>
                </c:pt>
              </c:numCache>
            </c:numRef>
          </c:val>
        </c:ser>
        <c:dLbls>
          <c:showLegendKey val="0"/>
          <c:showVal val="0"/>
          <c:showCatName val="0"/>
          <c:showSerName val="0"/>
          <c:showPercent val="0"/>
          <c:showBubbleSize val="0"/>
        </c:dLbls>
        <c:gapWidth val="150"/>
        <c:axId val="50020001"/>
        <c:axId val="50020002"/>
      </c:barChart>
      <c:catAx>
        <c:axId val="50020001"/>
        <c:scaling>
          <c:orientation val="minMax"/>
        </c:scaling>
        <c:delete val="0"/>
        <c:axPos val="b"/>
        <c:title>
          <c:tx>
            <c:rich>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r>
                  <a:rPr lang="en-US"/>
                  <a:t>Company</a:t>
                </a:r>
                <a:endParaRPr lang="en-US"/>
              </a:p>
            </c:rich>
          </c:tx>
          <c:layout/>
          <c:overlay val="0"/>
          <c:spPr>
            <a:noFill/>
            <a:ln>
              <a:noFill/>
            </a:ln>
            <a:effectLst/>
          </c:spPr>
        </c:title>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20002"/>
        <c:crosses val="autoZero"/>
        <c:auto val="1"/>
        <c:lblAlgn val="ctr"/>
        <c:lblOffset val="100"/>
        <c:noMultiLvlLbl val="0"/>
      </c:catAx>
      <c:valAx>
        <c:axId val="50020002"/>
        <c:scaling>
          <c:orientation val="minMax"/>
        </c:scaling>
        <c:delete val="0"/>
        <c:axPos val="l"/>
        <c:title>
          <c:tx>
            <c:rich>
              <a:bodyPr rot="-54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r>
                  <a:rPr lang="en-US">
                    <a:solidFill>
                      <a:sysClr val="windowText" lastClr="000000"/>
                    </a:solidFill>
                  </a:rPr>
                  <a:t>AI Keyword Frequency</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0020001"/>
        <c:crosses val="autoZero"/>
        <c:crossBetween val="between"/>
      </c:valAx>
      <c:spPr>
        <a:noFill/>
        <a:ln>
          <a:noFill/>
        </a:ln>
        <a:effectLst/>
      </c:spPr>
    </c:plotArea>
    <c:plotVisOnly val="1"/>
    <c:dispBlanksAs val="gap"/>
    <c:showDLblsOverMax val="0"/>
    <c:extLst>
      <c:ext uri="{0b15fc19-7d7d-44ad-8c2d-2c3a37ce22c3}">
        <chartProps xmlns="https://web.wps.cn/et/2018/main" chartId="{3be2575d-1cc1-4e99-94e1-f73cb71006ce}"/>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r>
              <a:rPr lang="en-US">
                <a:solidFill>
                  <a:schemeClr val="tx1"/>
                </a:solidFill>
              </a:rPr>
              <a:t>CSE</a:t>
            </a:r>
            <a:r>
              <a:rPr lang="en-US" baseline="0">
                <a:solidFill>
                  <a:schemeClr val="tx1"/>
                </a:solidFill>
              </a:rPr>
              <a:t> </a:t>
            </a:r>
            <a:r>
              <a:rPr lang="en-US">
                <a:solidFill>
                  <a:schemeClr val="tx1"/>
                </a:solidFill>
              </a:rPr>
              <a:t>AI Disclosures</a:t>
            </a:r>
            <a:endParaRPr lang="en-US">
              <a:solidFill>
                <a:schemeClr val="tx1"/>
              </a:solidFill>
            </a:endParaRPr>
          </a:p>
        </c:rich>
      </c:tx>
      <c:layout/>
      <c:overlay val="0"/>
      <c:spPr>
        <a:noFill/>
        <a:ln>
          <a:noFill/>
        </a:ln>
        <a:effectLst/>
      </c:spPr>
    </c:title>
    <c:autoTitleDeleted val="0"/>
    <c:plotArea>
      <c:layout>
        <c:manualLayout>
          <c:layoutTarget val="inner"/>
          <c:xMode val="edge"/>
          <c:yMode val="edge"/>
          <c:x val="0.374857276805217"/>
          <c:y val="0.192313305765021"/>
          <c:w val="0.485602804385582"/>
          <c:h val="0.578140077418564"/>
        </c:manualLayout>
      </c:layout>
      <c:barChart>
        <c:barDir val="bar"/>
        <c:grouping val="clustered"/>
        <c:varyColors val="0"/>
        <c:ser>
          <c:idx val="0"/>
          <c:order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1"/>
              <c:layout>
                <c:manualLayout>
                  <c:x val="0"/>
                  <c:y val="0.00321914583649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54725893338004"/>
                  <c:y val="0.009415742082806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2.03397144562764e-16"/>
                  <c:y val="0.012318311394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0805750275243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CSE_AI!$A$2:$A$11</c:f>
              <c:strCache>
                <c:ptCount val="10"/>
                <c:pt idx="0">
                  <c:v>Artificial Intelligence</c:v>
                </c:pt>
                <c:pt idx="1">
                  <c:v>Machine learning</c:v>
                </c:pt>
                <c:pt idx="2">
                  <c:v>Deep learning</c:v>
                </c:pt>
                <c:pt idx="3">
                  <c:v>Robotic Process Automation</c:v>
                </c:pt>
                <c:pt idx="4">
                  <c:v>Natural language processing</c:v>
                </c:pt>
                <c:pt idx="5">
                  <c:v>Neural Network</c:v>
                </c:pt>
                <c:pt idx="6">
                  <c:v>Expert system</c:v>
                </c:pt>
                <c:pt idx="7">
                  <c:v>Automated</c:v>
                </c:pt>
                <c:pt idx="8">
                  <c:v>Analytics</c:v>
                </c:pt>
                <c:pt idx="9">
                  <c:v>Big data</c:v>
                </c:pt>
              </c:strCache>
            </c:strRef>
          </c:cat>
          <c:val>
            <c:numRef>
              <c:f>CSE_AI!$B$2:$B$11</c:f>
              <c:numCache>
                <c:formatCode>General</c:formatCode>
                <c:ptCount val="10"/>
                <c:pt idx="0">
                  <c:v>4</c:v>
                </c:pt>
                <c:pt idx="1">
                  <c:v>1</c:v>
                </c:pt>
                <c:pt idx="2">
                  <c:v>0</c:v>
                </c:pt>
                <c:pt idx="3">
                  <c:v>0</c:v>
                </c:pt>
                <c:pt idx="4">
                  <c:v>0</c:v>
                </c:pt>
                <c:pt idx="5">
                  <c:v>0</c:v>
                </c:pt>
                <c:pt idx="6">
                  <c:v>0</c:v>
                </c:pt>
                <c:pt idx="7">
                  <c:v>47</c:v>
                </c:pt>
                <c:pt idx="8">
                  <c:v>20</c:v>
                </c:pt>
                <c:pt idx="9">
                  <c:v>3</c:v>
                </c:pt>
              </c:numCache>
            </c:numRef>
          </c:val>
        </c:ser>
        <c:dLbls>
          <c:showLegendKey val="0"/>
          <c:showVal val="1"/>
          <c:showCatName val="0"/>
          <c:showSerName val="0"/>
          <c:showPercent val="0"/>
          <c:showBubbleSize val="0"/>
        </c:dLbls>
        <c:gapWidth val="150"/>
        <c:axId val="50030001"/>
        <c:axId val="50030002"/>
      </c:barChart>
      <c:catAx>
        <c:axId val="50030001"/>
        <c:scaling>
          <c:orientation val="minMax"/>
        </c:scaling>
        <c:delete val="0"/>
        <c:axPos val="l"/>
        <c:title>
          <c:tx>
            <c:rich>
              <a:bodyPr rot="-54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r>
                  <a:rPr lang="en-US"/>
                  <a:t>Frequency</a:t>
                </a:r>
                <a:endParaRPr lang="en-US"/>
              </a:p>
            </c:rich>
          </c:tx>
          <c:layout/>
          <c:overlay val="0"/>
          <c:spPr>
            <a:noFill/>
            <a:ln>
              <a:noFill/>
            </a:ln>
            <a:effectLst/>
          </c:spPr>
        </c:title>
        <c:numFmt formatCode="General" sourceLinked="0"/>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30002"/>
        <c:crosses val="autoZero"/>
        <c:auto val="1"/>
        <c:lblAlgn val="ctr"/>
        <c:lblOffset val="100"/>
        <c:noMultiLvlLbl val="0"/>
      </c:catAx>
      <c:valAx>
        <c:axId val="50030002"/>
        <c:scaling>
          <c:orientation val="minMax"/>
        </c:scaling>
        <c:delete val="0"/>
        <c:axPos val="b"/>
        <c:title>
          <c:tx>
            <c:rich>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r>
                  <a:rPr lang="en-US">
                    <a:solidFill>
                      <a:sysClr val="windowText" lastClr="000000"/>
                    </a:solidFill>
                  </a:rPr>
                  <a:t>AI Keyword</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0030001"/>
        <c:crosses val="autoZero"/>
        <c:crossBetween val="between"/>
      </c:valAx>
      <c:spPr>
        <a:noFill/>
        <a:ln w="25400">
          <a:noFill/>
        </a:ln>
        <a:effectLst/>
      </c:spPr>
    </c:plotArea>
    <c:plotVisOnly val="1"/>
    <c:dispBlanksAs val="gap"/>
    <c:showDLblsOverMax val="0"/>
    <c:extLst>
      <c:ext uri="{0b15fc19-7d7d-44ad-8c2d-2c3a37ce22c3}">
        <chartProps xmlns="https://web.wps.cn/et/2018/main" chartId="{bd077999-9329-4156-9d3f-0d2c419a8100}"/>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r>
              <a:rPr lang="en-US">
                <a:solidFill>
                  <a:schemeClr val="tx1"/>
                </a:solidFill>
              </a:rPr>
              <a:t>CSE – AI disclosures</a:t>
            </a:r>
            <a:r>
              <a:rPr lang="en-US" baseline="0">
                <a:solidFill>
                  <a:schemeClr val="tx1"/>
                </a:solidFill>
              </a:rPr>
              <a:t> by</a:t>
            </a:r>
            <a:r>
              <a:rPr lang="en-US">
                <a:solidFill>
                  <a:schemeClr val="tx1"/>
                </a:solidFill>
              </a:rPr>
              <a:t> Company</a:t>
            </a:r>
            <a:endParaRPr lang="en-US">
              <a:solidFill>
                <a:schemeClr val="tx1"/>
              </a:solidFill>
            </a:endParaRPr>
          </a:p>
        </c:rich>
      </c:tx>
      <c:layout/>
      <c:overlay val="0"/>
      <c:spPr>
        <a:noFill/>
        <a:ln>
          <a:noFill/>
        </a:ln>
        <a:effectLst/>
      </c:spPr>
    </c:title>
    <c:autoTitleDeleted val="0"/>
    <c:plotArea>
      <c:layout>
        <c:manualLayout>
          <c:layoutTarget val="inner"/>
          <c:xMode val="edge"/>
          <c:yMode val="edge"/>
          <c:x val="0.392691860592635"/>
          <c:y val="0.173762813264251"/>
          <c:w val="0.562544908209594"/>
          <c:h val="0.577053625686393"/>
        </c:manualLayout>
      </c:layout>
      <c:barChart>
        <c:barDir val="bar"/>
        <c:grouping val="clustered"/>
        <c:varyColors val="0"/>
        <c:ser>
          <c:idx val="0"/>
          <c:order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1"/>
              <c:layout>
                <c:manualLayout>
                  <c:x val="-0.0108088961024719"/>
                  <c:y val="-0.007138876313938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5985348628084"/>
                  <c:y val="0.0002696169759889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5.05973952407482e-17"/>
                  <c:y val="-0.02446982369781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03404031320597"/>
                  <c:y val="-0.007468067340310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13727984559033"/>
                  <c:y val="-0.007797258366682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CSE_AI!$A$14:$A$23</c:f>
              <c:strCache>
                <c:ptCount val="10"/>
                <c:pt idx="0">
                  <c:v>ACL PLASTICS PLC</c:v>
                </c:pt>
                <c:pt idx="1">
                  <c:v>ABANS ELECTRICALS PLC</c:v>
                </c:pt>
                <c:pt idx="2">
                  <c:v>AGSTAR PLC</c:v>
                </c:pt>
                <c:pt idx="3">
                  <c:v>Agarapatana Plantations PLC</c:v>
                </c:pt>
                <c:pt idx="4">
                  <c:v>ALPHA FIRE SERVICES PLC</c:v>
                </c:pt>
                <c:pt idx="5">
                  <c:v>ACL CABLES PLC</c:v>
                </c:pt>
                <c:pt idx="6">
                  <c:v>ABANS FINANCE PLC</c:v>
                </c:pt>
                <c:pt idx="7">
                  <c:v>ASIRI SURGICAL HOSPITAL PLC</c:v>
                </c:pt>
                <c:pt idx="8">
                  <c:v>ARPICO INSURANCE PLC</c:v>
                </c:pt>
                <c:pt idx="9">
                  <c:v>ASIRI HOSPITAL HOLDINGS PLC</c:v>
                </c:pt>
              </c:strCache>
            </c:strRef>
          </c:cat>
          <c:val>
            <c:numRef>
              <c:f>CSE_AI!$B$14:$B$23</c:f>
              <c:numCache>
                <c:formatCode>General</c:formatCode>
                <c:ptCount val="10"/>
                <c:pt idx="0">
                  <c:v>0</c:v>
                </c:pt>
                <c:pt idx="1">
                  <c:v>11</c:v>
                </c:pt>
                <c:pt idx="2">
                  <c:v>1</c:v>
                </c:pt>
                <c:pt idx="3">
                  <c:v>3</c:v>
                </c:pt>
                <c:pt idx="4">
                  <c:v>0</c:v>
                </c:pt>
                <c:pt idx="5">
                  <c:v>0</c:v>
                </c:pt>
                <c:pt idx="6">
                  <c:v>3</c:v>
                </c:pt>
                <c:pt idx="7">
                  <c:v>24</c:v>
                </c:pt>
                <c:pt idx="8">
                  <c:v>9</c:v>
                </c:pt>
                <c:pt idx="9">
                  <c:v>24</c:v>
                </c:pt>
              </c:numCache>
            </c:numRef>
          </c:val>
        </c:ser>
        <c:dLbls>
          <c:showLegendKey val="0"/>
          <c:showVal val="0"/>
          <c:showCatName val="0"/>
          <c:showSerName val="0"/>
          <c:showPercent val="0"/>
          <c:showBubbleSize val="0"/>
        </c:dLbls>
        <c:gapWidth val="115"/>
        <c:overlap val="-20"/>
        <c:axId val="50040001"/>
        <c:axId val="50040002"/>
      </c:barChart>
      <c:catAx>
        <c:axId val="50040001"/>
        <c:scaling>
          <c:orientation val="minMax"/>
        </c:scaling>
        <c:delete val="0"/>
        <c:axPos val="l"/>
        <c:title>
          <c:tx>
            <c:rich>
              <a:bodyPr rot="-54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r>
                  <a:rPr lang="en-US"/>
                  <a:t>Company</a:t>
                </a:r>
                <a:endParaRPr lang="en-US"/>
              </a:p>
            </c:rich>
          </c:tx>
          <c:layout/>
          <c:overlay val="0"/>
          <c:spPr>
            <a:noFill/>
            <a:ln>
              <a:noFill/>
            </a:ln>
            <a:effectLst/>
          </c:spPr>
        </c:title>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40002"/>
        <c:crosses val="autoZero"/>
        <c:auto val="1"/>
        <c:lblAlgn val="ctr"/>
        <c:lblOffset val="100"/>
        <c:noMultiLvlLbl val="0"/>
      </c:catAx>
      <c:valAx>
        <c:axId val="50040002"/>
        <c:scaling>
          <c:orientation val="minMax"/>
        </c:scaling>
        <c:delete val="0"/>
        <c:axPos val="b"/>
        <c:title>
          <c:tx>
            <c:rich>
              <a:bodyPr rot="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r>
                  <a:rPr lang="en-US" b="0">
                    <a:solidFill>
                      <a:sysClr val="windowText" lastClr="000000"/>
                    </a:solidFill>
                  </a:rPr>
                  <a:t> Frequency</a:t>
                </a:r>
                <a:endParaRPr lang="en-US" b="0">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0040001"/>
        <c:crosses val="autoZero"/>
        <c:crossBetween val="between"/>
      </c:valAx>
      <c:spPr>
        <a:noFill/>
        <a:ln w="25400">
          <a:noFill/>
        </a:ln>
        <a:effectLst/>
      </c:spPr>
    </c:plotArea>
    <c:plotVisOnly val="1"/>
    <c:dispBlanksAs val="gap"/>
    <c:showDLblsOverMax val="0"/>
    <c:extLst>
      <c:ext uri="{0b15fc19-7d7d-44ad-8c2d-2c3a37ce22c3}">
        <chartProps xmlns="https://web.wps.cn/et/2018/main" chartId="{c1192c74-1cc0-44ca-8d96-18d25d4c895c}"/>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cap="all" spc="150" baseline="0">
                <a:solidFill>
                  <a:sysClr val="windowText" lastClr="000000"/>
                </a:solidFill>
                <a:latin typeface="+mn-lt"/>
                <a:ea typeface="+mn-ea"/>
                <a:cs typeface="+mn-cs"/>
              </a:defRPr>
            </a:pPr>
            <a:r>
              <a:rPr lang="en-US">
                <a:solidFill>
                  <a:sysClr val="windowText" lastClr="000000"/>
                </a:solidFill>
              </a:rPr>
              <a:t>NEPSE – AI Disclosures</a:t>
            </a:r>
            <a:endParaRPr lang="en-US">
              <a:solidFill>
                <a:sysClr val="windowText" lastClr="000000"/>
              </a:solidFill>
            </a:endParaRPr>
          </a:p>
        </c:rich>
      </c:tx>
      <c:layout/>
      <c:overlay val="0"/>
      <c:spPr>
        <a:noFill/>
        <a:ln>
          <a:noFill/>
        </a:ln>
        <a:effectLst/>
      </c:spPr>
    </c:title>
    <c:autoTitleDeleted val="0"/>
    <c:plotArea>
      <c:layout/>
      <c:barChart>
        <c:barDir val="col"/>
        <c:grouping val="clustered"/>
        <c:varyColors val="0"/>
        <c:ser>
          <c:idx val="0"/>
          <c:order val="0"/>
          <c:tx>
            <c:strRef>
              <c:f>NEPSE_AI – AI Keywords</c:f>
              <c:strCache>
                <c:ptCount val="1"/>
                <c:pt idx="0">
                  <c:v>NEPSE_AI – AI Keywords</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delete val="1"/>
          </c:dLbls>
          <c:cat>
            <c:strRef>
              <c:f>NEPSE_AI!$A$2:$A$11</c:f>
              <c:strCache>
                <c:ptCount val="10"/>
                <c:pt idx="0">
                  <c:v>Artificial Intelligence</c:v>
                </c:pt>
                <c:pt idx="1">
                  <c:v>Machine learning</c:v>
                </c:pt>
                <c:pt idx="2">
                  <c:v>Deep learning</c:v>
                </c:pt>
                <c:pt idx="3">
                  <c:v>Robotic Process Automation</c:v>
                </c:pt>
                <c:pt idx="4">
                  <c:v>Natural language processing</c:v>
                </c:pt>
                <c:pt idx="5">
                  <c:v>Neural Network</c:v>
                </c:pt>
                <c:pt idx="6">
                  <c:v>Expert system</c:v>
                </c:pt>
                <c:pt idx="7">
                  <c:v>Automated</c:v>
                </c:pt>
                <c:pt idx="8">
                  <c:v>Analytics</c:v>
                </c:pt>
                <c:pt idx="9">
                  <c:v>Big data</c:v>
                </c:pt>
              </c:strCache>
            </c:strRef>
          </c:cat>
          <c:val>
            <c:numRef>
              <c:f>NEPSE_AI!$B$2:$B$11</c:f>
              <c:numCache>
                <c:formatCode>General</c:formatCode>
                <c:ptCount val="10"/>
                <c:pt idx="0">
                  <c:v>0</c:v>
                </c:pt>
                <c:pt idx="1">
                  <c:v>0</c:v>
                </c:pt>
                <c:pt idx="2">
                  <c:v>0</c:v>
                </c:pt>
                <c:pt idx="3">
                  <c:v>1</c:v>
                </c:pt>
                <c:pt idx="4">
                  <c:v>0</c:v>
                </c:pt>
                <c:pt idx="5">
                  <c:v>0</c:v>
                </c:pt>
                <c:pt idx="6">
                  <c:v>0</c:v>
                </c:pt>
                <c:pt idx="7">
                  <c:v>1</c:v>
                </c:pt>
                <c:pt idx="8">
                  <c:v>0</c:v>
                </c:pt>
                <c:pt idx="9">
                  <c:v>0</c:v>
                </c:pt>
              </c:numCache>
            </c:numRef>
          </c:val>
        </c:ser>
        <c:dLbls>
          <c:showLegendKey val="0"/>
          <c:showVal val="0"/>
          <c:showCatName val="0"/>
          <c:showSerName val="0"/>
          <c:showPercent val="0"/>
          <c:showBubbleSize val="0"/>
        </c:dLbls>
        <c:gapWidth val="160"/>
        <c:axId val="50050001"/>
        <c:axId val="50050002"/>
      </c:barChart>
      <c:catAx>
        <c:axId val="50050001"/>
        <c:scaling>
          <c:orientation val="minMax"/>
        </c:scaling>
        <c:delete val="0"/>
        <c:axPos val="b"/>
        <c:title>
          <c:tx>
            <c:rich>
              <a:bodyPr rot="0" spcFirstLastPara="1" vertOverflow="ellipsis" vert="horz" wrap="square" anchor="ctr" anchorCtr="1"/>
              <a:lstStyle/>
              <a:p>
                <a:pPr>
                  <a:defRPr lang="en-US" sz="900" b="1" i="0" u="none" strike="noStrike" kern="1200" baseline="0">
                    <a:solidFill>
                      <a:sysClr val="windowText" lastClr="000000"/>
                    </a:solidFill>
                    <a:latin typeface="+mn-lt"/>
                    <a:ea typeface="+mn-ea"/>
                    <a:cs typeface="+mn-cs"/>
                  </a:defRPr>
                </a:pPr>
                <a:r>
                  <a:rPr lang="en-US">
                    <a:solidFill>
                      <a:sysClr val="windowText" lastClr="000000"/>
                    </a:solidFill>
                  </a:rPr>
                  <a:t>AI Keyword</a:t>
                </a:r>
                <a:endParaRPr lang="en-US">
                  <a:solidFill>
                    <a:sysClr val="windowText" lastClr="000000"/>
                  </a:solidFill>
                </a:endParaRPr>
              </a:p>
            </c:rich>
          </c:tx>
          <c:layout/>
          <c:overlay val="0"/>
          <c:spPr>
            <a:noFill/>
            <a:ln>
              <a:noFill/>
            </a:ln>
            <a:effectLst/>
          </c:sp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50002"/>
        <c:crosses val="autoZero"/>
        <c:auto val="1"/>
        <c:lblAlgn val="ctr"/>
        <c:lblOffset val="100"/>
        <c:noMultiLvlLbl val="0"/>
      </c:catAx>
      <c:valAx>
        <c:axId val="50050002"/>
        <c:scaling>
          <c:orientation val="minMax"/>
        </c:scaling>
        <c:delete val="0"/>
        <c:axPos val="l"/>
        <c:title>
          <c:tx>
            <c:rich>
              <a:bodyPr rot="-5400000" spcFirstLastPara="1" vertOverflow="ellipsis" vert="horz" wrap="square" anchor="ctr" anchorCtr="1"/>
              <a:lstStyle/>
              <a:p>
                <a:pPr>
                  <a:defRPr lang="en-US" sz="900" b="1" i="0" u="none" strike="noStrike" kern="1200" baseline="0">
                    <a:solidFill>
                      <a:schemeClr val="tx1">
                        <a:lumMod val="65000"/>
                        <a:lumOff val="35000"/>
                      </a:schemeClr>
                    </a:solidFill>
                    <a:latin typeface="+mn-lt"/>
                    <a:ea typeface="+mn-ea"/>
                    <a:cs typeface="+mn-cs"/>
                  </a:defRPr>
                </a:pPr>
                <a:r>
                  <a:rPr lang="en-US"/>
                  <a:t>Frequency</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50001"/>
        <c:crosses val="autoZero"/>
        <c:crossBetween val="between"/>
      </c:valAx>
      <c:spPr>
        <a:noFill/>
        <a:ln>
          <a:noFill/>
        </a:ln>
        <a:effectLst/>
      </c:spPr>
    </c:plotArea>
    <c:plotVisOnly val="1"/>
    <c:dispBlanksAs val="gap"/>
    <c:showDLblsOverMax val="0"/>
    <c:extLst>
      <c:ext uri="{0b15fc19-7d7d-44ad-8c2d-2c3a37ce22c3}">
        <chartProps xmlns="https://web.wps.cn/et/2018/main" chartId="{33559b68-ce24-4e12-98f2-36c895e7366a}"/>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cap="all" spc="150" baseline="0">
                <a:solidFill>
                  <a:sysClr val="windowText" lastClr="000000"/>
                </a:solidFill>
                <a:latin typeface="+mn-lt"/>
                <a:ea typeface="+mn-ea"/>
                <a:cs typeface="+mn-cs"/>
              </a:defRPr>
            </a:pPr>
            <a:r>
              <a:rPr lang="en-US" sz="1200">
                <a:solidFill>
                  <a:sysClr val="windowText" lastClr="000000"/>
                </a:solidFill>
              </a:rPr>
              <a:t>NEPSE_AI Disclosures by Company</a:t>
            </a:r>
            <a:endParaRPr lang="en-US" sz="1200">
              <a:solidFill>
                <a:sysClr val="windowText" lastClr="000000"/>
              </a:solidFill>
            </a:endParaRPr>
          </a:p>
        </c:rich>
      </c:tx>
      <c:layout/>
      <c:overlay val="0"/>
      <c:spPr>
        <a:noFill/>
        <a:ln>
          <a:noFill/>
        </a:ln>
        <a:effectLst/>
      </c:spPr>
    </c:title>
    <c:autoTitleDeleted val="0"/>
    <c:plotArea>
      <c:layout>
        <c:manualLayout>
          <c:layoutTarget val="inner"/>
          <c:xMode val="edge"/>
          <c:yMode val="edge"/>
          <c:x val="0.137800224937854"/>
          <c:y val="0.178829583741043"/>
          <c:w val="0.831667499365095"/>
          <c:h val="0.459505158837904"/>
        </c:manualLayout>
      </c:layout>
      <c:barChart>
        <c:barDir val="col"/>
        <c:grouping val="clustered"/>
        <c:varyColors val="0"/>
        <c:ser>
          <c:idx val="0"/>
          <c:order val="0"/>
          <c:tx>
            <c:strRef>
              <c:f>NEPSE_AI – AI by Company</c:f>
              <c:strCache>
                <c:ptCount val="1"/>
                <c:pt idx="0">
                  <c:v>NEPSE_AI – AI by Company</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delete val="1"/>
          </c:dLbls>
          <c:cat>
            <c:strRef>
              <c:f>NEPSE_AI!$A$14:$A$18</c:f>
              <c:strCache>
                <c:ptCount val="5"/>
                <c:pt idx="0">
                  <c:v>Rapti Hydro and General Construction Ltd</c:v>
                </c:pt>
                <c:pt idx="1">
                  <c:v>Dhaulagiri laghubitta Bittiya Sanstha</c:v>
                </c:pt>
                <c:pt idx="2">
                  <c:v>Saptakoshi Development Bank Ltd</c:v>
                </c:pt>
                <c:pt idx="3">
                  <c:v>Unique Nepal Laghubitta Bittiya Sanstha</c:v>
                </c:pt>
                <c:pt idx="4">
                  <c:v>Nepal Microfinance Insurance Company</c:v>
                </c:pt>
              </c:strCache>
            </c:strRef>
          </c:cat>
          <c:val>
            <c:numRef>
              <c:f>NEPSE_AI!$B$14:$B$18</c:f>
              <c:numCache>
                <c:formatCode>General</c:formatCode>
                <c:ptCount val="5"/>
                <c:pt idx="0">
                  <c:v>0</c:v>
                </c:pt>
                <c:pt idx="1">
                  <c:v>2</c:v>
                </c:pt>
                <c:pt idx="2">
                  <c:v>0</c:v>
                </c:pt>
                <c:pt idx="3">
                  <c:v>0</c:v>
                </c:pt>
                <c:pt idx="4">
                  <c:v>0</c:v>
                </c:pt>
              </c:numCache>
            </c:numRef>
          </c:val>
        </c:ser>
        <c:dLbls>
          <c:showLegendKey val="0"/>
          <c:showVal val="0"/>
          <c:showCatName val="0"/>
          <c:showSerName val="0"/>
          <c:showPercent val="0"/>
          <c:showBubbleSize val="0"/>
        </c:dLbls>
        <c:gapWidth val="160"/>
        <c:axId val="50060001"/>
        <c:axId val="50060002"/>
      </c:barChart>
      <c:catAx>
        <c:axId val="50060001"/>
        <c:scaling>
          <c:orientation val="minMax"/>
        </c:scaling>
        <c:delete val="0"/>
        <c:axPos val="b"/>
        <c:title>
          <c:tx>
            <c:rich>
              <a:bodyPr rot="0" spcFirstLastPara="1" vertOverflow="ellipsis" vert="horz" wrap="square" anchor="ctr" anchorCtr="1"/>
              <a:lstStyle/>
              <a:p>
                <a:pPr>
                  <a:defRPr lang="en-US" sz="900" b="1" i="0" u="none" strike="noStrike" kern="1200" baseline="0">
                    <a:solidFill>
                      <a:sysClr val="windowText" lastClr="000000"/>
                    </a:solidFill>
                    <a:latin typeface="+mn-lt"/>
                    <a:ea typeface="+mn-ea"/>
                    <a:cs typeface="+mn-cs"/>
                  </a:defRPr>
                </a:pPr>
                <a:r>
                  <a:rPr lang="en-US">
                    <a:solidFill>
                      <a:sysClr val="windowText" lastClr="000000"/>
                    </a:solidFill>
                  </a:rPr>
                  <a:t>Company</a:t>
                </a:r>
                <a:endParaRPr lang="en-US">
                  <a:solidFill>
                    <a:sysClr val="windowText" lastClr="000000"/>
                  </a:solidFill>
                </a:endParaRPr>
              </a:p>
            </c:rich>
          </c:tx>
          <c:layout/>
          <c:overlay val="0"/>
          <c:spPr>
            <a:noFill/>
            <a:ln>
              <a:noFill/>
            </a:ln>
            <a:effectLst/>
          </c:sp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60002"/>
        <c:crosses val="autoZero"/>
        <c:auto val="1"/>
        <c:lblAlgn val="ctr"/>
        <c:lblOffset val="100"/>
        <c:noMultiLvlLbl val="0"/>
      </c:catAx>
      <c:valAx>
        <c:axId val="50060002"/>
        <c:scaling>
          <c:orientation val="minMax"/>
        </c:scaling>
        <c:delete val="0"/>
        <c:axPos val="l"/>
        <c:title>
          <c:tx>
            <c:rich>
              <a:bodyPr rot="-5400000" spcFirstLastPara="1" vertOverflow="ellipsis" vert="horz" wrap="square" anchor="ctr" anchorCtr="1"/>
              <a:lstStyle/>
              <a:p>
                <a:pPr>
                  <a:defRPr lang="en-US" sz="900" b="1" i="0" u="none" strike="noStrike" kern="1200" baseline="0">
                    <a:solidFill>
                      <a:sysClr val="windowText" lastClr="000000"/>
                    </a:solidFill>
                    <a:latin typeface="+mn-lt"/>
                    <a:ea typeface="+mn-ea"/>
                    <a:cs typeface="+mn-cs"/>
                  </a:defRPr>
                </a:pPr>
                <a:r>
                  <a:rPr lang="en-US">
                    <a:solidFill>
                      <a:sysClr val="windowText" lastClr="000000"/>
                    </a:solidFill>
                  </a:rPr>
                  <a:t>Frequency</a:t>
                </a:r>
                <a:endParaRPr lang="en-US">
                  <a:solidFill>
                    <a:sysClr val="windowText" lastClr="000000"/>
                  </a:solidFill>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060001"/>
        <c:crosses val="autoZero"/>
        <c:crossBetween val="between"/>
      </c:valAx>
      <c:spPr>
        <a:noFill/>
        <a:ln>
          <a:noFill/>
        </a:ln>
        <a:effectLst/>
      </c:spPr>
    </c:plotArea>
    <c:plotVisOnly val="1"/>
    <c:dispBlanksAs val="gap"/>
    <c:showDLblsOverMax val="0"/>
    <c:extLst>
      <c:ext uri="{0b15fc19-7d7d-44ad-8c2d-2c3a37ce22c3}">
        <chartProps xmlns="https://web.wps.cn/et/2018/main" chartId="{d435731b-b475-47b3-a2c9-d97e1f20d65a}"/>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baseline="0">
                <a:solidFill>
                  <a:schemeClr val="tx1"/>
                </a:solidFill>
                <a:latin typeface="+mn-lt"/>
                <a:ea typeface="+mn-ea"/>
                <a:cs typeface="+mn-cs"/>
              </a:defRPr>
            </a:pPr>
            <a:r>
              <a:rPr lang="en-US"/>
              <a:t>MSE_AI Disclosures</a:t>
            </a:r>
            <a:endParaRPr lang="en-US"/>
          </a:p>
        </c:rich>
      </c:tx>
      <c:layout/>
      <c:overlay val="0"/>
      <c:spPr>
        <a:noFill/>
        <a:ln>
          <a:noFill/>
        </a:ln>
        <a:effectLst/>
      </c:spPr>
    </c:title>
    <c:autoTitleDeleted val="0"/>
    <c:plotArea>
      <c:layout/>
      <c:lineChart>
        <c:grouping val="standard"/>
        <c:varyColors val="0"/>
        <c:ser>
          <c:idx val="0"/>
          <c:order val="0"/>
          <c:tx>
            <c:strRef>
              <c:f>MSE_AI – AI Keywords</c:f>
              <c:strCache>
                <c:ptCount val="1"/>
                <c:pt idx="0">
                  <c:v>MSE_AI – AI Keywords</c:v>
                </c:pt>
              </c:strCache>
            </c:strRef>
          </c:tx>
          <c:spPr>
            <a:ln w="28575" cap="rnd" cmpd="sng" algn="ctr">
              <a:solidFill>
                <a:schemeClr val="accent5">
                  <a:shade val="95000"/>
                  <a:satMod val="105000"/>
                </a:schemeClr>
              </a:solidFill>
              <a:prstDash val="solid"/>
              <a:round/>
            </a:ln>
            <a:effectLst/>
          </c:spPr>
          <c:marker>
            <c:spPr>
              <a:solidFill>
                <a:schemeClr val="accent5"/>
              </a:solidFill>
              <a:ln w="9525" cap="flat" cmpd="sng" algn="ctr">
                <a:solidFill>
                  <a:schemeClr val="accent5">
                    <a:shade val="95000"/>
                    <a:satMod val="105000"/>
                  </a:schemeClr>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MSE_AI!$A$2:$A$11</c:f>
              <c:strCache>
                <c:ptCount val="10"/>
                <c:pt idx="0">
                  <c:v>Artificial Intelligence</c:v>
                </c:pt>
                <c:pt idx="1">
                  <c:v>Machine learning</c:v>
                </c:pt>
                <c:pt idx="2">
                  <c:v>Deep learning</c:v>
                </c:pt>
                <c:pt idx="3">
                  <c:v>Robotic Process Automation</c:v>
                </c:pt>
                <c:pt idx="4">
                  <c:v>Natural language processing</c:v>
                </c:pt>
                <c:pt idx="5">
                  <c:v>Neural Network</c:v>
                </c:pt>
                <c:pt idx="6">
                  <c:v>Expert system</c:v>
                </c:pt>
                <c:pt idx="7">
                  <c:v>Automated</c:v>
                </c:pt>
                <c:pt idx="8">
                  <c:v>Analytics</c:v>
                </c:pt>
                <c:pt idx="9">
                  <c:v>Big data</c:v>
                </c:pt>
              </c:strCache>
            </c:strRef>
          </c:cat>
          <c:val>
            <c:numRef>
              <c:f>MSE_AI!$B$2:$B$11</c:f>
              <c:numCache>
                <c:formatCode>General</c:formatCode>
                <c:ptCount val="10"/>
                <c:pt idx="0">
                  <c:v>10</c:v>
                </c:pt>
                <c:pt idx="1">
                  <c:v>3</c:v>
                </c:pt>
                <c:pt idx="2">
                  <c:v>0</c:v>
                </c:pt>
                <c:pt idx="3">
                  <c:v>0</c:v>
                </c:pt>
                <c:pt idx="4">
                  <c:v>0</c:v>
                </c:pt>
                <c:pt idx="5">
                  <c:v>0</c:v>
                </c:pt>
                <c:pt idx="6">
                  <c:v>0</c:v>
                </c:pt>
                <c:pt idx="7">
                  <c:v>47</c:v>
                </c:pt>
                <c:pt idx="8">
                  <c:v>41</c:v>
                </c:pt>
                <c:pt idx="9">
                  <c:v>2</c:v>
                </c:pt>
              </c:numCache>
            </c:numRef>
          </c:val>
          <c:smooth val="1"/>
        </c:ser>
        <c:dLbls>
          <c:showLegendKey val="0"/>
          <c:showVal val="1"/>
          <c:showCatName val="0"/>
          <c:showSerName val="0"/>
          <c:showPercent val="0"/>
          <c:showBubbleSize val="0"/>
        </c:dLbls>
        <c:marker val="1"/>
        <c:smooth val="1"/>
        <c:axId val="50070001"/>
        <c:axId val="50070002"/>
      </c:lineChart>
      <c:catAx>
        <c:axId val="50070001"/>
        <c:scaling>
          <c:orientation val="minMax"/>
        </c:scaling>
        <c:delete val="0"/>
        <c:axPos val="b"/>
        <c:title>
          <c:tx>
            <c:rich>
              <a:bodyPr rot="0" spcFirstLastPara="1" vertOverflow="ellipsis" vert="horz" wrap="square" anchor="ctr" anchorCtr="1"/>
              <a:lstStyle/>
              <a:p>
                <a:pPr>
                  <a:defRPr lang="en-US" sz="1000" b="1" i="0" u="none" strike="noStrike" kern="1200" baseline="0">
                    <a:solidFill>
                      <a:schemeClr val="tx1"/>
                    </a:solidFill>
                    <a:latin typeface="+mn-lt"/>
                    <a:ea typeface="+mn-ea"/>
                    <a:cs typeface="+mn-cs"/>
                  </a:defRPr>
                </a:pPr>
                <a:r>
                  <a:rPr lang="en-US"/>
                  <a:t>AI Keyword</a:t>
                </a:r>
                <a:endParaRPr lang="en-US"/>
              </a:p>
            </c:rich>
          </c:tx>
          <c:layout/>
          <c:overlay val="0"/>
          <c:spPr>
            <a:noFill/>
            <a:ln>
              <a:noFill/>
            </a:ln>
            <a:effectLst/>
          </c:spPr>
        </c:title>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070002"/>
        <c:crosses val="autoZero"/>
        <c:auto val="1"/>
        <c:lblAlgn val="ctr"/>
        <c:lblOffset val="100"/>
        <c:noMultiLvlLbl val="0"/>
      </c:catAx>
      <c:valAx>
        <c:axId val="50070002"/>
        <c:scaling>
          <c:orientation val="minMax"/>
        </c:scaling>
        <c:delete val="0"/>
        <c:axPos val="l"/>
        <c:title>
          <c:tx>
            <c:rich>
              <a:bodyPr rot="-5400000" spcFirstLastPara="1" vertOverflow="ellipsis" vert="horz" wrap="square" anchor="ctr" anchorCtr="1"/>
              <a:lstStyle/>
              <a:p>
                <a:pPr>
                  <a:defRPr lang="en-US" sz="1000" b="1" i="0" u="none" strike="noStrike" kern="1200" baseline="0">
                    <a:solidFill>
                      <a:schemeClr val="bg1">
                        <a:lumMod val="50000"/>
                      </a:schemeClr>
                    </a:solidFill>
                    <a:latin typeface="+mn-lt"/>
                    <a:ea typeface="+mn-ea"/>
                    <a:cs typeface="+mn-cs"/>
                  </a:defRPr>
                </a:pPr>
                <a:r>
                  <a:rPr lang="en-US">
                    <a:solidFill>
                      <a:schemeClr val="bg1">
                        <a:lumMod val="50000"/>
                      </a:schemeClr>
                    </a:solidFill>
                  </a:rPr>
                  <a:t>Frequency</a:t>
                </a:r>
                <a:endParaRPr lang="en-US">
                  <a:solidFill>
                    <a:schemeClr val="bg1">
                      <a:lumMod val="50000"/>
                    </a:schemeClr>
                  </a:solidFill>
                </a:endParaRPr>
              </a:p>
            </c:rich>
          </c:tx>
          <c:layout/>
          <c:overlay val="0"/>
          <c:spPr>
            <a:noFill/>
            <a:ln>
              <a:noFill/>
            </a:ln>
            <a:effectLst/>
          </c:spPr>
        </c:title>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070001"/>
        <c:crosses val="autoZero"/>
        <c:crossBetween val="between"/>
      </c:valAx>
      <c:spPr>
        <a:solidFill>
          <a:schemeClr val="bg1"/>
        </a:solidFill>
        <a:ln>
          <a:noFill/>
        </a:ln>
        <a:effectLst/>
      </c:spPr>
    </c:plotArea>
    <c:plotVisOnly val="1"/>
    <c:dispBlanksAs val="gap"/>
    <c:showDLblsOverMax val="0"/>
    <c:extLst>
      <c:ext uri="{0b15fc19-7d7d-44ad-8c2d-2c3a37ce22c3}">
        <chartProps xmlns="https://web.wps.cn/et/2018/main" chartId="{4009ac45-60fb-43f7-b3d2-18c792170f70}"/>
      </c:ext>
    </c:extLst>
  </c:chart>
  <c:spPr>
    <a:solidFill>
      <a:schemeClr val="bg1"/>
    </a:solidFill>
    <a:ln w="6350" cap="flat" cmpd="sng" algn="ctr">
      <a:solidFill>
        <a:schemeClr val="tx1">
          <a:tint val="75000"/>
        </a:schemeClr>
      </a:solidFill>
      <a:prstDash val="solid"/>
      <a:round/>
    </a:ln>
    <a:effectLst/>
  </c:spPr>
  <c:txPr>
    <a:bodyPr/>
    <a:lstStyle/>
    <a:p>
      <a:pPr>
        <a:defRPr lang="en-US"/>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baseline="0">
                <a:solidFill>
                  <a:schemeClr val="tx1"/>
                </a:solidFill>
                <a:latin typeface="+mn-lt"/>
                <a:ea typeface="+mn-ea"/>
                <a:cs typeface="+mn-cs"/>
              </a:defRPr>
            </a:pPr>
            <a:r>
              <a:rPr lang="en-US"/>
              <a:t>MSE_AI Disclosures by Company</a:t>
            </a:r>
            <a:endParaRPr lang="en-US"/>
          </a:p>
        </c:rich>
      </c:tx>
      <c:layout/>
      <c:overlay val="0"/>
      <c:spPr>
        <a:noFill/>
        <a:ln>
          <a:noFill/>
        </a:ln>
        <a:effectLst/>
      </c:spPr>
    </c:title>
    <c:autoTitleDeleted val="0"/>
    <c:plotArea>
      <c:layout/>
      <c:lineChart>
        <c:grouping val="standard"/>
        <c:varyColors val="0"/>
        <c:ser>
          <c:idx val="0"/>
          <c:order val="0"/>
          <c:tx>
            <c:strRef>
              <c:f>MSE_AI – AI by Company</c:f>
              <c:strCache>
                <c:ptCount val="1"/>
                <c:pt idx="0">
                  <c:v>MSE_AI – AI by Company</c:v>
                </c:pt>
              </c:strCache>
            </c:strRef>
          </c:tx>
          <c:spPr>
            <a:ln w="28575" cap="rnd" cmpd="sng" algn="ctr">
              <a:solidFill>
                <a:schemeClr val="accent5">
                  <a:shade val="95000"/>
                  <a:satMod val="105000"/>
                </a:schemeClr>
              </a:solidFill>
              <a:prstDash val="solid"/>
              <a:round/>
            </a:ln>
            <a:effectLst/>
          </c:spPr>
          <c:marker>
            <c:spPr>
              <a:solidFill>
                <a:schemeClr val="accent5"/>
              </a:solidFill>
              <a:ln w="9525" cap="flat" cmpd="sng" algn="ctr">
                <a:solidFill>
                  <a:schemeClr val="accent5">
                    <a:shade val="95000"/>
                    <a:satMod val="105000"/>
                  </a:schemeClr>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MSE_AI!$A$14:$A$22</c:f>
              <c:strCache>
                <c:ptCount val="9"/>
                <c:pt idx="0">
                  <c:v>Amana Takaful PLC </c:v>
                </c:pt>
                <c:pt idx="1">
                  <c:v>Bank of Maldives PLC</c:v>
                </c:pt>
                <c:pt idx="2">
                  <c:v>Centurion PLC</c:v>
                </c:pt>
                <c:pt idx="3">
                  <c:v>Dhivehi Raajjeyge Gulhun PLC</c:v>
                </c:pt>
                <c:pt idx="4">
                  <c:v>Maldives Islamic Bank PLC</c:v>
                </c:pt>
                <c:pt idx="5">
                  <c:v>Maldives Tourism Development Corporation PLC</c:v>
                </c:pt>
                <c:pt idx="6">
                  <c:v>Maldives Transport and Contracting Company PLC</c:v>
                </c:pt>
                <c:pt idx="7">
                  <c:v>Ooredoo Maldives PLC</c:v>
                </c:pt>
                <c:pt idx="8">
                  <c:v>State Trading Organization PLC</c:v>
                </c:pt>
              </c:strCache>
            </c:strRef>
          </c:cat>
          <c:val>
            <c:numRef>
              <c:f>MSE_AI!$B$14:$B$22</c:f>
              <c:numCache>
                <c:formatCode>General</c:formatCode>
                <c:ptCount val="9"/>
                <c:pt idx="0">
                  <c:v>8</c:v>
                </c:pt>
                <c:pt idx="1">
                  <c:v>12</c:v>
                </c:pt>
                <c:pt idx="2">
                  <c:v>1</c:v>
                </c:pt>
                <c:pt idx="3">
                  <c:v>10</c:v>
                </c:pt>
                <c:pt idx="4">
                  <c:v>25</c:v>
                </c:pt>
                <c:pt idx="5">
                  <c:v>0</c:v>
                </c:pt>
                <c:pt idx="6">
                  <c:v>7</c:v>
                </c:pt>
                <c:pt idx="7">
                  <c:v>21</c:v>
                </c:pt>
                <c:pt idx="8">
                  <c:v>19</c:v>
                </c:pt>
              </c:numCache>
            </c:numRef>
          </c:val>
          <c:smooth val="1"/>
        </c:ser>
        <c:dLbls>
          <c:showLegendKey val="0"/>
          <c:showVal val="0"/>
          <c:showCatName val="0"/>
          <c:showSerName val="0"/>
          <c:showPercent val="0"/>
          <c:showBubbleSize val="0"/>
        </c:dLbls>
        <c:marker val="1"/>
        <c:smooth val="1"/>
        <c:axId val="50080001"/>
        <c:axId val="50080002"/>
      </c:lineChart>
      <c:catAx>
        <c:axId val="50080001"/>
        <c:scaling>
          <c:orientation val="minMax"/>
        </c:scaling>
        <c:delete val="0"/>
        <c:axPos val="b"/>
        <c:title>
          <c:tx>
            <c:rich>
              <a:bodyPr rot="0" spcFirstLastPara="1" vertOverflow="ellipsis" vert="horz" wrap="square" anchor="ctr" anchorCtr="1"/>
              <a:lstStyle/>
              <a:p>
                <a:pPr>
                  <a:defRPr lang="en-US" sz="1000" b="1" i="0" u="none" strike="noStrike" kern="1200" baseline="0">
                    <a:solidFill>
                      <a:schemeClr val="bg1">
                        <a:lumMod val="50000"/>
                      </a:schemeClr>
                    </a:solidFill>
                    <a:latin typeface="+mn-lt"/>
                    <a:ea typeface="+mn-ea"/>
                    <a:cs typeface="+mn-cs"/>
                  </a:defRPr>
                </a:pPr>
                <a:r>
                  <a:rPr lang="en-US">
                    <a:solidFill>
                      <a:schemeClr val="bg1">
                        <a:lumMod val="50000"/>
                      </a:schemeClr>
                    </a:solidFill>
                  </a:rPr>
                  <a:t>Company</a:t>
                </a:r>
                <a:endParaRPr lang="en-US">
                  <a:solidFill>
                    <a:schemeClr val="bg1">
                      <a:lumMod val="50000"/>
                    </a:schemeClr>
                  </a:solidFill>
                </a:endParaRPr>
              </a:p>
            </c:rich>
          </c:tx>
          <c:layout/>
          <c:overlay val="0"/>
          <c:spPr>
            <a:noFill/>
            <a:ln>
              <a:noFill/>
            </a:ln>
            <a:effectLst/>
          </c:spPr>
        </c:title>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080002"/>
        <c:crosses val="autoZero"/>
        <c:auto val="1"/>
        <c:lblAlgn val="ctr"/>
        <c:lblOffset val="100"/>
        <c:noMultiLvlLbl val="0"/>
      </c:catAx>
      <c:valAx>
        <c:axId val="50080002"/>
        <c:scaling>
          <c:orientation val="minMax"/>
        </c:scaling>
        <c:delete val="0"/>
        <c:axPos val="l"/>
        <c:title>
          <c:tx>
            <c:rich>
              <a:bodyPr rot="-5400000" spcFirstLastPara="1" vertOverflow="ellipsis" vert="horz" wrap="square" anchor="ctr" anchorCtr="1"/>
              <a:lstStyle/>
              <a:p>
                <a:pPr>
                  <a:defRPr lang="en-US" sz="1000" b="1" i="0" u="none" strike="noStrike" kern="1200" baseline="0">
                    <a:solidFill>
                      <a:schemeClr val="bg1">
                        <a:lumMod val="50000"/>
                      </a:schemeClr>
                    </a:solidFill>
                    <a:latin typeface="+mn-lt"/>
                    <a:ea typeface="+mn-ea"/>
                    <a:cs typeface="+mn-cs"/>
                  </a:defRPr>
                </a:pPr>
                <a:r>
                  <a:rPr lang="en-US">
                    <a:solidFill>
                      <a:schemeClr val="bg1">
                        <a:lumMod val="50000"/>
                      </a:schemeClr>
                    </a:solidFill>
                  </a:rPr>
                  <a:t>AI Keyword Frequency</a:t>
                </a:r>
                <a:endParaRPr lang="en-US">
                  <a:solidFill>
                    <a:schemeClr val="bg1">
                      <a:lumMod val="50000"/>
                    </a:schemeClr>
                  </a:solidFill>
                </a:endParaRPr>
              </a:p>
            </c:rich>
          </c:tx>
          <c:layout/>
          <c:overlay val="0"/>
          <c:spPr>
            <a:noFill/>
            <a:ln>
              <a:noFill/>
            </a:ln>
            <a:effectLst/>
          </c:spPr>
        </c:title>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080001"/>
        <c:crosses val="autoZero"/>
        <c:crossBetween val="between"/>
      </c:valAx>
      <c:spPr>
        <a:solidFill>
          <a:schemeClr val="bg1"/>
        </a:solidFill>
        <a:ln>
          <a:noFill/>
        </a:ln>
        <a:effectLst/>
      </c:spPr>
    </c:plotArea>
    <c:plotVisOnly val="1"/>
    <c:dispBlanksAs val="gap"/>
    <c:showDLblsOverMax val="0"/>
    <c:extLst>
      <c:ext uri="{0b15fc19-7d7d-44ad-8c2d-2c3a37ce22c3}">
        <chartProps xmlns="https://web.wps.cn/et/2018/main" chartId="{f520ed08-43d4-4851-86b1-2725366238bb}"/>
      </c:ext>
    </c:extLst>
  </c:chart>
  <c:spPr>
    <a:solidFill>
      <a:schemeClr val="bg1"/>
    </a:solidFill>
    <a:ln w="6350" cap="flat" cmpd="sng" algn="ctr">
      <a:solidFill>
        <a:schemeClr val="tx1">
          <a:tint val="75000"/>
        </a:schemeClr>
      </a:solidFill>
      <a:prstDash val="solid"/>
      <a:round/>
    </a:ln>
    <a:effectLst/>
  </c:spPr>
  <c:txPr>
    <a:bodyPr/>
    <a:lstStyle/>
    <a:p>
      <a:pPr>
        <a:defRPr lang="en-US"/>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40" b="0" i="0" u="none" strike="noStrike" kern="1200" cap="all" spc="0" baseline="0">
                <a:solidFill>
                  <a:schemeClr val="tx1"/>
                </a:solidFill>
                <a:latin typeface="+mn-lt"/>
                <a:ea typeface="+mn-ea"/>
                <a:cs typeface="+mn-cs"/>
              </a:defRPr>
            </a:pPr>
            <a:r>
              <a:rPr lang="en-US">
                <a:solidFill>
                  <a:schemeClr val="tx1"/>
                </a:solidFill>
              </a:rPr>
              <a:t>PSX – AI Disclosures</a:t>
            </a:r>
            <a:endParaRPr lang="en-US">
              <a:solidFill>
                <a:schemeClr val="tx1"/>
              </a:solidFill>
            </a:endParaRPr>
          </a:p>
        </c:rich>
      </c:tx>
      <c:layout/>
      <c:overlay val="0"/>
      <c:spPr>
        <a:noFill/>
        <a:ln>
          <a:noFill/>
        </a:ln>
        <a:effectLst/>
      </c:spPr>
    </c:title>
    <c:autoTitleDeleted val="0"/>
    <c:plotArea>
      <c:layout/>
      <c:lineChart>
        <c:grouping val="standard"/>
        <c:varyColors val="0"/>
        <c:ser>
          <c:idx val="0"/>
          <c:order val="0"/>
          <c:tx>
            <c:strRef>
              <c:f>PSX_AI – AI Keywords</c:f>
              <c:strCache>
                <c:ptCount val="1"/>
                <c:pt idx="0">
                  <c:v>PSX_AI – AI Keywords</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accent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PSX_AI!$A$2:$A$11</c:f>
              <c:strCache>
                <c:ptCount val="10"/>
                <c:pt idx="0">
                  <c:v>Artificial Intelligence</c:v>
                </c:pt>
                <c:pt idx="1">
                  <c:v>Machine learning</c:v>
                </c:pt>
                <c:pt idx="2">
                  <c:v>Deep learning</c:v>
                </c:pt>
                <c:pt idx="3">
                  <c:v>Robotic Process Automation</c:v>
                </c:pt>
                <c:pt idx="4">
                  <c:v>Natural language processing</c:v>
                </c:pt>
                <c:pt idx="5">
                  <c:v>Neural Network</c:v>
                </c:pt>
                <c:pt idx="6">
                  <c:v>Expert system</c:v>
                </c:pt>
                <c:pt idx="7">
                  <c:v>Automated</c:v>
                </c:pt>
                <c:pt idx="8">
                  <c:v>Analytics</c:v>
                </c:pt>
                <c:pt idx="9">
                  <c:v>Big data</c:v>
                </c:pt>
              </c:strCache>
            </c:strRef>
          </c:cat>
          <c:val>
            <c:numRef>
              <c:f>PSX_AI!$B$2:$B$11</c:f>
              <c:numCache>
                <c:formatCode>General</c:formatCode>
                <c:ptCount val="10"/>
                <c:pt idx="0">
                  <c:v>10</c:v>
                </c:pt>
                <c:pt idx="1">
                  <c:v>6</c:v>
                </c:pt>
                <c:pt idx="2">
                  <c:v>1</c:v>
                </c:pt>
                <c:pt idx="3">
                  <c:v>2</c:v>
                </c:pt>
                <c:pt idx="4">
                  <c:v>0</c:v>
                </c:pt>
                <c:pt idx="5">
                  <c:v>0</c:v>
                </c:pt>
                <c:pt idx="6">
                  <c:v>0</c:v>
                </c:pt>
                <c:pt idx="7">
                  <c:v>12</c:v>
                </c:pt>
                <c:pt idx="8">
                  <c:v>32</c:v>
                </c:pt>
                <c:pt idx="9">
                  <c:v>1</c:v>
                </c:pt>
              </c:numCache>
            </c:numRef>
          </c:val>
          <c:smooth val="0"/>
        </c:ser>
        <c:dLbls>
          <c:showLegendKey val="0"/>
          <c:showVal val="1"/>
          <c:showCatName val="0"/>
          <c:showSerName val="0"/>
          <c:showPercent val="0"/>
          <c:showBubbleSize val="0"/>
        </c:dLbls>
        <c:marker val="1"/>
        <c:smooth val="0"/>
        <c:axId val="50090001"/>
        <c:axId val="50090002"/>
      </c:lineChart>
      <c:catAx>
        <c:axId val="50090001"/>
        <c:scaling>
          <c:orientation val="minMax"/>
        </c:scaling>
        <c:delete val="0"/>
        <c:axPos val="b"/>
        <c:title>
          <c:tx>
            <c:rich>
              <a:bodyPr rot="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r>
                  <a:rPr lang="en-US"/>
                  <a:t>AI Keyword</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090002"/>
        <c:crosses val="autoZero"/>
        <c:auto val="1"/>
        <c:lblAlgn val="ctr"/>
        <c:lblOffset val="100"/>
        <c:noMultiLvlLbl val="0"/>
      </c:catAx>
      <c:valAx>
        <c:axId val="50090002"/>
        <c:scaling>
          <c:orientation val="minMax"/>
        </c:scaling>
        <c:delete val="1"/>
        <c:axPos val="l"/>
        <c:title>
          <c:tx>
            <c:rich>
              <a:bodyPr rot="-54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r>
                  <a:rPr lang="en-US"/>
                  <a:t>Frequency</a:t>
                </a:r>
                <a:endParaRPr lang="en-US"/>
              </a:p>
            </c:rich>
          </c:tx>
          <c:layout/>
          <c:overlay val="0"/>
          <c:spPr>
            <a:noFill/>
            <a:ln>
              <a:noFill/>
            </a:ln>
            <a:effectLst/>
          </c:spPr>
        </c:title>
        <c:numFmt formatCode="General"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p>
        </c:txPr>
        <c:crossAx val="50090001"/>
        <c:crosses val="autoZero"/>
        <c:crossBetween val="between"/>
      </c:valAx>
      <c:spPr>
        <a:noFill/>
        <a:ln>
          <a:noFill/>
        </a:ln>
        <a:effectLst/>
      </c:spPr>
    </c:plotArea>
    <c:plotVisOnly val="1"/>
    <c:dispBlanksAs val="gap"/>
    <c:showDLblsOverMax val="0"/>
    <c:extLst>
      <c:ext uri="{0b15fc19-7d7d-44ad-8c2d-2c3a37ce22c3}">
        <chartProps xmlns="https://web.wps.cn/et/2018/main" chartId="{31e26734-f130-4a6f-b49e-cfdb28ffa943}"/>
      </c:ext>
    </c:extLst>
  </c:chart>
  <c:spPr>
    <a:solidFill>
      <a:schemeClr val="lt1"/>
    </a:solidFill>
    <a:ln w="9525" cap="flat" cmpd="sng" algn="ctr">
      <a:solidFill>
        <a:schemeClr val="dk1">
          <a:lumMod val="15000"/>
          <a:lumOff val="85000"/>
        </a:schemeClr>
      </a:solidFill>
      <a:round/>
    </a:ln>
    <a:effectLst/>
  </c:spPr>
  <c:txPr>
    <a:bodyPr/>
    <a:lstStyle/>
    <a:p>
      <a:pPr>
        <a:defRPr lang="en-US"/>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40" b="0" i="0" u="none" strike="noStrike" kern="1200" cap="all" spc="0" baseline="0">
                <a:solidFill>
                  <a:schemeClr val="tx1"/>
                </a:solidFill>
                <a:latin typeface="+mn-lt"/>
                <a:ea typeface="+mn-ea"/>
                <a:cs typeface="+mn-cs"/>
              </a:defRPr>
            </a:pPr>
            <a:r>
              <a:rPr lang="en-US">
                <a:solidFill>
                  <a:schemeClr val="tx1"/>
                </a:solidFill>
              </a:rPr>
              <a:t>PSX– Ai</a:t>
            </a:r>
            <a:r>
              <a:rPr lang="en-US" baseline="0">
                <a:solidFill>
                  <a:schemeClr val="tx1"/>
                </a:solidFill>
              </a:rPr>
              <a:t> Disclosures </a:t>
            </a:r>
            <a:r>
              <a:rPr lang="en-US">
                <a:solidFill>
                  <a:schemeClr val="tx1"/>
                </a:solidFill>
              </a:rPr>
              <a:t>by Company</a:t>
            </a:r>
            <a:endParaRPr lang="en-US">
              <a:solidFill>
                <a:schemeClr val="tx1"/>
              </a:solidFill>
            </a:endParaRPr>
          </a:p>
        </c:rich>
      </c:tx>
      <c:layout/>
      <c:overlay val="0"/>
      <c:spPr>
        <a:noFill/>
        <a:ln>
          <a:noFill/>
        </a:ln>
        <a:effectLst/>
      </c:spPr>
    </c:title>
    <c:autoTitleDeleted val="0"/>
    <c:plotArea>
      <c:layout/>
      <c:lineChart>
        <c:grouping val="standard"/>
        <c:varyColors val="0"/>
        <c:ser>
          <c:idx val="0"/>
          <c:order val="0"/>
          <c:tx>
            <c:strRef>
              <c:f>PSX_AI – AI by Company</c:f>
              <c:strCache>
                <c:ptCount val="1"/>
                <c:pt idx="0">
                  <c:v>PSX_AI – AI by Company</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accent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PSX_AI!$A$14:$A$23</c:f>
              <c:strCache>
                <c:ptCount val="10"/>
                <c:pt idx="0">
                  <c:v>Ghani Global Holdings Ltd.</c:v>
                </c:pt>
                <c:pt idx="1">
                  <c:v>Ghani Chemicals Industries Ltd</c:v>
                </c:pt>
                <c:pt idx="2">
                  <c:v>Pak Elektron Ltd.</c:v>
                </c:pt>
                <c:pt idx="3">
                  <c:v>Feroze1888 Mills Ltd.</c:v>
                </c:pt>
                <c:pt idx="4">
                  <c:v>First National Equities Ltd.</c:v>
                </c:pt>
                <c:pt idx="5">
                  <c:v>Avanceon Ltd.</c:v>
                </c:pt>
                <c:pt idx="6">
                  <c:v>Hum Network Ltd.</c:v>
                </c:pt>
                <c:pt idx="7">
                  <c:v>Unity Foods Ltd.</c:v>
                </c:pt>
                <c:pt idx="8">
                  <c:v>Systems Ltd.</c:v>
                </c:pt>
                <c:pt idx="9">
                  <c:v>Pak Gulf Leasing Co.</c:v>
                </c:pt>
              </c:strCache>
            </c:strRef>
          </c:cat>
          <c:val>
            <c:numRef>
              <c:f>PSX_AI!$B$14:$B$23</c:f>
              <c:numCache>
                <c:formatCode>General</c:formatCode>
                <c:ptCount val="10"/>
                <c:pt idx="0">
                  <c:v>0</c:v>
                </c:pt>
                <c:pt idx="1">
                  <c:v>0</c:v>
                </c:pt>
                <c:pt idx="2">
                  <c:v>9</c:v>
                </c:pt>
                <c:pt idx="3">
                  <c:v>7</c:v>
                </c:pt>
                <c:pt idx="4">
                  <c:v>0</c:v>
                </c:pt>
                <c:pt idx="5">
                  <c:v>10</c:v>
                </c:pt>
                <c:pt idx="6">
                  <c:v>0</c:v>
                </c:pt>
                <c:pt idx="7">
                  <c:v>5</c:v>
                </c:pt>
                <c:pt idx="8">
                  <c:v>33</c:v>
                </c:pt>
                <c:pt idx="9">
                  <c:v>0</c:v>
                </c:pt>
              </c:numCache>
            </c:numRef>
          </c:val>
          <c:smooth val="0"/>
        </c:ser>
        <c:dLbls>
          <c:showLegendKey val="0"/>
          <c:showVal val="1"/>
          <c:showCatName val="0"/>
          <c:showSerName val="0"/>
          <c:showPercent val="0"/>
          <c:showBubbleSize val="0"/>
        </c:dLbls>
        <c:marker val="1"/>
        <c:smooth val="0"/>
        <c:axId val="50100001"/>
        <c:axId val="50100002"/>
      </c:lineChart>
      <c:catAx>
        <c:axId val="50100001"/>
        <c:scaling>
          <c:orientation val="minMax"/>
        </c:scaling>
        <c:delete val="0"/>
        <c:axPos val="b"/>
        <c:title>
          <c:tx>
            <c:rich>
              <a:bodyPr rot="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r>
                  <a:rPr lang="en-US"/>
                  <a:t>Company</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p>
        </c:txPr>
        <c:crossAx val="50100002"/>
        <c:crosses val="autoZero"/>
        <c:auto val="1"/>
        <c:lblAlgn val="ctr"/>
        <c:lblOffset val="100"/>
        <c:noMultiLvlLbl val="0"/>
      </c:catAx>
      <c:valAx>
        <c:axId val="50100002"/>
        <c:scaling>
          <c:orientation val="minMax"/>
        </c:scaling>
        <c:delete val="1"/>
        <c:axPos val="l"/>
        <c:title>
          <c:tx>
            <c:rich>
              <a:bodyPr rot="-54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r>
                  <a:rPr lang="en-US"/>
                  <a:t>AI Keyword Frequency</a:t>
                </a:r>
                <a:endParaRPr lang="en-US"/>
              </a:p>
            </c:rich>
          </c:tx>
          <c:layout/>
          <c:overlay val="0"/>
          <c:spPr>
            <a:noFill/>
            <a:ln>
              <a:noFill/>
            </a:ln>
            <a:effectLst/>
          </c:spPr>
        </c:title>
        <c:numFmt formatCode="General"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p>
        </c:txPr>
        <c:crossAx val="50100001"/>
        <c:crosses val="autoZero"/>
        <c:crossBetween val="between"/>
      </c:valAx>
      <c:spPr>
        <a:noFill/>
        <a:ln>
          <a:noFill/>
        </a:ln>
        <a:effectLst/>
      </c:spPr>
    </c:plotArea>
    <c:plotVisOnly val="1"/>
    <c:dispBlanksAs val="gap"/>
    <c:showDLblsOverMax val="0"/>
    <c:extLst>
      <c:ext uri="{0b15fc19-7d7d-44ad-8c2d-2c3a37ce22c3}">
        <chartProps xmlns="https://web.wps.cn/et/2018/main" chartId="{dcdfce62-8a84-4b06-908c-4338fa695f0e}"/>
      </c:ext>
    </c:extLst>
  </c:chart>
  <c:spPr>
    <a:solidFill>
      <a:schemeClr val="lt1"/>
    </a:solidFill>
    <a:ln w="9525" cap="flat" cmpd="sng" algn="ctr">
      <a:solidFill>
        <a:schemeClr val="dk1">
          <a:lumMod val="15000"/>
          <a:lumOff val="85000"/>
        </a:schemeClr>
      </a:solidFill>
      <a:round/>
    </a:ln>
    <a:effectLst/>
  </c:spPr>
  <c:txPr>
    <a:bodyPr/>
    <a:lstStyle/>
    <a:p>
      <a:pPr>
        <a:defRPr lang="en-US"/>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lang="en-US" sz="1400" b="0" i="0" u="none" strike="noStrike" kern="1200" cap="none" spc="20" baseline="0">
                <a:solidFill>
                  <a:sysClr val="windowText" lastClr="000000"/>
                </a:solidFill>
                <a:latin typeface="+mn-lt"/>
                <a:ea typeface="+mn-ea"/>
                <a:cs typeface="+mn-cs"/>
              </a:defRPr>
            </a:pPr>
            <a:r>
              <a:rPr lang="en-US">
                <a:solidFill>
                  <a:sysClr val="windowText" lastClr="000000"/>
                </a:solidFill>
              </a:rPr>
              <a:t>NSE– AI Disclosures</a:t>
            </a:r>
            <a:endParaRPr lang="en-US">
              <a:solidFill>
                <a:sysClr val="windowText" lastClr="000000"/>
              </a:solidFill>
            </a:endParaRPr>
          </a:p>
        </c:rich>
      </c:tx>
      <c:layout/>
      <c:overlay val="0"/>
      <c:spPr>
        <a:noFill/>
        <a:ln>
          <a:noFill/>
        </a:ln>
        <a:effectLst/>
      </c:spPr>
    </c:title>
    <c:autoTitleDeleted val="0"/>
    <c:plotArea>
      <c:layout/>
      <c:barChart>
        <c:barDir val="col"/>
        <c:grouping val="clustered"/>
        <c:varyColors val="0"/>
        <c:ser>
          <c:idx val="0"/>
          <c:order val="0"/>
          <c:tx>
            <c:strRef>
              <c:f>NSE_AI – AI Keywords</c:f>
              <c:strCache>
                <c:ptCount val="1"/>
                <c:pt idx="0">
                  <c:v>NSE_AI – AI Keywords</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NSE_AI!$A$2:$A$11</c:f>
              <c:strCache>
                <c:ptCount val="10"/>
                <c:pt idx="0">
                  <c:v>Artificial Intelligence</c:v>
                </c:pt>
                <c:pt idx="1">
                  <c:v>Machine learning</c:v>
                </c:pt>
                <c:pt idx="2">
                  <c:v>Deep learning</c:v>
                </c:pt>
                <c:pt idx="3">
                  <c:v>Robotic Process Automation</c:v>
                </c:pt>
                <c:pt idx="4">
                  <c:v>Natural language processing</c:v>
                </c:pt>
                <c:pt idx="5">
                  <c:v>Neural Network</c:v>
                </c:pt>
                <c:pt idx="6">
                  <c:v>Expert system</c:v>
                </c:pt>
                <c:pt idx="7">
                  <c:v>Automated</c:v>
                </c:pt>
                <c:pt idx="8">
                  <c:v>Analytics</c:v>
                </c:pt>
                <c:pt idx="9">
                  <c:v>Big data</c:v>
                </c:pt>
              </c:strCache>
            </c:strRef>
          </c:cat>
          <c:val>
            <c:numRef>
              <c:f>NSE_AI!$B$2:$B$11</c:f>
              <c:numCache>
                <c:formatCode>General</c:formatCode>
                <c:ptCount val="10"/>
                <c:pt idx="0">
                  <c:v>70</c:v>
                </c:pt>
                <c:pt idx="1">
                  <c:v>52</c:v>
                </c:pt>
                <c:pt idx="2">
                  <c:v>4</c:v>
                </c:pt>
                <c:pt idx="3">
                  <c:v>9</c:v>
                </c:pt>
                <c:pt idx="4">
                  <c:v>1</c:v>
                </c:pt>
                <c:pt idx="5">
                  <c:v>0</c:v>
                </c:pt>
                <c:pt idx="6">
                  <c:v>0</c:v>
                </c:pt>
                <c:pt idx="7">
                  <c:v>171</c:v>
                </c:pt>
                <c:pt idx="8">
                  <c:v>301</c:v>
                </c:pt>
                <c:pt idx="9">
                  <c:v>30</c:v>
                </c:pt>
              </c:numCache>
            </c:numRef>
          </c:val>
        </c:ser>
        <c:dLbls>
          <c:showLegendKey val="0"/>
          <c:showVal val="1"/>
          <c:showCatName val="0"/>
          <c:showSerName val="0"/>
          <c:showPercent val="0"/>
          <c:showBubbleSize val="0"/>
        </c:dLbls>
        <c:gapWidth val="100"/>
        <c:overlap val="-24"/>
        <c:axId val="50110001"/>
        <c:axId val="50110002"/>
      </c:barChart>
      <c:catAx>
        <c:axId val="50110001"/>
        <c:scaling>
          <c:orientation val="minMax"/>
        </c:scaling>
        <c:delete val="0"/>
        <c:axPos val="b"/>
        <c:title>
          <c:tx>
            <c:rich>
              <a:bodyPr rot="0" spcFirstLastPara="1" vertOverflow="ellipsis" vert="horz" wrap="square" anchor="ctr" anchorCtr="1"/>
              <a:lstStyle/>
              <a:p>
                <a:pPr>
                  <a:defRPr lang="en-US" sz="900" b="0" i="0" u="none" strike="noStrike" kern="1200" cap="all" baseline="0">
                    <a:solidFill>
                      <a:schemeClr val="tx1">
                        <a:lumMod val="50000"/>
                        <a:lumOff val="50000"/>
                      </a:schemeClr>
                    </a:solidFill>
                    <a:latin typeface="+mn-lt"/>
                    <a:ea typeface="+mn-ea"/>
                    <a:cs typeface="+mn-cs"/>
                  </a:defRPr>
                </a:pPr>
                <a:r>
                  <a:rPr lang="en-US"/>
                  <a:t>AI Keyword</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110002"/>
        <c:crosses val="autoZero"/>
        <c:auto val="1"/>
        <c:lblAlgn val="ctr"/>
        <c:lblOffset val="100"/>
        <c:noMultiLvlLbl val="0"/>
      </c:catAx>
      <c:valAx>
        <c:axId val="50110002"/>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chemeClr val="tx1">
                        <a:lumMod val="50000"/>
                        <a:lumOff val="50000"/>
                      </a:schemeClr>
                    </a:solidFill>
                    <a:latin typeface="+mn-lt"/>
                    <a:ea typeface="+mn-ea"/>
                    <a:cs typeface="+mn-cs"/>
                  </a:defRPr>
                </a:pPr>
                <a:r>
                  <a:rPr lang="en-US"/>
                  <a:t>Frequency</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110001"/>
        <c:crosses val="autoZero"/>
        <c:crossBetween val="between"/>
      </c:valAx>
      <c:spPr>
        <a:noFill/>
        <a:ln w="25400">
          <a:noFill/>
        </a:ln>
        <a:effectLst/>
      </c:spPr>
    </c:plotArea>
    <c:plotVisOnly val="1"/>
    <c:dispBlanksAs val="gap"/>
    <c:showDLblsOverMax val="0"/>
    <c:extLst>
      <c:ext uri="{0b15fc19-7d7d-44ad-8c2d-2c3a37ce22c3}">
        <chartProps xmlns="https://web.wps.cn/et/2018/main" chartId="{177543af-eeb2-4b13-9e36-13707835a709}"/>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lang="en-US" sz="1400" b="0" i="0" u="none" strike="noStrike" kern="1200" cap="none" spc="20" baseline="0">
                <a:solidFill>
                  <a:sysClr val="windowText" lastClr="000000"/>
                </a:solidFill>
                <a:latin typeface="+mn-lt"/>
                <a:ea typeface="+mn-ea"/>
                <a:cs typeface="+mn-cs"/>
              </a:defRPr>
            </a:pPr>
            <a:r>
              <a:rPr lang="en-US">
                <a:solidFill>
                  <a:sysClr val="windowText" lastClr="000000"/>
                </a:solidFill>
              </a:rPr>
              <a:t>NSE – AI Disclosures by Company</a:t>
            </a:r>
            <a:endParaRPr lang="en-US">
              <a:solidFill>
                <a:sysClr val="windowText" lastClr="000000"/>
              </a:solidFill>
            </a:endParaRPr>
          </a:p>
        </c:rich>
      </c:tx>
      <c:layout/>
      <c:overlay val="0"/>
      <c:spPr>
        <a:noFill/>
        <a:ln>
          <a:noFill/>
        </a:ln>
        <a:effectLst/>
      </c:spPr>
    </c:title>
    <c:autoTitleDeleted val="0"/>
    <c:plotArea>
      <c:layout/>
      <c:barChart>
        <c:barDir val="col"/>
        <c:grouping val="clustered"/>
        <c:varyColors val="0"/>
        <c:ser>
          <c:idx val="0"/>
          <c:order val="0"/>
          <c:tx>
            <c:strRef>
              <c:f>NSE_AI – AI by Company</c:f>
              <c:strCache>
                <c:ptCount val="1"/>
                <c:pt idx="0">
                  <c:v>NSE_AI – AI by Company</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NSE_AI!$A$14:$A$22</c:f>
              <c:strCache>
                <c:ptCount val="9"/>
                <c:pt idx="0">
                  <c:v>Trent Ltd.</c:v>
                </c:pt>
                <c:pt idx="1">
                  <c:v>Bharat Electronics Ltd.</c:v>
                </c:pt>
                <c:pt idx="2">
                  <c:v>
State Bank of India (SBI)</c:v>
                </c:pt>
                <c:pt idx="3">
                  <c:v>IndusInd Bank Ltd.</c:v>
                </c:pt>
                <c:pt idx="4">
                  <c:v>Jio Financial Services Ltd.</c:v>
                </c:pt>
                <c:pt idx="5">
                  <c:v>Adani Ports &amp; Special Economic Zone Ltd</c:v>
                </c:pt>
                <c:pt idx="6">
                  <c:v>Eternal Ltd.</c:v>
                </c:pt>
                <c:pt idx="7">
                  <c:v>Hero MotoCorp Ltd.</c:v>
                </c:pt>
                <c:pt idx="8">
                  <c:v>Bajaj Finance Ltd.</c:v>
                </c:pt>
              </c:strCache>
            </c:strRef>
          </c:cat>
          <c:val>
            <c:numRef>
              <c:f>NSE_AI!$B$14:$B$22</c:f>
              <c:numCache>
                <c:formatCode>General</c:formatCode>
                <c:ptCount val="9"/>
                <c:pt idx="0">
                  <c:v>35</c:v>
                </c:pt>
                <c:pt idx="1">
                  <c:v>105</c:v>
                </c:pt>
                <c:pt idx="2">
                  <c:v>92</c:v>
                </c:pt>
                <c:pt idx="3">
                  <c:v>68</c:v>
                </c:pt>
                <c:pt idx="4">
                  <c:v>13</c:v>
                </c:pt>
                <c:pt idx="5">
                  <c:v>137</c:v>
                </c:pt>
                <c:pt idx="6">
                  <c:v>25</c:v>
                </c:pt>
                <c:pt idx="7">
                  <c:v>59</c:v>
                </c:pt>
                <c:pt idx="8">
                  <c:v>104</c:v>
                </c:pt>
              </c:numCache>
            </c:numRef>
          </c:val>
        </c:ser>
        <c:dLbls>
          <c:showLegendKey val="0"/>
          <c:showVal val="1"/>
          <c:showCatName val="0"/>
          <c:showSerName val="0"/>
          <c:showPercent val="0"/>
          <c:showBubbleSize val="0"/>
        </c:dLbls>
        <c:gapWidth val="100"/>
        <c:overlap val="-24"/>
        <c:axId val="50120001"/>
        <c:axId val="50120002"/>
      </c:barChart>
      <c:catAx>
        <c:axId val="50120001"/>
        <c:scaling>
          <c:orientation val="minMax"/>
        </c:scaling>
        <c:delete val="0"/>
        <c:axPos val="b"/>
        <c:title>
          <c:tx>
            <c:rich>
              <a:bodyPr rot="0" spcFirstLastPara="1" vertOverflow="ellipsis" vert="horz" wrap="square" anchor="ctr" anchorCtr="1"/>
              <a:lstStyle/>
              <a:p>
                <a:pPr>
                  <a:defRPr lang="en-US" sz="900" b="0" i="0" u="none" strike="noStrike" kern="1200" cap="all" baseline="0">
                    <a:solidFill>
                      <a:schemeClr val="tx1">
                        <a:lumMod val="50000"/>
                        <a:lumOff val="50000"/>
                      </a:schemeClr>
                    </a:solidFill>
                    <a:latin typeface="+mn-lt"/>
                    <a:ea typeface="+mn-ea"/>
                    <a:cs typeface="+mn-cs"/>
                  </a:defRPr>
                </a:pPr>
                <a:r>
                  <a:rPr lang="en-US"/>
                  <a:t>Company</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120002"/>
        <c:crosses val="autoZero"/>
        <c:auto val="1"/>
        <c:lblAlgn val="ctr"/>
        <c:lblOffset val="100"/>
        <c:noMultiLvlLbl val="0"/>
      </c:catAx>
      <c:valAx>
        <c:axId val="50120002"/>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chemeClr val="tx1">
                        <a:lumMod val="50000"/>
                        <a:lumOff val="50000"/>
                      </a:schemeClr>
                    </a:solidFill>
                    <a:latin typeface="+mn-lt"/>
                    <a:ea typeface="+mn-ea"/>
                    <a:cs typeface="+mn-cs"/>
                  </a:defRPr>
                </a:pPr>
                <a:r>
                  <a:rPr lang="en-US"/>
                  <a:t>AI Keyword Frequency</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120001"/>
        <c:crosses val="autoZero"/>
        <c:crossBetween val="between"/>
      </c:valAx>
      <c:spPr>
        <a:noFill/>
        <a:ln>
          <a:noFill/>
        </a:ln>
        <a:effectLst/>
      </c:spPr>
    </c:plotArea>
    <c:plotVisOnly val="1"/>
    <c:dispBlanksAs val="gap"/>
    <c:showDLblsOverMax val="0"/>
    <c:extLst>
      <c:ext uri="{0b15fc19-7d7d-44ad-8c2d-2c3a37ce22c3}">
        <chartProps xmlns="https://web.wps.cn/et/2018/main" chartId="{9ff9a8a5-b638-407b-b44f-58e91a041100}"/>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userShapes r:id="rId2"/>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cap="none" spc="20" baseline="0">
                <a:solidFill>
                  <a:schemeClr val="tx1">
                    <a:lumMod val="50000"/>
                    <a:lumOff val="50000"/>
                  </a:schemeClr>
                </a:solidFill>
                <a:latin typeface="+mn-lt"/>
                <a:ea typeface="+mn-ea"/>
                <a:cs typeface="+mn-cs"/>
              </a:defRPr>
            </a:pPr>
            <a:r>
              <a:rPr lang="en-US">
                <a:solidFill>
                  <a:sysClr val="windowText" lastClr="000000"/>
                </a:solidFill>
              </a:rPr>
              <a:t>RSEB – AI Disclosures</a:t>
            </a:r>
            <a:endParaRPr lang="en-US">
              <a:solidFill>
                <a:sysClr val="windowText" lastClr="000000"/>
              </a:solidFill>
            </a:endParaRPr>
          </a:p>
        </c:rich>
      </c:tx>
      <c:layout/>
      <c:overlay val="0"/>
      <c:spPr>
        <a:noFill/>
        <a:ln>
          <a:noFill/>
        </a:ln>
        <a:effectLst/>
      </c:spPr>
    </c:title>
    <c:autoTitleDeleted val="0"/>
    <c:plotArea>
      <c:layout/>
      <c:areaChart>
        <c:grouping val="standard"/>
        <c:varyColors val="0"/>
        <c:ser>
          <c:idx val="0"/>
          <c:order val="0"/>
          <c:tx>
            <c:strRef>
              <c:f>RSEB_AI – AI Keywords</c:f>
              <c:strCache>
                <c:ptCount val="1"/>
                <c:pt idx="0">
                  <c:v>RSEB_AI – AI Keywords</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RSEB_AI!$A$2:$A$11</c:f>
              <c:strCache>
                <c:ptCount val="10"/>
                <c:pt idx="0">
                  <c:v>Artificial Intelligence</c:v>
                </c:pt>
                <c:pt idx="1">
                  <c:v>Machine learning</c:v>
                </c:pt>
                <c:pt idx="2">
                  <c:v>Deep learning</c:v>
                </c:pt>
                <c:pt idx="3">
                  <c:v>Robotic Process Automation</c:v>
                </c:pt>
                <c:pt idx="4">
                  <c:v>Natural language processing</c:v>
                </c:pt>
                <c:pt idx="5">
                  <c:v>Neural Network</c:v>
                </c:pt>
                <c:pt idx="6">
                  <c:v>Expert system</c:v>
                </c:pt>
                <c:pt idx="7">
                  <c:v>Automated</c:v>
                </c:pt>
                <c:pt idx="8">
                  <c:v>Analytics</c:v>
                </c:pt>
                <c:pt idx="9">
                  <c:v>Big data</c:v>
                </c:pt>
              </c:strCache>
            </c:strRef>
          </c:cat>
          <c:val>
            <c:numRef>
              <c:f>RSEB_AI!$B$2:$B$11</c:f>
              <c:numCache>
                <c:formatCode>General</c:formatCode>
                <c:ptCount val="10"/>
                <c:pt idx="0">
                  <c:v>3</c:v>
                </c:pt>
                <c:pt idx="1">
                  <c:v>0</c:v>
                </c:pt>
                <c:pt idx="2">
                  <c:v>0</c:v>
                </c:pt>
                <c:pt idx="3">
                  <c:v>0</c:v>
                </c:pt>
                <c:pt idx="4">
                  <c:v>0</c:v>
                </c:pt>
                <c:pt idx="5">
                  <c:v>0</c:v>
                </c:pt>
                <c:pt idx="6">
                  <c:v>0</c:v>
                </c:pt>
                <c:pt idx="7">
                  <c:v>14</c:v>
                </c:pt>
                <c:pt idx="8">
                  <c:v>2</c:v>
                </c:pt>
                <c:pt idx="9">
                  <c:v>20</c:v>
                </c:pt>
              </c:numCache>
            </c:numRef>
          </c:val>
        </c:ser>
        <c:dLbls>
          <c:showLegendKey val="0"/>
          <c:showVal val="0"/>
          <c:showCatName val="0"/>
          <c:showSerName val="0"/>
          <c:showPercent val="0"/>
          <c:showBubbleSize val="0"/>
        </c:dLbls>
        <c:axId val="50130001"/>
        <c:axId val="50130002"/>
      </c:areaChart>
      <c:catAx>
        <c:axId val="50130001"/>
        <c:scaling>
          <c:orientation val="minMax"/>
        </c:scaling>
        <c:delete val="0"/>
        <c:axPos val="b"/>
        <c:title>
          <c:tx>
            <c:rich>
              <a:bodyPr rot="0" spcFirstLastPara="1" vertOverflow="ellipsis" vert="horz" wrap="square" anchor="ctr" anchorCtr="1"/>
              <a:lstStyle/>
              <a:p>
                <a:pPr>
                  <a:defRPr lang="en-US" sz="900" b="0" i="0" u="none" strike="noStrike" kern="1200" cap="all" baseline="0">
                    <a:solidFill>
                      <a:schemeClr val="tx1">
                        <a:lumMod val="50000"/>
                        <a:lumOff val="50000"/>
                      </a:schemeClr>
                    </a:solidFill>
                    <a:latin typeface="+mn-lt"/>
                    <a:ea typeface="+mn-ea"/>
                    <a:cs typeface="+mn-cs"/>
                  </a:defRPr>
                </a:pPr>
                <a:r>
                  <a:rPr lang="en-US"/>
                  <a:t>AI Keyword</a:t>
                </a:r>
                <a:endParaRPr lang="en-US"/>
              </a:p>
            </c:rich>
          </c:tx>
          <c:layout/>
          <c:overlay val="0"/>
          <c:spPr>
            <a:noFill/>
            <a:ln>
              <a:noFill/>
            </a:ln>
            <a:effectLst/>
          </c:spPr>
        </c:title>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130002"/>
        <c:crosses val="autoZero"/>
        <c:auto val="1"/>
        <c:lblAlgn val="ctr"/>
        <c:lblOffset val="100"/>
        <c:noMultiLvlLbl val="0"/>
      </c:catAx>
      <c:valAx>
        <c:axId val="50130002"/>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chemeClr val="tx1">
                        <a:lumMod val="50000"/>
                        <a:lumOff val="50000"/>
                      </a:schemeClr>
                    </a:solidFill>
                    <a:latin typeface="+mn-lt"/>
                    <a:ea typeface="+mn-ea"/>
                    <a:cs typeface="+mn-cs"/>
                  </a:defRPr>
                </a:pPr>
                <a:r>
                  <a:rPr lang="en-US"/>
                  <a:t>Frequency</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p>
        </c:txPr>
        <c:crossAx val="50130001"/>
        <c:crosses val="autoZero"/>
        <c:crossBetween val="midCat"/>
      </c:valAx>
      <c:spPr>
        <a:noFill/>
        <a:ln w="25400">
          <a:noFill/>
        </a:ln>
        <a:effectLst/>
      </c:spPr>
    </c:plotArea>
    <c:plotVisOnly val="1"/>
    <c:dispBlanksAs val="gap"/>
    <c:showDLblsOverMax val="0"/>
    <c:extLst>
      <c:ext uri="{0b15fc19-7d7d-44ad-8c2d-2c3a37ce22c3}">
        <chartProps xmlns="https://web.wps.cn/et/2018/main" chartId="{3b413952-005f-41db-87b2-6e234381e0b2}"/>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cap="none" spc="20" baseline="0">
                <a:solidFill>
                  <a:sysClr val="windowText" lastClr="000000"/>
                </a:solidFill>
                <a:latin typeface="+mn-lt"/>
                <a:ea typeface="+mn-ea"/>
                <a:cs typeface="+mn-cs"/>
              </a:defRPr>
            </a:pPr>
            <a:r>
              <a:rPr lang="en-US">
                <a:solidFill>
                  <a:sysClr val="windowText" lastClr="000000"/>
                </a:solidFill>
              </a:rPr>
              <a:t>RSEB– AI Disclosures by Company</a:t>
            </a:r>
            <a:endParaRPr lang="en-US">
              <a:solidFill>
                <a:sysClr val="windowText" lastClr="000000"/>
              </a:solidFill>
            </a:endParaRPr>
          </a:p>
        </c:rich>
      </c:tx>
      <c:layout/>
      <c:overlay val="0"/>
      <c:spPr>
        <a:noFill/>
        <a:ln>
          <a:noFill/>
        </a:ln>
        <a:effectLst/>
      </c:spPr>
    </c:title>
    <c:autoTitleDeleted val="0"/>
    <c:plotArea>
      <c:layout/>
      <c:areaChart>
        <c:grouping val="standard"/>
        <c:varyColors val="0"/>
        <c:ser>
          <c:idx val="0"/>
          <c:order val="0"/>
          <c:tx>
            <c:strRef>
              <c:f>RSEB_AI – AI by Company</c:f>
              <c:strCache>
                <c:ptCount val="1"/>
                <c:pt idx="0">
                  <c:v>RSEB_AI – AI by Company</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ysClr val="windowText" lastClr="000000"/>
                    </a:solidFill>
                    <a:latin typeface="+mn-lt"/>
                    <a:ea typeface="+mn-ea"/>
                    <a:cs typeface="+mn-cs"/>
                  </a:defRPr>
                </a:pPr>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RSEB_AI!$A$14:$A$19</c:f>
              <c:strCache>
                <c:ptCount val="6"/>
                <c:pt idx="0">
                  <c:v> T Bank Ltd.</c:v>
                </c:pt>
                <c:pt idx="1">
                  <c:v>GIC Bhutan Reinsurance Co. Ltd.</c:v>
                </c:pt>
                <c:pt idx="2">
                  <c:v>Bhutan Insurance Ltd</c:v>
                </c:pt>
                <c:pt idx="3">
                  <c:v>Bhutan National Bank Ltd.</c:v>
                </c:pt>
                <c:pt idx="4">
                  <c:v>Royal Insurance Corporation of Bhutan Ltd</c:v>
                </c:pt>
                <c:pt idx="5">
                  <c:v>Bhutan Ferro Alloys Ltd</c:v>
                </c:pt>
              </c:strCache>
            </c:strRef>
          </c:cat>
          <c:val>
            <c:numRef>
              <c:f>RSEB_AI!$B$14:$B$19</c:f>
              <c:numCache>
                <c:formatCode>General</c:formatCode>
                <c:ptCount val="6"/>
                <c:pt idx="0">
                  <c:v>6</c:v>
                </c:pt>
                <c:pt idx="1">
                  <c:v>0</c:v>
                </c:pt>
                <c:pt idx="2">
                  <c:v>0</c:v>
                </c:pt>
                <c:pt idx="3">
                  <c:v>10</c:v>
                </c:pt>
                <c:pt idx="4">
                  <c:v>3</c:v>
                </c:pt>
                <c:pt idx="5">
                  <c:v>20</c:v>
                </c:pt>
              </c:numCache>
            </c:numRef>
          </c:val>
        </c:ser>
        <c:dLbls>
          <c:showLegendKey val="0"/>
          <c:showVal val="0"/>
          <c:showCatName val="0"/>
          <c:showSerName val="0"/>
          <c:showPercent val="0"/>
          <c:showBubbleSize val="0"/>
        </c:dLbls>
        <c:axId val="50140001"/>
        <c:axId val="50140002"/>
      </c:areaChart>
      <c:catAx>
        <c:axId val="50140001"/>
        <c:scaling>
          <c:orientation val="minMax"/>
        </c:scaling>
        <c:delete val="0"/>
        <c:axPos val="b"/>
        <c:title>
          <c:tx>
            <c:rich>
              <a:bodyPr rot="0" spcFirstLastPara="1" vertOverflow="ellipsis" vert="horz" wrap="square" anchor="ctr" anchorCtr="1"/>
              <a:lstStyle/>
              <a:p>
                <a:pPr>
                  <a:defRPr lang="en-US" sz="900" b="0" i="0" u="none" strike="noStrike" kern="1200" cap="all" baseline="0">
                    <a:solidFill>
                      <a:schemeClr val="tx1">
                        <a:lumMod val="50000"/>
                        <a:lumOff val="50000"/>
                      </a:schemeClr>
                    </a:solidFill>
                    <a:latin typeface="+mn-lt"/>
                    <a:ea typeface="+mn-ea"/>
                    <a:cs typeface="+mn-cs"/>
                  </a:defRPr>
                </a:pPr>
                <a:r>
                  <a:rPr lang="en-US"/>
                  <a:t>Company</a:t>
                </a:r>
                <a:endParaRPr lang="en-US"/>
              </a:p>
            </c:rich>
          </c:tx>
          <c:layout/>
          <c:overlay val="0"/>
          <c:spPr>
            <a:noFill/>
            <a:ln>
              <a:noFill/>
            </a:ln>
            <a:effectLst/>
          </c:spPr>
        </c:title>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50140002"/>
        <c:crosses val="autoZero"/>
        <c:auto val="1"/>
        <c:lblAlgn val="ctr"/>
        <c:lblOffset val="100"/>
        <c:noMultiLvlLbl val="0"/>
      </c:catAx>
      <c:valAx>
        <c:axId val="50140002"/>
        <c:scaling>
          <c:orientation val="minMax"/>
        </c:scaling>
        <c:delete val="0"/>
        <c:axPos val="l"/>
        <c:title>
          <c:tx>
            <c:rich>
              <a:bodyPr rot="-5400000" spcFirstLastPara="1" vertOverflow="ellipsis" vert="horz" wrap="square" anchor="ctr" anchorCtr="1"/>
              <a:lstStyle/>
              <a:p>
                <a:pPr>
                  <a:defRPr lang="en-US" sz="900" b="0" i="0" u="none" strike="noStrike" kern="1200" cap="all" baseline="0">
                    <a:solidFill>
                      <a:schemeClr val="tx1">
                        <a:lumMod val="50000"/>
                        <a:lumOff val="50000"/>
                      </a:schemeClr>
                    </a:solidFill>
                    <a:latin typeface="+mn-lt"/>
                    <a:ea typeface="+mn-ea"/>
                    <a:cs typeface="+mn-cs"/>
                  </a:defRPr>
                </a:pPr>
                <a:r>
                  <a:rPr lang="en-US"/>
                  <a:t>AI Keyword Frequency</a:t>
                </a:r>
                <a:endParaRPr 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p>
        </c:txPr>
        <c:crossAx val="50140001"/>
        <c:crosses val="autoZero"/>
        <c:crossBetween val="midCat"/>
      </c:valAx>
      <c:spPr>
        <a:noFill/>
        <a:ln>
          <a:noFill/>
        </a:ln>
        <a:effectLst/>
      </c:spPr>
    </c:plotArea>
    <c:plotVisOnly val="1"/>
    <c:dispBlanksAs val="gap"/>
    <c:showDLblsOverMax val="0"/>
    <c:extLst>
      <c:ext uri="{0b15fc19-7d7d-44ad-8c2d-2c3a37ce22c3}">
        <chartProps xmlns="https://web.wps.cn/et/2018/main" chartId="{7c317cc9-8796-45e7-b901-17fd52e8f0da}"/>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8">
  <a:schemeClr val="accent5"/>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8">
  <a:schemeClr val="accent5"/>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7">
  <a:schemeClr val="accent4"/>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withinLinear" id="17">
  <a:schemeClr val="accent4"/>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withinLinear" id="18">
  <a:schemeClr val="accent5"/>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withinLinear" id="18">
  <a:schemeClr val="accent5"/>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4">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prstDash val="sysDot"/>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spPr>
      <a:ln w="9525">
        <a:solidFill>
          <a:schemeClr val="tx1">
            <a:lumMod val="15000"/>
            <a:lumOff val="85000"/>
          </a:schemeClr>
        </a:solid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9.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80">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346">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2.xml><?xml version="1.0" encoding="utf-8"?>
<cs:chartStyle xmlns:cs="http://schemas.microsoft.com/office/drawing/2012/chartStyle" xmlns:a="http://schemas.openxmlformats.org/drawingml/2006/main" id="280">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80">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0.07032</cdr:x>
      <cdr:y>0.77855</cdr:y>
    </cdr:from>
    <cdr:to>
      <cdr:x>0.37152</cdr:x>
      <cdr:y>0.85553</cdr:y>
    </cdr:to>
    <cdr:sp>
      <cdr:nvSpPr>
        <cdr:cNvPr id="2" name="Rectangles 1"/>
        <cdr:cNvSpPr/>
      </cdr:nvSpPr>
      <cdr:spPr xmlns:a="http://schemas.openxmlformats.org/drawingml/2006/main">
        <a:xfrm xmlns:a="http://schemas.openxmlformats.org/drawingml/2006/main">
          <a:off x="317157" y="2178032"/>
          <a:ext cx="1358347" cy="215348"/>
        </a:xfrm>
        <a:prstGeom xmlns:a="http://schemas.openxmlformats.org/drawingml/2006/main" prst="rect">
          <a:avLst/>
        </a:prstGeom>
        <a:noFill/>
        <a:l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accent2"/>
        </a:fontRef>
      </cdr:style>
      <cdr:txBody xmlns:a="http://schemas.openxmlformats.org/drawingml/2006/main">
        <a:bodyPr vertOverflow="clip" vert="horz" wrap="none" lIns="45720" tIns="45720" rIns="45720" bIns="45720" anchor="t" anchorCtr="0">
          <a:normAutofit/>
        </a:bodyPr>
        <a:lstStyle/>
        <a:p>
          <a:r>
            <a:rPr lang="en-US" sz="1000" kern="1200">
              <a:solidFill>
                <a:schemeClr val="tx1"/>
              </a:solidFill>
              <a:latin typeface="+mj-lt"/>
            </a:rPr>
            <a:t>Exchanges</a:t>
          </a:r>
          <a:endParaRPr lang="en-US" kern="1200">
            <a:solidFill>
              <a:schemeClr val="tx1"/>
            </a:solidFill>
            <a:latin typeface="+mj-lt"/>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0.17149</cdr:x>
      <cdr:y>0.48682</cdr:y>
    </cdr:from>
    <cdr:to>
      <cdr:x>0.39121</cdr:x>
      <cdr:y>0.55375</cdr:y>
    </cdr:to>
    <cdr:sp>
      <cdr:nvSpPr>
        <cdr:cNvPr id="2" name="Rectangles 1"/>
        <cdr:cNvSpPr/>
      </cdr:nvSpPr>
      <cdr:spPr xmlns:a="http://schemas.openxmlformats.org/drawingml/2006/main">
        <a:xfrm xmlns:a="http://schemas.openxmlformats.org/drawingml/2006/main">
          <a:off x="1016000" y="1524000"/>
          <a:ext cx="1301750" cy="209550"/>
        </a:xfrm>
        <a:prstGeom xmlns:a="http://schemas.openxmlformats.org/drawingml/2006/main" prst="rect">
          <a:avLst/>
        </a:prstGeom>
        <a:noFill/>
        <a:l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xmlns:a="http://schemas.openxmlformats.org/drawingml/2006/main">
        <a:bodyPr vertOverflow="clip" vert="horz" wrap="none" lIns="45720" tIns="45720" rIns="45720" bIns="45720" anchor="t" anchorCtr="0">
          <a:normAutofit/>
        </a:bodyPr>
        <a:lstStyle/>
        <a:p>
          <a:r>
            <a:rPr lang="en-US" sz="900" kern="1200"/>
            <a:t>State Bank of India (SBI)</a:t>
          </a:r>
          <a:endParaRPr lang="en-US" sz="900" kern="1200"/>
        </a:p>
      </cdr:txBody>
    </cdr:sp>
  </cdr:relSizeAnchor>
</c:userShapes>
</file>

<file path=word/drawings/drawing3.xml><?xml version="1.0" encoding="utf-8"?>
<c:userShapes xmlns:c="http://schemas.openxmlformats.org/drawingml/2006/chart">
  <cdr:relSizeAnchor xmlns:cdr="http://schemas.openxmlformats.org/drawingml/2006/chartDrawing">
    <cdr:from>
      <cdr:x>0.02137</cdr:x>
      <cdr:y>0.14108</cdr:y>
    </cdr:from>
    <cdr:to>
      <cdr:x>0.1702</cdr:x>
      <cdr:y>0.18405</cdr:y>
    </cdr:to>
    <cdr:sp>
      <cdr:nvSpPr>
        <cdr:cNvPr id="2" name="Rectangles 1"/>
        <cdr:cNvSpPr/>
      </cdr:nvSpPr>
      <cdr:spPr xmlns:a="http://schemas.openxmlformats.org/drawingml/2006/main">
        <a:xfrm xmlns:a="http://schemas.openxmlformats.org/drawingml/2006/main">
          <a:off x="127000" y="431800"/>
          <a:ext cx="884601" cy="131526"/>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a:r>
            <a:rPr lang="en-US" sz="1100" kern="1200"/>
            <a:t>Exchanges</a:t>
          </a:r>
          <a:endParaRPr lang="en-US" sz="1100" kern="1200"/>
        </a:p>
      </cdr:txBody>
    </cdr:sp>
  </cdr:relSizeAnchor>
</c:userShapes>
</file>

<file path=word/drawings/drawing4.xml><?xml version="1.0" encoding="utf-8"?>
<c:userShapes xmlns:c="http://schemas.openxmlformats.org/drawingml/2006/chart">
  <cdr:relSizeAnchor xmlns:cdr="http://schemas.openxmlformats.org/drawingml/2006/chartDrawing">
    <cdr:from>
      <cdr:x>0.25871</cdr:x>
      <cdr:y>0.27721</cdr:y>
    </cdr:from>
    <cdr:to>
      <cdr:x>0.3561</cdr:x>
      <cdr:y>1</cdr:y>
    </cdr:to>
    <cdr:sp>
      <cdr:nvSpPr>
        <cdr:cNvPr id="2" name="Rectangles 1"/>
        <cdr:cNvSpPr/>
      </cdr:nvSpPr>
      <cdr:spPr xmlns:a="http://schemas.openxmlformats.org/drawingml/2006/main">
        <a:xfrm xmlns:a="http://schemas.openxmlformats.org/drawingml/2006/main" rot="18828940">
          <a:off x="1179515" y="725234"/>
          <a:ext cx="444040" cy="1890967"/>
        </a:xfrm>
        <a:prstGeom xmlns:a="http://schemas.openxmlformats.org/drawingml/2006/main" prst="rect">
          <a:avLst/>
        </a:prstGeom>
        <a:noFill/>
        <a:l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xmlns:a="http://schemas.openxmlformats.org/drawingml/2006/main">
        <a:bodyPr vertOverflow="clip" vert="horz" wrap="none" lIns="45720" tIns="45720" rIns="45720" bIns="45720" anchor="t" anchorCtr="0">
          <a:normAutofit/>
        </a:bodyPr>
        <a:lstStyle/>
        <a:p>
          <a:endParaRPr lang="en-US" sz="900" kern="1200">
            <a:solidFill>
              <a:schemeClr val="tx1"/>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A2F3B5-24DC-4D75-BDA8-76BAE7BB2F47}">
  <ds:schemaRefs/>
</ds:datastoreItem>
</file>

<file path=docProps/app.xml><?xml version="1.0" encoding="utf-8"?>
<Properties xmlns="http://schemas.openxmlformats.org/officeDocument/2006/extended-properties" xmlns:vt="http://schemas.openxmlformats.org/officeDocument/2006/docPropsVTypes">
  <Template>Normal</Template>
  <Pages>80</Pages>
  <Words>13397</Words>
  <Characters>76367</Characters>
  <Lines>636</Lines>
  <Paragraphs>179</Paragraphs>
  <TotalTime>2915</TotalTime>
  <ScaleCrop>false</ScaleCrop>
  <LinksUpToDate>false</LinksUpToDate>
  <CharactersWithSpaces>89585</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2025-11-16T13:01:00Z</dcterms:created>
  <dc:creator>zarin ara</dc:creator>
  <cp:lastModifiedBy>zerin ara</cp:lastModifiedBy>
  <dcterms:modified xsi:type="dcterms:W3CDTF">2025-12-01T06:32:12Z</dcterms:modified>
  <cp:revision>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AFF898CFE771485B8941FB41E5714F51_12</vt:lpwstr>
  </property>
</Properties>
</file>