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91A983">
      <w:pPr>
        <w:jc w:val="center"/>
        <w:rPr>
          <w:rFonts w:ascii="Times New Roman" w:hAnsi="Times New Roman" w:cs="Times New Roman"/>
          <w:b/>
          <w:color w:val="1F497D" w:themeColor="text2"/>
          <w:sz w:val="24"/>
          <w:szCs w:val="24"/>
        </w:rPr>
      </w:pPr>
      <w:r>
        <w:rPr>
          <w:rFonts w:ascii="Times New Roman" w:hAnsi="Times New Roman" w:cs="Times New Roman"/>
          <w:b/>
          <w:color w:val="1F497D" w:themeColor="text2"/>
          <w:sz w:val="24"/>
          <w:szCs w:val="24"/>
        </w:rPr>
        <w:drawing>
          <wp:inline distT="0" distB="0" distL="0" distR="0">
            <wp:extent cx="1731645" cy="1572260"/>
            <wp:effectExtent l="1905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srcRect/>
                    <a:stretch>
                      <a:fillRect/>
                    </a:stretch>
                  </pic:blipFill>
                  <pic:spPr>
                    <a:xfrm>
                      <a:off x="0" y="0"/>
                      <a:ext cx="1731645" cy="1572260"/>
                    </a:xfrm>
                    <a:prstGeom prst="rect">
                      <a:avLst/>
                    </a:prstGeom>
                    <a:noFill/>
                    <a:ln w="9525">
                      <a:noFill/>
                      <a:miter lim="800000"/>
                      <a:headEnd/>
                      <a:tailEnd/>
                    </a:ln>
                  </pic:spPr>
                </pic:pic>
              </a:graphicData>
            </a:graphic>
          </wp:inline>
        </w:drawing>
      </w:r>
    </w:p>
    <w:p w14:paraId="67F5C7E1">
      <w:pPr>
        <w:spacing w:after="0" w:line="240" w:lineRule="auto"/>
        <w:jc w:val="center"/>
        <w:rPr>
          <w:rFonts w:ascii="Times New Roman" w:hAnsi="Times New Roman" w:cs="Times New Roman"/>
          <w:b/>
          <w:sz w:val="48"/>
          <w:szCs w:val="24"/>
        </w:rPr>
      </w:pPr>
      <w:r>
        <w:rPr>
          <w:rFonts w:ascii="Times New Roman" w:hAnsi="Times New Roman" w:cs="Times New Roman"/>
          <w:b/>
          <w:sz w:val="48"/>
          <w:szCs w:val="24"/>
        </w:rPr>
        <w:t>United International University</w:t>
      </w:r>
    </w:p>
    <w:p w14:paraId="34030E99">
      <w:pPr>
        <w:spacing w:after="0"/>
        <w:jc w:val="center"/>
        <w:rPr>
          <w:rFonts w:ascii="Times New Roman" w:hAnsi="Times New Roman" w:cs="Times New Roman"/>
          <w:b/>
          <w:color w:val="E36C09" w:themeColor="accent6" w:themeShade="BF"/>
          <w:sz w:val="28"/>
          <w:szCs w:val="24"/>
        </w:rPr>
      </w:pPr>
      <w:r>
        <w:rPr>
          <w:rFonts w:ascii="Times New Roman" w:hAnsi="Times New Roman" w:cs="Times New Roman"/>
          <w:b/>
          <w:color w:val="E36C09" w:themeColor="accent6" w:themeShade="BF"/>
          <w:sz w:val="28"/>
          <w:szCs w:val="24"/>
        </w:rPr>
        <w:t>QUEST FOR EXCELLENCE</w:t>
      </w:r>
    </w:p>
    <w:p w14:paraId="617162DB">
      <w:pPr>
        <w:spacing w:after="0"/>
        <w:jc w:val="center"/>
        <w:rPr>
          <w:rFonts w:ascii="Times New Roman" w:hAnsi="Times New Roman" w:cs="Times New Roman"/>
          <w:b/>
          <w:color w:val="E36C09" w:themeColor="accent6" w:themeShade="BF"/>
          <w:sz w:val="28"/>
          <w:szCs w:val="24"/>
        </w:rPr>
      </w:pPr>
    </w:p>
    <w:p w14:paraId="23A9CD6F">
      <w:pPr>
        <w:spacing w:after="0"/>
        <w:jc w:val="center"/>
        <w:rPr>
          <w:rFonts w:ascii="Times New Roman" w:hAnsi="Times New Roman" w:cs="Times New Roman"/>
          <w:b/>
          <w:color w:val="E36C09" w:themeColor="accent6" w:themeShade="BF"/>
          <w:sz w:val="28"/>
          <w:szCs w:val="24"/>
        </w:rPr>
      </w:pPr>
    </w:p>
    <w:p w14:paraId="11456C87">
      <w:pPr>
        <w:jc w:val="center"/>
        <w:rPr>
          <w:rFonts w:ascii="Times New Roman" w:hAnsi="Times New Roman" w:cs="Times New Roman"/>
          <w:b/>
          <w:color w:val="1F497D" w:themeColor="text2"/>
          <w:sz w:val="36"/>
          <w:szCs w:val="24"/>
        </w:rPr>
      </w:pPr>
      <w:r>
        <w:rPr>
          <w:rFonts w:ascii="Times New Roman" w:hAnsi="Times New Roman" w:cs="Times New Roman"/>
          <w:b/>
          <w:color w:val="1F497D" w:themeColor="text2"/>
          <w:sz w:val="36"/>
          <w:szCs w:val="24"/>
        </w:rPr>
        <w:t>Project Report on</w:t>
      </w:r>
      <w:bookmarkStart w:id="106" w:name="_GoBack"/>
      <w:bookmarkEnd w:id="106"/>
    </w:p>
    <w:p w14:paraId="66D80E79">
      <w:pPr>
        <w:jc w:val="center"/>
        <w:rPr>
          <w:rStyle w:val="12"/>
          <w:rFonts w:ascii="Times New Roman" w:hAnsi="Times New Roman" w:cs="Times New Roman"/>
          <w:b/>
          <w:sz w:val="28"/>
          <w:szCs w:val="24"/>
        </w:rPr>
      </w:pPr>
      <w:r>
        <w:rPr>
          <w:rStyle w:val="12"/>
          <w:rFonts w:ascii="Times New Roman" w:hAnsi="Times New Roman" w:cs="Times New Roman"/>
          <w:b/>
          <w:sz w:val="28"/>
          <w:szCs w:val="24"/>
        </w:rPr>
        <w:t>Financial Statement Analysis of Five Conventional and Non-conventional Banks of Bangladesh</w:t>
      </w:r>
    </w:p>
    <w:p w14:paraId="1E5B46F5">
      <w:pPr>
        <w:jc w:val="center"/>
        <w:rPr>
          <w:rStyle w:val="12"/>
          <w:rFonts w:ascii="Times New Roman" w:hAnsi="Times New Roman" w:cs="Times New Roman"/>
          <w:b/>
          <w:sz w:val="36"/>
          <w:szCs w:val="24"/>
        </w:rPr>
      </w:pPr>
    </w:p>
    <w:p w14:paraId="4D037A9C">
      <w:pPr>
        <w:pStyle w:val="26"/>
        <w:jc w:val="center"/>
        <w:rPr>
          <w:b/>
          <w:color w:val="1F497D" w:themeColor="text2"/>
          <w:sz w:val="36"/>
          <w:u w:val="single"/>
        </w:rPr>
      </w:pPr>
      <w:r>
        <w:rPr>
          <w:b/>
          <w:color w:val="1F497D" w:themeColor="text2"/>
          <w:sz w:val="36"/>
          <w:u w:val="single"/>
        </w:rPr>
        <w:t>Supervised by:</w:t>
      </w:r>
    </w:p>
    <w:p w14:paraId="4C33FFE3">
      <w:pPr>
        <w:pStyle w:val="26"/>
        <w:jc w:val="center"/>
        <w:rPr>
          <w:b/>
          <w:sz w:val="36"/>
        </w:rPr>
      </w:pPr>
      <w:r>
        <w:rPr>
          <w:b/>
          <w:sz w:val="36"/>
        </w:rPr>
        <w:t>Dr. James Bakul Sarkar</w:t>
      </w:r>
    </w:p>
    <w:p w14:paraId="614BB645">
      <w:pPr>
        <w:pStyle w:val="26"/>
        <w:jc w:val="center"/>
        <w:rPr>
          <w:sz w:val="36"/>
        </w:rPr>
      </w:pPr>
      <w:r>
        <w:rPr>
          <w:sz w:val="36"/>
        </w:rPr>
        <w:t xml:space="preserve"> Professor, School of Business &amp; Economics (SoBE) &amp; Coordinator, BBA in AIS</w:t>
      </w:r>
    </w:p>
    <w:p w14:paraId="43CD0251">
      <w:pPr>
        <w:pStyle w:val="26"/>
        <w:jc w:val="center"/>
        <w:rPr>
          <w:sz w:val="36"/>
        </w:rPr>
      </w:pPr>
    </w:p>
    <w:p w14:paraId="58594E49">
      <w:pPr>
        <w:jc w:val="center"/>
        <w:rPr>
          <w:rFonts w:ascii="Times New Roman" w:hAnsi="Times New Roman" w:cs="Times New Roman"/>
          <w:b/>
          <w:color w:val="1F497D" w:themeColor="text2"/>
          <w:sz w:val="36"/>
          <w:szCs w:val="24"/>
        </w:rPr>
      </w:pPr>
    </w:p>
    <w:p w14:paraId="7B1821F0">
      <w:pPr>
        <w:jc w:val="center"/>
        <w:rPr>
          <w:rFonts w:ascii="Times New Roman" w:hAnsi="Times New Roman" w:cs="Times New Roman"/>
          <w:b/>
          <w:color w:val="1F497D" w:themeColor="text2"/>
          <w:sz w:val="36"/>
          <w:szCs w:val="24"/>
          <w:u w:val="single"/>
        </w:rPr>
      </w:pPr>
      <w:r>
        <w:rPr>
          <w:rFonts w:ascii="Times New Roman" w:hAnsi="Times New Roman" w:cs="Times New Roman"/>
          <w:b/>
          <w:color w:val="1F497D" w:themeColor="text2"/>
          <w:sz w:val="36"/>
          <w:szCs w:val="24"/>
          <w:u w:val="single"/>
        </w:rPr>
        <w:t>Submitted by:</w:t>
      </w:r>
    </w:p>
    <w:p w14:paraId="62607997">
      <w:pPr>
        <w:spacing w:after="0"/>
        <w:jc w:val="center"/>
        <w:rPr>
          <w:rFonts w:ascii="Times New Roman" w:hAnsi="Times New Roman" w:cs="Times New Roman"/>
          <w:b/>
          <w:sz w:val="36"/>
          <w:szCs w:val="24"/>
        </w:rPr>
      </w:pPr>
      <w:r>
        <w:rPr>
          <w:rFonts w:ascii="Times New Roman" w:hAnsi="Times New Roman" w:cs="Times New Roman"/>
          <w:b/>
          <w:sz w:val="36"/>
          <w:szCs w:val="24"/>
        </w:rPr>
        <w:t>MD. SABUJ HOSSAIN</w:t>
      </w:r>
    </w:p>
    <w:p w14:paraId="7BD2980A">
      <w:pPr>
        <w:spacing w:after="0"/>
        <w:jc w:val="center"/>
        <w:rPr>
          <w:rFonts w:ascii="Times New Roman" w:hAnsi="Times New Roman" w:cs="Times New Roman"/>
          <w:b/>
          <w:color w:val="1F497D" w:themeColor="text2"/>
          <w:sz w:val="36"/>
          <w:szCs w:val="24"/>
        </w:rPr>
      </w:pPr>
      <w:r>
        <w:rPr>
          <w:rFonts w:ascii="Times New Roman" w:hAnsi="Times New Roman" w:cs="Times New Roman"/>
          <w:b/>
          <w:sz w:val="36"/>
          <w:szCs w:val="24"/>
        </w:rPr>
        <w:t>ID:</w:t>
      </w:r>
      <w:r>
        <w:rPr>
          <w:rFonts w:ascii="Times New Roman" w:hAnsi="Times New Roman" w:cs="Times New Roman"/>
          <w:b/>
          <w:color w:val="1F497D" w:themeColor="text2"/>
          <w:sz w:val="36"/>
          <w:szCs w:val="24"/>
        </w:rPr>
        <w:t xml:space="preserve"> </w:t>
      </w:r>
      <w:r>
        <w:rPr>
          <w:rFonts w:ascii="Times New Roman" w:hAnsi="Times New Roman" w:cs="Times New Roman"/>
          <w:b/>
          <w:sz w:val="36"/>
          <w:szCs w:val="24"/>
        </w:rPr>
        <w:t>114 162 018</w:t>
      </w:r>
    </w:p>
    <w:p w14:paraId="188958F5">
      <w:pPr>
        <w:spacing w:after="0"/>
        <w:jc w:val="center"/>
        <w:rPr>
          <w:rFonts w:ascii="Times New Roman" w:hAnsi="Times New Roman" w:cs="Times New Roman"/>
          <w:sz w:val="36"/>
          <w:szCs w:val="24"/>
        </w:rPr>
      </w:pPr>
      <w:r>
        <w:rPr>
          <w:rFonts w:ascii="Times New Roman" w:hAnsi="Times New Roman" w:cs="Times New Roman"/>
          <w:sz w:val="36"/>
          <w:szCs w:val="24"/>
        </w:rPr>
        <w:t>Bachelor of Business Administration in Accounting &amp; Information Systems (BBA in AIS)</w:t>
      </w:r>
    </w:p>
    <w:p w14:paraId="1A326BA0">
      <w:pPr>
        <w:spacing w:after="0"/>
        <w:jc w:val="center"/>
        <w:rPr>
          <w:rFonts w:ascii="Times New Roman" w:hAnsi="Times New Roman" w:cs="Times New Roman"/>
          <w:sz w:val="36"/>
          <w:szCs w:val="24"/>
        </w:rPr>
      </w:pPr>
    </w:p>
    <w:p w14:paraId="37F93844">
      <w:pPr>
        <w:rPr>
          <w:rFonts w:ascii="Times New Roman" w:hAnsi="Times New Roman" w:cs="Times New Roman"/>
          <w:b/>
          <w:color w:val="1F497D" w:themeColor="text2"/>
          <w:sz w:val="36"/>
          <w:szCs w:val="24"/>
        </w:rPr>
      </w:pPr>
      <w:r>
        <w:rPr>
          <w:rFonts w:ascii="Times New Roman" w:hAnsi="Times New Roman" w:cs="Times New Roman"/>
          <w:b/>
          <w:color w:val="1F497D" w:themeColor="text2"/>
          <w:sz w:val="36"/>
          <w:szCs w:val="24"/>
        </w:rPr>
        <w:tab/>
      </w:r>
      <w:r>
        <w:rPr>
          <w:rFonts w:ascii="Times New Roman" w:hAnsi="Times New Roman" w:cs="Times New Roman"/>
          <w:b/>
          <w:color w:val="1F497D" w:themeColor="text2"/>
          <w:sz w:val="36"/>
          <w:szCs w:val="24"/>
        </w:rPr>
        <w:tab/>
      </w:r>
      <w:r>
        <w:rPr>
          <w:rFonts w:ascii="Times New Roman" w:hAnsi="Times New Roman" w:cs="Times New Roman"/>
          <w:b/>
          <w:color w:val="1F497D" w:themeColor="text2"/>
          <w:sz w:val="36"/>
          <w:szCs w:val="24"/>
        </w:rPr>
        <w:tab/>
      </w:r>
      <w:r>
        <w:rPr>
          <w:rFonts w:ascii="Times New Roman" w:hAnsi="Times New Roman" w:cs="Times New Roman"/>
          <w:b/>
          <w:color w:val="1F497D" w:themeColor="text2"/>
          <w:sz w:val="36"/>
          <w:szCs w:val="24"/>
        </w:rPr>
        <w:t>Date of Submission: 01-03-2026</w:t>
      </w:r>
    </w:p>
    <w:p w14:paraId="17B7692C">
      <w:pPr>
        <w:pStyle w:val="2"/>
      </w:pPr>
      <w:bookmarkStart w:id="0" w:name="_Toc223264628"/>
      <w:bookmarkStart w:id="1" w:name="_Toc223040467"/>
      <w:r>
        <w:t>Acknowledgement</w:t>
      </w:r>
      <w:bookmarkEnd w:id="0"/>
      <w:bookmarkEnd w:id="1"/>
      <w:r>
        <w:tab/>
      </w:r>
      <w:r>
        <w:tab/>
      </w:r>
      <w:r>
        <w:tab/>
      </w:r>
      <w:r>
        <w:tab/>
      </w:r>
      <w:r>
        <w:tab/>
      </w:r>
      <w:r>
        <w:tab/>
      </w:r>
      <w:r>
        <w:tab/>
      </w:r>
      <w:r>
        <w:tab/>
      </w:r>
      <w:r>
        <w:tab/>
      </w:r>
    </w:p>
    <w:p w14:paraId="3DA6FE4B">
      <w:pPr>
        <w:pStyle w:val="16"/>
        <w:jc w:val="both"/>
      </w:pPr>
      <w:r>
        <w:t>First and foremost, I express my deepest gratitude to the Almighty for granting me the strength, patience, and opportunity to complete this project within the designated timeframe. His blessings have been a constant source of motivation throughout this journey.</w:t>
      </w:r>
    </w:p>
    <w:p w14:paraId="126C50B1">
      <w:pPr>
        <w:pStyle w:val="16"/>
        <w:jc w:val="both"/>
      </w:pPr>
      <w:r>
        <w:t xml:space="preserve">I would like to extend my heartfelt appreciation to all those who have supported and guided me during the course of this work. In particular, I am immensely grateful to </w:t>
      </w:r>
      <w:r>
        <w:rPr>
          <w:rStyle w:val="17"/>
        </w:rPr>
        <w:t>Dr. James Bakul Sarkar</w:t>
      </w:r>
      <w:r>
        <w:t>, Assistant Professor of the BBA Program, School of Business &amp; Economics (SoBE), United International University, for his invaluable supervision and guidance. His expert advice, insightful feedback, and continuous encouragement have played a crucial role in shaping this report.</w:t>
      </w:r>
    </w:p>
    <w:p w14:paraId="4142317E">
      <w:pPr>
        <w:pStyle w:val="16"/>
        <w:jc w:val="both"/>
      </w:pPr>
      <w:r>
        <w:t>The numerous discussions and consultations with him have significantly enriched my understanding and allowed me to complete this project with sincerity and dedication. I am truly thankful for the opportunity to work under his mentorship on such an insightful topic.</w:t>
      </w:r>
    </w:p>
    <w:p w14:paraId="39B920D8">
      <w:pPr>
        <w:pStyle w:val="16"/>
        <w:jc w:val="both"/>
        <w:rPr>
          <w:sz w:val="32"/>
        </w:rPr>
      </w:pPr>
      <w:r>
        <w:t>Lastly, I wish to thank my friends, whose constant support and encouragement have been a great source of inspiration throughout this endeavor.</w:t>
      </w:r>
    </w:p>
    <w:p w14:paraId="5F866686">
      <w:pPr>
        <w:pStyle w:val="16"/>
        <w:jc w:val="both"/>
        <w:rPr>
          <w:sz w:val="32"/>
        </w:rPr>
      </w:pPr>
    </w:p>
    <w:p w14:paraId="32895AE1">
      <w:pPr>
        <w:pStyle w:val="2"/>
      </w:pPr>
      <w:r>
        <w:br w:type="column"/>
      </w:r>
      <w:bookmarkStart w:id="2" w:name="_Toc223040468"/>
      <w:bookmarkStart w:id="3" w:name="_Toc223264629"/>
      <w:r>
        <w:t>Letter of Transmittal</w:t>
      </w:r>
      <w:bookmarkEnd w:id="2"/>
      <w:bookmarkEnd w:id="3"/>
      <w:r>
        <w:tab/>
      </w:r>
      <w:r>
        <w:tab/>
      </w:r>
      <w:r>
        <w:tab/>
      </w:r>
      <w:r>
        <w:tab/>
      </w:r>
      <w:r>
        <w:tab/>
      </w:r>
      <w:r>
        <w:tab/>
      </w:r>
      <w:r>
        <w:tab/>
      </w:r>
      <w:r>
        <w:tab/>
      </w:r>
    </w:p>
    <w:p w14:paraId="2862B76D">
      <w:r>
        <w:rPr>
          <w:rStyle w:val="25"/>
        </w:rPr>
        <w:br w:type="textWrapping"/>
      </w:r>
      <w:r>
        <w:rPr>
          <w:rStyle w:val="17"/>
        </w:rPr>
        <w:t>01</w:t>
      </w:r>
      <w:r>
        <w:rPr>
          <w:rStyle w:val="17"/>
          <w:vertAlign w:val="superscript"/>
        </w:rPr>
        <w:t>st</w:t>
      </w:r>
      <w:r>
        <w:rPr>
          <w:rStyle w:val="17"/>
        </w:rPr>
        <w:t xml:space="preserve"> March, 2026</w:t>
      </w:r>
    </w:p>
    <w:p w14:paraId="1DF7DA3E">
      <w:pPr>
        <w:pStyle w:val="16"/>
      </w:pPr>
      <w:r>
        <w:t>To,</w:t>
      </w:r>
      <w:r>
        <w:br w:type="textWrapping"/>
      </w:r>
      <w:r>
        <w:rPr>
          <w:rStyle w:val="17"/>
        </w:rPr>
        <w:t>Dr. James Bakul Sarkar</w:t>
      </w:r>
      <w:r>
        <w:br w:type="textWrapping"/>
      </w:r>
      <w:r>
        <w:t>Associate Professor, School of Business &amp; Economics (SoBE)</w:t>
      </w:r>
      <w:r>
        <w:br w:type="textWrapping"/>
      </w:r>
      <w:r>
        <w:t>United International University</w:t>
      </w:r>
    </w:p>
    <w:p w14:paraId="6C1FB404">
      <w:pPr>
        <w:pStyle w:val="16"/>
        <w:jc w:val="both"/>
      </w:pPr>
      <w:r>
        <w:rPr>
          <w:rStyle w:val="17"/>
        </w:rPr>
        <w:t>Subject:</w:t>
      </w:r>
      <w:r>
        <w:t xml:space="preserve"> Submission of Project Report on </w:t>
      </w:r>
      <w:r>
        <w:rPr>
          <w:rStyle w:val="12"/>
          <w:rFonts w:eastAsiaTheme="majorEastAsia"/>
        </w:rPr>
        <w:t>“Financial Statement Analysis of Five Conventional and Non-conventional Banks of Bangladesh”</w:t>
      </w:r>
    </w:p>
    <w:p w14:paraId="3B4651D6">
      <w:pPr>
        <w:pStyle w:val="16"/>
        <w:jc w:val="both"/>
      </w:pPr>
      <w:r>
        <w:t>Dear Sir,</w:t>
      </w:r>
    </w:p>
    <w:p w14:paraId="04783B8D">
      <w:pPr>
        <w:pStyle w:val="16"/>
        <w:jc w:val="both"/>
      </w:pPr>
      <w:r>
        <w:t xml:space="preserve">It is with great respect that I submit my project report titled </w:t>
      </w:r>
      <w:r>
        <w:rPr>
          <w:rStyle w:val="12"/>
          <w:rFonts w:eastAsiaTheme="majorEastAsia"/>
        </w:rPr>
        <w:t>“Financial Statement Analysis of Five Conventional and Non-conventional Banks of Bangladesh”</w:t>
      </w:r>
      <w:r>
        <w:t>, prepared under your guidance and in accordance with the requirements set by the university.</w:t>
      </w:r>
    </w:p>
    <w:p w14:paraId="07810F0D">
      <w:pPr>
        <w:pStyle w:val="16"/>
        <w:jc w:val="both"/>
      </w:pPr>
      <w:r>
        <w:t>I have made a sincere effort to prepare this report with accurate data, relevant analysis, and appropriate recommendations. The work reflects the knowledge and insights I have gained during my undergraduate studies, and I have done my best to align the content with the instructions and academic standards you provided.</w:t>
      </w:r>
    </w:p>
    <w:p w14:paraId="1F421423">
      <w:pPr>
        <w:pStyle w:val="16"/>
        <w:jc w:val="both"/>
      </w:pPr>
      <w:r>
        <w:t>To enrich the quality of the report, I have collected information from selected financial institutions to relate practical insights with theoretical frameworks. In addition, supporting data and references were gathered from various reliable sources to ensure the report is comprehensive and informative.</w:t>
      </w:r>
    </w:p>
    <w:p w14:paraId="50FF9B1A">
      <w:pPr>
        <w:pStyle w:val="16"/>
        <w:jc w:val="both"/>
      </w:pPr>
      <w:r>
        <w:t xml:space="preserve">I have strived to complete this report within the given timeline, and I hope it meets your expectations. Should you have any difficulty reviewing any section or require further clarification, please do not hesitate to contact me at </w:t>
      </w:r>
      <w:r>
        <w:rPr>
          <w:rStyle w:val="17"/>
        </w:rPr>
        <w:t>mhossain162018@bba-ais.uiu.ac.bd</w:t>
      </w:r>
      <w:r>
        <w:t xml:space="preserve"> or </w:t>
      </w:r>
      <w:r>
        <w:rPr>
          <w:rStyle w:val="17"/>
        </w:rPr>
        <w:t>01686500769</w:t>
      </w:r>
      <w:r>
        <w:t>.</w:t>
      </w:r>
    </w:p>
    <w:p w14:paraId="71333B70">
      <w:pPr>
        <w:pStyle w:val="16"/>
        <w:jc w:val="both"/>
      </w:pPr>
      <w:r>
        <w:t>Thank you once again for your valuable guidance, kind support, and thoughtful supervision throughout this project.</w:t>
      </w:r>
    </w:p>
    <w:p w14:paraId="1D9F14E6">
      <w:pPr>
        <w:pStyle w:val="16"/>
      </w:pPr>
      <w:r>
        <w:t>Sincerely,</w:t>
      </w:r>
      <w:r>
        <w:br w:type="textWrapping"/>
      </w:r>
      <w:r>
        <w:rPr>
          <w:rStyle w:val="17"/>
        </w:rPr>
        <w:t>Md. Sabuj Hossain</w:t>
      </w:r>
      <w:r>
        <w:br w:type="textWrapping"/>
      </w:r>
      <w:r>
        <w:t>ID: 114 162 018</w:t>
      </w:r>
      <w:r>
        <w:br w:type="textWrapping"/>
      </w:r>
      <w:r>
        <w:t>BBA in AIS</w:t>
      </w:r>
    </w:p>
    <w:p w14:paraId="14360545">
      <w:pPr>
        <w:pStyle w:val="2"/>
        <w:rPr>
          <w:b/>
        </w:rPr>
      </w:pPr>
      <w:r>
        <w:rPr>
          <w:rFonts w:eastAsia="Times New Roman"/>
          <w:color w:val="auto"/>
          <w:sz w:val="24"/>
          <w:szCs w:val="24"/>
        </w:rPr>
        <w:br w:type="column"/>
      </w:r>
      <w:bookmarkStart w:id="4" w:name="_Toc223040469"/>
      <w:bookmarkStart w:id="5" w:name="_Toc223264630"/>
      <w:r>
        <w:rPr>
          <w:rStyle w:val="17"/>
          <w:b w:val="0"/>
          <w:bCs w:val="0"/>
        </w:rPr>
        <w:t>Declaration</w:t>
      </w:r>
      <w:bookmarkEnd w:id="4"/>
      <w:bookmarkEnd w:id="5"/>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p>
    <w:p w14:paraId="34A8EC8E">
      <w:pPr>
        <w:pStyle w:val="16"/>
        <w:jc w:val="both"/>
      </w:pPr>
      <w:r>
        <w:t xml:space="preserve">I, </w:t>
      </w:r>
      <w:r>
        <w:rPr>
          <w:rStyle w:val="17"/>
        </w:rPr>
        <w:t>Md. Sabuj Hossain</w:t>
      </w:r>
      <w:r>
        <w:t xml:space="preserve">, a student of Bachelor of Business Administration in Accounting &amp; Information Systems (BBA in AIS), bearing ID: </w:t>
      </w:r>
      <w:r>
        <w:rPr>
          <w:rStyle w:val="17"/>
        </w:rPr>
        <w:t>114 162 018</w:t>
      </w:r>
      <w:r>
        <w:t xml:space="preserve">, hereby declare that the report titled </w:t>
      </w:r>
      <w:r>
        <w:rPr>
          <w:rStyle w:val="12"/>
          <w:rFonts w:eastAsiaTheme="majorEastAsia"/>
        </w:rPr>
        <w:t>“Financial Statement Analysis of Five Conventional and Non-conventional Banks of Bangladesh”</w:t>
      </w:r>
      <w:r>
        <w:t xml:space="preserve"> is my original and independent work, prepared as part of the Project course under the supervision of </w:t>
      </w:r>
      <w:r>
        <w:rPr>
          <w:rStyle w:val="17"/>
        </w:rPr>
        <w:t>Dr. James Bakul Sarkar</w:t>
      </w:r>
      <w:r>
        <w:t>, Associate Professor, School of Business &amp; Economics, United International University.</w:t>
      </w:r>
    </w:p>
    <w:p w14:paraId="1FEBC849">
      <w:pPr>
        <w:pStyle w:val="16"/>
        <w:jc w:val="both"/>
      </w:pPr>
      <w:r>
        <w:t xml:space="preserve">This report has been developed to fulfill the partial requirements for the completion of the </w:t>
      </w:r>
      <w:r>
        <w:rPr>
          <w:rStyle w:val="17"/>
        </w:rPr>
        <w:t>BBA in AIS</w:t>
      </w:r>
      <w:r>
        <w:t xml:space="preserve"> program. I also affirm that this work has not been submitted, nor will it be submitted, to any other institution, university, or publication such as newspapers or journals for the purpose of attaining any other degree, award, or academic credit. It is intended solely for submission to </w:t>
      </w:r>
      <w:r>
        <w:rPr>
          <w:rStyle w:val="17"/>
        </w:rPr>
        <w:t>United International University</w:t>
      </w:r>
      <w:r>
        <w:t xml:space="preserve"> as part of my academic requirement.</w:t>
      </w:r>
    </w:p>
    <w:p w14:paraId="3FFC1ACA">
      <w:pPr>
        <w:pStyle w:val="16"/>
      </w:pPr>
    </w:p>
    <w:p w14:paraId="38EA1F61">
      <w:pPr>
        <w:rPr>
          <w:rFonts w:ascii="Times New Roman" w:hAnsi="Times New Roman" w:eastAsia="Times New Roman" w:cs="Times New Roman"/>
          <w:sz w:val="24"/>
          <w:szCs w:val="24"/>
        </w:rPr>
      </w:pPr>
      <w:r>
        <w:br w:type="page"/>
      </w:r>
    </w:p>
    <w:p w14:paraId="09D9AA7B">
      <w:pPr>
        <w:pStyle w:val="2"/>
      </w:pPr>
      <w:bookmarkStart w:id="6" w:name="_Toc223264631"/>
      <w:bookmarkStart w:id="7" w:name="_Toc223040470"/>
      <w:r>
        <w:t>Abstract</w:t>
      </w:r>
      <w:bookmarkEnd w:id="6"/>
      <w:bookmarkEnd w:id="7"/>
      <w:r>
        <w:tab/>
      </w:r>
      <w:r>
        <w:tab/>
      </w:r>
      <w:r>
        <w:tab/>
      </w:r>
      <w:r>
        <w:tab/>
      </w:r>
      <w:r>
        <w:tab/>
      </w:r>
      <w:r>
        <w:tab/>
      </w:r>
      <w:r>
        <w:tab/>
      </w:r>
      <w:r>
        <w:tab/>
      </w:r>
      <w:r>
        <w:tab/>
      </w:r>
      <w:r>
        <w:tab/>
      </w:r>
      <w:r>
        <w:tab/>
      </w:r>
    </w:p>
    <w:p w14:paraId="4AFE6114">
      <w:pPr>
        <w:pStyle w:val="16"/>
        <w:jc w:val="both"/>
      </w:pPr>
      <w:r>
        <w:t>This report aims to evaluate the financial performance and condition of five conventional and non-conventional banks in Bangladesh over a three year period through the application of thirty distinct financial ratios. While conducting this study, both opportunities and limitations were encountered in gathering and analyzing data.</w:t>
      </w:r>
    </w:p>
    <w:p w14:paraId="62F695AB">
      <w:pPr>
        <w:pStyle w:val="16"/>
        <w:jc w:val="both"/>
      </w:pPr>
      <w:r>
        <w:t>The literature review provides a conceptual understanding of Financial Statement Analysis, incorporating insights and viewpoints from various researchers on the subject. It also outlines the types of data used, the methods of data collection, and the sample size employed in the study. An industry overview has been included to discuss the banking sector’s structure, key features, functions, and overall role within the economy. In addition, the numerical data and relevant information were collected from the annual reports published by the respective banks on their official websites.</w:t>
      </w:r>
    </w:p>
    <w:p w14:paraId="275375D6">
      <w:pPr>
        <w:pStyle w:val="16"/>
        <w:jc w:val="both"/>
      </w:pPr>
      <w:r>
        <w:t>The core section of the report Findings and Analysis presents a detailed, graphical examination of the financial performance of the selected banks, offering a comprehensive view of their financial health and trends over the three year span. The report concludes with a summary of the financial conditions observed and provides recommendations on whether the banks should enhance their performance or maintain their current strategies.</w:t>
      </w:r>
    </w:p>
    <w:p w14:paraId="74998669">
      <w:pPr>
        <w:pStyle w:val="16"/>
        <w:jc w:val="both"/>
      </w:pPr>
      <w:r>
        <w:rPr>
          <w:rStyle w:val="17"/>
        </w:rPr>
        <w:t>Keywords:</w:t>
      </w:r>
      <w:r>
        <w:t xml:space="preserve"> Financial Statement Analysis, Ratio Analysis, Financial Performance, Financial Statements, Banking Sector</w:t>
      </w:r>
    </w:p>
    <w:p w14:paraId="209448F9">
      <w:pPr>
        <w:rPr>
          <w:rFonts w:ascii="Times New Roman" w:hAnsi="Times New Roman" w:eastAsia="Times New Roman" w:cs="Times New Roman"/>
          <w:sz w:val="24"/>
          <w:szCs w:val="24"/>
        </w:rPr>
      </w:pPr>
      <w:r>
        <w:br w:type="page"/>
      </w:r>
    </w:p>
    <w:sdt>
      <w:sdtPr>
        <w:rPr>
          <w:rFonts w:asciiTheme="minorHAnsi" w:hAnsiTheme="minorHAnsi" w:eastAsiaTheme="minorHAnsi" w:cstheme="minorBidi"/>
          <w:b w:val="0"/>
          <w:bCs w:val="0"/>
          <w:color w:val="auto"/>
          <w:sz w:val="22"/>
          <w:szCs w:val="22"/>
          <w:u w:val="none"/>
        </w:rPr>
        <w:id w:val="6943569"/>
        <w:docPartObj>
          <w:docPartGallery w:val="Table of Contents"/>
          <w:docPartUnique/>
        </w:docPartObj>
      </w:sdtPr>
      <w:sdtEndPr>
        <w:rPr>
          <w:rFonts w:asciiTheme="minorHAnsi" w:hAnsiTheme="minorHAnsi" w:eastAsiaTheme="minorHAnsi" w:cstheme="minorBidi"/>
          <w:b w:val="0"/>
          <w:bCs w:val="0"/>
          <w:color w:val="auto"/>
          <w:sz w:val="22"/>
          <w:szCs w:val="22"/>
          <w:u w:val="none"/>
        </w:rPr>
      </w:sdtEndPr>
      <w:sdtContent>
        <w:p w14:paraId="661BF409">
          <w:pPr>
            <w:pStyle w:val="3"/>
          </w:pPr>
          <w:bookmarkStart w:id="8" w:name="_Toc223264632"/>
          <w:r>
            <w:t>Table of Contents</w:t>
          </w:r>
          <w:bookmarkEnd w:id="8"/>
        </w:p>
        <w:p w14:paraId="7E3EFFDC">
          <w:pPr>
            <w:pStyle w:val="22"/>
            <w:tabs>
              <w:tab w:val="right" w:leader="dot" w:pos="9350"/>
            </w:tabs>
            <w:rPr>
              <w:rFonts w:ascii="Times New Roman" w:hAnsi="Times New Roman" w:cs="Times New Roman" w:eastAsiaTheme="minorEastAsia"/>
            </w:rPr>
          </w:pPr>
          <w:r>
            <w:fldChar w:fldCharType="begin"/>
          </w:r>
          <w:r>
            <w:instrText xml:space="preserve"> TOC \o "1-3" \h \z \u </w:instrText>
          </w:r>
          <w:r>
            <w:fldChar w:fldCharType="separate"/>
          </w:r>
          <w:r>
            <w:fldChar w:fldCharType="begin"/>
          </w:r>
          <w:r>
            <w:instrText xml:space="preserve"> HYPERLINK \l "_Toc223264628" </w:instrText>
          </w:r>
          <w:r>
            <w:fldChar w:fldCharType="separate"/>
          </w:r>
          <w:r>
            <w:rPr>
              <w:rStyle w:val="15"/>
              <w:rFonts w:ascii="Times New Roman" w:hAnsi="Times New Roman" w:cs="Times New Roman"/>
            </w:rPr>
            <w:t>Acknowledgement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_Toc223264628 \h </w:instrText>
          </w:r>
          <w:r>
            <w:rPr>
              <w:rFonts w:ascii="Times New Roman" w:hAnsi="Times New Roman" w:cs="Times New Roman"/>
            </w:rPr>
            <w:fldChar w:fldCharType="separate"/>
          </w:r>
          <w:r>
            <w:rPr>
              <w:rFonts w:ascii="Times New Roman" w:hAnsi="Times New Roman" w:cs="Times New Roman"/>
            </w:rPr>
            <w:t>ii</w:t>
          </w:r>
          <w:r>
            <w:rPr>
              <w:rFonts w:ascii="Times New Roman" w:hAnsi="Times New Roman" w:cs="Times New Roman"/>
            </w:rPr>
            <w:fldChar w:fldCharType="end"/>
          </w:r>
          <w:r>
            <w:rPr>
              <w:rFonts w:ascii="Times New Roman" w:hAnsi="Times New Roman" w:cs="Times New Roman"/>
            </w:rPr>
            <w:fldChar w:fldCharType="end"/>
          </w:r>
        </w:p>
        <w:p w14:paraId="0B0CCAC9">
          <w:pPr>
            <w:pStyle w:val="22"/>
            <w:tabs>
              <w:tab w:val="right" w:leader="dot" w:pos="9350"/>
            </w:tabs>
            <w:rPr>
              <w:rFonts w:ascii="Times New Roman" w:hAnsi="Times New Roman" w:cs="Times New Roman" w:eastAsiaTheme="minorEastAsia"/>
            </w:rPr>
          </w:pPr>
          <w:r>
            <w:fldChar w:fldCharType="begin"/>
          </w:r>
          <w:r>
            <w:instrText xml:space="preserve"> HYPERLINK \l "_Toc223264629" </w:instrText>
          </w:r>
          <w:r>
            <w:fldChar w:fldCharType="separate"/>
          </w:r>
          <w:r>
            <w:rPr>
              <w:rStyle w:val="15"/>
              <w:rFonts w:ascii="Times New Roman" w:hAnsi="Times New Roman" w:cs="Times New Roman"/>
            </w:rPr>
            <w:t>Letter of Transmittal</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_Toc223264629 \h </w:instrText>
          </w:r>
          <w:r>
            <w:rPr>
              <w:rFonts w:ascii="Times New Roman" w:hAnsi="Times New Roman" w:cs="Times New Roman"/>
            </w:rPr>
            <w:fldChar w:fldCharType="separate"/>
          </w:r>
          <w:r>
            <w:rPr>
              <w:rFonts w:ascii="Times New Roman" w:hAnsi="Times New Roman" w:cs="Times New Roman"/>
            </w:rPr>
            <w:t>iii</w:t>
          </w:r>
          <w:r>
            <w:rPr>
              <w:rFonts w:ascii="Times New Roman" w:hAnsi="Times New Roman" w:cs="Times New Roman"/>
            </w:rPr>
            <w:fldChar w:fldCharType="end"/>
          </w:r>
          <w:r>
            <w:rPr>
              <w:rFonts w:ascii="Times New Roman" w:hAnsi="Times New Roman" w:cs="Times New Roman"/>
            </w:rPr>
            <w:fldChar w:fldCharType="end"/>
          </w:r>
        </w:p>
        <w:p w14:paraId="571EA736">
          <w:pPr>
            <w:pStyle w:val="22"/>
            <w:tabs>
              <w:tab w:val="right" w:leader="dot" w:pos="9350"/>
            </w:tabs>
            <w:rPr>
              <w:rFonts w:ascii="Times New Roman" w:hAnsi="Times New Roman" w:cs="Times New Roman" w:eastAsiaTheme="minorEastAsia"/>
            </w:rPr>
          </w:pPr>
          <w:r>
            <w:fldChar w:fldCharType="begin"/>
          </w:r>
          <w:r>
            <w:instrText xml:space="preserve"> HYPERLINK \l "_Toc223264630" </w:instrText>
          </w:r>
          <w:r>
            <w:fldChar w:fldCharType="separate"/>
          </w:r>
          <w:r>
            <w:rPr>
              <w:rStyle w:val="15"/>
              <w:rFonts w:ascii="Times New Roman" w:hAnsi="Times New Roman" w:cs="Times New Roman"/>
            </w:rPr>
            <w:t>Declaration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_Toc223264630 \h </w:instrText>
          </w:r>
          <w:r>
            <w:rPr>
              <w:rFonts w:ascii="Times New Roman" w:hAnsi="Times New Roman" w:cs="Times New Roman"/>
            </w:rPr>
            <w:fldChar w:fldCharType="separate"/>
          </w:r>
          <w:r>
            <w:rPr>
              <w:rFonts w:ascii="Times New Roman" w:hAnsi="Times New Roman" w:cs="Times New Roman"/>
            </w:rPr>
            <w:t>iv</w:t>
          </w:r>
          <w:r>
            <w:rPr>
              <w:rFonts w:ascii="Times New Roman" w:hAnsi="Times New Roman" w:cs="Times New Roman"/>
            </w:rPr>
            <w:fldChar w:fldCharType="end"/>
          </w:r>
          <w:r>
            <w:rPr>
              <w:rFonts w:ascii="Times New Roman" w:hAnsi="Times New Roman" w:cs="Times New Roman"/>
            </w:rPr>
            <w:fldChar w:fldCharType="end"/>
          </w:r>
        </w:p>
        <w:p w14:paraId="799D479F">
          <w:pPr>
            <w:pStyle w:val="22"/>
            <w:tabs>
              <w:tab w:val="right" w:leader="dot" w:pos="9350"/>
            </w:tabs>
            <w:rPr>
              <w:rFonts w:ascii="Times New Roman" w:hAnsi="Times New Roman" w:cs="Times New Roman" w:eastAsiaTheme="minorEastAsia"/>
            </w:rPr>
          </w:pPr>
          <w:r>
            <w:fldChar w:fldCharType="begin"/>
          </w:r>
          <w:r>
            <w:instrText xml:space="preserve"> HYPERLINK \l "_Toc223264631" </w:instrText>
          </w:r>
          <w:r>
            <w:fldChar w:fldCharType="separate"/>
          </w:r>
          <w:r>
            <w:rPr>
              <w:rStyle w:val="15"/>
              <w:rFonts w:ascii="Times New Roman" w:hAnsi="Times New Roman" w:cs="Times New Roman"/>
            </w:rPr>
            <w:t>Abstract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_Toc223264631 \h </w:instrText>
          </w:r>
          <w:r>
            <w:rPr>
              <w:rFonts w:ascii="Times New Roman" w:hAnsi="Times New Roman" w:cs="Times New Roman"/>
            </w:rPr>
            <w:fldChar w:fldCharType="separate"/>
          </w:r>
          <w:r>
            <w:rPr>
              <w:rFonts w:ascii="Times New Roman" w:hAnsi="Times New Roman" w:cs="Times New Roman"/>
            </w:rPr>
            <w:t>v</w:t>
          </w:r>
          <w:r>
            <w:rPr>
              <w:rFonts w:ascii="Times New Roman" w:hAnsi="Times New Roman" w:cs="Times New Roman"/>
            </w:rPr>
            <w:fldChar w:fldCharType="end"/>
          </w:r>
          <w:r>
            <w:rPr>
              <w:rFonts w:ascii="Times New Roman" w:hAnsi="Times New Roman" w:cs="Times New Roman"/>
            </w:rPr>
            <w:fldChar w:fldCharType="end"/>
          </w:r>
        </w:p>
        <w:p w14:paraId="34A3CF2F">
          <w:pPr>
            <w:pStyle w:val="23"/>
            <w:tabs>
              <w:tab w:val="right" w:leader="dot" w:pos="9350"/>
            </w:tabs>
            <w:rPr>
              <w:rFonts w:ascii="Times New Roman" w:hAnsi="Times New Roman" w:cs="Times New Roman" w:eastAsiaTheme="minorEastAsia"/>
            </w:rPr>
          </w:pPr>
          <w:r>
            <w:fldChar w:fldCharType="begin"/>
          </w:r>
          <w:r>
            <w:instrText xml:space="preserve"> HYPERLINK \l "_Toc223264632" </w:instrText>
          </w:r>
          <w:r>
            <w:fldChar w:fldCharType="separate"/>
          </w:r>
          <w:r>
            <w:rPr>
              <w:rStyle w:val="15"/>
              <w:rFonts w:ascii="Times New Roman" w:hAnsi="Times New Roman" w:cs="Times New Roman"/>
            </w:rPr>
            <w:t>Table of Contents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_Toc223264632 \h </w:instrText>
          </w:r>
          <w:r>
            <w:rPr>
              <w:rFonts w:ascii="Times New Roman" w:hAnsi="Times New Roman" w:cs="Times New Roman"/>
            </w:rPr>
            <w:fldChar w:fldCharType="separate"/>
          </w:r>
          <w:r>
            <w:rPr>
              <w:rFonts w:ascii="Times New Roman" w:hAnsi="Times New Roman" w:cs="Times New Roman"/>
            </w:rPr>
            <w:t>vi</w:t>
          </w:r>
          <w:r>
            <w:rPr>
              <w:rFonts w:ascii="Times New Roman" w:hAnsi="Times New Roman" w:cs="Times New Roman"/>
            </w:rPr>
            <w:fldChar w:fldCharType="end"/>
          </w:r>
          <w:r>
            <w:rPr>
              <w:rFonts w:ascii="Times New Roman" w:hAnsi="Times New Roman" w:cs="Times New Roman"/>
            </w:rPr>
            <w:fldChar w:fldCharType="end"/>
          </w:r>
        </w:p>
        <w:p w14:paraId="41553A6D">
          <w:pPr>
            <w:pStyle w:val="22"/>
            <w:tabs>
              <w:tab w:val="right" w:leader="dot" w:pos="9350"/>
            </w:tabs>
            <w:rPr>
              <w:rFonts w:ascii="Times New Roman" w:hAnsi="Times New Roman" w:cs="Times New Roman" w:eastAsiaTheme="minorEastAsia"/>
            </w:rPr>
          </w:pPr>
          <w:r>
            <w:fldChar w:fldCharType="begin"/>
          </w:r>
          <w:r>
            <w:instrText xml:space="preserve"> HYPERLINK \l "_Toc223264633" </w:instrText>
          </w:r>
          <w:r>
            <w:fldChar w:fldCharType="separate"/>
          </w:r>
          <w:r>
            <w:rPr>
              <w:rStyle w:val="15"/>
              <w:rFonts w:ascii="Times New Roman" w:hAnsi="Times New Roman" w:cs="Times New Roman"/>
            </w:rPr>
            <w:t>LIST OF FIGURES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_Toc223264633 \h </w:instrText>
          </w:r>
          <w:r>
            <w:rPr>
              <w:rFonts w:ascii="Times New Roman" w:hAnsi="Times New Roman" w:cs="Times New Roman"/>
            </w:rPr>
            <w:fldChar w:fldCharType="separate"/>
          </w:r>
          <w:r>
            <w:rPr>
              <w:rFonts w:ascii="Times New Roman" w:hAnsi="Times New Roman" w:cs="Times New Roman"/>
            </w:rPr>
            <w:t>vii</w:t>
          </w:r>
          <w:r>
            <w:rPr>
              <w:rFonts w:ascii="Times New Roman" w:hAnsi="Times New Roman" w:cs="Times New Roman"/>
            </w:rPr>
            <w:fldChar w:fldCharType="end"/>
          </w:r>
          <w:r>
            <w:rPr>
              <w:rFonts w:ascii="Times New Roman" w:hAnsi="Times New Roman" w:cs="Times New Roman"/>
            </w:rPr>
            <w:fldChar w:fldCharType="end"/>
          </w:r>
        </w:p>
        <w:p w14:paraId="2BE0CCCD">
          <w:pPr>
            <w:pStyle w:val="22"/>
            <w:tabs>
              <w:tab w:val="right" w:leader="dot" w:pos="9350"/>
            </w:tabs>
            <w:rPr>
              <w:rFonts w:ascii="Times New Roman" w:hAnsi="Times New Roman" w:cs="Times New Roman" w:eastAsiaTheme="minorEastAsia"/>
            </w:rPr>
          </w:pPr>
          <w:r>
            <w:fldChar w:fldCharType="begin"/>
          </w:r>
          <w:r>
            <w:instrText xml:space="preserve"> HYPERLINK \l "_Toc223264634" </w:instrText>
          </w:r>
          <w:r>
            <w:fldChar w:fldCharType="separate"/>
          </w:r>
          <w:r>
            <w:rPr>
              <w:rStyle w:val="15"/>
              <w:rFonts w:ascii="Times New Roman" w:hAnsi="Times New Roman" w:cs="Times New Roman"/>
            </w:rPr>
            <w:t>Chapter 1: Introduction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_Toc223264634 \h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fldChar w:fldCharType="end"/>
          </w:r>
        </w:p>
        <w:p w14:paraId="4DE85DB3">
          <w:pPr>
            <w:pStyle w:val="23"/>
            <w:tabs>
              <w:tab w:val="right" w:leader="dot" w:pos="9350"/>
            </w:tabs>
            <w:rPr>
              <w:rFonts w:ascii="Times New Roman" w:hAnsi="Times New Roman" w:cs="Times New Roman" w:eastAsiaTheme="minorEastAsia"/>
            </w:rPr>
          </w:pPr>
          <w:r>
            <w:fldChar w:fldCharType="begin"/>
          </w:r>
          <w:r>
            <w:instrText xml:space="preserve"> HYPERLINK \l "_Toc223264635" </w:instrText>
          </w:r>
          <w:r>
            <w:fldChar w:fldCharType="separate"/>
          </w:r>
          <w:r>
            <w:rPr>
              <w:rStyle w:val="15"/>
              <w:rFonts w:ascii="Times New Roman" w:hAnsi="Times New Roman" w:cs="Times New Roman"/>
            </w:rPr>
            <w:t>1.1 Introduction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_Toc223264635 \h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r>
            <w:rPr>
              <w:rFonts w:ascii="Times New Roman" w:hAnsi="Times New Roman" w:cs="Times New Roman"/>
            </w:rPr>
            <w:fldChar w:fldCharType="end"/>
          </w:r>
        </w:p>
        <w:p w14:paraId="223E2BFB">
          <w:pPr>
            <w:pStyle w:val="23"/>
            <w:tabs>
              <w:tab w:val="right" w:leader="dot" w:pos="9350"/>
            </w:tabs>
            <w:rPr>
              <w:rFonts w:ascii="Times New Roman" w:hAnsi="Times New Roman" w:cs="Times New Roman" w:eastAsiaTheme="minorEastAsia"/>
            </w:rPr>
          </w:pPr>
          <w:r>
            <w:fldChar w:fldCharType="begin"/>
          </w:r>
          <w:r>
            <w:instrText xml:space="preserve"> HYPERLINK \l "_Toc223264636" </w:instrText>
          </w:r>
          <w:r>
            <w:fldChar w:fldCharType="separate"/>
          </w:r>
          <w:r>
            <w:rPr>
              <w:rStyle w:val="15"/>
              <w:rFonts w:ascii="Times New Roman" w:hAnsi="Times New Roman" w:cs="Times New Roman"/>
            </w:rPr>
            <w:t>1.2 Objectives of the Study</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_Toc223264636 \h </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r>
            <w:rPr>
              <w:rFonts w:ascii="Times New Roman" w:hAnsi="Times New Roman" w:cs="Times New Roman"/>
            </w:rPr>
            <w:fldChar w:fldCharType="end"/>
          </w:r>
        </w:p>
        <w:p w14:paraId="2BC49CCC">
          <w:pPr>
            <w:pStyle w:val="23"/>
            <w:tabs>
              <w:tab w:val="right" w:leader="dot" w:pos="9350"/>
            </w:tabs>
            <w:rPr>
              <w:rFonts w:ascii="Times New Roman" w:hAnsi="Times New Roman" w:cs="Times New Roman" w:eastAsiaTheme="minorEastAsia"/>
            </w:rPr>
          </w:pPr>
          <w:r>
            <w:fldChar w:fldCharType="begin"/>
          </w:r>
          <w:r>
            <w:instrText xml:space="preserve"> HYPERLINK \l "_Toc223264637" </w:instrText>
          </w:r>
          <w:r>
            <w:fldChar w:fldCharType="separate"/>
          </w:r>
          <w:r>
            <w:rPr>
              <w:rStyle w:val="15"/>
              <w:rFonts w:ascii="Times New Roman" w:hAnsi="Times New Roman" w:cs="Times New Roman"/>
            </w:rPr>
            <w:t>1.3 Rationale of the Report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_Toc223264637 \h </w:instrText>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r>
            <w:rPr>
              <w:rFonts w:ascii="Times New Roman" w:hAnsi="Times New Roman" w:cs="Times New Roman"/>
            </w:rPr>
            <w:fldChar w:fldCharType="end"/>
          </w:r>
        </w:p>
        <w:p w14:paraId="48A61263">
          <w:pPr>
            <w:pStyle w:val="23"/>
            <w:tabs>
              <w:tab w:val="right" w:leader="dot" w:pos="9350"/>
            </w:tabs>
            <w:rPr>
              <w:rFonts w:ascii="Times New Roman" w:hAnsi="Times New Roman" w:cs="Times New Roman" w:eastAsiaTheme="minorEastAsia"/>
            </w:rPr>
          </w:pPr>
          <w:r>
            <w:fldChar w:fldCharType="begin"/>
          </w:r>
          <w:r>
            <w:instrText xml:space="preserve"> HYPERLINK \l "_Toc223264638" </w:instrText>
          </w:r>
          <w:r>
            <w:fldChar w:fldCharType="separate"/>
          </w:r>
          <w:r>
            <w:rPr>
              <w:rStyle w:val="15"/>
              <w:rFonts w:ascii="Times New Roman" w:hAnsi="Times New Roman" w:cs="Times New Roman"/>
            </w:rPr>
            <w:t>1.4 Scope of the Report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_Toc223264638 \h </w:instrText>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r>
            <w:rPr>
              <w:rFonts w:ascii="Times New Roman" w:hAnsi="Times New Roman" w:cs="Times New Roman"/>
            </w:rPr>
            <w:fldChar w:fldCharType="end"/>
          </w:r>
        </w:p>
        <w:p w14:paraId="27836846">
          <w:pPr>
            <w:pStyle w:val="23"/>
            <w:tabs>
              <w:tab w:val="right" w:leader="dot" w:pos="9350"/>
            </w:tabs>
            <w:rPr>
              <w:rFonts w:ascii="Times New Roman" w:hAnsi="Times New Roman" w:cs="Times New Roman" w:eastAsiaTheme="minorEastAsia"/>
            </w:rPr>
          </w:pPr>
          <w:r>
            <w:fldChar w:fldCharType="begin"/>
          </w:r>
          <w:r>
            <w:instrText xml:space="preserve"> HYPERLINK \l "_Toc223264639" </w:instrText>
          </w:r>
          <w:r>
            <w:fldChar w:fldCharType="separate"/>
          </w:r>
          <w:r>
            <w:rPr>
              <w:rStyle w:val="15"/>
              <w:rFonts w:ascii="Times New Roman" w:hAnsi="Times New Roman" w:cs="Times New Roman"/>
            </w:rPr>
            <w:t>1.5 Limitations of the Study</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_Toc223264639 \h </w:instrText>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r>
            <w:rPr>
              <w:rFonts w:ascii="Times New Roman" w:hAnsi="Times New Roman" w:cs="Times New Roman"/>
            </w:rPr>
            <w:fldChar w:fldCharType="end"/>
          </w:r>
        </w:p>
        <w:p w14:paraId="4E963E0B">
          <w:pPr>
            <w:pStyle w:val="22"/>
            <w:tabs>
              <w:tab w:val="right" w:leader="dot" w:pos="9350"/>
            </w:tabs>
            <w:rPr>
              <w:rFonts w:ascii="Times New Roman" w:hAnsi="Times New Roman" w:cs="Times New Roman" w:eastAsiaTheme="minorEastAsia"/>
            </w:rPr>
          </w:pPr>
          <w:r>
            <w:fldChar w:fldCharType="begin"/>
          </w:r>
          <w:r>
            <w:instrText xml:space="preserve"> HYPERLINK \l "_Toc223264640" </w:instrText>
          </w:r>
          <w:r>
            <w:fldChar w:fldCharType="separate"/>
          </w:r>
          <w:r>
            <w:rPr>
              <w:rStyle w:val="15"/>
              <w:rFonts w:ascii="Times New Roman" w:hAnsi="Times New Roman" w:cs="Times New Roman"/>
            </w:rPr>
            <w:t>Chapter 2: Literature Review</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_Toc223264640 \h </w:instrText>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r>
            <w:rPr>
              <w:rFonts w:ascii="Times New Roman" w:hAnsi="Times New Roman" w:cs="Times New Roman"/>
            </w:rPr>
            <w:fldChar w:fldCharType="end"/>
          </w:r>
        </w:p>
        <w:p w14:paraId="408F2455">
          <w:pPr>
            <w:pStyle w:val="23"/>
            <w:tabs>
              <w:tab w:val="right" w:leader="dot" w:pos="9350"/>
            </w:tabs>
            <w:rPr>
              <w:rFonts w:ascii="Times New Roman" w:hAnsi="Times New Roman" w:cs="Times New Roman" w:eastAsiaTheme="minorEastAsia"/>
            </w:rPr>
          </w:pPr>
          <w:r>
            <w:fldChar w:fldCharType="begin"/>
          </w:r>
          <w:r>
            <w:instrText xml:space="preserve"> HYPERLINK \l "_Toc223264641" </w:instrText>
          </w:r>
          <w:r>
            <w:fldChar w:fldCharType="separate"/>
          </w:r>
          <w:r>
            <w:rPr>
              <w:rStyle w:val="15"/>
              <w:rFonts w:ascii="Times New Roman" w:hAnsi="Times New Roman" w:cs="Times New Roman"/>
            </w:rPr>
            <w:t>2.1 Financial Statements and Their Purpose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_Toc223264641 \h </w:instrText>
          </w:r>
          <w:r>
            <w:rPr>
              <w:rFonts w:ascii="Times New Roman" w:hAnsi="Times New Roman" w:cs="Times New Roman"/>
            </w:rPr>
            <w:fldChar w:fldCharType="separate"/>
          </w:r>
          <w:r>
            <w:rPr>
              <w:rFonts w:ascii="Times New Roman" w:hAnsi="Times New Roman" w:cs="Times New Roman"/>
            </w:rPr>
            <w:t>7</w:t>
          </w:r>
          <w:r>
            <w:rPr>
              <w:rFonts w:ascii="Times New Roman" w:hAnsi="Times New Roman" w:cs="Times New Roman"/>
            </w:rPr>
            <w:fldChar w:fldCharType="end"/>
          </w:r>
          <w:r>
            <w:rPr>
              <w:rFonts w:ascii="Times New Roman" w:hAnsi="Times New Roman" w:cs="Times New Roman"/>
            </w:rPr>
            <w:fldChar w:fldCharType="end"/>
          </w:r>
        </w:p>
        <w:p w14:paraId="08926E01">
          <w:pPr>
            <w:pStyle w:val="23"/>
            <w:tabs>
              <w:tab w:val="right" w:leader="dot" w:pos="9350"/>
            </w:tabs>
            <w:rPr>
              <w:rFonts w:ascii="Times New Roman" w:hAnsi="Times New Roman" w:cs="Times New Roman" w:eastAsiaTheme="minorEastAsia"/>
            </w:rPr>
          </w:pPr>
          <w:r>
            <w:fldChar w:fldCharType="begin"/>
          </w:r>
          <w:r>
            <w:instrText xml:space="preserve"> HYPERLINK \l "_Toc223264642" </w:instrText>
          </w:r>
          <w:r>
            <w:fldChar w:fldCharType="separate"/>
          </w:r>
          <w:r>
            <w:rPr>
              <w:rStyle w:val="15"/>
              <w:rFonts w:ascii="Times New Roman" w:hAnsi="Times New Roman" w:cs="Times New Roman"/>
            </w:rPr>
            <w:t>2.2 Financial Statement Analysis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_Toc223264642 \h </w:instrText>
          </w:r>
          <w:r>
            <w:rPr>
              <w:rFonts w:ascii="Times New Roman" w:hAnsi="Times New Roman" w:cs="Times New Roman"/>
            </w:rPr>
            <w:fldChar w:fldCharType="separate"/>
          </w:r>
          <w:r>
            <w:rPr>
              <w:rFonts w:ascii="Times New Roman" w:hAnsi="Times New Roman" w:cs="Times New Roman"/>
            </w:rPr>
            <w:t>7</w:t>
          </w:r>
          <w:r>
            <w:rPr>
              <w:rFonts w:ascii="Times New Roman" w:hAnsi="Times New Roman" w:cs="Times New Roman"/>
            </w:rPr>
            <w:fldChar w:fldCharType="end"/>
          </w:r>
          <w:r>
            <w:rPr>
              <w:rFonts w:ascii="Times New Roman" w:hAnsi="Times New Roman" w:cs="Times New Roman"/>
            </w:rPr>
            <w:fldChar w:fldCharType="end"/>
          </w:r>
        </w:p>
        <w:p w14:paraId="3321A09C">
          <w:pPr>
            <w:pStyle w:val="23"/>
            <w:tabs>
              <w:tab w:val="right" w:leader="dot" w:pos="9350"/>
            </w:tabs>
            <w:rPr>
              <w:rFonts w:ascii="Times New Roman" w:hAnsi="Times New Roman" w:cs="Times New Roman" w:eastAsiaTheme="minorEastAsia"/>
            </w:rPr>
          </w:pPr>
          <w:r>
            <w:fldChar w:fldCharType="begin"/>
          </w:r>
          <w:r>
            <w:instrText xml:space="preserve"> HYPERLINK \l "_Toc223264643" </w:instrText>
          </w:r>
          <w:r>
            <w:fldChar w:fldCharType="separate"/>
          </w:r>
          <w:r>
            <w:rPr>
              <w:rStyle w:val="15"/>
              <w:rFonts w:ascii="Times New Roman" w:hAnsi="Times New Roman" w:cs="Times New Roman"/>
            </w:rPr>
            <w:t>3.3 Comparative Analysis Approaches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_Toc223264643 \h </w:instrText>
          </w:r>
          <w:r>
            <w:rPr>
              <w:rFonts w:ascii="Times New Roman" w:hAnsi="Times New Roman" w:cs="Times New Roman"/>
            </w:rPr>
            <w:fldChar w:fldCharType="separate"/>
          </w:r>
          <w:r>
            <w:rPr>
              <w:rFonts w:ascii="Times New Roman" w:hAnsi="Times New Roman" w:cs="Times New Roman"/>
            </w:rPr>
            <w:t>7</w:t>
          </w:r>
          <w:r>
            <w:rPr>
              <w:rFonts w:ascii="Times New Roman" w:hAnsi="Times New Roman" w:cs="Times New Roman"/>
            </w:rPr>
            <w:fldChar w:fldCharType="end"/>
          </w:r>
          <w:r>
            <w:rPr>
              <w:rFonts w:ascii="Times New Roman" w:hAnsi="Times New Roman" w:cs="Times New Roman"/>
            </w:rPr>
            <w:fldChar w:fldCharType="end"/>
          </w:r>
        </w:p>
        <w:p w14:paraId="214200D3">
          <w:pPr>
            <w:pStyle w:val="23"/>
            <w:tabs>
              <w:tab w:val="right" w:leader="dot" w:pos="9350"/>
            </w:tabs>
            <w:rPr>
              <w:rFonts w:ascii="Times New Roman" w:hAnsi="Times New Roman" w:cs="Times New Roman" w:eastAsiaTheme="minorEastAsia"/>
            </w:rPr>
          </w:pPr>
          <w:r>
            <w:fldChar w:fldCharType="begin"/>
          </w:r>
          <w:r>
            <w:instrText xml:space="preserve"> HYPERLINK \l "_Toc223264644" </w:instrText>
          </w:r>
          <w:r>
            <w:fldChar w:fldCharType="separate"/>
          </w:r>
          <w:r>
            <w:rPr>
              <w:rStyle w:val="15"/>
              <w:rFonts w:ascii="Times New Roman" w:hAnsi="Times New Roman" w:cs="Times New Roman"/>
            </w:rPr>
            <w:t>3.4 Effective Financial Statement Analysis: Key Considerations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_Toc223264644 \h </w:instrText>
          </w:r>
          <w:r>
            <w:rPr>
              <w:rFonts w:ascii="Times New Roman" w:hAnsi="Times New Roman" w:cs="Times New Roman"/>
            </w:rPr>
            <w:fldChar w:fldCharType="separate"/>
          </w:r>
          <w:r>
            <w:rPr>
              <w:rFonts w:ascii="Times New Roman" w:hAnsi="Times New Roman" w:cs="Times New Roman"/>
            </w:rPr>
            <w:t>8</w:t>
          </w:r>
          <w:r>
            <w:rPr>
              <w:rFonts w:ascii="Times New Roman" w:hAnsi="Times New Roman" w:cs="Times New Roman"/>
            </w:rPr>
            <w:fldChar w:fldCharType="end"/>
          </w:r>
          <w:r>
            <w:rPr>
              <w:rFonts w:ascii="Times New Roman" w:hAnsi="Times New Roman" w:cs="Times New Roman"/>
            </w:rPr>
            <w:fldChar w:fldCharType="end"/>
          </w:r>
        </w:p>
        <w:p w14:paraId="7F3173A9">
          <w:pPr>
            <w:pStyle w:val="23"/>
            <w:tabs>
              <w:tab w:val="right" w:leader="dot" w:pos="9350"/>
            </w:tabs>
            <w:rPr>
              <w:rFonts w:ascii="Times New Roman" w:hAnsi="Times New Roman" w:cs="Times New Roman" w:eastAsiaTheme="minorEastAsia"/>
            </w:rPr>
          </w:pPr>
          <w:r>
            <w:fldChar w:fldCharType="begin"/>
          </w:r>
          <w:r>
            <w:instrText xml:space="preserve"> HYPERLINK \l "_Toc223264645" </w:instrText>
          </w:r>
          <w:r>
            <w:fldChar w:fldCharType="separate"/>
          </w:r>
          <w:r>
            <w:rPr>
              <w:rStyle w:val="15"/>
              <w:rFonts w:ascii="Times New Roman" w:hAnsi="Times New Roman" w:cs="Times New Roman"/>
            </w:rPr>
            <w:t>3.5 Tools and Techniques of Financial Statement Analysis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_Toc223264645 \h </w:instrText>
          </w:r>
          <w:r>
            <w:rPr>
              <w:rFonts w:ascii="Times New Roman" w:hAnsi="Times New Roman" w:cs="Times New Roman"/>
            </w:rPr>
            <w:fldChar w:fldCharType="separate"/>
          </w:r>
          <w:r>
            <w:rPr>
              <w:rFonts w:ascii="Times New Roman" w:hAnsi="Times New Roman" w:cs="Times New Roman"/>
            </w:rPr>
            <w:t>8</w:t>
          </w:r>
          <w:r>
            <w:rPr>
              <w:rFonts w:ascii="Times New Roman" w:hAnsi="Times New Roman" w:cs="Times New Roman"/>
            </w:rPr>
            <w:fldChar w:fldCharType="end"/>
          </w:r>
          <w:r>
            <w:rPr>
              <w:rFonts w:ascii="Times New Roman" w:hAnsi="Times New Roman" w:cs="Times New Roman"/>
            </w:rPr>
            <w:fldChar w:fldCharType="end"/>
          </w:r>
        </w:p>
        <w:p w14:paraId="10A4FF94">
          <w:pPr>
            <w:pStyle w:val="22"/>
            <w:tabs>
              <w:tab w:val="right" w:leader="dot" w:pos="9350"/>
            </w:tabs>
            <w:rPr>
              <w:rFonts w:ascii="Times New Roman" w:hAnsi="Times New Roman" w:cs="Times New Roman" w:eastAsiaTheme="minorEastAsia"/>
            </w:rPr>
          </w:pPr>
          <w:r>
            <w:fldChar w:fldCharType="begin"/>
          </w:r>
          <w:r>
            <w:instrText xml:space="preserve"> HYPERLINK \l "_Toc223264646" </w:instrText>
          </w:r>
          <w:r>
            <w:fldChar w:fldCharType="separate"/>
          </w:r>
          <w:r>
            <w:rPr>
              <w:rStyle w:val="15"/>
              <w:rFonts w:ascii="Times New Roman" w:hAnsi="Times New Roman" w:cs="Times New Roman"/>
            </w:rPr>
            <w:t>Chapter 4: Methodology</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_Toc223264646 \h </w:instrText>
          </w:r>
          <w:r>
            <w:rPr>
              <w:rFonts w:ascii="Times New Roman" w:hAnsi="Times New Roman" w:cs="Times New Roman"/>
            </w:rPr>
            <w:fldChar w:fldCharType="separate"/>
          </w:r>
          <w:r>
            <w:rPr>
              <w:rFonts w:ascii="Times New Roman" w:hAnsi="Times New Roman" w:cs="Times New Roman"/>
            </w:rPr>
            <w:t>10</w:t>
          </w:r>
          <w:r>
            <w:rPr>
              <w:rFonts w:ascii="Times New Roman" w:hAnsi="Times New Roman" w:cs="Times New Roman"/>
            </w:rPr>
            <w:fldChar w:fldCharType="end"/>
          </w:r>
          <w:r>
            <w:rPr>
              <w:rFonts w:ascii="Times New Roman" w:hAnsi="Times New Roman" w:cs="Times New Roman"/>
            </w:rPr>
            <w:fldChar w:fldCharType="end"/>
          </w:r>
        </w:p>
        <w:p w14:paraId="41EB8435">
          <w:pPr>
            <w:pStyle w:val="23"/>
            <w:tabs>
              <w:tab w:val="right" w:leader="dot" w:pos="9350"/>
            </w:tabs>
            <w:rPr>
              <w:rFonts w:ascii="Times New Roman" w:hAnsi="Times New Roman" w:cs="Times New Roman" w:eastAsiaTheme="minorEastAsia"/>
            </w:rPr>
          </w:pPr>
          <w:r>
            <w:fldChar w:fldCharType="begin"/>
          </w:r>
          <w:r>
            <w:instrText xml:space="preserve"> HYPERLINK \l "_Toc223264647" </w:instrText>
          </w:r>
          <w:r>
            <w:fldChar w:fldCharType="separate"/>
          </w:r>
          <w:r>
            <w:rPr>
              <w:rStyle w:val="15"/>
              <w:rFonts w:ascii="Times New Roman" w:hAnsi="Times New Roman" w:cs="Times New Roman"/>
            </w:rPr>
            <w:t>4.1 Data Type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_Toc223264647 \h </w:instrText>
          </w:r>
          <w:r>
            <w:rPr>
              <w:rFonts w:ascii="Times New Roman" w:hAnsi="Times New Roman" w:cs="Times New Roman"/>
            </w:rPr>
            <w:fldChar w:fldCharType="separate"/>
          </w:r>
          <w:r>
            <w:rPr>
              <w:rFonts w:ascii="Times New Roman" w:hAnsi="Times New Roman" w:cs="Times New Roman"/>
            </w:rPr>
            <w:t>11</w:t>
          </w:r>
          <w:r>
            <w:rPr>
              <w:rFonts w:ascii="Times New Roman" w:hAnsi="Times New Roman" w:cs="Times New Roman"/>
            </w:rPr>
            <w:fldChar w:fldCharType="end"/>
          </w:r>
          <w:r>
            <w:rPr>
              <w:rFonts w:ascii="Times New Roman" w:hAnsi="Times New Roman" w:cs="Times New Roman"/>
            </w:rPr>
            <w:fldChar w:fldCharType="end"/>
          </w:r>
        </w:p>
        <w:p w14:paraId="77299915">
          <w:pPr>
            <w:pStyle w:val="23"/>
            <w:tabs>
              <w:tab w:val="right" w:leader="dot" w:pos="9350"/>
            </w:tabs>
            <w:rPr>
              <w:rFonts w:ascii="Times New Roman" w:hAnsi="Times New Roman" w:cs="Times New Roman" w:eastAsiaTheme="minorEastAsia"/>
            </w:rPr>
          </w:pPr>
          <w:r>
            <w:fldChar w:fldCharType="begin"/>
          </w:r>
          <w:r>
            <w:instrText xml:space="preserve"> HYPERLINK \l "_Toc223264648" </w:instrText>
          </w:r>
          <w:r>
            <w:fldChar w:fldCharType="separate"/>
          </w:r>
          <w:r>
            <w:rPr>
              <w:rStyle w:val="15"/>
              <w:rFonts w:ascii="Times New Roman" w:hAnsi="Times New Roman" w:cs="Times New Roman"/>
            </w:rPr>
            <w:t>4.2 Research Type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_Toc223264648 \h </w:instrText>
          </w:r>
          <w:r>
            <w:rPr>
              <w:rFonts w:ascii="Times New Roman" w:hAnsi="Times New Roman" w:cs="Times New Roman"/>
            </w:rPr>
            <w:fldChar w:fldCharType="separate"/>
          </w:r>
          <w:r>
            <w:rPr>
              <w:rFonts w:ascii="Times New Roman" w:hAnsi="Times New Roman" w:cs="Times New Roman"/>
            </w:rPr>
            <w:t>11</w:t>
          </w:r>
          <w:r>
            <w:rPr>
              <w:rFonts w:ascii="Times New Roman" w:hAnsi="Times New Roman" w:cs="Times New Roman"/>
            </w:rPr>
            <w:fldChar w:fldCharType="end"/>
          </w:r>
          <w:r>
            <w:rPr>
              <w:rFonts w:ascii="Times New Roman" w:hAnsi="Times New Roman" w:cs="Times New Roman"/>
            </w:rPr>
            <w:fldChar w:fldCharType="end"/>
          </w:r>
        </w:p>
        <w:p w14:paraId="057EDB55">
          <w:pPr>
            <w:pStyle w:val="23"/>
            <w:tabs>
              <w:tab w:val="right" w:leader="dot" w:pos="9350"/>
            </w:tabs>
            <w:rPr>
              <w:rFonts w:ascii="Times New Roman" w:hAnsi="Times New Roman" w:cs="Times New Roman" w:eastAsiaTheme="minorEastAsia"/>
            </w:rPr>
          </w:pPr>
          <w:r>
            <w:fldChar w:fldCharType="begin"/>
          </w:r>
          <w:r>
            <w:instrText xml:space="preserve"> HYPERLINK \l "_Toc223264649" </w:instrText>
          </w:r>
          <w:r>
            <w:fldChar w:fldCharType="separate"/>
          </w:r>
          <w:r>
            <w:rPr>
              <w:rStyle w:val="15"/>
              <w:rFonts w:ascii="Times New Roman" w:hAnsi="Times New Roman" w:cs="Times New Roman"/>
            </w:rPr>
            <w:t>4.3 Sampling Method</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_Toc223264649 \h </w:instrText>
          </w:r>
          <w:r>
            <w:rPr>
              <w:rFonts w:ascii="Times New Roman" w:hAnsi="Times New Roman" w:cs="Times New Roman"/>
            </w:rPr>
            <w:fldChar w:fldCharType="separate"/>
          </w:r>
          <w:r>
            <w:rPr>
              <w:rFonts w:ascii="Times New Roman" w:hAnsi="Times New Roman" w:cs="Times New Roman"/>
            </w:rPr>
            <w:t>11</w:t>
          </w:r>
          <w:r>
            <w:rPr>
              <w:rFonts w:ascii="Times New Roman" w:hAnsi="Times New Roman" w:cs="Times New Roman"/>
            </w:rPr>
            <w:fldChar w:fldCharType="end"/>
          </w:r>
          <w:r>
            <w:rPr>
              <w:rFonts w:ascii="Times New Roman" w:hAnsi="Times New Roman" w:cs="Times New Roman"/>
            </w:rPr>
            <w:fldChar w:fldCharType="end"/>
          </w:r>
        </w:p>
        <w:p w14:paraId="245BA07B">
          <w:pPr>
            <w:pStyle w:val="23"/>
            <w:tabs>
              <w:tab w:val="right" w:leader="dot" w:pos="9350"/>
            </w:tabs>
            <w:rPr>
              <w:rFonts w:ascii="Times New Roman" w:hAnsi="Times New Roman" w:cs="Times New Roman" w:eastAsiaTheme="minorEastAsia"/>
            </w:rPr>
          </w:pPr>
          <w:r>
            <w:fldChar w:fldCharType="begin"/>
          </w:r>
          <w:r>
            <w:instrText xml:space="preserve"> HYPERLINK \l "_Toc223264650" </w:instrText>
          </w:r>
          <w:r>
            <w:fldChar w:fldCharType="separate"/>
          </w:r>
          <w:r>
            <w:rPr>
              <w:rStyle w:val="15"/>
              <w:rFonts w:ascii="Times New Roman" w:hAnsi="Times New Roman" w:cs="Times New Roman"/>
            </w:rPr>
            <w:t>4.4 Data Analysis Tools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_Toc223264650 \h </w:instrText>
          </w:r>
          <w:r>
            <w:rPr>
              <w:rFonts w:ascii="Times New Roman" w:hAnsi="Times New Roman" w:cs="Times New Roman"/>
            </w:rPr>
            <w:fldChar w:fldCharType="separate"/>
          </w:r>
          <w:r>
            <w:rPr>
              <w:rFonts w:ascii="Times New Roman" w:hAnsi="Times New Roman" w:cs="Times New Roman"/>
            </w:rPr>
            <w:t>11</w:t>
          </w:r>
          <w:r>
            <w:rPr>
              <w:rFonts w:ascii="Times New Roman" w:hAnsi="Times New Roman" w:cs="Times New Roman"/>
            </w:rPr>
            <w:fldChar w:fldCharType="end"/>
          </w:r>
          <w:r>
            <w:rPr>
              <w:rFonts w:ascii="Times New Roman" w:hAnsi="Times New Roman" w:cs="Times New Roman"/>
            </w:rPr>
            <w:fldChar w:fldCharType="end"/>
          </w:r>
        </w:p>
        <w:p w14:paraId="344F100B">
          <w:pPr>
            <w:pStyle w:val="23"/>
            <w:tabs>
              <w:tab w:val="right" w:leader="dot" w:pos="9350"/>
            </w:tabs>
            <w:rPr>
              <w:rFonts w:ascii="Times New Roman" w:hAnsi="Times New Roman" w:cs="Times New Roman" w:eastAsiaTheme="minorEastAsia"/>
            </w:rPr>
          </w:pPr>
          <w:r>
            <w:fldChar w:fldCharType="begin"/>
          </w:r>
          <w:r>
            <w:instrText xml:space="preserve"> HYPERLINK \l "_Toc223264651" </w:instrText>
          </w:r>
          <w:r>
            <w:fldChar w:fldCharType="separate"/>
          </w:r>
          <w:r>
            <w:rPr>
              <w:rStyle w:val="15"/>
              <w:rFonts w:ascii="Times New Roman" w:hAnsi="Times New Roman" w:cs="Times New Roman"/>
            </w:rPr>
            <w:t>4.5 Data Presentation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_Toc223264651 \h </w:instrText>
          </w:r>
          <w:r>
            <w:rPr>
              <w:rFonts w:ascii="Times New Roman" w:hAnsi="Times New Roman" w:cs="Times New Roman"/>
            </w:rPr>
            <w:fldChar w:fldCharType="separate"/>
          </w:r>
          <w:r>
            <w:rPr>
              <w:rFonts w:ascii="Times New Roman" w:hAnsi="Times New Roman" w:cs="Times New Roman"/>
            </w:rPr>
            <w:t>12</w:t>
          </w:r>
          <w:r>
            <w:rPr>
              <w:rFonts w:ascii="Times New Roman" w:hAnsi="Times New Roman" w:cs="Times New Roman"/>
            </w:rPr>
            <w:fldChar w:fldCharType="end"/>
          </w:r>
          <w:r>
            <w:rPr>
              <w:rFonts w:ascii="Times New Roman" w:hAnsi="Times New Roman" w:cs="Times New Roman"/>
            </w:rPr>
            <w:fldChar w:fldCharType="end"/>
          </w:r>
        </w:p>
        <w:p w14:paraId="6F8BBE03">
          <w:pPr>
            <w:pStyle w:val="22"/>
            <w:tabs>
              <w:tab w:val="right" w:leader="dot" w:pos="9350"/>
            </w:tabs>
            <w:rPr>
              <w:rFonts w:ascii="Times New Roman" w:hAnsi="Times New Roman" w:cs="Times New Roman" w:eastAsiaTheme="minorEastAsia"/>
            </w:rPr>
          </w:pPr>
          <w:r>
            <w:fldChar w:fldCharType="begin"/>
          </w:r>
          <w:r>
            <w:instrText xml:space="preserve"> HYPERLINK \l "_Toc223264652" </w:instrText>
          </w:r>
          <w:r>
            <w:fldChar w:fldCharType="separate"/>
          </w:r>
          <w:r>
            <w:rPr>
              <w:rStyle w:val="15"/>
              <w:rFonts w:ascii="Times New Roman" w:hAnsi="Times New Roman" w:cs="Times New Roman"/>
            </w:rPr>
            <w:t>Chapter 5: Selected Conventional and Non-conventional Banks in Bangladesh</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_Toc223264652 \h </w:instrText>
          </w:r>
          <w:r>
            <w:rPr>
              <w:rFonts w:ascii="Times New Roman" w:hAnsi="Times New Roman" w:cs="Times New Roman"/>
            </w:rPr>
            <w:fldChar w:fldCharType="separate"/>
          </w:r>
          <w:r>
            <w:rPr>
              <w:rFonts w:ascii="Times New Roman" w:hAnsi="Times New Roman" w:cs="Times New Roman"/>
            </w:rPr>
            <w:t>13</w:t>
          </w:r>
          <w:r>
            <w:rPr>
              <w:rFonts w:ascii="Times New Roman" w:hAnsi="Times New Roman" w:cs="Times New Roman"/>
            </w:rPr>
            <w:fldChar w:fldCharType="end"/>
          </w:r>
          <w:r>
            <w:rPr>
              <w:rFonts w:ascii="Times New Roman" w:hAnsi="Times New Roman" w:cs="Times New Roman"/>
            </w:rPr>
            <w:fldChar w:fldCharType="end"/>
          </w:r>
        </w:p>
        <w:p w14:paraId="7EAFEE84">
          <w:pPr>
            <w:pStyle w:val="23"/>
            <w:tabs>
              <w:tab w:val="right" w:leader="dot" w:pos="9350"/>
            </w:tabs>
            <w:rPr>
              <w:rFonts w:ascii="Times New Roman" w:hAnsi="Times New Roman" w:cs="Times New Roman" w:eastAsiaTheme="minorEastAsia"/>
            </w:rPr>
          </w:pPr>
          <w:r>
            <w:fldChar w:fldCharType="begin"/>
          </w:r>
          <w:r>
            <w:instrText xml:space="preserve"> HYPERLINK \l "_Toc223264653" </w:instrText>
          </w:r>
          <w:r>
            <w:fldChar w:fldCharType="separate"/>
          </w:r>
          <w:r>
            <w:rPr>
              <w:rStyle w:val="15"/>
              <w:rFonts w:ascii="Times New Roman" w:hAnsi="Times New Roman" w:cs="Times New Roman"/>
            </w:rPr>
            <w:t>5.1Banking Industry in Bangladesh</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_Toc223264653 \h </w:instrText>
          </w:r>
          <w:r>
            <w:rPr>
              <w:rFonts w:ascii="Times New Roman" w:hAnsi="Times New Roman" w:cs="Times New Roman"/>
            </w:rPr>
            <w:fldChar w:fldCharType="separate"/>
          </w:r>
          <w:r>
            <w:rPr>
              <w:rFonts w:ascii="Times New Roman" w:hAnsi="Times New Roman" w:cs="Times New Roman"/>
            </w:rPr>
            <w:t>14</w:t>
          </w:r>
          <w:r>
            <w:rPr>
              <w:rFonts w:ascii="Times New Roman" w:hAnsi="Times New Roman" w:cs="Times New Roman"/>
            </w:rPr>
            <w:fldChar w:fldCharType="end"/>
          </w:r>
          <w:r>
            <w:rPr>
              <w:rFonts w:ascii="Times New Roman" w:hAnsi="Times New Roman" w:cs="Times New Roman"/>
            </w:rPr>
            <w:fldChar w:fldCharType="end"/>
          </w:r>
        </w:p>
        <w:p w14:paraId="6CD1D1C5">
          <w:pPr>
            <w:pStyle w:val="23"/>
            <w:tabs>
              <w:tab w:val="right" w:leader="dot" w:pos="9350"/>
            </w:tabs>
            <w:rPr>
              <w:rFonts w:ascii="Times New Roman" w:hAnsi="Times New Roman" w:cs="Times New Roman" w:eastAsiaTheme="minorEastAsia"/>
            </w:rPr>
          </w:pPr>
          <w:r>
            <w:fldChar w:fldCharType="begin"/>
          </w:r>
          <w:r>
            <w:instrText xml:space="preserve"> HYPERLINK \l "_Toc223264654" </w:instrText>
          </w:r>
          <w:r>
            <w:fldChar w:fldCharType="separate"/>
          </w:r>
          <w:r>
            <w:rPr>
              <w:rStyle w:val="15"/>
              <w:rFonts w:ascii="Times New Roman" w:hAnsi="Times New Roman" w:cs="Times New Roman"/>
            </w:rPr>
            <w:t>5.2 Selected Non-conventional (Islamic) Banks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_Toc223264654 \h </w:instrText>
          </w:r>
          <w:r>
            <w:rPr>
              <w:rFonts w:ascii="Times New Roman" w:hAnsi="Times New Roman" w:cs="Times New Roman"/>
            </w:rPr>
            <w:fldChar w:fldCharType="separate"/>
          </w:r>
          <w:r>
            <w:rPr>
              <w:rFonts w:ascii="Times New Roman" w:hAnsi="Times New Roman" w:cs="Times New Roman"/>
            </w:rPr>
            <w:t>14</w:t>
          </w:r>
          <w:r>
            <w:rPr>
              <w:rFonts w:ascii="Times New Roman" w:hAnsi="Times New Roman" w:cs="Times New Roman"/>
            </w:rPr>
            <w:fldChar w:fldCharType="end"/>
          </w:r>
          <w:r>
            <w:rPr>
              <w:rFonts w:ascii="Times New Roman" w:hAnsi="Times New Roman" w:cs="Times New Roman"/>
            </w:rPr>
            <w:fldChar w:fldCharType="end"/>
          </w:r>
        </w:p>
        <w:p w14:paraId="5CF45A4A">
          <w:pPr>
            <w:pStyle w:val="23"/>
            <w:tabs>
              <w:tab w:val="right" w:leader="dot" w:pos="9350"/>
            </w:tabs>
            <w:rPr>
              <w:rFonts w:ascii="Times New Roman" w:hAnsi="Times New Roman" w:cs="Times New Roman" w:eastAsiaTheme="minorEastAsia"/>
            </w:rPr>
          </w:pPr>
          <w:r>
            <w:fldChar w:fldCharType="begin"/>
          </w:r>
          <w:r>
            <w:instrText xml:space="preserve"> HYPERLINK \l "_Toc223264655" </w:instrText>
          </w:r>
          <w:r>
            <w:fldChar w:fldCharType="separate"/>
          </w:r>
          <w:r>
            <w:rPr>
              <w:rStyle w:val="15"/>
              <w:rFonts w:ascii="Times New Roman" w:hAnsi="Times New Roman" w:cs="Times New Roman"/>
            </w:rPr>
            <w:t>5.3 Selected Conventional Banks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_Toc223264655 \h </w:instrText>
          </w:r>
          <w:r>
            <w:rPr>
              <w:rFonts w:ascii="Times New Roman" w:hAnsi="Times New Roman" w:cs="Times New Roman"/>
            </w:rPr>
            <w:fldChar w:fldCharType="separate"/>
          </w:r>
          <w:r>
            <w:rPr>
              <w:rFonts w:ascii="Times New Roman" w:hAnsi="Times New Roman" w:cs="Times New Roman"/>
            </w:rPr>
            <w:t>15</w:t>
          </w:r>
          <w:r>
            <w:rPr>
              <w:rFonts w:ascii="Times New Roman" w:hAnsi="Times New Roman" w:cs="Times New Roman"/>
            </w:rPr>
            <w:fldChar w:fldCharType="end"/>
          </w:r>
          <w:r>
            <w:rPr>
              <w:rFonts w:ascii="Times New Roman" w:hAnsi="Times New Roman" w:cs="Times New Roman"/>
            </w:rPr>
            <w:fldChar w:fldCharType="end"/>
          </w:r>
        </w:p>
        <w:p w14:paraId="5377841E">
          <w:pPr>
            <w:pStyle w:val="22"/>
            <w:tabs>
              <w:tab w:val="right" w:leader="dot" w:pos="9350"/>
            </w:tabs>
            <w:rPr>
              <w:rFonts w:ascii="Times New Roman" w:hAnsi="Times New Roman" w:cs="Times New Roman" w:eastAsiaTheme="minorEastAsia"/>
            </w:rPr>
          </w:pPr>
          <w:r>
            <w:fldChar w:fldCharType="begin"/>
          </w:r>
          <w:r>
            <w:instrText xml:space="preserve"> HYPERLINK \l "_Toc223264656" </w:instrText>
          </w:r>
          <w:r>
            <w:fldChar w:fldCharType="separate"/>
          </w:r>
          <w:r>
            <w:rPr>
              <w:rStyle w:val="15"/>
              <w:rFonts w:ascii="Times New Roman" w:hAnsi="Times New Roman" w:cs="Times New Roman"/>
            </w:rPr>
            <w:t>Chapter 6: Analysis, Findings and Discussion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_Toc223264656 \h </w:instrText>
          </w:r>
          <w:r>
            <w:rPr>
              <w:rFonts w:ascii="Times New Roman" w:hAnsi="Times New Roman" w:cs="Times New Roman"/>
            </w:rPr>
            <w:fldChar w:fldCharType="separate"/>
          </w:r>
          <w:r>
            <w:rPr>
              <w:rFonts w:ascii="Times New Roman" w:hAnsi="Times New Roman" w:cs="Times New Roman"/>
            </w:rPr>
            <w:t>17</w:t>
          </w:r>
          <w:r>
            <w:rPr>
              <w:rFonts w:ascii="Times New Roman" w:hAnsi="Times New Roman" w:cs="Times New Roman"/>
            </w:rPr>
            <w:fldChar w:fldCharType="end"/>
          </w:r>
          <w:r>
            <w:rPr>
              <w:rFonts w:ascii="Times New Roman" w:hAnsi="Times New Roman" w:cs="Times New Roman"/>
            </w:rPr>
            <w:fldChar w:fldCharType="end"/>
          </w:r>
        </w:p>
        <w:p w14:paraId="5466899E">
          <w:pPr>
            <w:pStyle w:val="23"/>
            <w:tabs>
              <w:tab w:val="right" w:leader="dot" w:pos="9350"/>
            </w:tabs>
            <w:rPr>
              <w:rFonts w:ascii="Times New Roman" w:hAnsi="Times New Roman" w:cs="Times New Roman" w:eastAsiaTheme="minorEastAsia"/>
            </w:rPr>
          </w:pPr>
          <w:r>
            <w:fldChar w:fldCharType="begin"/>
          </w:r>
          <w:r>
            <w:instrText xml:space="preserve"> HYPERLINK \l "_Toc223264657" </w:instrText>
          </w:r>
          <w:r>
            <w:fldChar w:fldCharType="separate"/>
          </w:r>
          <w:r>
            <w:rPr>
              <w:rStyle w:val="15"/>
              <w:rFonts w:ascii="Times New Roman" w:hAnsi="Times New Roman" w:cs="Times New Roman"/>
            </w:rPr>
            <w:t>6.1 Analysis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_Toc223264657 \h </w:instrText>
          </w:r>
          <w:r>
            <w:rPr>
              <w:rFonts w:ascii="Times New Roman" w:hAnsi="Times New Roman" w:cs="Times New Roman"/>
            </w:rPr>
            <w:fldChar w:fldCharType="separate"/>
          </w:r>
          <w:r>
            <w:rPr>
              <w:rFonts w:ascii="Times New Roman" w:hAnsi="Times New Roman" w:cs="Times New Roman"/>
            </w:rPr>
            <w:t>18</w:t>
          </w:r>
          <w:r>
            <w:rPr>
              <w:rFonts w:ascii="Times New Roman" w:hAnsi="Times New Roman" w:cs="Times New Roman"/>
            </w:rPr>
            <w:fldChar w:fldCharType="end"/>
          </w:r>
          <w:r>
            <w:rPr>
              <w:rFonts w:ascii="Times New Roman" w:hAnsi="Times New Roman" w:cs="Times New Roman"/>
            </w:rPr>
            <w:fldChar w:fldCharType="end"/>
          </w:r>
        </w:p>
        <w:p w14:paraId="61EDCD1B">
          <w:pPr>
            <w:pStyle w:val="23"/>
            <w:tabs>
              <w:tab w:val="right" w:leader="dot" w:pos="9350"/>
            </w:tabs>
            <w:rPr>
              <w:rFonts w:ascii="Times New Roman" w:hAnsi="Times New Roman" w:cs="Times New Roman" w:eastAsiaTheme="minorEastAsia"/>
            </w:rPr>
          </w:pPr>
          <w:r>
            <w:fldChar w:fldCharType="begin"/>
          </w:r>
          <w:r>
            <w:instrText xml:space="preserve"> HYPERLINK \l "_Toc223264658" </w:instrText>
          </w:r>
          <w:r>
            <w:fldChar w:fldCharType="separate"/>
          </w:r>
          <w:r>
            <w:rPr>
              <w:rStyle w:val="15"/>
              <w:rFonts w:ascii="Times New Roman" w:hAnsi="Times New Roman" w:cs="Times New Roman"/>
            </w:rPr>
            <w:t>6.2 Model Specification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_Toc223264658 \h </w:instrText>
          </w:r>
          <w:r>
            <w:rPr>
              <w:rFonts w:ascii="Times New Roman" w:hAnsi="Times New Roman" w:cs="Times New Roman"/>
            </w:rPr>
            <w:fldChar w:fldCharType="separate"/>
          </w:r>
          <w:r>
            <w:rPr>
              <w:rFonts w:ascii="Times New Roman" w:hAnsi="Times New Roman" w:cs="Times New Roman"/>
            </w:rPr>
            <w:t>19</w:t>
          </w:r>
          <w:r>
            <w:rPr>
              <w:rFonts w:ascii="Times New Roman" w:hAnsi="Times New Roman" w:cs="Times New Roman"/>
            </w:rPr>
            <w:fldChar w:fldCharType="end"/>
          </w:r>
          <w:r>
            <w:rPr>
              <w:rFonts w:ascii="Times New Roman" w:hAnsi="Times New Roman" w:cs="Times New Roman"/>
            </w:rPr>
            <w:fldChar w:fldCharType="end"/>
          </w:r>
        </w:p>
        <w:p w14:paraId="65E1A3F4">
          <w:pPr>
            <w:pStyle w:val="23"/>
            <w:tabs>
              <w:tab w:val="right" w:leader="dot" w:pos="9350"/>
            </w:tabs>
            <w:rPr>
              <w:rFonts w:ascii="Times New Roman" w:hAnsi="Times New Roman" w:cs="Times New Roman" w:eastAsiaTheme="minorEastAsia"/>
            </w:rPr>
          </w:pPr>
          <w:r>
            <w:fldChar w:fldCharType="begin"/>
          </w:r>
          <w:r>
            <w:instrText xml:space="preserve"> HYPERLINK \l "_Toc223264659" </w:instrText>
          </w:r>
          <w:r>
            <w:fldChar w:fldCharType="separate"/>
          </w:r>
          <w:r>
            <w:rPr>
              <w:rStyle w:val="15"/>
              <w:rFonts w:ascii="Times New Roman" w:hAnsi="Times New Roman" w:cs="Times New Roman"/>
            </w:rPr>
            <w:t>6.3 Hypothesis Development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_Toc223264659 \h </w:instrText>
          </w:r>
          <w:r>
            <w:rPr>
              <w:rFonts w:ascii="Times New Roman" w:hAnsi="Times New Roman" w:cs="Times New Roman"/>
            </w:rPr>
            <w:fldChar w:fldCharType="separate"/>
          </w:r>
          <w:r>
            <w:rPr>
              <w:rFonts w:ascii="Times New Roman" w:hAnsi="Times New Roman" w:cs="Times New Roman"/>
            </w:rPr>
            <w:t>19</w:t>
          </w:r>
          <w:r>
            <w:rPr>
              <w:rFonts w:ascii="Times New Roman" w:hAnsi="Times New Roman" w:cs="Times New Roman"/>
            </w:rPr>
            <w:fldChar w:fldCharType="end"/>
          </w:r>
          <w:r>
            <w:rPr>
              <w:rFonts w:ascii="Times New Roman" w:hAnsi="Times New Roman" w:cs="Times New Roman"/>
            </w:rPr>
            <w:fldChar w:fldCharType="end"/>
          </w:r>
        </w:p>
        <w:p w14:paraId="51FC8D7F">
          <w:pPr>
            <w:pStyle w:val="23"/>
            <w:tabs>
              <w:tab w:val="right" w:leader="dot" w:pos="9350"/>
            </w:tabs>
            <w:rPr>
              <w:rFonts w:ascii="Times New Roman" w:hAnsi="Times New Roman" w:cs="Times New Roman" w:eastAsiaTheme="minorEastAsia"/>
            </w:rPr>
          </w:pPr>
          <w:r>
            <w:fldChar w:fldCharType="begin"/>
          </w:r>
          <w:r>
            <w:instrText xml:space="preserve"> HYPERLINK \l "_Toc223264660" </w:instrText>
          </w:r>
          <w:r>
            <w:fldChar w:fldCharType="separate"/>
          </w:r>
          <w:r>
            <w:rPr>
              <w:rStyle w:val="15"/>
              <w:rFonts w:ascii="Times New Roman" w:hAnsi="Times New Roman" w:cs="Times New Roman"/>
            </w:rPr>
            <w:t>6.4 Findings and Discussion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_Toc223264660 \h </w:instrText>
          </w:r>
          <w:r>
            <w:rPr>
              <w:rFonts w:ascii="Times New Roman" w:hAnsi="Times New Roman" w:cs="Times New Roman"/>
            </w:rPr>
            <w:fldChar w:fldCharType="separate"/>
          </w:r>
          <w:r>
            <w:rPr>
              <w:rFonts w:ascii="Times New Roman" w:hAnsi="Times New Roman" w:cs="Times New Roman"/>
            </w:rPr>
            <w:t>19</w:t>
          </w:r>
          <w:r>
            <w:rPr>
              <w:rFonts w:ascii="Times New Roman" w:hAnsi="Times New Roman" w:cs="Times New Roman"/>
            </w:rPr>
            <w:fldChar w:fldCharType="end"/>
          </w:r>
          <w:r>
            <w:rPr>
              <w:rFonts w:ascii="Times New Roman" w:hAnsi="Times New Roman" w:cs="Times New Roman"/>
            </w:rPr>
            <w:fldChar w:fldCharType="end"/>
          </w:r>
        </w:p>
        <w:p w14:paraId="0CDF6D22">
          <w:pPr>
            <w:pStyle w:val="24"/>
            <w:tabs>
              <w:tab w:val="right" w:leader="dot" w:pos="9350"/>
            </w:tabs>
            <w:rPr>
              <w:rFonts w:ascii="Times New Roman" w:hAnsi="Times New Roman" w:cs="Times New Roman" w:eastAsiaTheme="minorEastAsia"/>
            </w:rPr>
          </w:pPr>
          <w:r>
            <w:fldChar w:fldCharType="begin"/>
          </w:r>
          <w:r>
            <w:instrText xml:space="preserve"> HYPERLINK \l "_Toc223264661" </w:instrText>
          </w:r>
          <w:r>
            <w:fldChar w:fldCharType="separate"/>
          </w:r>
          <w:r>
            <w:rPr>
              <w:rStyle w:val="15"/>
              <w:rFonts w:ascii="Times New Roman" w:hAnsi="Times New Roman" w:cs="Times New Roman"/>
            </w:rPr>
            <w:t>Plain OLS Model:</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_Toc223264661 \h </w:instrText>
          </w:r>
          <w:r>
            <w:rPr>
              <w:rFonts w:ascii="Times New Roman" w:hAnsi="Times New Roman" w:cs="Times New Roman"/>
            </w:rPr>
            <w:fldChar w:fldCharType="separate"/>
          </w:r>
          <w:r>
            <w:rPr>
              <w:rFonts w:ascii="Times New Roman" w:hAnsi="Times New Roman" w:cs="Times New Roman"/>
            </w:rPr>
            <w:t>20</w:t>
          </w:r>
          <w:r>
            <w:rPr>
              <w:rFonts w:ascii="Times New Roman" w:hAnsi="Times New Roman" w:cs="Times New Roman"/>
            </w:rPr>
            <w:fldChar w:fldCharType="end"/>
          </w:r>
          <w:r>
            <w:rPr>
              <w:rFonts w:ascii="Times New Roman" w:hAnsi="Times New Roman" w:cs="Times New Roman"/>
            </w:rPr>
            <w:fldChar w:fldCharType="end"/>
          </w:r>
        </w:p>
        <w:p w14:paraId="4FC6920D">
          <w:pPr>
            <w:pStyle w:val="24"/>
            <w:tabs>
              <w:tab w:val="right" w:leader="dot" w:pos="9350"/>
            </w:tabs>
            <w:rPr>
              <w:rFonts w:ascii="Times New Roman" w:hAnsi="Times New Roman" w:cs="Times New Roman" w:eastAsiaTheme="minorEastAsia"/>
            </w:rPr>
          </w:pPr>
          <w:r>
            <w:fldChar w:fldCharType="begin"/>
          </w:r>
          <w:r>
            <w:instrText xml:space="preserve"> HYPERLINK \l "_Toc223264662" </w:instrText>
          </w:r>
          <w:r>
            <w:fldChar w:fldCharType="separate"/>
          </w:r>
          <w:r>
            <w:rPr>
              <w:rStyle w:val="15"/>
              <w:rFonts w:ascii="Times New Roman" w:hAnsi="Times New Roman" w:cs="Times New Roman"/>
            </w:rPr>
            <w:t>Fixed Effects Model:</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_Toc223264662 \h </w:instrText>
          </w:r>
          <w:r>
            <w:rPr>
              <w:rFonts w:ascii="Times New Roman" w:hAnsi="Times New Roman" w:cs="Times New Roman"/>
            </w:rPr>
            <w:fldChar w:fldCharType="separate"/>
          </w:r>
          <w:r>
            <w:rPr>
              <w:rFonts w:ascii="Times New Roman" w:hAnsi="Times New Roman" w:cs="Times New Roman"/>
            </w:rPr>
            <w:t>20</w:t>
          </w:r>
          <w:r>
            <w:rPr>
              <w:rFonts w:ascii="Times New Roman" w:hAnsi="Times New Roman" w:cs="Times New Roman"/>
            </w:rPr>
            <w:fldChar w:fldCharType="end"/>
          </w:r>
          <w:r>
            <w:rPr>
              <w:rFonts w:ascii="Times New Roman" w:hAnsi="Times New Roman" w:cs="Times New Roman"/>
            </w:rPr>
            <w:fldChar w:fldCharType="end"/>
          </w:r>
        </w:p>
        <w:p w14:paraId="6F6C4593">
          <w:pPr>
            <w:pStyle w:val="24"/>
            <w:tabs>
              <w:tab w:val="right" w:leader="dot" w:pos="9350"/>
            </w:tabs>
            <w:rPr>
              <w:rFonts w:ascii="Times New Roman" w:hAnsi="Times New Roman" w:cs="Times New Roman" w:eastAsiaTheme="minorEastAsia"/>
            </w:rPr>
          </w:pPr>
          <w:r>
            <w:fldChar w:fldCharType="begin"/>
          </w:r>
          <w:r>
            <w:instrText xml:space="preserve"> HYPERLINK \l "_Toc223264663" </w:instrText>
          </w:r>
          <w:r>
            <w:fldChar w:fldCharType="separate"/>
          </w:r>
          <w:r>
            <w:rPr>
              <w:rStyle w:val="15"/>
              <w:rFonts w:ascii="Times New Roman" w:hAnsi="Times New Roman" w:cs="Times New Roman"/>
            </w:rPr>
            <w:t>Plain OLS with Interaction Terms: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_Toc223264663 \h </w:instrText>
          </w:r>
          <w:r>
            <w:rPr>
              <w:rFonts w:ascii="Times New Roman" w:hAnsi="Times New Roman" w:cs="Times New Roman"/>
            </w:rPr>
            <w:fldChar w:fldCharType="separate"/>
          </w:r>
          <w:r>
            <w:rPr>
              <w:rFonts w:ascii="Times New Roman" w:hAnsi="Times New Roman" w:cs="Times New Roman"/>
            </w:rPr>
            <w:t>22</w:t>
          </w:r>
          <w:r>
            <w:rPr>
              <w:rFonts w:ascii="Times New Roman" w:hAnsi="Times New Roman" w:cs="Times New Roman"/>
            </w:rPr>
            <w:fldChar w:fldCharType="end"/>
          </w:r>
          <w:r>
            <w:rPr>
              <w:rFonts w:ascii="Times New Roman" w:hAnsi="Times New Roman" w:cs="Times New Roman"/>
            </w:rPr>
            <w:fldChar w:fldCharType="end"/>
          </w:r>
        </w:p>
        <w:p w14:paraId="53BA262F">
          <w:pPr>
            <w:pStyle w:val="24"/>
            <w:tabs>
              <w:tab w:val="right" w:leader="dot" w:pos="9350"/>
            </w:tabs>
            <w:rPr>
              <w:rFonts w:ascii="Times New Roman" w:hAnsi="Times New Roman" w:cs="Times New Roman" w:eastAsiaTheme="minorEastAsia"/>
            </w:rPr>
          </w:pPr>
          <w:r>
            <w:fldChar w:fldCharType="begin"/>
          </w:r>
          <w:r>
            <w:instrText xml:space="preserve"> HYPERLINK \l "_Toc223264664" </w:instrText>
          </w:r>
          <w:r>
            <w:fldChar w:fldCharType="separate"/>
          </w:r>
          <w:r>
            <w:rPr>
              <w:rStyle w:val="15"/>
              <w:rFonts w:ascii="Times New Roman" w:hAnsi="Times New Roman" w:cs="Times New Roman"/>
            </w:rPr>
            <w:t>Fixed Effects with Interaction Terms: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_Toc223264664 \h </w:instrText>
          </w:r>
          <w:r>
            <w:rPr>
              <w:rFonts w:ascii="Times New Roman" w:hAnsi="Times New Roman" w:cs="Times New Roman"/>
            </w:rPr>
            <w:fldChar w:fldCharType="separate"/>
          </w:r>
          <w:r>
            <w:rPr>
              <w:rFonts w:ascii="Times New Roman" w:hAnsi="Times New Roman" w:cs="Times New Roman"/>
            </w:rPr>
            <w:t>22</w:t>
          </w:r>
          <w:r>
            <w:rPr>
              <w:rFonts w:ascii="Times New Roman" w:hAnsi="Times New Roman" w:cs="Times New Roman"/>
            </w:rPr>
            <w:fldChar w:fldCharType="end"/>
          </w:r>
          <w:r>
            <w:rPr>
              <w:rFonts w:ascii="Times New Roman" w:hAnsi="Times New Roman" w:cs="Times New Roman"/>
            </w:rPr>
            <w:fldChar w:fldCharType="end"/>
          </w:r>
        </w:p>
        <w:p w14:paraId="5BD834F7">
          <w:pPr>
            <w:pStyle w:val="23"/>
            <w:tabs>
              <w:tab w:val="right" w:leader="dot" w:pos="9350"/>
            </w:tabs>
            <w:rPr>
              <w:rFonts w:ascii="Times New Roman" w:hAnsi="Times New Roman" w:cs="Times New Roman" w:eastAsiaTheme="minorEastAsia"/>
            </w:rPr>
          </w:pPr>
          <w:r>
            <w:fldChar w:fldCharType="begin"/>
          </w:r>
          <w:r>
            <w:instrText xml:space="preserve"> HYPERLINK \l "_Toc223264665" </w:instrText>
          </w:r>
          <w:r>
            <w:fldChar w:fldCharType="separate"/>
          </w:r>
          <w:r>
            <w:rPr>
              <w:rStyle w:val="15"/>
              <w:rFonts w:ascii="Times New Roman" w:hAnsi="Times New Roman" w:cs="Times New Roman"/>
            </w:rPr>
            <w:t>6.5 Further Discussion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_Toc223264665 \h </w:instrText>
          </w:r>
          <w:r>
            <w:rPr>
              <w:rFonts w:ascii="Times New Roman" w:hAnsi="Times New Roman" w:cs="Times New Roman"/>
            </w:rPr>
            <w:fldChar w:fldCharType="separate"/>
          </w:r>
          <w:r>
            <w:rPr>
              <w:rFonts w:ascii="Times New Roman" w:hAnsi="Times New Roman" w:cs="Times New Roman"/>
            </w:rPr>
            <w:t>24</w:t>
          </w:r>
          <w:r>
            <w:rPr>
              <w:rFonts w:ascii="Times New Roman" w:hAnsi="Times New Roman" w:cs="Times New Roman"/>
            </w:rPr>
            <w:fldChar w:fldCharType="end"/>
          </w:r>
          <w:r>
            <w:rPr>
              <w:rFonts w:ascii="Times New Roman" w:hAnsi="Times New Roman" w:cs="Times New Roman"/>
            </w:rPr>
            <w:fldChar w:fldCharType="end"/>
          </w:r>
        </w:p>
        <w:p w14:paraId="18E0A145">
          <w:pPr>
            <w:pStyle w:val="22"/>
            <w:tabs>
              <w:tab w:val="right" w:leader="dot" w:pos="9350"/>
            </w:tabs>
            <w:rPr>
              <w:rFonts w:ascii="Times New Roman" w:hAnsi="Times New Roman" w:cs="Times New Roman" w:eastAsiaTheme="minorEastAsia"/>
            </w:rPr>
          </w:pPr>
          <w:r>
            <w:fldChar w:fldCharType="begin"/>
          </w:r>
          <w:r>
            <w:instrText xml:space="preserve"> HYPERLINK \l "_Toc223264666" </w:instrText>
          </w:r>
          <w:r>
            <w:fldChar w:fldCharType="separate"/>
          </w:r>
          <w:r>
            <w:rPr>
              <w:rStyle w:val="15"/>
              <w:rFonts w:ascii="Times New Roman" w:hAnsi="Times New Roman" w:cs="Times New Roman"/>
            </w:rPr>
            <w:t>Chapter 7: Conclusion and Recommendations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_Toc223264666 \h </w:instrText>
          </w:r>
          <w:r>
            <w:rPr>
              <w:rFonts w:ascii="Times New Roman" w:hAnsi="Times New Roman" w:cs="Times New Roman"/>
            </w:rPr>
            <w:fldChar w:fldCharType="separate"/>
          </w:r>
          <w:r>
            <w:rPr>
              <w:rFonts w:ascii="Times New Roman" w:hAnsi="Times New Roman" w:cs="Times New Roman"/>
            </w:rPr>
            <w:t>25</w:t>
          </w:r>
          <w:r>
            <w:rPr>
              <w:rFonts w:ascii="Times New Roman" w:hAnsi="Times New Roman" w:cs="Times New Roman"/>
            </w:rPr>
            <w:fldChar w:fldCharType="end"/>
          </w:r>
          <w:r>
            <w:rPr>
              <w:rFonts w:ascii="Times New Roman" w:hAnsi="Times New Roman" w:cs="Times New Roman"/>
            </w:rPr>
            <w:fldChar w:fldCharType="end"/>
          </w:r>
        </w:p>
        <w:p w14:paraId="132485A3">
          <w:pPr>
            <w:pStyle w:val="23"/>
            <w:tabs>
              <w:tab w:val="right" w:leader="dot" w:pos="9350"/>
            </w:tabs>
            <w:rPr>
              <w:rFonts w:ascii="Times New Roman" w:hAnsi="Times New Roman" w:cs="Times New Roman" w:eastAsiaTheme="minorEastAsia"/>
            </w:rPr>
          </w:pPr>
          <w:r>
            <w:fldChar w:fldCharType="begin"/>
          </w:r>
          <w:r>
            <w:instrText xml:space="preserve"> HYPERLINK \l "_Toc223264667" </w:instrText>
          </w:r>
          <w:r>
            <w:fldChar w:fldCharType="separate"/>
          </w:r>
          <w:r>
            <w:rPr>
              <w:rStyle w:val="15"/>
              <w:rFonts w:ascii="Times New Roman" w:hAnsi="Times New Roman" w:cs="Times New Roman"/>
            </w:rPr>
            <w:t>7.1 Conclusion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_Toc223264667 \h </w:instrText>
          </w:r>
          <w:r>
            <w:rPr>
              <w:rFonts w:ascii="Times New Roman" w:hAnsi="Times New Roman" w:cs="Times New Roman"/>
            </w:rPr>
            <w:fldChar w:fldCharType="separate"/>
          </w:r>
          <w:r>
            <w:rPr>
              <w:rFonts w:ascii="Times New Roman" w:hAnsi="Times New Roman" w:cs="Times New Roman"/>
            </w:rPr>
            <w:t>26</w:t>
          </w:r>
          <w:r>
            <w:rPr>
              <w:rFonts w:ascii="Times New Roman" w:hAnsi="Times New Roman" w:cs="Times New Roman"/>
            </w:rPr>
            <w:fldChar w:fldCharType="end"/>
          </w:r>
          <w:r>
            <w:rPr>
              <w:rFonts w:ascii="Times New Roman" w:hAnsi="Times New Roman" w:cs="Times New Roman"/>
            </w:rPr>
            <w:fldChar w:fldCharType="end"/>
          </w:r>
        </w:p>
        <w:p w14:paraId="7CE4F8BE">
          <w:pPr>
            <w:pStyle w:val="23"/>
            <w:tabs>
              <w:tab w:val="right" w:leader="dot" w:pos="9350"/>
            </w:tabs>
            <w:rPr>
              <w:rFonts w:ascii="Times New Roman" w:hAnsi="Times New Roman" w:cs="Times New Roman" w:eastAsiaTheme="minorEastAsia"/>
            </w:rPr>
          </w:pPr>
          <w:r>
            <w:fldChar w:fldCharType="begin"/>
          </w:r>
          <w:r>
            <w:instrText xml:space="preserve"> HYPERLINK \l "_Toc223264668" </w:instrText>
          </w:r>
          <w:r>
            <w:fldChar w:fldCharType="separate"/>
          </w:r>
          <w:r>
            <w:rPr>
              <w:rStyle w:val="15"/>
              <w:rFonts w:ascii="Times New Roman" w:hAnsi="Times New Roman" w:cs="Times New Roman"/>
            </w:rPr>
            <w:t>7.2 Recommendations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_Toc223264668 \h </w:instrText>
          </w:r>
          <w:r>
            <w:rPr>
              <w:rFonts w:ascii="Times New Roman" w:hAnsi="Times New Roman" w:cs="Times New Roman"/>
            </w:rPr>
            <w:fldChar w:fldCharType="separate"/>
          </w:r>
          <w:r>
            <w:rPr>
              <w:rFonts w:ascii="Times New Roman" w:hAnsi="Times New Roman" w:cs="Times New Roman"/>
            </w:rPr>
            <w:t>26</w:t>
          </w:r>
          <w:r>
            <w:rPr>
              <w:rFonts w:ascii="Times New Roman" w:hAnsi="Times New Roman" w:cs="Times New Roman"/>
            </w:rPr>
            <w:fldChar w:fldCharType="end"/>
          </w:r>
          <w:r>
            <w:rPr>
              <w:rFonts w:ascii="Times New Roman" w:hAnsi="Times New Roman" w:cs="Times New Roman"/>
            </w:rPr>
            <w:fldChar w:fldCharType="end"/>
          </w:r>
        </w:p>
        <w:p w14:paraId="6B6DA9F8">
          <w:pPr>
            <w:pStyle w:val="22"/>
            <w:tabs>
              <w:tab w:val="right" w:leader="dot" w:pos="9350"/>
            </w:tabs>
            <w:rPr>
              <w:rFonts w:ascii="Times New Roman" w:hAnsi="Times New Roman" w:cs="Times New Roman" w:eastAsiaTheme="minorEastAsia"/>
            </w:rPr>
          </w:pPr>
          <w:r>
            <w:fldChar w:fldCharType="begin"/>
          </w:r>
          <w:r>
            <w:instrText xml:space="preserve"> HYPERLINK \l "_Toc223264669" </w:instrText>
          </w:r>
          <w:r>
            <w:fldChar w:fldCharType="separate"/>
          </w:r>
          <w:r>
            <w:rPr>
              <w:rStyle w:val="15"/>
              <w:rFonts w:ascii="Times New Roman" w:hAnsi="Times New Roman" w:cs="Times New Roman"/>
            </w:rPr>
            <w:t>References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_Toc223264669 \h </w:instrText>
          </w:r>
          <w:r>
            <w:rPr>
              <w:rFonts w:ascii="Times New Roman" w:hAnsi="Times New Roman" w:cs="Times New Roman"/>
            </w:rPr>
            <w:fldChar w:fldCharType="separate"/>
          </w:r>
          <w:r>
            <w:rPr>
              <w:rFonts w:ascii="Times New Roman" w:hAnsi="Times New Roman" w:cs="Times New Roman"/>
            </w:rPr>
            <w:t>28</w:t>
          </w:r>
          <w:r>
            <w:rPr>
              <w:rFonts w:ascii="Times New Roman" w:hAnsi="Times New Roman" w:cs="Times New Roman"/>
            </w:rPr>
            <w:fldChar w:fldCharType="end"/>
          </w:r>
          <w:r>
            <w:rPr>
              <w:rFonts w:ascii="Times New Roman" w:hAnsi="Times New Roman" w:cs="Times New Roman"/>
            </w:rPr>
            <w:fldChar w:fldCharType="end"/>
          </w:r>
        </w:p>
        <w:p w14:paraId="70CC1EEB">
          <w:pPr>
            <w:pStyle w:val="22"/>
            <w:tabs>
              <w:tab w:val="right" w:leader="dot" w:pos="9350"/>
            </w:tabs>
            <w:rPr>
              <w:rFonts w:eastAsiaTheme="minorEastAsia"/>
            </w:rPr>
          </w:pPr>
          <w:r>
            <w:fldChar w:fldCharType="begin"/>
          </w:r>
          <w:r>
            <w:instrText xml:space="preserve"> HYPERLINK \l "_Toc223264670" </w:instrText>
          </w:r>
          <w:r>
            <w:fldChar w:fldCharType="separate"/>
          </w:r>
          <w:r>
            <w:rPr>
              <w:rStyle w:val="15"/>
              <w:rFonts w:ascii="Times New Roman" w:hAnsi="Times New Roman" w:cs="Times New Roman"/>
            </w:rPr>
            <w:t>Appendix</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_Toc223264670 \h </w:instrText>
          </w:r>
          <w:r>
            <w:rPr>
              <w:rFonts w:ascii="Times New Roman" w:hAnsi="Times New Roman" w:cs="Times New Roman"/>
            </w:rPr>
            <w:fldChar w:fldCharType="separate"/>
          </w:r>
          <w:r>
            <w:rPr>
              <w:rFonts w:ascii="Times New Roman" w:hAnsi="Times New Roman" w:cs="Times New Roman"/>
            </w:rPr>
            <w:t>31</w:t>
          </w:r>
          <w:r>
            <w:rPr>
              <w:rFonts w:ascii="Times New Roman" w:hAnsi="Times New Roman" w:cs="Times New Roman"/>
            </w:rPr>
            <w:fldChar w:fldCharType="end"/>
          </w:r>
          <w:r>
            <w:rPr>
              <w:rFonts w:ascii="Times New Roman" w:hAnsi="Times New Roman" w:cs="Times New Roman"/>
            </w:rPr>
            <w:fldChar w:fldCharType="end"/>
          </w:r>
        </w:p>
        <w:p w14:paraId="33A605C7">
          <w:r>
            <w:fldChar w:fldCharType="end"/>
          </w:r>
        </w:p>
      </w:sdtContent>
    </w:sdt>
    <w:p w14:paraId="2D059CFD">
      <w:pPr>
        <w:pStyle w:val="2"/>
      </w:pPr>
      <w:bookmarkStart w:id="9" w:name="_Toc223264633"/>
      <w:bookmarkStart w:id="10" w:name="_Toc223040471"/>
      <w:r>
        <w:t>LIST OF FIGURES</w:t>
      </w:r>
      <w:bookmarkEnd w:id="9"/>
      <w:r>
        <w:tab/>
      </w:r>
      <w:r>
        <w:tab/>
      </w:r>
      <w:r>
        <w:tab/>
      </w:r>
      <w:r>
        <w:tab/>
      </w:r>
      <w:r>
        <w:tab/>
      </w:r>
      <w:r>
        <w:tab/>
      </w:r>
      <w:r>
        <w:tab/>
      </w:r>
      <w:r>
        <w:tab/>
      </w:r>
      <w:r>
        <w:tab/>
      </w:r>
    </w:p>
    <w:p w14:paraId="6647E791">
      <w:pPr>
        <w:rPr>
          <w:rFonts w:ascii="Times New Roman" w:hAnsi="Times New Roman" w:cs="Times New Roman"/>
        </w:rPr>
      </w:pPr>
    </w:p>
    <w:p w14:paraId="26C8571F">
      <w:pPr>
        <w:pStyle w:val="20"/>
        <w:tabs>
          <w:tab w:val="right" w:leader="dot" w:pos="9350"/>
        </w:tabs>
        <w:rPr>
          <w:rFonts w:ascii="Times New Roman" w:hAnsi="Times New Roman" w:cs="Times New Roman" w:eastAsiaTheme="minorEastAsia"/>
        </w:rPr>
      </w:pPr>
      <w:r>
        <w:rPr>
          <w:rFonts w:ascii="Times New Roman" w:hAnsi="Times New Roman" w:cs="Times New Roman"/>
        </w:rPr>
        <w:fldChar w:fldCharType="begin"/>
      </w:r>
      <w:r>
        <w:rPr>
          <w:rFonts w:ascii="Times New Roman" w:hAnsi="Times New Roman" w:cs="Times New Roman"/>
        </w:rPr>
        <w:instrText xml:space="preserve"> TOC \h \z \c "Table" </w:instrText>
      </w:r>
      <w:r>
        <w:rPr>
          <w:rFonts w:ascii="Times New Roman" w:hAnsi="Times New Roman" w:cs="Times New Roman"/>
        </w:rPr>
        <w:fldChar w:fldCharType="separate"/>
      </w:r>
      <w:r>
        <w:fldChar w:fldCharType="begin"/>
      </w:r>
      <w:r>
        <w:instrText xml:space="preserve"> HYPERLINK \l "_Toc223267046" </w:instrText>
      </w:r>
      <w:r>
        <w:fldChar w:fldCharType="separate"/>
      </w:r>
      <w:r>
        <w:rPr>
          <w:rStyle w:val="15"/>
          <w:rFonts w:ascii="Times New Roman" w:hAnsi="Times New Roman" w:cs="Times New Roman"/>
        </w:rPr>
        <w:t>Table 1: List of Acronyms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_Toc223267046 \h </w:instrText>
      </w:r>
      <w:r>
        <w:rPr>
          <w:rFonts w:ascii="Times New Roman" w:hAnsi="Times New Roman" w:cs="Times New Roman"/>
        </w:rPr>
        <w:fldChar w:fldCharType="separate"/>
      </w:r>
      <w:r>
        <w:rPr>
          <w:rFonts w:ascii="Times New Roman" w:hAnsi="Times New Roman" w:cs="Times New Roman"/>
        </w:rPr>
        <w:t>viii</w:t>
      </w:r>
      <w:r>
        <w:rPr>
          <w:rFonts w:ascii="Times New Roman" w:hAnsi="Times New Roman" w:cs="Times New Roman"/>
        </w:rPr>
        <w:fldChar w:fldCharType="end"/>
      </w:r>
      <w:r>
        <w:rPr>
          <w:rFonts w:ascii="Times New Roman" w:hAnsi="Times New Roman" w:cs="Times New Roman"/>
        </w:rPr>
        <w:fldChar w:fldCharType="end"/>
      </w:r>
    </w:p>
    <w:p w14:paraId="6814376E">
      <w:pPr>
        <w:pStyle w:val="20"/>
        <w:tabs>
          <w:tab w:val="right" w:leader="dot" w:pos="9350"/>
        </w:tabs>
        <w:rPr>
          <w:rFonts w:ascii="Times New Roman" w:hAnsi="Times New Roman" w:cs="Times New Roman" w:eastAsiaTheme="minorEastAsia"/>
        </w:rPr>
      </w:pPr>
      <w:r>
        <w:fldChar w:fldCharType="begin"/>
      </w:r>
      <w:r>
        <w:instrText xml:space="preserve"> HYPERLINK \l "_Toc223267047" </w:instrText>
      </w:r>
      <w:r>
        <w:fldChar w:fldCharType="separate"/>
      </w:r>
      <w:r>
        <w:rPr>
          <w:rStyle w:val="15"/>
          <w:rFonts w:ascii="Times New Roman" w:hAnsi="Times New Roman" w:cs="Times New Roman"/>
        </w:rPr>
        <w:t>Table 2: Significance of coefficients of Independent Variables using Plain OLS &amp; Fixed Effects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_Toc223267047 \h </w:instrText>
      </w:r>
      <w:r>
        <w:rPr>
          <w:rFonts w:ascii="Times New Roman" w:hAnsi="Times New Roman" w:cs="Times New Roman"/>
        </w:rPr>
        <w:fldChar w:fldCharType="separate"/>
      </w:r>
      <w:r>
        <w:rPr>
          <w:rFonts w:ascii="Times New Roman" w:hAnsi="Times New Roman" w:cs="Times New Roman"/>
        </w:rPr>
        <w:t>20</w:t>
      </w:r>
      <w:r>
        <w:rPr>
          <w:rFonts w:ascii="Times New Roman" w:hAnsi="Times New Roman" w:cs="Times New Roman"/>
        </w:rPr>
        <w:fldChar w:fldCharType="end"/>
      </w:r>
      <w:r>
        <w:rPr>
          <w:rFonts w:ascii="Times New Roman" w:hAnsi="Times New Roman" w:cs="Times New Roman"/>
        </w:rPr>
        <w:fldChar w:fldCharType="end"/>
      </w:r>
    </w:p>
    <w:p w14:paraId="4BDB3940">
      <w:pPr>
        <w:pStyle w:val="20"/>
        <w:tabs>
          <w:tab w:val="right" w:leader="dot" w:pos="9350"/>
        </w:tabs>
        <w:rPr>
          <w:rFonts w:ascii="Times New Roman" w:hAnsi="Times New Roman" w:cs="Times New Roman" w:eastAsiaTheme="minorEastAsia"/>
        </w:rPr>
      </w:pPr>
      <w:r>
        <w:fldChar w:fldCharType="begin"/>
      </w:r>
      <w:r>
        <w:instrText xml:space="preserve"> HYPERLINK \l "_Toc223267048" </w:instrText>
      </w:r>
      <w:r>
        <w:fldChar w:fldCharType="separate"/>
      </w:r>
      <w:r>
        <w:rPr>
          <w:rStyle w:val="15"/>
          <w:rFonts w:ascii="Times New Roman" w:hAnsi="Times New Roman" w:cs="Times New Roman"/>
        </w:rPr>
        <w:t>Table 3: Significance of coefficients after compounding Dummy variable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_Toc223267048 \h </w:instrText>
      </w:r>
      <w:r>
        <w:rPr>
          <w:rFonts w:ascii="Times New Roman" w:hAnsi="Times New Roman" w:cs="Times New Roman"/>
        </w:rPr>
        <w:fldChar w:fldCharType="separate"/>
      </w:r>
      <w:r>
        <w:rPr>
          <w:rFonts w:ascii="Times New Roman" w:hAnsi="Times New Roman" w:cs="Times New Roman"/>
        </w:rPr>
        <w:t>21</w:t>
      </w:r>
      <w:r>
        <w:rPr>
          <w:rFonts w:ascii="Times New Roman" w:hAnsi="Times New Roman" w:cs="Times New Roman"/>
        </w:rPr>
        <w:fldChar w:fldCharType="end"/>
      </w:r>
      <w:r>
        <w:rPr>
          <w:rFonts w:ascii="Times New Roman" w:hAnsi="Times New Roman" w:cs="Times New Roman"/>
        </w:rPr>
        <w:fldChar w:fldCharType="end"/>
      </w:r>
    </w:p>
    <w:p w14:paraId="0A90DB87">
      <w:pPr>
        <w:pStyle w:val="20"/>
        <w:tabs>
          <w:tab w:val="right" w:leader="dot" w:pos="9350"/>
        </w:tabs>
        <w:rPr>
          <w:rFonts w:ascii="Times New Roman" w:hAnsi="Times New Roman" w:cs="Times New Roman" w:eastAsiaTheme="minorEastAsia"/>
        </w:rPr>
      </w:pPr>
      <w:r>
        <w:fldChar w:fldCharType="begin"/>
      </w:r>
      <w:r>
        <w:instrText xml:space="preserve"> HYPERLINK \l "_Toc223267049" </w:instrText>
      </w:r>
      <w:r>
        <w:fldChar w:fldCharType="separate"/>
      </w:r>
      <w:r>
        <w:rPr>
          <w:rStyle w:val="15"/>
          <w:rFonts w:ascii="Times New Roman" w:hAnsi="Times New Roman" w:cs="Times New Roman"/>
        </w:rPr>
        <w:t>Table 4 : Net coefficients of Islamic bank’s Independent variables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_Toc223267049 \h </w:instrText>
      </w:r>
      <w:r>
        <w:rPr>
          <w:rFonts w:ascii="Times New Roman" w:hAnsi="Times New Roman" w:cs="Times New Roman"/>
        </w:rPr>
        <w:fldChar w:fldCharType="separate"/>
      </w:r>
      <w:r>
        <w:rPr>
          <w:rFonts w:ascii="Times New Roman" w:hAnsi="Times New Roman" w:cs="Times New Roman"/>
        </w:rPr>
        <w:t>22</w:t>
      </w:r>
      <w:r>
        <w:rPr>
          <w:rFonts w:ascii="Times New Roman" w:hAnsi="Times New Roman" w:cs="Times New Roman"/>
        </w:rPr>
        <w:fldChar w:fldCharType="end"/>
      </w:r>
      <w:r>
        <w:rPr>
          <w:rFonts w:ascii="Times New Roman" w:hAnsi="Times New Roman" w:cs="Times New Roman"/>
        </w:rPr>
        <w:fldChar w:fldCharType="end"/>
      </w:r>
    </w:p>
    <w:p w14:paraId="4E06A0C1">
      <w:pPr>
        <w:pStyle w:val="20"/>
        <w:tabs>
          <w:tab w:val="right" w:leader="dot" w:pos="9350"/>
        </w:tabs>
        <w:rPr>
          <w:rFonts w:ascii="Times New Roman" w:hAnsi="Times New Roman" w:cs="Times New Roman" w:eastAsiaTheme="minorEastAsia"/>
        </w:rPr>
      </w:pPr>
      <w:r>
        <w:fldChar w:fldCharType="begin"/>
      </w:r>
      <w:r>
        <w:instrText xml:space="preserve"> HYPERLINK \l "_Toc223267050" </w:instrText>
      </w:r>
      <w:r>
        <w:fldChar w:fldCharType="separate"/>
      </w:r>
      <w:r>
        <w:rPr>
          <w:rStyle w:val="15"/>
          <w:rFonts w:ascii="Times New Roman" w:hAnsi="Times New Roman" w:cs="Times New Roman"/>
        </w:rPr>
        <w:t>Table 5: Difference in coefficients of each category of bank</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_Toc223267050 \h </w:instrText>
      </w:r>
      <w:r>
        <w:rPr>
          <w:rFonts w:ascii="Times New Roman" w:hAnsi="Times New Roman" w:cs="Times New Roman"/>
        </w:rPr>
        <w:fldChar w:fldCharType="separate"/>
      </w:r>
      <w:r>
        <w:rPr>
          <w:rFonts w:ascii="Times New Roman" w:hAnsi="Times New Roman" w:cs="Times New Roman"/>
        </w:rPr>
        <w:t>23</w:t>
      </w:r>
      <w:r>
        <w:rPr>
          <w:rFonts w:ascii="Times New Roman" w:hAnsi="Times New Roman" w:cs="Times New Roman"/>
        </w:rPr>
        <w:fldChar w:fldCharType="end"/>
      </w:r>
      <w:r>
        <w:rPr>
          <w:rFonts w:ascii="Times New Roman" w:hAnsi="Times New Roman" w:cs="Times New Roman"/>
        </w:rPr>
        <w:fldChar w:fldCharType="end"/>
      </w:r>
    </w:p>
    <w:p w14:paraId="569AAF82">
      <w:pPr>
        <w:pStyle w:val="20"/>
        <w:tabs>
          <w:tab w:val="right" w:leader="dot" w:pos="9350"/>
        </w:tabs>
        <w:rPr>
          <w:rFonts w:ascii="Times New Roman" w:hAnsi="Times New Roman" w:cs="Times New Roman" w:eastAsiaTheme="minorEastAsia"/>
        </w:rPr>
      </w:pPr>
      <w:r>
        <w:fldChar w:fldCharType="begin"/>
      </w:r>
      <w:r>
        <w:instrText xml:space="preserve"> HYPERLINK \l "_Toc223267051" </w:instrText>
      </w:r>
      <w:r>
        <w:fldChar w:fldCharType="separate"/>
      </w:r>
      <w:r>
        <w:rPr>
          <w:rStyle w:val="15"/>
          <w:rFonts w:ascii="Times New Roman" w:hAnsi="Times New Roman" w:cs="Times New Roman"/>
        </w:rPr>
        <w:t>Table 6: Important ratios for the year 2025</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_Toc223267051 \h </w:instrText>
      </w:r>
      <w:r>
        <w:rPr>
          <w:rFonts w:ascii="Times New Roman" w:hAnsi="Times New Roman" w:cs="Times New Roman"/>
        </w:rPr>
        <w:fldChar w:fldCharType="separate"/>
      </w:r>
      <w:r>
        <w:rPr>
          <w:rFonts w:ascii="Times New Roman" w:hAnsi="Times New Roman" w:cs="Times New Roman"/>
        </w:rPr>
        <w:t>24</w:t>
      </w:r>
      <w:r>
        <w:rPr>
          <w:rFonts w:ascii="Times New Roman" w:hAnsi="Times New Roman" w:cs="Times New Roman"/>
        </w:rPr>
        <w:fldChar w:fldCharType="end"/>
      </w:r>
      <w:r>
        <w:rPr>
          <w:rFonts w:ascii="Times New Roman" w:hAnsi="Times New Roman" w:cs="Times New Roman"/>
        </w:rPr>
        <w:fldChar w:fldCharType="end"/>
      </w:r>
    </w:p>
    <w:p w14:paraId="2DE1F407">
      <w:pPr>
        <w:pStyle w:val="20"/>
        <w:tabs>
          <w:tab w:val="right" w:leader="dot" w:pos="9350"/>
        </w:tabs>
        <w:rPr>
          <w:rFonts w:ascii="Times New Roman" w:hAnsi="Times New Roman" w:cs="Times New Roman" w:eastAsiaTheme="minorEastAsia"/>
        </w:rPr>
      </w:pPr>
      <w:r>
        <w:fldChar w:fldCharType="begin"/>
      </w:r>
      <w:r>
        <w:instrText xml:space="preserve"> HYPERLINK \l "_Toc223267052" </w:instrText>
      </w:r>
      <w:r>
        <w:fldChar w:fldCharType="separate"/>
      </w:r>
      <w:r>
        <w:rPr>
          <w:rStyle w:val="15"/>
          <w:rFonts w:ascii="Times New Roman" w:hAnsi="Times New Roman" w:cs="Times New Roman"/>
        </w:rPr>
        <w:t>Table 7: Name of the Bank</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_Toc223267052 \h </w:instrText>
      </w:r>
      <w:r>
        <w:rPr>
          <w:rFonts w:ascii="Times New Roman" w:hAnsi="Times New Roman" w:cs="Times New Roman"/>
        </w:rPr>
        <w:fldChar w:fldCharType="separate"/>
      </w:r>
      <w:r>
        <w:rPr>
          <w:rFonts w:ascii="Times New Roman" w:hAnsi="Times New Roman" w:cs="Times New Roman"/>
        </w:rPr>
        <w:t>31</w:t>
      </w:r>
      <w:r>
        <w:rPr>
          <w:rFonts w:ascii="Times New Roman" w:hAnsi="Times New Roman" w:cs="Times New Roman"/>
        </w:rPr>
        <w:fldChar w:fldCharType="end"/>
      </w:r>
      <w:r>
        <w:rPr>
          <w:rFonts w:ascii="Times New Roman" w:hAnsi="Times New Roman" w:cs="Times New Roman"/>
        </w:rPr>
        <w:fldChar w:fldCharType="end"/>
      </w:r>
    </w:p>
    <w:p w14:paraId="6B41CE2B">
      <w:pPr>
        <w:pStyle w:val="20"/>
        <w:tabs>
          <w:tab w:val="right" w:leader="dot" w:pos="9350"/>
        </w:tabs>
        <w:rPr>
          <w:rFonts w:ascii="Times New Roman" w:hAnsi="Times New Roman" w:cs="Times New Roman" w:eastAsiaTheme="minorEastAsia"/>
        </w:rPr>
      </w:pPr>
      <w:r>
        <w:fldChar w:fldCharType="begin"/>
      </w:r>
      <w:r>
        <w:instrText xml:space="preserve"> HYPERLINK \l "_Toc223267053" </w:instrText>
      </w:r>
      <w:r>
        <w:fldChar w:fldCharType="separate"/>
      </w:r>
      <w:r>
        <w:rPr>
          <w:rStyle w:val="15"/>
          <w:rFonts w:ascii="Times New Roman" w:hAnsi="Times New Roman" w:cs="Times New Roman"/>
        </w:rPr>
        <w:t>Table 8:Raw data</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_Toc223267053 \h </w:instrText>
      </w:r>
      <w:r>
        <w:rPr>
          <w:rFonts w:ascii="Times New Roman" w:hAnsi="Times New Roman" w:cs="Times New Roman"/>
        </w:rPr>
        <w:fldChar w:fldCharType="separate"/>
      </w:r>
      <w:r>
        <w:rPr>
          <w:rFonts w:ascii="Times New Roman" w:hAnsi="Times New Roman" w:cs="Times New Roman"/>
        </w:rPr>
        <w:t>32</w:t>
      </w:r>
      <w:r>
        <w:rPr>
          <w:rFonts w:ascii="Times New Roman" w:hAnsi="Times New Roman" w:cs="Times New Roman"/>
        </w:rPr>
        <w:fldChar w:fldCharType="end"/>
      </w:r>
      <w:r>
        <w:rPr>
          <w:rFonts w:ascii="Times New Roman" w:hAnsi="Times New Roman" w:cs="Times New Roman"/>
        </w:rPr>
        <w:fldChar w:fldCharType="end"/>
      </w:r>
    </w:p>
    <w:p w14:paraId="59B3C155">
      <w:pPr>
        <w:pStyle w:val="20"/>
        <w:tabs>
          <w:tab w:val="right" w:leader="dot" w:pos="9350"/>
        </w:tabs>
        <w:rPr>
          <w:rFonts w:ascii="Times New Roman" w:hAnsi="Times New Roman" w:cs="Times New Roman" w:eastAsiaTheme="minorEastAsia"/>
        </w:rPr>
      </w:pPr>
      <w:r>
        <w:fldChar w:fldCharType="begin"/>
      </w:r>
      <w:r>
        <w:instrText xml:space="preserve"> HYPERLINK \l "_Toc223267054" </w:instrText>
      </w:r>
      <w:r>
        <w:fldChar w:fldCharType="separate"/>
      </w:r>
      <w:r>
        <w:rPr>
          <w:rStyle w:val="15"/>
          <w:rFonts w:ascii="Times New Roman" w:hAnsi="Times New Roman" w:cs="Times New Roman"/>
        </w:rPr>
        <w:t>Table 9: Rations of the entire selected bank</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_Toc223267054 \h </w:instrText>
      </w:r>
      <w:r>
        <w:rPr>
          <w:rFonts w:ascii="Times New Roman" w:hAnsi="Times New Roman" w:cs="Times New Roman"/>
        </w:rPr>
        <w:fldChar w:fldCharType="separate"/>
      </w:r>
      <w:r>
        <w:rPr>
          <w:rFonts w:ascii="Times New Roman" w:hAnsi="Times New Roman" w:cs="Times New Roman"/>
        </w:rPr>
        <w:t>33</w:t>
      </w:r>
      <w:r>
        <w:rPr>
          <w:rFonts w:ascii="Times New Roman" w:hAnsi="Times New Roman" w:cs="Times New Roman"/>
        </w:rPr>
        <w:fldChar w:fldCharType="end"/>
      </w:r>
      <w:r>
        <w:rPr>
          <w:rFonts w:ascii="Times New Roman" w:hAnsi="Times New Roman" w:cs="Times New Roman"/>
        </w:rPr>
        <w:fldChar w:fldCharType="end"/>
      </w:r>
    </w:p>
    <w:p w14:paraId="0B7FDF3A">
      <w:r>
        <w:rPr>
          <w:rFonts w:ascii="Times New Roman" w:hAnsi="Times New Roman" w:cs="Times New Roman"/>
        </w:rPr>
        <w:fldChar w:fldCharType="end"/>
      </w:r>
    </w:p>
    <w:p w14:paraId="2BF6BA5D">
      <w:pPr>
        <w:rPr>
          <w:rFonts w:asciiTheme="majorHAnsi" w:hAnsiTheme="majorHAnsi" w:eastAsiaTheme="majorEastAsia" w:cstheme="majorBidi"/>
          <w:bCs/>
          <w:color w:val="366091" w:themeColor="accent1" w:themeShade="BF"/>
          <w:sz w:val="44"/>
          <w:szCs w:val="28"/>
          <w:u w:val="single"/>
        </w:rPr>
      </w:pPr>
      <w:r>
        <w:br w:type="page"/>
      </w:r>
    </w:p>
    <w:p w14:paraId="20A62FEF">
      <w:pPr>
        <w:pStyle w:val="2"/>
      </w:pPr>
      <w:r>
        <w:t>Acronyms</w:t>
      </w:r>
      <w:r>
        <w:tab/>
      </w:r>
      <w:r>
        <w:tab/>
      </w:r>
      <w:r>
        <w:tab/>
      </w:r>
      <w:r>
        <w:tab/>
      </w:r>
      <w:r>
        <w:tab/>
      </w:r>
      <w:r>
        <w:tab/>
      </w:r>
      <w:r>
        <w:tab/>
      </w:r>
      <w:r>
        <w:tab/>
      </w:r>
      <w:r>
        <w:tab/>
      </w:r>
      <w:r>
        <w:tab/>
      </w:r>
      <w:r>
        <w:tab/>
      </w:r>
    </w:p>
    <w:tbl>
      <w:tblPr>
        <w:tblStyle w:val="19"/>
        <w:tblW w:w="0" w:type="auto"/>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680"/>
        <w:gridCol w:w="4680"/>
      </w:tblGrid>
      <w:tr w14:paraId="53BB07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432" w:hRule="atLeast"/>
        </w:trPr>
        <w:tc>
          <w:tcPr>
            <w:tcW w:w="4680" w:type="dxa"/>
          </w:tcPr>
          <w:p w14:paraId="63AF144D">
            <w:pPr>
              <w:pStyle w:val="26"/>
              <w:jc w:val="both"/>
            </w:pPr>
            <w:r>
              <w:t>Acronyms</w:t>
            </w:r>
          </w:p>
        </w:tc>
        <w:tc>
          <w:tcPr>
            <w:tcW w:w="4680" w:type="dxa"/>
          </w:tcPr>
          <w:p w14:paraId="0CA52500">
            <w:pPr>
              <w:pStyle w:val="26"/>
              <w:jc w:val="center"/>
            </w:pPr>
            <w:r>
              <w:t>Word</w:t>
            </w:r>
          </w:p>
        </w:tc>
      </w:tr>
      <w:tr w14:paraId="5D593E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3" w:hRule="atLeast"/>
        </w:trPr>
        <w:tc>
          <w:tcPr>
            <w:tcW w:w="4680" w:type="dxa"/>
          </w:tcPr>
          <w:p w14:paraId="10CDEEDE">
            <w:pPr>
              <w:pStyle w:val="26"/>
              <w:jc w:val="both"/>
            </w:pPr>
            <w:r>
              <w:t>BBA</w:t>
            </w:r>
          </w:p>
        </w:tc>
        <w:tc>
          <w:tcPr>
            <w:tcW w:w="4680" w:type="dxa"/>
          </w:tcPr>
          <w:p w14:paraId="1FFF0EBA">
            <w:pPr>
              <w:pStyle w:val="26"/>
              <w:jc w:val="both"/>
            </w:pPr>
            <w:r>
              <w:t>Bachelor of Business Administration</w:t>
            </w:r>
          </w:p>
        </w:tc>
      </w:tr>
      <w:tr w14:paraId="5CC731C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2" w:hRule="atLeast"/>
        </w:trPr>
        <w:tc>
          <w:tcPr>
            <w:tcW w:w="4680" w:type="dxa"/>
          </w:tcPr>
          <w:p w14:paraId="2CD7B6FB">
            <w:pPr>
              <w:pStyle w:val="26"/>
              <w:jc w:val="both"/>
            </w:pPr>
            <w:r>
              <w:t>AIS</w:t>
            </w:r>
          </w:p>
        </w:tc>
        <w:tc>
          <w:tcPr>
            <w:tcW w:w="4680" w:type="dxa"/>
          </w:tcPr>
          <w:p w14:paraId="275F4C53">
            <w:pPr>
              <w:pStyle w:val="26"/>
              <w:jc w:val="both"/>
            </w:pPr>
            <w:r>
              <w:t>Accounting &amp; Information Systems</w:t>
            </w:r>
          </w:p>
        </w:tc>
      </w:tr>
      <w:tr w14:paraId="47E90B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2" w:hRule="atLeast"/>
        </w:trPr>
        <w:tc>
          <w:tcPr>
            <w:tcW w:w="4680" w:type="dxa"/>
          </w:tcPr>
          <w:p w14:paraId="64DAE4FE">
            <w:pPr>
              <w:pStyle w:val="26"/>
              <w:jc w:val="both"/>
            </w:pPr>
            <w:r>
              <w:t>SoBE</w:t>
            </w:r>
          </w:p>
        </w:tc>
        <w:tc>
          <w:tcPr>
            <w:tcW w:w="4680" w:type="dxa"/>
          </w:tcPr>
          <w:p w14:paraId="36A71B6A">
            <w:pPr>
              <w:pStyle w:val="26"/>
              <w:jc w:val="both"/>
            </w:pPr>
            <w:r>
              <w:t>School of Business &amp; Economics</w:t>
            </w:r>
          </w:p>
        </w:tc>
      </w:tr>
      <w:tr w14:paraId="400A89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3" w:hRule="atLeast"/>
        </w:trPr>
        <w:tc>
          <w:tcPr>
            <w:tcW w:w="4680" w:type="dxa"/>
          </w:tcPr>
          <w:p w14:paraId="6BDB6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NIM</w:t>
            </w:r>
          </w:p>
        </w:tc>
        <w:tc>
          <w:tcPr>
            <w:tcW w:w="4680" w:type="dxa"/>
          </w:tcPr>
          <w:p w14:paraId="0C30AC03">
            <w:pPr>
              <w:spacing w:after="0" w:line="240" w:lineRule="auto"/>
              <w:jc w:val="both"/>
              <w:rPr>
                <w:rFonts w:ascii="Times New Roman" w:hAnsi="Times New Roman" w:cs="Times New Roman"/>
                <w:sz w:val="24"/>
                <w:szCs w:val="24"/>
              </w:rPr>
            </w:pPr>
            <w:r>
              <w:rPr>
                <w:rStyle w:val="17"/>
                <w:rFonts w:ascii="Times New Roman" w:hAnsi="Times New Roman" w:cs="Times New Roman"/>
                <w:b w:val="0"/>
                <w:sz w:val="24"/>
                <w:szCs w:val="24"/>
              </w:rPr>
              <w:t>Net Interest Margin</w:t>
            </w:r>
          </w:p>
        </w:tc>
      </w:tr>
      <w:tr w14:paraId="59CBB20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2" w:hRule="atLeast"/>
        </w:trPr>
        <w:tc>
          <w:tcPr>
            <w:tcW w:w="4680" w:type="dxa"/>
          </w:tcPr>
          <w:p w14:paraId="1EA8D7FC">
            <w:pPr>
              <w:spacing w:after="0" w:line="240" w:lineRule="auto"/>
              <w:jc w:val="both"/>
              <w:rPr>
                <w:rFonts w:ascii="Times New Roman" w:hAnsi="Times New Roman" w:cs="Times New Roman"/>
                <w:b/>
                <w:sz w:val="24"/>
                <w:szCs w:val="24"/>
              </w:rPr>
            </w:pPr>
            <w:r>
              <w:rPr>
                <w:rStyle w:val="17"/>
                <w:rFonts w:ascii="Times New Roman" w:hAnsi="Times New Roman" w:cs="Times New Roman"/>
                <w:b w:val="0"/>
                <w:sz w:val="24"/>
                <w:szCs w:val="24"/>
              </w:rPr>
              <w:t>OPP</w:t>
            </w:r>
          </w:p>
        </w:tc>
        <w:tc>
          <w:tcPr>
            <w:tcW w:w="4680" w:type="dxa"/>
          </w:tcPr>
          <w:p w14:paraId="4B9F3E73">
            <w:pPr>
              <w:spacing w:after="0" w:line="240" w:lineRule="auto"/>
              <w:jc w:val="both"/>
              <w:rPr>
                <w:rFonts w:ascii="Times New Roman" w:hAnsi="Times New Roman" w:cs="Times New Roman"/>
                <w:b/>
                <w:sz w:val="24"/>
                <w:szCs w:val="24"/>
              </w:rPr>
            </w:pPr>
            <w:r>
              <w:rPr>
                <w:rStyle w:val="17"/>
                <w:rFonts w:ascii="Times New Roman" w:hAnsi="Times New Roman" w:cs="Times New Roman"/>
                <w:b w:val="0"/>
                <w:sz w:val="24"/>
                <w:szCs w:val="24"/>
              </w:rPr>
              <w:t>Operating Profit Margin</w:t>
            </w:r>
          </w:p>
        </w:tc>
      </w:tr>
      <w:tr w14:paraId="5D763B5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3" w:hRule="atLeast"/>
        </w:trPr>
        <w:tc>
          <w:tcPr>
            <w:tcW w:w="4680" w:type="dxa"/>
          </w:tcPr>
          <w:p w14:paraId="7CA0D796">
            <w:pPr>
              <w:spacing w:after="0" w:line="240" w:lineRule="auto"/>
              <w:jc w:val="both"/>
              <w:rPr>
                <w:rFonts w:ascii="Times New Roman" w:hAnsi="Times New Roman" w:cs="Times New Roman"/>
                <w:b/>
                <w:sz w:val="24"/>
                <w:szCs w:val="24"/>
              </w:rPr>
            </w:pPr>
            <w:r>
              <w:rPr>
                <w:rStyle w:val="17"/>
                <w:rFonts w:ascii="Times New Roman" w:hAnsi="Times New Roman" w:cs="Times New Roman"/>
                <w:b w:val="0"/>
                <w:sz w:val="24"/>
                <w:szCs w:val="24"/>
              </w:rPr>
              <w:t>PRV</w:t>
            </w:r>
          </w:p>
        </w:tc>
        <w:tc>
          <w:tcPr>
            <w:tcW w:w="4680" w:type="dxa"/>
          </w:tcPr>
          <w:p w14:paraId="4DF153E9">
            <w:pPr>
              <w:spacing w:after="0" w:line="240" w:lineRule="auto"/>
              <w:jc w:val="both"/>
              <w:rPr>
                <w:rFonts w:ascii="Times New Roman" w:hAnsi="Times New Roman" w:cs="Times New Roman"/>
                <w:b/>
                <w:sz w:val="24"/>
                <w:szCs w:val="24"/>
              </w:rPr>
            </w:pPr>
            <w:r>
              <w:rPr>
                <w:rStyle w:val="17"/>
                <w:rFonts w:ascii="Times New Roman" w:hAnsi="Times New Roman" w:cs="Times New Roman"/>
                <w:b w:val="0"/>
                <w:sz w:val="24"/>
                <w:szCs w:val="24"/>
              </w:rPr>
              <w:t>Provision Ratio Value</w:t>
            </w:r>
          </w:p>
        </w:tc>
      </w:tr>
      <w:tr w14:paraId="58B14E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2" w:hRule="atLeast"/>
        </w:trPr>
        <w:tc>
          <w:tcPr>
            <w:tcW w:w="4680" w:type="dxa"/>
          </w:tcPr>
          <w:p w14:paraId="2E5808B7">
            <w:pPr>
              <w:spacing w:after="0" w:line="240" w:lineRule="auto"/>
              <w:jc w:val="both"/>
              <w:rPr>
                <w:rFonts w:ascii="Times New Roman" w:hAnsi="Times New Roman" w:cs="Times New Roman"/>
                <w:b/>
                <w:sz w:val="24"/>
                <w:szCs w:val="24"/>
              </w:rPr>
            </w:pPr>
            <w:r>
              <w:rPr>
                <w:rStyle w:val="17"/>
                <w:rFonts w:ascii="Times New Roman" w:hAnsi="Times New Roman" w:cs="Times New Roman"/>
                <w:b w:val="0"/>
                <w:sz w:val="24"/>
                <w:szCs w:val="24"/>
              </w:rPr>
              <w:t>DEP</w:t>
            </w:r>
          </w:p>
        </w:tc>
        <w:tc>
          <w:tcPr>
            <w:tcW w:w="4680" w:type="dxa"/>
          </w:tcPr>
          <w:p w14:paraId="7D26B352">
            <w:pPr>
              <w:spacing w:after="0" w:line="240" w:lineRule="auto"/>
              <w:jc w:val="both"/>
              <w:rPr>
                <w:rFonts w:ascii="Times New Roman" w:hAnsi="Times New Roman" w:cs="Times New Roman"/>
                <w:b/>
                <w:sz w:val="24"/>
                <w:szCs w:val="24"/>
              </w:rPr>
            </w:pPr>
            <w:r>
              <w:rPr>
                <w:rStyle w:val="17"/>
                <w:rFonts w:ascii="Times New Roman" w:hAnsi="Times New Roman" w:cs="Times New Roman"/>
                <w:b w:val="0"/>
                <w:sz w:val="24"/>
                <w:szCs w:val="24"/>
              </w:rPr>
              <w:t>Deposit Ratio</w:t>
            </w:r>
          </w:p>
        </w:tc>
      </w:tr>
      <w:tr w14:paraId="7F1966E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2" w:hRule="atLeast"/>
        </w:trPr>
        <w:tc>
          <w:tcPr>
            <w:tcW w:w="4680" w:type="dxa"/>
          </w:tcPr>
          <w:p w14:paraId="73800626">
            <w:pPr>
              <w:spacing w:after="0" w:line="240" w:lineRule="auto"/>
              <w:jc w:val="both"/>
              <w:rPr>
                <w:rStyle w:val="17"/>
                <w:rFonts w:ascii="Times New Roman" w:hAnsi="Times New Roman" w:cs="Times New Roman"/>
                <w:b w:val="0"/>
                <w:sz w:val="24"/>
                <w:szCs w:val="24"/>
              </w:rPr>
            </w:pPr>
            <w:r>
              <w:rPr>
                <w:rStyle w:val="17"/>
                <w:rFonts w:ascii="Times New Roman" w:hAnsi="Times New Roman" w:cs="Times New Roman"/>
                <w:b w:val="0"/>
                <w:sz w:val="24"/>
                <w:szCs w:val="24"/>
              </w:rPr>
              <w:t>EQR</w:t>
            </w:r>
          </w:p>
        </w:tc>
        <w:tc>
          <w:tcPr>
            <w:tcW w:w="4680" w:type="dxa"/>
          </w:tcPr>
          <w:p w14:paraId="70454837">
            <w:pPr>
              <w:spacing w:after="0" w:line="240" w:lineRule="auto"/>
              <w:jc w:val="both"/>
              <w:rPr>
                <w:rStyle w:val="17"/>
                <w:rFonts w:ascii="Times New Roman" w:hAnsi="Times New Roman" w:cs="Times New Roman"/>
                <w:b w:val="0"/>
                <w:sz w:val="24"/>
                <w:szCs w:val="24"/>
              </w:rPr>
            </w:pPr>
            <w:r>
              <w:rPr>
                <w:rStyle w:val="17"/>
                <w:rFonts w:ascii="Times New Roman" w:hAnsi="Times New Roman" w:cs="Times New Roman"/>
                <w:b w:val="0"/>
                <w:sz w:val="24"/>
                <w:szCs w:val="24"/>
              </w:rPr>
              <w:t>Equity Ratio</w:t>
            </w:r>
          </w:p>
        </w:tc>
      </w:tr>
      <w:tr w14:paraId="740EDF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3" w:hRule="atLeast"/>
        </w:trPr>
        <w:tc>
          <w:tcPr>
            <w:tcW w:w="4680" w:type="dxa"/>
          </w:tcPr>
          <w:p w14:paraId="4EA07298">
            <w:pPr>
              <w:spacing w:after="0" w:line="240" w:lineRule="auto"/>
              <w:jc w:val="both"/>
              <w:rPr>
                <w:rStyle w:val="17"/>
                <w:rFonts w:ascii="Times New Roman" w:hAnsi="Times New Roman" w:cs="Times New Roman"/>
                <w:b w:val="0"/>
                <w:sz w:val="24"/>
                <w:szCs w:val="24"/>
              </w:rPr>
            </w:pPr>
            <w:r>
              <w:rPr>
                <w:rStyle w:val="17"/>
                <w:rFonts w:ascii="Times New Roman" w:hAnsi="Times New Roman" w:cs="Times New Roman"/>
                <w:b w:val="0"/>
                <w:sz w:val="24"/>
                <w:szCs w:val="24"/>
              </w:rPr>
              <w:t>DUM</w:t>
            </w:r>
          </w:p>
        </w:tc>
        <w:tc>
          <w:tcPr>
            <w:tcW w:w="4680" w:type="dxa"/>
          </w:tcPr>
          <w:p w14:paraId="527EFEE5">
            <w:pPr>
              <w:spacing w:after="0" w:line="240" w:lineRule="auto"/>
              <w:jc w:val="both"/>
              <w:rPr>
                <w:rStyle w:val="17"/>
                <w:rFonts w:ascii="Times New Roman" w:hAnsi="Times New Roman" w:cs="Times New Roman"/>
                <w:b w:val="0"/>
                <w:sz w:val="24"/>
                <w:szCs w:val="24"/>
              </w:rPr>
            </w:pPr>
            <w:r>
              <w:rPr>
                <w:rStyle w:val="17"/>
                <w:rFonts w:ascii="Times New Roman" w:hAnsi="Times New Roman" w:cs="Times New Roman"/>
                <w:b w:val="0"/>
                <w:sz w:val="24"/>
                <w:szCs w:val="24"/>
              </w:rPr>
              <w:t>Dummy Variable</w:t>
            </w:r>
          </w:p>
        </w:tc>
      </w:tr>
      <w:tr w14:paraId="15423A2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2" w:hRule="atLeast"/>
        </w:trPr>
        <w:tc>
          <w:tcPr>
            <w:tcW w:w="4680" w:type="dxa"/>
          </w:tcPr>
          <w:p w14:paraId="02E99DDF">
            <w:pPr>
              <w:spacing w:after="0" w:line="240" w:lineRule="auto"/>
              <w:jc w:val="both"/>
              <w:rPr>
                <w:rStyle w:val="17"/>
                <w:rFonts w:ascii="Times New Roman" w:hAnsi="Times New Roman" w:cs="Times New Roman"/>
                <w:b w:val="0"/>
                <w:sz w:val="24"/>
                <w:szCs w:val="24"/>
              </w:rPr>
            </w:pPr>
            <w:r>
              <w:rPr>
                <w:rFonts w:ascii="Times New Roman" w:hAnsi="Times New Roman" w:cs="Times New Roman"/>
                <w:sz w:val="24"/>
                <w:szCs w:val="24"/>
              </w:rPr>
              <w:t>OLS</w:t>
            </w:r>
          </w:p>
        </w:tc>
        <w:tc>
          <w:tcPr>
            <w:tcW w:w="4680" w:type="dxa"/>
          </w:tcPr>
          <w:p w14:paraId="1F1462EF">
            <w:pPr>
              <w:spacing w:after="0" w:line="240" w:lineRule="auto"/>
              <w:jc w:val="both"/>
              <w:rPr>
                <w:rStyle w:val="17"/>
                <w:rFonts w:ascii="Times New Roman" w:hAnsi="Times New Roman" w:cs="Times New Roman"/>
                <w:b w:val="0"/>
                <w:sz w:val="24"/>
                <w:szCs w:val="24"/>
              </w:rPr>
            </w:pPr>
            <w:r>
              <w:rPr>
                <w:rStyle w:val="17"/>
                <w:rFonts w:ascii="Times New Roman" w:hAnsi="Times New Roman" w:cs="Times New Roman"/>
                <w:b w:val="0"/>
                <w:sz w:val="24"/>
                <w:szCs w:val="24"/>
              </w:rPr>
              <w:t>Ordinary Least Squares</w:t>
            </w:r>
          </w:p>
        </w:tc>
      </w:tr>
      <w:tr w14:paraId="453F825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413" w:hRule="atLeast"/>
        </w:trPr>
        <w:tc>
          <w:tcPr>
            <w:tcW w:w="4680" w:type="dxa"/>
          </w:tcPr>
          <w:p w14:paraId="11102939">
            <w:pPr>
              <w:spacing w:after="0" w:line="240" w:lineRule="auto"/>
              <w:jc w:val="both"/>
              <w:rPr>
                <w:rFonts w:ascii="Times New Roman" w:hAnsi="Times New Roman" w:cs="Times New Roman"/>
                <w:b/>
                <w:sz w:val="24"/>
                <w:szCs w:val="24"/>
              </w:rPr>
            </w:pPr>
            <w:r>
              <w:rPr>
                <w:rStyle w:val="17"/>
                <w:rFonts w:ascii="Times New Roman" w:hAnsi="Times New Roman" w:cs="Times New Roman"/>
                <w:b w:val="0"/>
                <w:sz w:val="24"/>
                <w:szCs w:val="24"/>
              </w:rPr>
              <w:t>DNIM</w:t>
            </w:r>
          </w:p>
        </w:tc>
        <w:tc>
          <w:tcPr>
            <w:tcW w:w="4680" w:type="dxa"/>
          </w:tcPr>
          <w:p w14:paraId="0BA73660">
            <w:pPr>
              <w:spacing w:after="0" w:line="240" w:lineRule="auto"/>
              <w:jc w:val="both"/>
              <w:rPr>
                <w:rStyle w:val="17"/>
                <w:rFonts w:ascii="Times New Roman" w:hAnsi="Times New Roman" w:cs="Times New Roman"/>
                <w:b w:val="0"/>
                <w:sz w:val="24"/>
                <w:szCs w:val="24"/>
              </w:rPr>
            </w:pPr>
            <w:r>
              <w:rPr>
                <w:rStyle w:val="17"/>
                <w:rFonts w:ascii="Times New Roman" w:hAnsi="Times New Roman" w:cs="Times New Roman"/>
                <w:b w:val="0"/>
                <w:sz w:val="24"/>
                <w:szCs w:val="24"/>
              </w:rPr>
              <w:t>Dummy Net Interest Margin</w:t>
            </w:r>
          </w:p>
        </w:tc>
      </w:tr>
      <w:tr w14:paraId="51431D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2" w:hRule="atLeast"/>
        </w:trPr>
        <w:tc>
          <w:tcPr>
            <w:tcW w:w="4680" w:type="dxa"/>
          </w:tcPr>
          <w:p w14:paraId="42CA4CF7">
            <w:pPr>
              <w:spacing w:after="0" w:line="240" w:lineRule="auto"/>
              <w:jc w:val="both"/>
              <w:rPr>
                <w:rFonts w:ascii="Times New Roman" w:hAnsi="Times New Roman" w:cs="Times New Roman"/>
                <w:b/>
                <w:sz w:val="24"/>
                <w:szCs w:val="24"/>
              </w:rPr>
            </w:pPr>
            <w:r>
              <w:rPr>
                <w:rStyle w:val="17"/>
                <w:rFonts w:ascii="Times New Roman" w:hAnsi="Times New Roman" w:cs="Times New Roman"/>
                <w:b w:val="0"/>
                <w:sz w:val="24"/>
                <w:szCs w:val="24"/>
              </w:rPr>
              <w:t>DPRV</w:t>
            </w:r>
          </w:p>
        </w:tc>
        <w:tc>
          <w:tcPr>
            <w:tcW w:w="4680" w:type="dxa"/>
          </w:tcPr>
          <w:p w14:paraId="27C22CE6">
            <w:pPr>
              <w:spacing w:after="0" w:line="240" w:lineRule="auto"/>
              <w:jc w:val="both"/>
              <w:rPr>
                <w:rFonts w:ascii="Times New Roman" w:hAnsi="Times New Roman" w:cs="Times New Roman"/>
                <w:b/>
                <w:sz w:val="24"/>
                <w:szCs w:val="24"/>
              </w:rPr>
            </w:pPr>
            <w:r>
              <w:rPr>
                <w:rStyle w:val="17"/>
                <w:rFonts w:ascii="Times New Roman" w:hAnsi="Times New Roman" w:cs="Times New Roman"/>
                <w:b w:val="0"/>
                <w:sz w:val="24"/>
                <w:szCs w:val="24"/>
              </w:rPr>
              <w:t>Dummy Provision Ratio Value</w:t>
            </w:r>
          </w:p>
        </w:tc>
      </w:tr>
      <w:tr w14:paraId="3A74A7F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2" w:hRule="atLeast"/>
        </w:trPr>
        <w:tc>
          <w:tcPr>
            <w:tcW w:w="4680" w:type="dxa"/>
          </w:tcPr>
          <w:p w14:paraId="0423DB34">
            <w:pPr>
              <w:spacing w:after="0" w:line="240" w:lineRule="auto"/>
              <w:jc w:val="both"/>
              <w:rPr>
                <w:rStyle w:val="17"/>
                <w:rFonts w:ascii="Times New Roman" w:hAnsi="Times New Roman" w:cs="Times New Roman"/>
                <w:b w:val="0"/>
                <w:sz w:val="24"/>
                <w:szCs w:val="24"/>
              </w:rPr>
            </w:pPr>
            <w:r>
              <w:rPr>
                <w:rStyle w:val="17"/>
                <w:rFonts w:ascii="Times New Roman" w:hAnsi="Times New Roman" w:cs="Times New Roman"/>
                <w:b w:val="0"/>
                <w:sz w:val="24"/>
                <w:szCs w:val="24"/>
              </w:rPr>
              <w:t>DEQR</w:t>
            </w:r>
          </w:p>
        </w:tc>
        <w:tc>
          <w:tcPr>
            <w:tcW w:w="4680" w:type="dxa"/>
          </w:tcPr>
          <w:p w14:paraId="2E5B3606">
            <w:pPr>
              <w:spacing w:after="0" w:line="240" w:lineRule="auto"/>
              <w:jc w:val="both"/>
              <w:rPr>
                <w:rStyle w:val="17"/>
                <w:rFonts w:ascii="Times New Roman" w:hAnsi="Times New Roman" w:cs="Times New Roman"/>
                <w:b w:val="0"/>
                <w:sz w:val="24"/>
                <w:szCs w:val="24"/>
              </w:rPr>
            </w:pPr>
            <w:r>
              <w:rPr>
                <w:rStyle w:val="17"/>
                <w:rFonts w:ascii="Times New Roman" w:hAnsi="Times New Roman" w:cs="Times New Roman"/>
                <w:b w:val="0"/>
                <w:sz w:val="24"/>
                <w:szCs w:val="24"/>
              </w:rPr>
              <w:t>Dummy Equity Ratio</w:t>
            </w:r>
          </w:p>
        </w:tc>
      </w:tr>
      <w:tr w14:paraId="20FFD5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2" w:hRule="atLeast"/>
        </w:trPr>
        <w:tc>
          <w:tcPr>
            <w:tcW w:w="4680" w:type="dxa"/>
          </w:tcPr>
          <w:p w14:paraId="392BD22D">
            <w:pPr>
              <w:spacing w:after="0" w:line="240" w:lineRule="auto"/>
              <w:jc w:val="both"/>
              <w:rPr>
                <w:rStyle w:val="17"/>
                <w:rFonts w:ascii="Times New Roman" w:hAnsi="Times New Roman" w:cs="Times New Roman"/>
                <w:b w:val="0"/>
                <w:sz w:val="24"/>
                <w:szCs w:val="24"/>
              </w:rPr>
            </w:pPr>
            <w:r>
              <w:rPr>
                <w:rStyle w:val="17"/>
                <w:rFonts w:ascii="Times New Roman" w:hAnsi="Times New Roman" w:cs="Times New Roman"/>
                <w:b w:val="0"/>
                <w:sz w:val="24"/>
                <w:szCs w:val="24"/>
              </w:rPr>
              <w:t>NNC Bank PLC</w:t>
            </w:r>
          </w:p>
        </w:tc>
        <w:tc>
          <w:tcPr>
            <w:tcW w:w="4680" w:type="dxa"/>
          </w:tcPr>
          <w:p w14:paraId="228E4EF9">
            <w:pPr>
              <w:spacing w:after="0" w:line="240" w:lineRule="auto"/>
              <w:jc w:val="both"/>
              <w:rPr>
                <w:rStyle w:val="17"/>
                <w:rFonts w:ascii="Times New Roman" w:hAnsi="Times New Roman" w:cs="Times New Roman"/>
                <w:b w:val="0"/>
                <w:sz w:val="24"/>
                <w:szCs w:val="24"/>
              </w:rPr>
            </w:pPr>
            <w:r>
              <w:rPr>
                <w:rStyle w:val="17"/>
                <w:rFonts w:ascii="Times New Roman" w:hAnsi="Times New Roman" w:cs="Times New Roman"/>
                <w:b w:val="0"/>
                <w:sz w:val="24"/>
                <w:szCs w:val="24"/>
              </w:rPr>
              <w:t>National Credit and Commerce Bank</w:t>
            </w:r>
          </w:p>
        </w:tc>
      </w:tr>
      <w:tr w14:paraId="1EAF75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2" w:hRule="atLeast"/>
        </w:trPr>
        <w:tc>
          <w:tcPr>
            <w:tcW w:w="4680" w:type="dxa"/>
          </w:tcPr>
          <w:p w14:paraId="08A21379">
            <w:pPr>
              <w:spacing w:after="0" w:line="240" w:lineRule="auto"/>
              <w:jc w:val="both"/>
              <w:rPr>
                <w:rStyle w:val="17"/>
                <w:rFonts w:ascii="Times New Roman" w:hAnsi="Times New Roman" w:cs="Times New Roman"/>
                <w:b w:val="0"/>
                <w:sz w:val="24"/>
                <w:szCs w:val="24"/>
              </w:rPr>
            </w:pPr>
            <w:r>
              <w:rPr>
                <w:rStyle w:val="17"/>
                <w:rFonts w:ascii="Times New Roman" w:hAnsi="Times New Roman" w:cs="Times New Roman"/>
                <w:b w:val="0"/>
                <w:sz w:val="24"/>
                <w:szCs w:val="24"/>
              </w:rPr>
              <w:t>IFIC BANK PLC</w:t>
            </w:r>
          </w:p>
        </w:tc>
        <w:tc>
          <w:tcPr>
            <w:tcW w:w="4680" w:type="dxa"/>
          </w:tcPr>
          <w:p w14:paraId="077A360A">
            <w:pPr>
              <w:spacing w:after="0" w:line="240" w:lineRule="auto"/>
              <w:rPr>
                <w:rStyle w:val="17"/>
                <w:rFonts w:ascii="Times New Roman" w:hAnsi="Times New Roman" w:cs="Times New Roman"/>
                <w:b w:val="0"/>
                <w:sz w:val="24"/>
                <w:szCs w:val="24"/>
              </w:rPr>
            </w:pPr>
            <w:r>
              <w:rPr>
                <w:rStyle w:val="17"/>
                <w:rFonts w:ascii="Times New Roman" w:hAnsi="Times New Roman" w:cs="Times New Roman"/>
                <w:b w:val="0"/>
                <w:sz w:val="24"/>
                <w:szCs w:val="24"/>
              </w:rPr>
              <w:t>International Finance Investment and Commerce Bank</w:t>
            </w:r>
          </w:p>
        </w:tc>
      </w:tr>
      <w:tr w14:paraId="4F8B59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2" w:hRule="atLeast"/>
        </w:trPr>
        <w:tc>
          <w:tcPr>
            <w:tcW w:w="4680" w:type="dxa"/>
          </w:tcPr>
          <w:p w14:paraId="40B71AB6">
            <w:pPr>
              <w:spacing w:after="0" w:line="240" w:lineRule="auto"/>
              <w:jc w:val="both"/>
              <w:rPr>
                <w:rStyle w:val="17"/>
                <w:rFonts w:ascii="Times New Roman" w:hAnsi="Times New Roman" w:cs="Times New Roman"/>
                <w:b w:val="0"/>
                <w:sz w:val="24"/>
                <w:szCs w:val="24"/>
              </w:rPr>
            </w:pPr>
            <w:r>
              <w:rPr>
                <w:rStyle w:val="17"/>
                <w:rFonts w:ascii="Times New Roman" w:hAnsi="Times New Roman" w:cs="Times New Roman"/>
                <w:b w:val="0"/>
                <w:sz w:val="24"/>
                <w:szCs w:val="24"/>
              </w:rPr>
              <w:t>EXIM BANK PLC</w:t>
            </w:r>
          </w:p>
        </w:tc>
        <w:tc>
          <w:tcPr>
            <w:tcW w:w="4680" w:type="dxa"/>
          </w:tcPr>
          <w:p w14:paraId="0480D766">
            <w:pPr>
              <w:keepNext/>
              <w:spacing w:after="0" w:line="240" w:lineRule="auto"/>
              <w:jc w:val="both"/>
              <w:rPr>
                <w:rStyle w:val="17"/>
                <w:rFonts w:ascii="Times New Roman" w:hAnsi="Times New Roman" w:cs="Times New Roman"/>
                <w:b w:val="0"/>
                <w:sz w:val="24"/>
                <w:szCs w:val="24"/>
              </w:rPr>
            </w:pPr>
            <w:r>
              <w:rPr>
                <w:rStyle w:val="17"/>
                <w:rFonts w:ascii="Times New Roman" w:hAnsi="Times New Roman" w:cs="Times New Roman"/>
                <w:b w:val="0"/>
                <w:sz w:val="24"/>
                <w:szCs w:val="24"/>
              </w:rPr>
              <w:t>Export Import Bank of Bangladesh PLC</w:t>
            </w:r>
          </w:p>
        </w:tc>
      </w:tr>
      <w:tr w14:paraId="3F7C03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2" w:hRule="atLeast"/>
        </w:trPr>
        <w:tc>
          <w:tcPr>
            <w:tcW w:w="4680" w:type="dxa"/>
          </w:tcPr>
          <w:p w14:paraId="6BC61911">
            <w:pPr>
              <w:spacing w:after="0" w:line="240" w:lineRule="auto"/>
              <w:jc w:val="both"/>
              <w:rPr>
                <w:rStyle w:val="17"/>
                <w:rFonts w:ascii="Times New Roman" w:hAnsi="Times New Roman" w:cs="Times New Roman"/>
                <w:b w:val="0"/>
                <w:sz w:val="24"/>
                <w:szCs w:val="24"/>
              </w:rPr>
            </w:pPr>
            <w:r>
              <w:rPr>
                <w:rStyle w:val="17"/>
                <w:rFonts w:ascii="Times New Roman" w:hAnsi="Times New Roman" w:cs="Times New Roman"/>
                <w:b w:val="0"/>
                <w:sz w:val="24"/>
                <w:szCs w:val="24"/>
              </w:rPr>
              <w:t>FEM</w:t>
            </w:r>
          </w:p>
        </w:tc>
        <w:tc>
          <w:tcPr>
            <w:tcW w:w="4680" w:type="dxa"/>
          </w:tcPr>
          <w:p w14:paraId="1321D2EF">
            <w:pPr>
              <w:keepNext/>
              <w:spacing w:after="0" w:line="240" w:lineRule="auto"/>
              <w:jc w:val="both"/>
              <w:rPr>
                <w:rStyle w:val="17"/>
                <w:rFonts w:ascii="Times New Roman" w:hAnsi="Times New Roman" w:cs="Times New Roman"/>
                <w:b w:val="0"/>
                <w:sz w:val="24"/>
                <w:szCs w:val="24"/>
              </w:rPr>
            </w:pPr>
            <w:r>
              <w:rPr>
                <w:rStyle w:val="17"/>
                <w:rFonts w:ascii="Times New Roman" w:hAnsi="Times New Roman" w:cs="Times New Roman"/>
                <w:b w:val="0"/>
                <w:sz w:val="24"/>
                <w:szCs w:val="24"/>
              </w:rPr>
              <w:t>Fixed Effects Model</w:t>
            </w:r>
          </w:p>
        </w:tc>
      </w:tr>
      <w:tr w14:paraId="45312D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2" w:hRule="atLeast"/>
        </w:trPr>
        <w:tc>
          <w:tcPr>
            <w:tcW w:w="4680" w:type="dxa"/>
          </w:tcPr>
          <w:p w14:paraId="783EFF9C">
            <w:pPr>
              <w:spacing w:after="0" w:line="240" w:lineRule="auto"/>
              <w:jc w:val="both"/>
              <w:rPr>
                <w:rStyle w:val="17"/>
                <w:rFonts w:ascii="Times New Roman" w:hAnsi="Times New Roman" w:cs="Times New Roman"/>
                <w:b w:val="0"/>
                <w:sz w:val="24"/>
                <w:szCs w:val="24"/>
              </w:rPr>
            </w:pPr>
            <w:r>
              <w:rPr>
                <w:rStyle w:val="17"/>
                <w:rFonts w:ascii="Times New Roman" w:hAnsi="Times New Roman" w:cs="Times New Roman"/>
                <w:b w:val="0"/>
                <w:sz w:val="24"/>
                <w:szCs w:val="24"/>
              </w:rPr>
              <w:t>PROV</w:t>
            </w:r>
          </w:p>
        </w:tc>
        <w:tc>
          <w:tcPr>
            <w:tcW w:w="4680" w:type="dxa"/>
          </w:tcPr>
          <w:p w14:paraId="7E40E611">
            <w:pPr>
              <w:keepNext/>
              <w:spacing w:after="0" w:line="240" w:lineRule="auto"/>
              <w:jc w:val="both"/>
              <w:rPr>
                <w:rStyle w:val="17"/>
                <w:rFonts w:ascii="Times New Roman" w:hAnsi="Times New Roman" w:cs="Times New Roman"/>
                <w:b w:val="0"/>
                <w:sz w:val="24"/>
                <w:szCs w:val="24"/>
              </w:rPr>
            </w:pPr>
            <w:r>
              <w:rPr>
                <w:rStyle w:val="17"/>
                <w:rFonts w:ascii="Times New Roman" w:hAnsi="Times New Roman" w:cs="Times New Roman"/>
                <w:b w:val="0"/>
                <w:sz w:val="24"/>
                <w:szCs w:val="24"/>
              </w:rPr>
              <w:t>Provident Financial Holdings</w:t>
            </w:r>
          </w:p>
        </w:tc>
      </w:tr>
      <w:tr w14:paraId="09BC6C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2" w:hRule="atLeast"/>
        </w:trPr>
        <w:tc>
          <w:tcPr>
            <w:tcW w:w="4680" w:type="dxa"/>
          </w:tcPr>
          <w:p w14:paraId="3C81D619">
            <w:pPr>
              <w:spacing w:after="0" w:line="240" w:lineRule="auto"/>
              <w:jc w:val="both"/>
              <w:rPr>
                <w:rStyle w:val="17"/>
                <w:rFonts w:ascii="Times New Roman" w:hAnsi="Times New Roman" w:cs="Times New Roman"/>
                <w:b w:val="0"/>
                <w:sz w:val="24"/>
                <w:szCs w:val="24"/>
              </w:rPr>
            </w:pPr>
            <w:r>
              <w:rPr>
                <w:rStyle w:val="17"/>
                <w:rFonts w:ascii="Times New Roman" w:hAnsi="Times New Roman" w:cs="Times New Roman"/>
                <w:b w:val="0"/>
                <w:sz w:val="24"/>
                <w:szCs w:val="24"/>
              </w:rPr>
              <w:t>TTL or TDL</w:t>
            </w:r>
          </w:p>
        </w:tc>
        <w:tc>
          <w:tcPr>
            <w:tcW w:w="4680" w:type="dxa"/>
          </w:tcPr>
          <w:p w14:paraId="7B365CDF">
            <w:pPr>
              <w:keepNext/>
              <w:spacing w:after="0" w:line="240" w:lineRule="auto"/>
              <w:jc w:val="both"/>
              <w:rPr>
                <w:rStyle w:val="17"/>
                <w:rFonts w:ascii="Times New Roman" w:hAnsi="Times New Roman" w:cs="Times New Roman"/>
                <w:b w:val="0"/>
                <w:sz w:val="24"/>
                <w:szCs w:val="24"/>
              </w:rPr>
            </w:pPr>
            <w:r>
              <w:rPr>
                <w:rStyle w:val="17"/>
                <w:rFonts w:ascii="Times New Roman" w:hAnsi="Times New Roman" w:cs="Times New Roman"/>
                <w:b w:val="0"/>
                <w:sz w:val="24"/>
                <w:szCs w:val="24"/>
              </w:rPr>
              <w:t>Total Deposit Liabilities</w:t>
            </w:r>
          </w:p>
        </w:tc>
      </w:tr>
    </w:tbl>
    <w:p w14:paraId="016F2769">
      <w:pPr>
        <w:pStyle w:val="11"/>
      </w:pPr>
      <w:bookmarkStart w:id="11" w:name="_Toc223267046"/>
      <w:r>
        <w:t xml:space="preserve">Table </w:t>
      </w:r>
      <w:r>
        <w:fldChar w:fldCharType="begin"/>
      </w:r>
      <w:r>
        <w:instrText xml:space="preserve"> SEQ Table \* ARABIC </w:instrText>
      </w:r>
      <w:r>
        <w:fldChar w:fldCharType="separate"/>
      </w:r>
      <w:r>
        <w:t>1</w:t>
      </w:r>
      <w:r>
        <w:fldChar w:fldCharType="end"/>
      </w:r>
      <w:r>
        <w:t>: List of Acronyms</w:t>
      </w:r>
      <w:bookmarkEnd w:id="11"/>
    </w:p>
    <w:p w14:paraId="7CDB07E4">
      <w:pPr>
        <w:sectPr>
          <w:footerReference r:id="rId5" w:type="default"/>
          <w:pgSz w:w="12240" w:h="15840"/>
          <w:pgMar w:top="1440" w:right="1440" w:bottom="1440" w:left="1440" w:header="720" w:footer="720" w:gutter="0"/>
          <w:pgNumType w:fmt="lowerRoman"/>
          <w:cols w:space="720" w:num="1"/>
          <w:docGrid w:linePitch="360" w:charSpace="0"/>
        </w:sectPr>
      </w:pPr>
    </w:p>
    <w:p w14:paraId="0EAC26F9">
      <w:pPr>
        <w:pStyle w:val="2"/>
        <w:rPr>
          <w:rFonts w:asciiTheme="minorHAnsi" w:hAnsiTheme="minorHAnsi" w:cstheme="minorBidi"/>
          <w:sz w:val="22"/>
        </w:rPr>
      </w:pPr>
      <w:bookmarkStart w:id="12" w:name="_Toc223264634"/>
      <w:r>
        <w:t>Chapter 1:</w:t>
      </w:r>
      <w:bookmarkEnd w:id="10"/>
      <w:r>
        <w:t xml:space="preserve"> </w:t>
      </w:r>
      <w:r>
        <w:rPr>
          <w:sz w:val="48"/>
        </w:rPr>
        <w:t>Introduction</w:t>
      </w:r>
      <w:bookmarkEnd w:id="12"/>
      <w:r>
        <w:tab/>
      </w:r>
      <w:r>
        <w:tab/>
      </w:r>
      <w:r>
        <w:tab/>
      </w:r>
      <w:r>
        <w:tab/>
      </w:r>
      <w:r>
        <w:tab/>
      </w:r>
      <w:r>
        <w:tab/>
      </w:r>
      <w:r>
        <w:tab/>
      </w:r>
    </w:p>
    <w:p w14:paraId="23B1071F">
      <w:pPr>
        <w:jc w:val="both"/>
        <w:rPr>
          <w:rFonts w:ascii="Times New Roman" w:hAnsi="Times New Roman" w:cs="Times New Roman"/>
          <w:sz w:val="44"/>
        </w:rPr>
      </w:pPr>
      <w:r>
        <w:rPr>
          <w:rFonts w:ascii="Times New Roman" w:hAnsi="Times New Roman" w:cs="Times New Roman"/>
          <w:sz w:val="48"/>
        </w:rPr>
        <w:t xml:space="preserve">• </w:t>
      </w:r>
      <w:r>
        <w:rPr>
          <w:rFonts w:ascii="Times New Roman" w:hAnsi="Times New Roman" w:cs="Times New Roman"/>
          <w:sz w:val="44"/>
        </w:rPr>
        <w:t>INTRODUCTION</w:t>
      </w:r>
    </w:p>
    <w:p w14:paraId="1FD11B08">
      <w:pPr>
        <w:jc w:val="both"/>
        <w:rPr>
          <w:rFonts w:ascii="Times New Roman" w:hAnsi="Times New Roman" w:cs="Times New Roman"/>
          <w:sz w:val="44"/>
        </w:rPr>
      </w:pPr>
      <w:r>
        <w:rPr>
          <w:rFonts w:ascii="Times New Roman" w:hAnsi="Times New Roman" w:cs="Times New Roman"/>
          <w:sz w:val="44"/>
        </w:rPr>
        <w:t xml:space="preserve">• OBJECTIVES OF THE STUDY </w:t>
      </w:r>
    </w:p>
    <w:p w14:paraId="72AD5457">
      <w:pPr>
        <w:jc w:val="both"/>
        <w:rPr>
          <w:rFonts w:ascii="Times New Roman" w:hAnsi="Times New Roman" w:cs="Times New Roman"/>
          <w:sz w:val="44"/>
        </w:rPr>
      </w:pPr>
      <w:r>
        <w:rPr>
          <w:rFonts w:ascii="Times New Roman" w:hAnsi="Times New Roman" w:cs="Times New Roman"/>
          <w:sz w:val="44"/>
        </w:rPr>
        <w:t xml:space="preserve">• RATIONALE OF THE REPORT </w:t>
      </w:r>
    </w:p>
    <w:p w14:paraId="0EC1499B">
      <w:pPr>
        <w:jc w:val="both"/>
        <w:rPr>
          <w:rFonts w:ascii="Times New Roman" w:hAnsi="Times New Roman" w:cs="Times New Roman"/>
          <w:sz w:val="44"/>
        </w:rPr>
      </w:pPr>
      <w:r>
        <w:rPr>
          <w:rFonts w:ascii="Times New Roman" w:hAnsi="Times New Roman" w:cs="Times New Roman"/>
          <w:sz w:val="44"/>
        </w:rPr>
        <w:t xml:space="preserve">• SCOPES OF THE REPORT </w:t>
      </w:r>
    </w:p>
    <w:p w14:paraId="4233B227">
      <w:pPr>
        <w:jc w:val="both"/>
        <w:rPr>
          <w:rFonts w:ascii="Times New Roman" w:hAnsi="Times New Roman" w:cs="Times New Roman"/>
          <w:sz w:val="48"/>
        </w:rPr>
      </w:pPr>
      <w:r>
        <w:rPr>
          <w:rFonts w:ascii="Times New Roman" w:hAnsi="Times New Roman" w:cs="Times New Roman"/>
          <w:sz w:val="44"/>
        </w:rPr>
        <w:t>• LIMITATIONS OF THE REPORT</w:t>
      </w:r>
      <w:r>
        <w:rPr>
          <w:rFonts w:ascii="Times New Roman" w:hAnsi="Times New Roman" w:cs="Times New Roman"/>
          <w:sz w:val="48"/>
        </w:rPr>
        <w:br w:type="page"/>
      </w:r>
    </w:p>
    <w:p w14:paraId="7FA94434">
      <w:pPr>
        <w:pStyle w:val="3"/>
      </w:pPr>
      <w:bookmarkStart w:id="13" w:name="_Toc223264635"/>
      <w:bookmarkStart w:id="14" w:name="_Toc223040472"/>
      <w:r>
        <w:t>1.1 Introduction</w:t>
      </w:r>
      <w:bookmarkEnd w:id="13"/>
      <w:bookmarkEnd w:id="14"/>
      <w:r>
        <w:tab/>
      </w:r>
      <w:r>
        <w:tab/>
      </w:r>
      <w:r>
        <w:tab/>
      </w:r>
      <w:r>
        <w:tab/>
      </w:r>
      <w:r>
        <w:tab/>
      </w:r>
      <w:r>
        <w:tab/>
      </w:r>
      <w:r>
        <w:tab/>
      </w:r>
      <w:r>
        <w:tab/>
      </w:r>
      <w:r>
        <w:tab/>
      </w:r>
      <w:r>
        <w:tab/>
      </w:r>
      <w:r>
        <w:tab/>
      </w:r>
    </w:p>
    <w:p w14:paraId="4EC732B6">
      <w:pPr>
        <w:pStyle w:val="16"/>
        <w:jc w:val="both"/>
      </w:pPr>
      <w:r>
        <w:t>The banking sector in Bangladesh plays a critical role in driving economic development by promoting financial inclusion, supporting capital accumulation, and enabling efficient resource allocation. As key financial intermediaries, banks mobilize public savings and direct funds toward productive sectors, thereby contributing significantly to GDP growth, trade expansion, and poverty alleviation. In recent years, the industry has experienced considerable growth, fueled by increasing demand for both conventional and Islamic banking services. Consequently, evaluating the financial performance of banks has become increasingly important for policymakers, investors, and other stakeholders.</w:t>
      </w:r>
    </w:p>
    <w:p w14:paraId="3D77060C">
      <w:pPr>
        <w:pStyle w:val="16"/>
        <w:jc w:val="both"/>
      </w:pPr>
      <w:r>
        <w:t>Unlike non-financial corporations, banks operate under a distinct financial and regulatory framework. Their primary functions revolve around offering financial products such as loans, deposits, and investment services. As a result, their financial statements follow a unique structure, highlighting items such as interest income, loan loss provisions, and capital adequacy. Therefore, assessing the financial performance of banks requires the use of specialized tools and techniques particularly ratio analysis that is customized for financial institutions.</w:t>
      </w:r>
    </w:p>
    <w:p w14:paraId="573D26A6">
      <w:pPr>
        <w:pStyle w:val="16"/>
        <w:jc w:val="both"/>
      </w:pPr>
      <w:r>
        <w:t>This project undertakes a comparative analysis of five conventional and five Islamic (non-conventional) banks in Bangladesh, based on their financial performance during the period from 2022 to 2024. Conventional banks function under an interest-based system, while Islamic banks adhere to Shariah principles, which prohibit interest (Riba) and instead promote profit-and-loss sharing models. These fundamental differences are reflected in their financial structures, performance metrics, and strategic approaches.</w:t>
      </w:r>
    </w:p>
    <w:p w14:paraId="0D11EF3C">
      <w:pPr>
        <w:pStyle w:val="16"/>
        <w:jc w:val="both"/>
      </w:pPr>
      <w:r>
        <w:t>The primary aim of this study is to evaluate and compare the financial health of both categories of banks using key financial ratios related to profitability, liquidity, efficiency, and solvency. Through this analysis, the study seeks to uncover trends and distinctions between the two banking systems, offering insights into their relative strengths and potential areas for improvement.</w:t>
      </w:r>
    </w:p>
    <w:p w14:paraId="1D423146">
      <w:pPr>
        <w:pStyle w:val="16"/>
        <w:jc w:val="both"/>
      </w:pPr>
      <w:r>
        <w:t>In addition, the report aims to deepen the understanding of the differences in financial reporting and performance assessment between Islamic and conventional banking practices. It also serves as a foundation for further academic research and policy development in the field of financial analysis and Islamic banking. Ultimately, this study contributes to the broader discourse on financial performance benchmarking, regulatory oversight, and risk management within the evolving landscape of Bangladesh’s banking sector.</w:t>
      </w:r>
    </w:p>
    <w:p w14:paraId="0EE19189">
      <w:pPr>
        <w:jc w:val="center"/>
      </w:pPr>
    </w:p>
    <w:p w14:paraId="5C3D6323">
      <w:r>
        <w:br w:type="page"/>
      </w:r>
    </w:p>
    <w:p w14:paraId="58FCC1BF">
      <w:pPr>
        <w:pStyle w:val="3"/>
      </w:pPr>
      <w:bookmarkStart w:id="15" w:name="_Toc223040473"/>
      <w:bookmarkStart w:id="16" w:name="_Toc223264636"/>
      <w:r>
        <w:rPr>
          <w:rStyle w:val="17"/>
          <w:b/>
          <w:bCs w:val="0"/>
        </w:rPr>
        <w:t>1.2 Objectives of the Study</w:t>
      </w:r>
      <w:bookmarkEnd w:id="15"/>
      <w:bookmarkEnd w:id="16"/>
      <w:r>
        <w:rPr>
          <w:rStyle w:val="17"/>
          <w:b/>
          <w:bCs w:val="0"/>
        </w:rPr>
        <w:tab/>
      </w:r>
      <w:r>
        <w:rPr>
          <w:rStyle w:val="17"/>
          <w:b/>
          <w:bCs w:val="0"/>
        </w:rPr>
        <w:tab/>
      </w:r>
      <w:r>
        <w:rPr>
          <w:rStyle w:val="17"/>
          <w:b/>
          <w:bCs w:val="0"/>
        </w:rPr>
        <w:tab/>
      </w:r>
      <w:r>
        <w:rPr>
          <w:rStyle w:val="17"/>
          <w:b/>
          <w:bCs w:val="0"/>
        </w:rPr>
        <w:tab/>
      </w:r>
      <w:r>
        <w:rPr>
          <w:rStyle w:val="17"/>
          <w:b/>
          <w:bCs w:val="0"/>
        </w:rPr>
        <w:tab/>
      </w:r>
      <w:r>
        <w:rPr>
          <w:rStyle w:val="17"/>
          <w:b/>
          <w:bCs w:val="0"/>
        </w:rPr>
        <w:tab/>
      </w:r>
      <w:r>
        <w:rPr>
          <w:rStyle w:val="17"/>
          <w:b/>
          <w:bCs w:val="0"/>
        </w:rPr>
        <w:tab/>
      </w:r>
      <w:r>
        <w:rPr>
          <w:rStyle w:val="17"/>
          <w:b/>
          <w:bCs w:val="0"/>
        </w:rPr>
        <w:tab/>
      </w:r>
      <w:r>
        <w:rPr>
          <w:rStyle w:val="17"/>
          <w:b/>
          <w:bCs w:val="0"/>
        </w:rPr>
        <w:tab/>
      </w:r>
    </w:p>
    <w:p w14:paraId="4EAE33C8">
      <w:pPr>
        <w:pStyle w:val="16"/>
        <w:jc w:val="both"/>
        <w:rPr>
          <w:b/>
          <w:bCs/>
        </w:rPr>
      </w:pPr>
      <w:r>
        <w:rPr>
          <w:rStyle w:val="17"/>
        </w:rPr>
        <w:t xml:space="preserve">Primary Objective: </w:t>
      </w:r>
      <w:r>
        <w:t xml:space="preserve">The primary objective of this study is to fulfill the academic requirement set by the School of Business and Economics at </w:t>
      </w:r>
      <w:r>
        <w:rPr>
          <w:rStyle w:val="17"/>
        </w:rPr>
        <w:t>United International University</w:t>
      </w:r>
      <w:r>
        <w:t>. As part of the Bachelor of Business Administration (BBA) in Accounting and Information Systems (AIS) program, students are required to complete a research project or internship report upon the conclusion of their coursework. This study has been conducted to meet that partial requirement for the successful completion of the BBA degree.</w:t>
      </w:r>
    </w:p>
    <w:p w14:paraId="435E9AC0">
      <w:pPr>
        <w:pStyle w:val="16"/>
        <w:jc w:val="both"/>
      </w:pPr>
      <w:r>
        <w:rPr>
          <w:rStyle w:val="17"/>
        </w:rPr>
        <w:t>Secondary Objectives:</w:t>
      </w:r>
      <w:r>
        <w:t xml:space="preserve"> The secondary objectives of this study focus on both broad and specific research goals:</w:t>
      </w:r>
    </w:p>
    <w:p w14:paraId="1C35C7B0">
      <w:pPr>
        <w:pStyle w:val="16"/>
        <w:numPr>
          <w:ilvl w:val="0"/>
          <w:numId w:val="2"/>
        </w:numPr>
        <w:jc w:val="both"/>
      </w:pPr>
      <w:r>
        <w:rPr>
          <w:rStyle w:val="17"/>
        </w:rPr>
        <w:t>General Objective:</w:t>
      </w:r>
      <w:r>
        <w:t xml:space="preserve"> To gain a comprehensive understanding of financial performance evaluation through ratio analysis, particularly within the context of the banking sector in Bangladesh.</w:t>
      </w:r>
    </w:p>
    <w:p w14:paraId="6610EECD">
      <w:pPr>
        <w:pStyle w:val="16"/>
        <w:numPr>
          <w:ilvl w:val="0"/>
          <w:numId w:val="2"/>
        </w:numPr>
        <w:jc w:val="both"/>
      </w:pPr>
      <w:r>
        <w:rPr>
          <w:rStyle w:val="17"/>
        </w:rPr>
        <w:t>Specific Objective:</w:t>
      </w:r>
      <w:r>
        <w:t xml:space="preserve"> To conduct a comparative financial statement analysis of five conventional and five Islamic (non-conventional) banks in Bangladesh, using selected financial ratios to assess profitability, liquidity, efficiency, and solvency over the period from 2022 to 2024.</w:t>
      </w:r>
    </w:p>
    <w:p w14:paraId="3764283F">
      <w:pPr>
        <w:pStyle w:val="16"/>
        <w:jc w:val="both"/>
      </w:pPr>
      <w:r>
        <w:t>Additionally, this study aims to highlight the key differences in financial performance and reporting standards between conventional and Islamic banks, thereby contributing to informed decision-making by stakeholders and encouraging further research in this field.</w:t>
      </w:r>
    </w:p>
    <w:p w14:paraId="310AF21A">
      <w:pPr>
        <w:pStyle w:val="16"/>
        <w:jc w:val="both"/>
      </w:pPr>
      <w:r>
        <w:rPr>
          <w:rStyle w:val="17"/>
        </w:rPr>
        <w:t>Specific Objectives of the Study</w:t>
      </w:r>
    </w:p>
    <w:p w14:paraId="2ED393F6">
      <w:pPr>
        <w:pStyle w:val="16"/>
        <w:numPr>
          <w:ilvl w:val="0"/>
          <w:numId w:val="3"/>
        </w:numPr>
        <w:jc w:val="both"/>
      </w:pPr>
      <w:r>
        <w:t>To analyze the financial condition and performance of the selected conventional and Islamic banks in Bangladesh.</w:t>
      </w:r>
    </w:p>
    <w:p w14:paraId="5581229C">
      <w:pPr>
        <w:pStyle w:val="16"/>
        <w:numPr>
          <w:ilvl w:val="0"/>
          <w:numId w:val="3"/>
        </w:numPr>
        <w:jc w:val="both"/>
      </w:pPr>
      <w:r>
        <w:t>To understand how banks evaluate their financial position differently compared to non-financial institutions such as manufacturing or service-oriented businesses.</w:t>
      </w:r>
    </w:p>
    <w:p w14:paraId="64613A1D">
      <w:pPr>
        <w:pStyle w:val="16"/>
        <w:numPr>
          <w:ilvl w:val="0"/>
          <w:numId w:val="3"/>
        </w:numPr>
        <w:jc w:val="both"/>
      </w:pPr>
      <w:r>
        <w:t>To explore the unique interpretation of accounting elements within bank financial statements.</w:t>
      </w:r>
    </w:p>
    <w:p w14:paraId="353A8B63">
      <w:pPr>
        <w:pStyle w:val="16"/>
        <w:numPr>
          <w:ilvl w:val="0"/>
          <w:numId w:val="3"/>
        </w:numPr>
        <w:jc w:val="both"/>
      </w:pPr>
      <w:r>
        <w:t>To apply ratio analysis techniques to assess the financial health, efficiency, profitability, and solvency of the selected banks over the study period.</w:t>
      </w:r>
      <w:r>
        <w:br w:type="page"/>
      </w:r>
    </w:p>
    <w:p w14:paraId="3AA77321">
      <w:pPr>
        <w:pStyle w:val="3"/>
      </w:pPr>
      <w:bookmarkStart w:id="17" w:name="_Toc223040474"/>
      <w:bookmarkStart w:id="18" w:name="_Toc223264637"/>
      <w:r>
        <w:rPr>
          <w:rStyle w:val="17"/>
          <w:b/>
          <w:bCs w:val="0"/>
        </w:rPr>
        <w:t>1.3 Rationale of the Report</w:t>
      </w:r>
      <w:bookmarkEnd w:id="17"/>
      <w:bookmarkEnd w:id="18"/>
      <w:r>
        <w:rPr>
          <w:rStyle w:val="17"/>
          <w:b/>
          <w:bCs w:val="0"/>
        </w:rPr>
        <w:tab/>
      </w:r>
      <w:r>
        <w:rPr>
          <w:rStyle w:val="17"/>
          <w:b/>
          <w:bCs w:val="0"/>
        </w:rPr>
        <w:tab/>
      </w:r>
      <w:r>
        <w:rPr>
          <w:rStyle w:val="17"/>
          <w:b/>
          <w:bCs w:val="0"/>
        </w:rPr>
        <w:tab/>
      </w:r>
      <w:r>
        <w:rPr>
          <w:rStyle w:val="17"/>
          <w:b/>
          <w:bCs w:val="0"/>
        </w:rPr>
        <w:tab/>
      </w:r>
      <w:r>
        <w:rPr>
          <w:rStyle w:val="17"/>
          <w:b/>
          <w:bCs w:val="0"/>
        </w:rPr>
        <w:tab/>
      </w:r>
      <w:r>
        <w:rPr>
          <w:rStyle w:val="17"/>
          <w:b/>
          <w:bCs w:val="0"/>
        </w:rPr>
        <w:tab/>
      </w:r>
      <w:r>
        <w:rPr>
          <w:rStyle w:val="17"/>
          <w:b/>
          <w:bCs w:val="0"/>
        </w:rPr>
        <w:tab/>
      </w:r>
      <w:r>
        <w:rPr>
          <w:rStyle w:val="17"/>
          <w:b/>
          <w:bCs w:val="0"/>
        </w:rPr>
        <w:tab/>
      </w:r>
      <w:r>
        <w:rPr>
          <w:rStyle w:val="17"/>
          <w:b/>
          <w:bCs w:val="0"/>
        </w:rPr>
        <w:tab/>
      </w:r>
    </w:p>
    <w:p w14:paraId="6FE4F3E0">
      <w:pPr>
        <w:pStyle w:val="16"/>
        <w:jc w:val="both"/>
      </w:pPr>
      <w:r>
        <w:t xml:space="preserve">The primary motivation for conducting this study is to fulfill the final academic requirement of the Bachelor of Business Administration (BBA) in Accounting and Information Systems (AIS) program at United International University. As part of the curriculum, students are required to complete either an internship or a project. I have chosen the </w:t>
      </w:r>
      <w:r>
        <w:rPr>
          <w:rStyle w:val="17"/>
        </w:rPr>
        <w:t>Project</w:t>
      </w:r>
      <w:r>
        <w:t xml:space="preserve"> option, as it allows for a deeper exploration of theoretical knowledge, particularly in the area of financial analysis.</w:t>
      </w:r>
    </w:p>
    <w:p w14:paraId="0138CECD">
      <w:pPr>
        <w:pStyle w:val="16"/>
        <w:jc w:val="both"/>
      </w:pPr>
      <w:r>
        <w:t xml:space="preserve">Under the guidance of my supervisor, I have been assigned to conduct a detailed review of the </w:t>
      </w:r>
      <w:r>
        <w:rPr>
          <w:rStyle w:val="17"/>
        </w:rPr>
        <w:t>financial statement analysis of five conventional and non-conventional banks</w:t>
      </w:r>
      <w:r>
        <w:t>. This topic aligns closely with my academic background and interests, offering an opportunity to understand the financial dynamics of institutions that operate outside the traditional banking model.</w:t>
      </w:r>
    </w:p>
    <w:p w14:paraId="2C490DB7">
      <w:pPr>
        <w:pStyle w:val="16"/>
        <w:jc w:val="both"/>
      </w:pPr>
      <w:r>
        <w:t>By applying various financial ratios and analytical tools, this report aims to evaluate the performance of selected institutions and provide insights that may support informed decision-making. Additionally, the study seeks to identify areas where financial performance can be improved and recommend strategic actions for enhancing overall financial stability and efficiency within the sector.</w:t>
      </w:r>
    </w:p>
    <w:p w14:paraId="1F7B5CF0">
      <w:pPr>
        <w:pStyle w:val="16"/>
        <w:jc w:val="both"/>
      </w:pPr>
      <w:r>
        <w:t>This project not only satisfies a degree requirement but also contributes to my practical understanding of financial reporting, ratio analysis, and performance evaluation in the financial services industry.</w:t>
      </w:r>
    </w:p>
    <w:p w14:paraId="7A6E203B">
      <w:pPr>
        <w:pStyle w:val="3"/>
      </w:pPr>
      <w:bookmarkStart w:id="19" w:name="_Toc223264638"/>
      <w:bookmarkStart w:id="20" w:name="_Toc223040475"/>
      <w:r>
        <w:rPr>
          <w:rStyle w:val="17"/>
          <w:b/>
          <w:bCs w:val="0"/>
        </w:rPr>
        <w:t>1.4 Scope of the Report</w:t>
      </w:r>
      <w:bookmarkEnd w:id="19"/>
      <w:bookmarkEnd w:id="20"/>
      <w:r>
        <w:rPr>
          <w:rStyle w:val="17"/>
          <w:b/>
          <w:bCs w:val="0"/>
        </w:rPr>
        <w:tab/>
      </w:r>
      <w:r>
        <w:rPr>
          <w:rStyle w:val="17"/>
          <w:b/>
          <w:bCs w:val="0"/>
        </w:rPr>
        <w:tab/>
      </w:r>
      <w:r>
        <w:rPr>
          <w:rStyle w:val="17"/>
          <w:b/>
          <w:bCs w:val="0"/>
        </w:rPr>
        <w:tab/>
      </w:r>
      <w:r>
        <w:rPr>
          <w:rStyle w:val="17"/>
          <w:b/>
          <w:bCs w:val="0"/>
        </w:rPr>
        <w:tab/>
      </w:r>
      <w:r>
        <w:rPr>
          <w:rStyle w:val="17"/>
          <w:b/>
          <w:bCs w:val="0"/>
        </w:rPr>
        <w:tab/>
      </w:r>
      <w:r>
        <w:rPr>
          <w:rStyle w:val="17"/>
          <w:b/>
          <w:bCs w:val="0"/>
        </w:rPr>
        <w:tab/>
      </w:r>
      <w:r>
        <w:rPr>
          <w:rStyle w:val="17"/>
          <w:b/>
          <w:bCs w:val="0"/>
        </w:rPr>
        <w:tab/>
      </w:r>
      <w:r>
        <w:rPr>
          <w:rStyle w:val="17"/>
          <w:b/>
          <w:bCs w:val="0"/>
        </w:rPr>
        <w:tab/>
      </w:r>
      <w:r>
        <w:rPr>
          <w:rStyle w:val="17"/>
          <w:b/>
          <w:bCs w:val="0"/>
        </w:rPr>
        <w:tab/>
      </w:r>
      <w:r>
        <w:rPr>
          <w:rStyle w:val="17"/>
          <w:b/>
          <w:bCs w:val="0"/>
        </w:rPr>
        <w:tab/>
      </w:r>
    </w:p>
    <w:p w14:paraId="4F48236A">
      <w:pPr>
        <w:pStyle w:val="16"/>
        <w:jc w:val="both"/>
      </w:pPr>
      <w:r>
        <w:t xml:space="preserve">This report presents a comprehensive financial analysis of </w:t>
      </w:r>
      <w:r>
        <w:rPr>
          <w:rStyle w:val="17"/>
          <w:b w:val="0"/>
        </w:rPr>
        <w:t>five conventional and non-conventional (Islamic)</w:t>
      </w:r>
      <w:r>
        <w:t xml:space="preserve"> banks in Bangladesh. It focuses on a detailed examination of the banks financial statements over a specified period, primarily through the use of ratio analysis. The study covers key financial metrics such as profitability, liquidity, solvency, and market position, offering valuable insights into the overall financial health and operational efficiency of the selected institutions.</w:t>
      </w:r>
    </w:p>
    <w:p w14:paraId="66941811">
      <w:pPr>
        <w:pStyle w:val="16"/>
        <w:jc w:val="both"/>
      </w:pPr>
      <w:r>
        <w:t>In addition to individual bank analysis, the report provides a broader overview of the Bangladeshi banking industry, helping readers understand industry trends and performance indicators. It also highlights the tools and techniques commonly used by banks to evaluate and manage financial performance, offering a comparative look at how conventional and Islamic banks have performed over the years.</w:t>
      </w:r>
    </w:p>
    <w:p w14:paraId="32BFEA7D">
      <w:pPr>
        <w:pStyle w:val="3"/>
      </w:pPr>
      <w:bookmarkStart w:id="21" w:name="_Toc223040476"/>
      <w:bookmarkStart w:id="22" w:name="_Toc223264639"/>
      <w:r>
        <w:rPr>
          <w:rStyle w:val="17"/>
          <w:b/>
          <w:bCs w:val="0"/>
        </w:rPr>
        <w:t>1.5 Limitations of the Study</w:t>
      </w:r>
      <w:bookmarkEnd w:id="21"/>
      <w:bookmarkEnd w:id="22"/>
      <w:r>
        <w:rPr>
          <w:rStyle w:val="17"/>
          <w:b/>
          <w:bCs w:val="0"/>
        </w:rPr>
        <w:tab/>
      </w:r>
      <w:r>
        <w:rPr>
          <w:rStyle w:val="17"/>
          <w:b/>
          <w:bCs w:val="0"/>
        </w:rPr>
        <w:tab/>
      </w:r>
      <w:r>
        <w:rPr>
          <w:rStyle w:val="17"/>
          <w:b/>
          <w:bCs w:val="0"/>
        </w:rPr>
        <w:tab/>
      </w:r>
      <w:r>
        <w:rPr>
          <w:rStyle w:val="17"/>
          <w:b/>
          <w:bCs w:val="0"/>
        </w:rPr>
        <w:tab/>
      </w:r>
      <w:r>
        <w:rPr>
          <w:rStyle w:val="17"/>
          <w:b/>
          <w:bCs w:val="0"/>
        </w:rPr>
        <w:tab/>
      </w:r>
      <w:r>
        <w:rPr>
          <w:rStyle w:val="17"/>
          <w:b/>
          <w:bCs w:val="0"/>
        </w:rPr>
        <w:tab/>
      </w:r>
      <w:r>
        <w:rPr>
          <w:rStyle w:val="17"/>
          <w:b/>
          <w:bCs w:val="0"/>
        </w:rPr>
        <w:tab/>
      </w:r>
      <w:r>
        <w:rPr>
          <w:rStyle w:val="17"/>
          <w:b/>
          <w:bCs w:val="0"/>
        </w:rPr>
        <w:tab/>
      </w:r>
      <w:r>
        <w:rPr>
          <w:rStyle w:val="17"/>
          <w:b/>
          <w:bCs w:val="0"/>
        </w:rPr>
        <w:tab/>
      </w:r>
    </w:p>
    <w:p w14:paraId="5007BCBF">
      <w:pPr>
        <w:pStyle w:val="16"/>
        <w:jc w:val="both"/>
      </w:pPr>
      <w:r>
        <w:t>Despite its analytical depth, the report has certain limitations:</w:t>
      </w:r>
    </w:p>
    <w:p w14:paraId="64E21074">
      <w:pPr>
        <w:pStyle w:val="16"/>
        <w:numPr>
          <w:ilvl w:val="0"/>
          <w:numId w:val="4"/>
        </w:numPr>
        <w:jc w:val="both"/>
      </w:pPr>
      <w:r>
        <w:t xml:space="preserve">The study relies exclusively on </w:t>
      </w:r>
      <w:r>
        <w:rPr>
          <w:rStyle w:val="17"/>
        </w:rPr>
        <w:t>ratio analysis</w:t>
      </w:r>
      <w:r>
        <w:t>, without incorporating other financial assessment tools such as trend analysis, forecasting, or cash flow analysis, which could provide a more holistic view of financial performance.</w:t>
      </w:r>
    </w:p>
    <w:p w14:paraId="132A5AC5">
      <w:pPr>
        <w:pStyle w:val="16"/>
        <w:numPr>
          <w:ilvl w:val="0"/>
          <w:numId w:val="4"/>
        </w:numPr>
        <w:jc w:val="both"/>
      </w:pPr>
      <w:r>
        <w:rPr>
          <w:rStyle w:val="17"/>
        </w:rPr>
        <w:t>Data availability</w:t>
      </w:r>
      <w:r>
        <w:t xml:space="preserve"> posed challenges, as some banks did not disclose complete financial information on their official websites or public platforms.</w:t>
      </w:r>
    </w:p>
    <w:p w14:paraId="5B5FC76F">
      <w:pPr>
        <w:pStyle w:val="16"/>
        <w:numPr>
          <w:ilvl w:val="0"/>
          <w:numId w:val="4"/>
        </w:numPr>
        <w:jc w:val="both"/>
      </w:pPr>
      <w:r>
        <w:t xml:space="preserve">There may be </w:t>
      </w:r>
      <w:r>
        <w:rPr>
          <w:rStyle w:val="17"/>
        </w:rPr>
        <w:t>minor typographical or grammatical errors</w:t>
      </w:r>
      <w:r>
        <w:t>, despite efforts to ensure accuracy and clarity.</w:t>
      </w:r>
    </w:p>
    <w:p w14:paraId="6026B731">
      <w:pPr>
        <w:pStyle w:val="16"/>
        <w:numPr>
          <w:ilvl w:val="0"/>
          <w:numId w:val="4"/>
        </w:numPr>
        <w:jc w:val="both"/>
      </w:pPr>
      <w:r>
        <w:t>Due to time constraints and limited access to internal data, the analysis is based solely on publicly available information and may not capture all aspects of each bank's financial activities.</w:t>
      </w:r>
    </w:p>
    <w:p w14:paraId="76BBDA3B">
      <w:pPr>
        <w:pStyle w:val="16"/>
        <w:jc w:val="both"/>
      </w:pPr>
      <w:r>
        <w:t>Despite these limitations, the report aims to deliver a meaningful, insightful, and academically relevant analysis of the financial performance of conventional and Islamic banks in Bangladesh.</w:t>
      </w:r>
    </w:p>
    <w:p w14:paraId="5D31F442">
      <w:r>
        <w:br w:type="page"/>
      </w:r>
    </w:p>
    <w:p w14:paraId="1DA324BD">
      <w:pPr>
        <w:pStyle w:val="2"/>
      </w:pPr>
      <w:bookmarkStart w:id="23" w:name="_Toc223040477"/>
      <w:bookmarkStart w:id="24" w:name="_Toc223264640"/>
      <w:r>
        <w:t>Chapter 2</w:t>
      </w:r>
      <w:bookmarkEnd w:id="23"/>
      <w:r>
        <w:t>: Literature Review</w:t>
      </w:r>
      <w:bookmarkEnd w:id="24"/>
      <w:r>
        <w:tab/>
      </w:r>
      <w:r>
        <w:tab/>
      </w:r>
      <w:r>
        <w:tab/>
      </w:r>
      <w:r>
        <w:tab/>
      </w:r>
      <w:r>
        <w:tab/>
      </w:r>
      <w:r>
        <w:tab/>
      </w:r>
    </w:p>
    <w:p w14:paraId="65ED9E7F">
      <w:pPr>
        <w:pStyle w:val="45"/>
      </w:pPr>
      <w:r>
        <w:t>FINANCIAL STATEMENTS AND THEIR PURPOSE</w:t>
      </w:r>
    </w:p>
    <w:p w14:paraId="560AE9F5">
      <w:pPr>
        <w:pStyle w:val="45"/>
      </w:pPr>
      <w:r>
        <w:t>FINANCIAL STATEMENT ANALYSIS</w:t>
      </w:r>
    </w:p>
    <w:p w14:paraId="01BBFF5D">
      <w:pPr>
        <w:pStyle w:val="45"/>
      </w:pPr>
      <w:r>
        <w:t>COMPARATIVE ANALYSIS APPROACHES</w:t>
      </w:r>
    </w:p>
    <w:p w14:paraId="43583F7E">
      <w:pPr>
        <w:pStyle w:val="45"/>
      </w:pPr>
      <w:r>
        <w:t>EFFECTIVE FINANCIAL STATEMENT ANALYSIS</w:t>
      </w:r>
    </w:p>
    <w:p w14:paraId="61B84D0F">
      <w:pPr>
        <w:pStyle w:val="45"/>
      </w:pPr>
      <w:r>
        <w:t>TOOLS AND TECHNIQUES OF FINANCIAL STATEMENT ANALYSIS</w:t>
      </w:r>
    </w:p>
    <w:p w14:paraId="7550077F">
      <w:r>
        <w:br w:type="page"/>
      </w:r>
    </w:p>
    <w:p w14:paraId="65EDA99B">
      <w:pPr>
        <w:pStyle w:val="3"/>
      </w:pPr>
      <w:bookmarkStart w:id="25" w:name="_Toc223040478"/>
      <w:bookmarkStart w:id="26" w:name="_Toc223264641"/>
      <w:r>
        <w:rPr>
          <w:rStyle w:val="17"/>
          <w:b w:val="0"/>
          <w:bCs w:val="0"/>
        </w:rPr>
        <w:t>2.1 Financial Statements and Their Purpose</w:t>
      </w:r>
      <w:bookmarkEnd w:id="25"/>
      <w:bookmarkEnd w:id="26"/>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p>
    <w:p w14:paraId="23907B39">
      <w:pPr>
        <w:pStyle w:val="16"/>
        <w:jc w:val="both"/>
      </w:pPr>
      <w:r>
        <w:t>Financial statements are formal records that reflect an organization's financial performance and position over a specific accounting period. These include the Statement of Financial Position, Statement of Comprehensive Income, Statement of Changes in Equity, Statement of Cash Flows, and accompanying Notes and Disclosures</w:t>
      </w:r>
      <w:sdt>
        <w:sdtPr>
          <w:id w:val="97281936"/>
        </w:sdtPr>
        <w:sdtContent>
          <w:r>
            <w:fldChar w:fldCharType="begin"/>
          </w:r>
          <w:r>
            <w:instrText xml:space="preserve"> CITATION Ric252 \l 1033 </w:instrText>
          </w:r>
          <w:r>
            <w:fldChar w:fldCharType="separate"/>
          </w:r>
          <w:r>
            <w:t xml:space="preserve"> (Richard G. Schroeder, 2025)</w:t>
          </w:r>
          <w:r>
            <w:fldChar w:fldCharType="end"/>
          </w:r>
        </w:sdtContent>
      </w:sdt>
      <w:r>
        <w:t>. These reports are prepared by accountants and presented to internal and external stakeholders to communicate the organization's financial condition.</w:t>
      </w:r>
    </w:p>
    <w:p w14:paraId="65BE4331">
      <w:pPr>
        <w:pStyle w:val="16"/>
        <w:jc w:val="both"/>
      </w:pPr>
      <w:r>
        <w:t>The primary purpose of financial statements is to provide users such as managers, investors, and regulatory bodies with relevant information to support economic decision-making. Managers use this data to evaluate liquidity, solvency, and asset management; investors rely on it to assess investment potential; and government authority’s use it to ensure tax compliance</w:t>
      </w:r>
      <w:sdt>
        <w:sdtPr>
          <w:id w:val="97281937"/>
        </w:sdtPr>
        <w:sdtContent>
          <w:r>
            <w:fldChar w:fldCharType="begin"/>
          </w:r>
          <w:r>
            <w:instrText xml:space="preserve"> CITATION Poo22 \l 1033 </w:instrText>
          </w:r>
          <w:r>
            <w:fldChar w:fldCharType="separate"/>
          </w:r>
          <w:r>
            <w:t xml:space="preserve"> (Pooja Nagpal, 2022)</w:t>
          </w:r>
          <w:r>
            <w:fldChar w:fldCharType="end"/>
          </w:r>
        </w:sdtContent>
      </w:sdt>
      <w:r>
        <w:t>.</w:t>
      </w:r>
    </w:p>
    <w:p w14:paraId="27AC648D">
      <w:pPr>
        <w:pStyle w:val="16"/>
        <w:jc w:val="both"/>
      </w:pPr>
      <w:r>
        <w:t xml:space="preserve">However, interpreting financial statements can be complex. Raw figures alone do not offer full insights into a company's performance. A deep understanding of the numbers and their interrelationships is crucial this is where </w:t>
      </w:r>
      <w:r>
        <w:rPr>
          <w:rStyle w:val="17"/>
          <w:b w:val="0"/>
        </w:rPr>
        <w:t>financial statement analysis</w:t>
      </w:r>
      <w:r>
        <w:t xml:space="preserve"> becomes essential</w:t>
      </w:r>
      <w:sdt>
        <w:sdtPr>
          <w:id w:val="97281938"/>
        </w:sdtPr>
        <w:sdtContent>
          <w:r>
            <w:fldChar w:fldCharType="begin"/>
          </w:r>
          <w:r>
            <w:instrText xml:space="preserve"> CITATION DrR23 \l 1033 </w:instrText>
          </w:r>
          <w:r>
            <w:fldChar w:fldCharType="separate"/>
          </w:r>
          <w:r>
            <w:t xml:space="preserve"> (Barman, 2023)</w:t>
          </w:r>
          <w:r>
            <w:fldChar w:fldCharType="end"/>
          </w:r>
        </w:sdtContent>
      </w:sdt>
      <w:r>
        <w:t>.</w:t>
      </w:r>
    </w:p>
    <w:p w14:paraId="052B4101">
      <w:pPr>
        <w:pStyle w:val="3"/>
      </w:pPr>
      <w:bookmarkStart w:id="27" w:name="_Toc223040479"/>
      <w:bookmarkStart w:id="28" w:name="_Toc223264642"/>
      <w:r>
        <w:rPr>
          <w:rStyle w:val="17"/>
          <w:b w:val="0"/>
          <w:bCs w:val="0"/>
        </w:rPr>
        <w:t xml:space="preserve">2.2 </w:t>
      </w:r>
      <w:r>
        <w:rPr>
          <w:rStyle w:val="17"/>
          <w:b/>
          <w:bCs/>
        </w:rPr>
        <w:t>Financial</w:t>
      </w:r>
      <w:r>
        <w:rPr>
          <w:rStyle w:val="17"/>
          <w:b w:val="0"/>
          <w:bCs w:val="0"/>
        </w:rPr>
        <w:t xml:space="preserve"> Statement Analysis</w:t>
      </w:r>
      <w:bookmarkEnd w:id="27"/>
      <w:bookmarkEnd w:id="28"/>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p>
    <w:p w14:paraId="2DED6193">
      <w:pPr>
        <w:pStyle w:val="16"/>
        <w:jc w:val="both"/>
      </w:pPr>
      <w:r>
        <w:t>Financial statement analysis refers to the process of evaluating an organization’s financial data in the context of its industry and the broader economy to derive meaningful insights and recommendations</w:t>
      </w:r>
      <w:sdt>
        <w:sdtPr>
          <w:id w:val="97281959"/>
        </w:sdtPr>
        <w:sdtContent>
          <w:r>
            <w:fldChar w:fldCharType="begin"/>
          </w:r>
          <w:r>
            <w:instrText xml:space="preserve"> CITATION Min15 \l 1033 </w:instrText>
          </w:r>
          <w:r>
            <w:fldChar w:fldCharType="separate"/>
          </w:r>
          <w:r>
            <w:t xml:space="preserve"> (Min Cao, 2015)</w:t>
          </w:r>
          <w:r>
            <w:fldChar w:fldCharType="end"/>
          </w:r>
        </w:sdtContent>
      </w:sdt>
      <w:r>
        <w:t>. It helps stakeholders assess a firm's profitability, efficiency, solvency, liquidity, and market position by reviewing key components across multiple reporting periods.</w:t>
      </w:r>
    </w:p>
    <w:p w14:paraId="66AB4568">
      <w:pPr>
        <w:pStyle w:val="5"/>
        <w:jc w:val="both"/>
      </w:pPr>
      <w:r>
        <w:rPr>
          <w:rStyle w:val="17"/>
          <w:b w:val="0"/>
          <w:bCs w:val="0"/>
        </w:rPr>
        <w:t>Types of Financial Analysis Tools</w:t>
      </w:r>
    </w:p>
    <w:p w14:paraId="05F6AF01">
      <w:pPr>
        <w:pStyle w:val="16"/>
        <w:numPr>
          <w:ilvl w:val="0"/>
          <w:numId w:val="5"/>
        </w:numPr>
        <w:jc w:val="both"/>
      </w:pPr>
      <w:r>
        <w:rPr>
          <w:rStyle w:val="17"/>
        </w:rPr>
        <w:t>Trend Analysis:</w:t>
      </w:r>
      <w:r>
        <w:t xml:space="preserve"> Identifies changes in key metrics such as revenue, net profit, or debt over time to assess financial direction and performance patterns</w:t>
      </w:r>
      <w:sdt>
        <w:sdtPr>
          <w:id w:val="97281960"/>
        </w:sdtPr>
        <w:sdtContent>
          <w:r>
            <w:fldChar w:fldCharType="begin"/>
          </w:r>
          <w:r>
            <w:instrText xml:space="preserve"> CITATION Olu24 \l 1033 </w:instrText>
          </w:r>
          <w:r>
            <w:fldChar w:fldCharType="separate"/>
          </w:r>
          <w:r>
            <w:t xml:space="preserve"> (Olubusayo Mesioye, 2024)</w:t>
          </w:r>
          <w:r>
            <w:fldChar w:fldCharType="end"/>
          </w:r>
        </w:sdtContent>
      </w:sdt>
      <w:r>
        <w:t>.</w:t>
      </w:r>
    </w:p>
    <w:p w14:paraId="57459385">
      <w:pPr>
        <w:pStyle w:val="16"/>
        <w:numPr>
          <w:ilvl w:val="0"/>
          <w:numId w:val="5"/>
        </w:numPr>
        <w:jc w:val="both"/>
      </w:pPr>
      <w:r>
        <w:rPr>
          <w:rStyle w:val="17"/>
        </w:rPr>
        <w:t>Proportion (Ratio) Analysis:</w:t>
      </w:r>
      <w:r>
        <w:t xml:space="preserve"> Examines relationships between different items in the financial statements using ratios like the quick ratio or debt-to-equity ratio to measure performance and financial structure</w:t>
      </w:r>
      <w:sdt>
        <w:sdtPr>
          <w:id w:val="97281961"/>
        </w:sdtPr>
        <w:sdtContent>
          <w:r>
            <w:fldChar w:fldCharType="begin"/>
          </w:r>
          <w:r>
            <w:instrText xml:space="preserve"> CITATION Hel21 \l 1033 </w:instrText>
          </w:r>
          <w:r>
            <w:fldChar w:fldCharType="separate"/>
          </w:r>
          <w:r>
            <w:t xml:space="preserve"> (Helda Aslim Safitry, 2021)</w:t>
          </w:r>
          <w:r>
            <w:fldChar w:fldCharType="end"/>
          </w:r>
        </w:sdtContent>
      </w:sdt>
      <w:r>
        <w:t>.</w:t>
      </w:r>
    </w:p>
    <w:p w14:paraId="2DE5A30C">
      <w:pPr>
        <w:pStyle w:val="3"/>
      </w:pPr>
      <w:bookmarkStart w:id="29" w:name="_Toc223040480"/>
      <w:bookmarkStart w:id="30" w:name="_Toc223264643"/>
      <w:r>
        <w:rPr>
          <w:rStyle w:val="17"/>
          <w:b w:val="0"/>
          <w:bCs w:val="0"/>
        </w:rPr>
        <w:t>3.3 Comparative Analysis Approaches</w:t>
      </w:r>
      <w:bookmarkEnd w:id="29"/>
      <w:bookmarkEnd w:id="30"/>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p>
    <w:p w14:paraId="29E960F2">
      <w:pPr>
        <w:pStyle w:val="16"/>
        <w:jc w:val="both"/>
      </w:pPr>
      <w:r>
        <w:t>Comparative analysis enhances the value of financial statement interpretation by placing results within a broader context:</w:t>
      </w:r>
    </w:p>
    <w:p w14:paraId="065DD5D3">
      <w:pPr>
        <w:pStyle w:val="16"/>
        <w:numPr>
          <w:ilvl w:val="0"/>
          <w:numId w:val="6"/>
        </w:numPr>
        <w:jc w:val="both"/>
      </w:pPr>
      <w:r>
        <w:rPr>
          <w:rStyle w:val="17"/>
        </w:rPr>
        <w:t>Intra Company Basis:</w:t>
      </w:r>
      <w:r>
        <w:t xml:space="preserve"> Compares a company's financial results over different years to identify internal trends or changes </w:t>
      </w:r>
      <w:sdt>
        <w:sdtPr>
          <w:id w:val="97281977"/>
        </w:sdtPr>
        <w:sdtContent>
          <w:r>
            <w:fldChar w:fldCharType="begin"/>
          </w:r>
          <w:r>
            <w:instrText xml:space="preserve"> CITATION Lyn23 \l 1033 </w:instrText>
          </w:r>
          <w:r>
            <w:fldChar w:fldCharType="separate"/>
          </w:r>
          <w:r>
            <w:t>(Lyn M. Fraser, 2023)</w:t>
          </w:r>
          <w:r>
            <w:fldChar w:fldCharType="end"/>
          </w:r>
        </w:sdtContent>
      </w:sdt>
      <w:r>
        <w:t>.</w:t>
      </w:r>
    </w:p>
    <w:p w14:paraId="004EE629">
      <w:pPr>
        <w:pStyle w:val="16"/>
        <w:numPr>
          <w:ilvl w:val="0"/>
          <w:numId w:val="6"/>
        </w:numPr>
        <w:jc w:val="both"/>
      </w:pPr>
      <w:r>
        <w:rPr>
          <w:rStyle w:val="17"/>
        </w:rPr>
        <w:t>Industry Basis:</w:t>
      </w:r>
      <w:r>
        <w:t xml:space="preserve"> Compares a firm's performance with industry averages to measure competitiveness and benchmark progress</w:t>
      </w:r>
      <w:sdt>
        <w:sdtPr>
          <w:id w:val="97281978"/>
        </w:sdtPr>
        <w:sdtContent>
          <w:r>
            <w:fldChar w:fldCharType="begin"/>
          </w:r>
          <w:r>
            <w:instrText xml:space="preserve"> CITATION Pal20 \l 1033 </w:instrText>
          </w:r>
          <w:r>
            <w:fldChar w:fldCharType="separate"/>
          </w:r>
          <w:r>
            <w:t xml:space="preserve"> (Palepu, 2020)</w:t>
          </w:r>
          <w:r>
            <w:fldChar w:fldCharType="end"/>
          </w:r>
        </w:sdtContent>
      </w:sdt>
      <w:r>
        <w:t>.</w:t>
      </w:r>
    </w:p>
    <w:p w14:paraId="33BC57FD">
      <w:pPr>
        <w:pStyle w:val="16"/>
        <w:numPr>
          <w:ilvl w:val="0"/>
          <w:numId w:val="6"/>
        </w:numPr>
        <w:jc w:val="both"/>
      </w:pPr>
      <w:r>
        <w:rPr>
          <w:rStyle w:val="17"/>
        </w:rPr>
        <w:t>Intercompany Basis:</w:t>
      </w:r>
      <w:r>
        <w:t xml:space="preserve"> Compares multiple firms within the same market to determine relative strengths and opportunities</w:t>
      </w:r>
      <w:sdt>
        <w:sdtPr>
          <w:id w:val="97281979"/>
        </w:sdtPr>
        <w:sdtContent>
          <w:r>
            <w:fldChar w:fldCharType="begin"/>
          </w:r>
          <w:r>
            <w:instrText xml:space="preserve"> CITATION Tho20 \l 1033 </w:instrText>
          </w:r>
          <w:r>
            <w:fldChar w:fldCharType="separate"/>
          </w:r>
          <w:r>
            <w:t xml:space="preserve"> (Robinson &amp; Henry, 2020)</w:t>
          </w:r>
          <w:r>
            <w:fldChar w:fldCharType="end"/>
          </w:r>
        </w:sdtContent>
      </w:sdt>
      <w:r>
        <w:t>.</w:t>
      </w:r>
    </w:p>
    <w:p w14:paraId="7A11159F">
      <w:pPr>
        <w:pStyle w:val="3"/>
      </w:pPr>
      <w:bookmarkStart w:id="31" w:name="_Toc223264644"/>
      <w:bookmarkStart w:id="32" w:name="_Toc223040481"/>
      <w:r>
        <w:rPr>
          <w:rStyle w:val="17"/>
          <w:b w:val="0"/>
          <w:bCs w:val="0"/>
        </w:rPr>
        <w:t>3.4 Effective Financial Statement Analysis: Key Considerations</w:t>
      </w:r>
      <w:bookmarkEnd w:id="31"/>
      <w:bookmarkEnd w:id="32"/>
      <w:r>
        <w:rPr>
          <w:rStyle w:val="17"/>
          <w:b w:val="0"/>
          <w:bCs w:val="0"/>
        </w:rPr>
        <w:tab/>
      </w:r>
      <w:r>
        <w:rPr>
          <w:rStyle w:val="17"/>
          <w:b w:val="0"/>
          <w:bCs w:val="0"/>
        </w:rPr>
        <w:tab/>
      </w:r>
      <w:r>
        <w:rPr>
          <w:rStyle w:val="17"/>
          <w:b w:val="0"/>
          <w:bCs w:val="0"/>
        </w:rPr>
        <w:tab/>
      </w:r>
      <w:r>
        <w:rPr>
          <w:rStyle w:val="17"/>
          <w:b w:val="0"/>
          <w:bCs w:val="0"/>
        </w:rPr>
        <w:tab/>
      </w:r>
    </w:p>
    <w:p w14:paraId="6F4EEFFB">
      <w:pPr>
        <w:pStyle w:val="16"/>
        <w:jc w:val="both"/>
      </w:pPr>
      <w:r>
        <w:t>A robust analysis of financial statements depends on a combination of financial understanding, industry knowledge, and strategic evaluation:</w:t>
      </w:r>
    </w:p>
    <w:p w14:paraId="02059B59">
      <w:pPr>
        <w:pStyle w:val="16"/>
        <w:numPr>
          <w:ilvl w:val="0"/>
          <w:numId w:val="7"/>
        </w:numPr>
        <w:jc w:val="both"/>
      </w:pPr>
      <w:r>
        <w:rPr>
          <w:rStyle w:val="17"/>
        </w:rPr>
        <w:t>Industry Characteristics:</w:t>
      </w:r>
      <w:r>
        <w:t xml:space="preserve"> Analyzing sector-specific dynamics growth trends, regulation, and competition is essential for meaningful comparisons</w:t>
      </w:r>
      <w:sdt>
        <w:sdtPr>
          <w:id w:val="97282028"/>
        </w:sdtPr>
        <w:sdtContent>
          <w:r>
            <w:fldChar w:fldCharType="begin"/>
          </w:r>
          <w:r>
            <w:instrText xml:space="preserve"> CITATION Nur16 \l 1033 </w:instrText>
          </w:r>
          <w:r>
            <w:fldChar w:fldCharType="separate"/>
          </w:r>
          <w:r>
            <w:t xml:space="preserve"> (Nurzaimahl &amp; Mudas, 2016)</w:t>
          </w:r>
          <w:r>
            <w:fldChar w:fldCharType="end"/>
          </w:r>
        </w:sdtContent>
      </w:sdt>
      <w:r>
        <w:t>.</w:t>
      </w:r>
    </w:p>
    <w:p w14:paraId="72A52908">
      <w:pPr>
        <w:pStyle w:val="16"/>
        <w:numPr>
          <w:ilvl w:val="0"/>
          <w:numId w:val="7"/>
        </w:numPr>
        <w:jc w:val="both"/>
      </w:pPr>
      <w:r>
        <w:rPr>
          <w:rStyle w:val="17"/>
        </w:rPr>
        <w:t>Structure of Financial Statements:</w:t>
      </w:r>
      <w:r>
        <w:t xml:space="preserve"> Each statement has a standard format that must be understood in relation to the others to interpret data accurately</w:t>
      </w:r>
      <w:sdt>
        <w:sdtPr>
          <w:id w:val="97282030"/>
        </w:sdtPr>
        <w:sdtContent>
          <w:r>
            <w:fldChar w:fldCharType="begin"/>
          </w:r>
          <w:r>
            <w:instrText xml:space="preserve"> CITATION Rai22 \l 1033 </w:instrText>
          </w:r>
          <w:r>
            <w:fldChar w:fldCharType="separate"/>
          </w:r>
          <w:r>
            <w:t xml:space="preserve"> (Raihan Noval Akbar, 2022)</w:t>
          </w:r>
          <w:r>
            <w:fldChar w:fldCharType="end"/>
          </w:r>
        </w:sdtContent>
      </w:sdt>
      <w:r>
        <w:t>.</w:t>
      </w:r>
    </w:p>
    <w:p w14:paraId="65C1028B">
      <w:pPr>
        <w:pStyle w:val="16"/>
        <w:numPr>
          <w:ilvl w:val="0"/>
          <w:numId w:val="7"/>
        </w:numPr>
        <w:jc w:val="both"/>
      </w:pPr>
      <w:r>
        <w:rPr>
          <w:rStyle w:val="17"/>
        </w:rPr>
        <w:t>Competitive Strategies:</w:t>
      </w:r>
      <w:r>
        <w:t xml:space="preserve"> Financial results must be considered alongside business strategies, such as market positioning, pricing, and differentiation</w:t>
      </w:r>
      <w:sdt>
        <w:sdtPr>
          <w:id w:val="97282031"/>
        </w:sdtPr>
        <w:sdtContent>
          <w:r>
            <w:fldChar w:fldCharType="begin"/>
          </w:r>
          <w:r>
            <w:instrText xml:space="preserve"> CITATION Mer20 \l 1033 </w:instrText>
          </w:r>
          <w:r>
            <w:fldChar w:fldCharType="separate"/>
          </w:r>
          <w:r>
            <w:t xml:space="preserve"> (Mery Sutrisna &amp; Indayani, 2020)</w:t>
          </w:r>
          <w:r>
            <w:fldChar w:fldCharType="end"/>
          </w:r>
        </w:sdtContent>
      </w:sdt>
      <w:r>
        <w:t>.</w:t>
      </w:r>
    </w:p>
    <w:p w14:paraId="6C5DF39D">
      <w:pPr>
        <w:pStyle w:val="5"/>
        <w:jc w:val="both"/>
      </w:pPr>
      <w:r>
        <w:rPr>
          <w:rStyle w:val="17"/>
          <w:b w:val="0"/>
          <w:bCs w:val="0"/>
        </w:rPr>
        <w:t>Steps in Financial Statement Analysis</w:t>
      </w:r>
    </w:p>
    <w:p w14:paraId="612D66C1">
      <w:pPr>
        <w:pStyle w:val="16"/>
        <w:numPr>
          <w:ilvl w:val="0"/>
          <w:numId w:val="8"/>
        </w:numPr>
        <w:jc w:val="both"/>
      </w:pPr>
      <w:r>
        <w:rPr>
          <w:rStyle w:val="17"/>
        </w:rPr>
        <w:t>Identify Industry Economic Characteristics:</w:t>
      </w:r>
      <w:r>
        <w:t xml:space="preserve"> Analyze value chains, market competition, and economic trends</w:t>
      </w:r>
      <w:sdt>
        <w:sdtPr>
          <w:id w:val="97282032"/>
        </w:sdtPr>
        <w:sdtContent>
          <w:r>
            <w:fldChar w:fldCharType="begin"/>
          </w:r>
          <w:r>
            <w:instrText xml:space="preserve"> CITATION Hen19 \l 1033 </w:instrText>
          </w:r>
          <w:r>
            <w:fldChar w:fldCharType="separate"/>
          </w:r>
          <w:r>
            <w:t xml:space="preserve"> (Quesada-Pineda, 2019)</w:t>
          </w:r>
          <w:r>
            <w:fldChar w:fldCharType="end"/>
          </w:r>
        </w:sdtContent>
      </w:sdt>
      <w:r>
        <w:t>.</w:t>
      </w:r>
    </w:p>
    <w:p w14:paraId="389AE838">
      <w:pPr>
        <w:pStyle w:val="16"/>
        <w:numPr>
          <w:ilvl w:val="0"/>
          <w:numId w:val="8"/>
        </w:numPr>
        <w:jc w:val="both"/>
      </w:pPr>
      <w:r>
        <w:rPr>
          <w:rStyle w:val="17"/>
        </w:rPr>
        <w:t>Understand Company Strategies:</w:t>
      </w:r>
      <w:r>
        <w:t xml:space="preserve"> Study product offerings, pricing, cost structure, and branding</w:t>
      </w:r>
      <w:sdt>
        <w:sdtPr>
          <w:id w:val="97282033"/>
        </w:sdtPr>
        <w:sdtContent>
          <w:r>
            <w:fldChar w:fldCharType="begin"/>
          </w:r>
          <w:r>
            <w:instrText xml:space="preserve"> CITATION Rif21 \l 1033 </w:instrText>
          </w:r>
          <w:r>
            <w:fldChar w:fldCharType="separate"/>
          </w:r>
          <w:r>
            <w:t xml:space="preserve"> (Rif'atul Fitriyah, 2021)</w:t>
          </w:r>
          <w:r>
            <w:fldChar w:fldCharType="end"/>
          </w:r>
        </w:sdtContent>
      </w:sdt>
      <w:r>
        <w:t>.</w:t>
      </w:r>
    </w:p>
    <w:p w14:paraId="4ACEBC21">
      <w:pPr>
        <w:pStyle w:val="16"/>
        <w:numPr>
          <w:ilvl w:val="0"/>
          <w:numId w:val="8"/>
        </w:numPr>
        <w:jc w:val="both"/>
      </w:pPr>
      <w:r>
        <w:rPr>
          <w:rStyle w:val="17"/>
        </w:rPr>
        <w:t>Assess Quality of Financial Statements:</w:t>
      </w:r>
      <w:r>
        <w:t xml:space="preserve"> Evaluate the reliability of reporting by examining recognition, valuation, and classification practices</w:t>
      </w:r>
      <w:sdt>
        <w:sdtPr>
          <w:id w:val="97282034"/>
        </w:sdtPr>
        <w:sdtContent>
          <w:r>
            <w:fldChar w:fldCharType="begin"/>
          </w:r>
          <w:r>
            <w:instrText xml:space="preserve"> CITATION RDa19 \l 1033 </w:instrText>
          </w:r>
          <w:r>
            <w:fldChar w:fldCharType="separate"/>
          </w:r>
          <w:r>
            <w:t xml:space="preserve"> (R. Daniel Eka Prasetya Antawirya &amp; I Gde Ary Wirajaya, 2019)</w:t>
          </w:r>
          <w:r>
            <w:fldChar w:fldCharType="end"/>
          </w:r>
        </w:sdtContent>
      </w:sdt>
      <w:r>
        <w:t>.</w:t>
      </w:r>
    </w:p>
    <w:p w14:paraId="639C8680">
      <w:pPr>
        <w:pStyle w:val="16"/>
        <w:numPr>
          <w:ilvl w:val="0"/>
          <w:numId w:val="8"/>
        </w:numPr>
        <w:jc w:val="both"/>
      </w:pPr>
      <w:r>
        <w:rPr>
          <w:rStyle w:val="17"/>
        </w:rPr>
        <w:t>Analyze Profitability and Risk:</w:t>
      </w:r>
      <w:r>
        <w:t xml:space="preserve"> Use financial ratios to evaluate the firm's performance and identify strengths or vulnerabilities</w:t>
      </w:r>
      <w:sdt>
        <w:sdtPr>
          <w:id w:val="97282036"/>
        </w:sdtPr>
        <w:sdtContent>
          <w:r>
            <w:fldChar w:fldCharType="begin"/>
          </w:r>
          <w:r>
            <w:instrText xml:space="preserve"> CITATION Abo16 \l 1033 </w:instrText>
          </w:r>
          <w:r>
            <w:fldChar w:fldCharType="separate"/>
          </w:r>
          <w:r>
            <w:t xml:space="preserve"> (Abolfathi &amp; Taebi, 2016)</w:t>
          </w:r>
          <w:r>
            <w:fldChar w:fldCharType="end"/>
          </w:r>
        </w:sdtContent>
      </w:sdt>
      <w:r>
        <w:t>.</w:t>
      </w:r>
    </w:p>
    <w:p w14:paraId="193D4645">
      <w:pPr>
        <w:pStyle w:val="16"/>
        <w:numPr>
          <w:ilvl w:val="0"/>
          <w:numId w:val="8"/>
        </w:numPr>
        <w:jc w:val="both"/>
      </w:pPr>
      <w:r>
        <w:rPr>
          <w:rStyle w:val="17"/>
        </w:rPr>
        <w:t>Prepare Forecasted Financial Statements:</w:t>
      </w:r>
      <w:r>
        <w:t xml:space="preserve"> Generate projections using realistic assumptions to assess future performance and funding needs</w:t>
      </w:r>
      <w:sdt>
        <w:sdtPr>
          <w:id w:val="97282029"/>
        </w:sdtPr>
        <w:sdtContent>
          <w:r>
            <w:fldChar w:fldCharType="begin"/>
          </w:r>
          <w:r>
            <w:instrText xml:space="preserve"> CITATION Nur16 \l 1033 </w:instrText>
          </w:r>
          <w:r>
            <w:fldChar w:fldCharType="separate"/>
          </w:r>
          <w:r>
            <w:t xml:space="preserve"> (Nurzaimahl &amp; Mudas, 2016)</w:t>
          </w:r>
          <w:r>
            <w:fldChar w:fldCharType="end"/>
          </w:r>
        </w:sdtContent>
      </w:sdt>
      <w:r>
        <w:t>.</w:t>
      </w:r>
    </w:p>
    <w:p w14:paraId="0C9809F5">
      <w:pPr>
        <w:pStyle w:val="16"/>
        <w:numPr>
          <w:ilvl w:val="0"/>
          <w:numId w:val="8"/>
        </w:numPr>
        <w:jc w:val="both"/>
      </w:pPr>
      <w:r>
        <w:rPr>
          <w:rStyle w:val="17"/>
        </w:rPr>
        <w:t>Valuate the Firm:</w:t>
      </w:r>
      <w:r>
        <w:t xml:space="preserve"> Apply valuation methods, such as discounted cash flows or economic value added, to estimate intrinsic value</w:t>
      </w:r>
      <w:sdt>
        <w:sdtPr>
          <w:id w:val="97282037"/>
        </w:sdtPr>
        <w:sdtContent>
          <w:r>
            <w:fldChar w:fldCharType="begin"/>
          </w:r>
          <w:r>
            <w:instrText xml:space="preserve"> CITATION Pal20 \l 1033 </w:instrText>
          </w:r>
          <w:r>
            <w:fldChar w:fldCharType="separate"/>
          </w:r>
          <w:r>
            <w:t xml:space="preserve"> (Palepu, 2020)</w:t>
          </w:r>
          <w:r>
            <w:fldChar w:fldCharType="end"/>
          </w:r>
        </w:sdtContent>
      </w:sdt>
      <w:r>
        <w:t>.</w:t>
      </w:r>
    </w:p>
    <w:p w14:paraId="731DA709">
      <w:pPr>
        <w:pStyle w:val="3"/>
      </w:pPr>
      <w:bookmarkStart w:id="33" w:name="_Toc223040482"/>
      <w:bookmarkStart w:id="34" w:name="_Toc223264645"/>
      <w:r>
        <w:rPr>
          <w:rStyle w:val="17"/>
          <w:b w:val="0"/>
          <w:bCs w:val="0"/>
        </w:rPr>
        <w:t>3.5 Tools and Techniques of Financial Statement Analysis</w:t>
      </w:r>
      <w:bookmarkEnd w:id="33"/>
      <w:bookmarkEnd w:id="34"/>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p>
    <w:p w14:paraId="783455D7">
      <w:pPr>
        <w:pStyle w:val="16"/>
        <w:numPr>
          <w:ilvl w:val="0"/>
          <w:numId w:val="9"/>
        </w:numPr>
        <w:jc w:val="both"/>
      </w:pPr>
      <w:r>
        <w:rPr>
          <w:rStyle w:val="17"/>
        </w:rPr>
        <w:t>Horizontal Analysis:</w:t>
      </w:r>
      <w:r>
        <w:t xml:space="preserve"> Compares line items across accounting periods to detect growth patterns or inconsistencies</w:t>
      </w:r>
      <w:sdt>
        <w:sdtPr>
          <w:id w:val="97282038"/>
        </w:sdtPr>
        <w:sdtContent>
          <w:r>
            <w:fldChar w:fldCharType="begin"/>
          </w:r>
          <w:r>
            <w:instrText xml:space="preserve"> CITATION Rai22 \l 1033 </w:instrText>
          </w:r>
          <w:r>
            <w:fldChar w:fldCharType="separate"/>
          </w:r>
          <w:r>
            <w:t xml:space="preserve"> (Raihan Noval Akbar, 2022)</w:t>
          </w:r>
          <w:r>
            <w:fldChar w:fldCharType="end"/>
          </w:r>
        </w:sdtContent>
      </w:sdt>
      <w:r>
        <w:t>.</w:t>
      </w:r>
    </w:p>
    <w:p w14:paraId="777A49CA">
      <w:pPr>
        <w:pStyle w:val="16"/>
        <w:numPr>
          <w:ilvl w:val="0"/>
          <w:numId w:val="9"/>
        </w:numPr>
        <w:jc w:val="both"/>
      </w:pPr>
      <w:r>
        <w:rPr>
          <w:rStyle w:val="17"/>
        </w:rPr>
        <w:t>Vertical Analysis:</w:t>
      </w:r>
      <w:r>
        <w:t xml:space="preserve"> Represents each financial item as a percentage of a base figure, aiding in internal comparison and benchmarking</w:t>
      </w:r>
      <w:sdt>
        <w:sdtPr>
          <w:id w:val="97282040"/>
        </w:sdtPr>
        <w:sdtContent>
          <w:r>
            <w:fldChar w:fldCharType="begin"/>
          </w:r>
          <w:r>
            <w:instrText xml:space="preserve"> CITATION Rat20 \l 1033 </w:instrText>
          </w:r>
          <w:r>
            <w:fldChar w:fldCharType="separate"/>
          </w:r>
          <w:r>
            <w:t xml:space="preserve"> (Ratmi Dewi, 2020)</w:t>
          </w:r>
          <w:r>
            <w:fldChar w:fldCharType="end"/>
          </w:r>
        </w:sdtContent>
      </w:sdt>
      <w:r>
        <w:t>.</w:t>
      </w:r>
    </w:p>
    <w:p w14:paraId="609DA6DC">
      <w:pPr>
        <w:pStyle w:val="16"/>
        <w:numPr>
          <w:ilvl w:val="0"/>
          <w:numId w:val="9"/>
        </w:numPr>
        <w:jc w:val="both"/>
      </w:pPr>
      <w:r>
        <w:rPr>
          <w:rStyle w:val="17"/>
        </w:rPr>
        <w:t>Ratio Analysis:</w:t>
      </w:r>
      <w:r>
        <w:t xml:space="preserve"> Evaluates profitability, liquidity, and solvency using key financial ratios; often used in conjunction with historical or industry data</w:t>
      </w:r>
      <w:sdt>
        <w:sdtPr>
          <w:id w:val="97282039"/>
        </w:sdtPr>
        <w:sdtContent>
          <w:r>
            <w:fldChar w:fldCharType="begin"/>
          </w:r>
          <w:r>
            <w:instrText xml:space="preserve"> CITATION Hen19 \l 1033 </w:instrText>
          </w:r>
          <w:r>
            <w:fldChar w:fldCharType="separate"/>
          </w:r>
          <w:r>
            <w:t xml:space="preserve"> (Quesada-Pineda, 2019)</w:t>
          </w:r>
          <w:r>
            <w:fldChar w:fldCharType="end"/>
          </w:r>
        </w:sdtContent>
      </w:sdt>
      <w:r>
        <w:t>.</w:t>
      </w:r>
    </w:p>
    <w:p w14:paraId="0D16C7B6">
      <w:pPr>
        <w:pStyle w:val="16"/>
        <w:numPr>
          <w:ilvl w:val="0"/>
          <w:numId w:val="9"/>
        </w:numPr>
        <w:jc w:val="both"/>
      </w:pPr>
      <w:r>
        <w:rPr>
          <w:rStyle w:val="17"/>
        </w:rPr>
        <w:t>Graphical Analysis:</w:t>
      </w:r>
      <w:r>
        <w:t xml:space="preserve"> Uses charts and graphs to visualize performance trends, simplifying interpretation for decision-makers </w:t>
      </w:r>
      <w:sdt>
        <w:sdtPr>
          <w:id w:val="97282041"/>
        </w:sdtPr>
        <w:sdtContent>
          <w:r>
            <w:fldChar w:fldCharType="begin"/>
          </w:r>
          <w:r>
            <w:instrText xml:space="preserve"> CITATION RDa19 \l 1033 </w:instrText>
          </w:r>
          <w:r>
            <w:fldChar w:fldCharType="separate"/>
          </w:r>
          <w:r>
            <w:t>(R. Daniel Eka Prasetya Antawirya &amp; I Gde Ary Wirajaya, 2019)</w:t>
          </w:r>
          <w:r>
            <w:fldChar w:fldCharType="end"/>
          </w:r>
        </w:sdtContent>
      </w:sdt>
      <w:r>
        <w:t>.</w:t>
      </w:r>
    </w:p>
    <w:p w14:paraId="0C7DC183">
      <w:pPr>
        <w:pStyle w:val="16"/>
        <w:numPr>
          <w:ilvl w:val="0"/>
          <w:numId w:val="9"/>
        </w:numPr>
        <w:jc w:val="both"/>
      </w:pPr>
      <w:r>
        <w:rPr>
          <w:rStyle w:val="17"/>
        </w:rPr>
        <w:t>Trend Analysis:</w:t>
      </w:r>
      <w:r>
        <w:t xml:space="preserve"> Measures percentage change over multiple periods to detect consistent movements and support forecasting.</w:t>
      </w:r>
    </w:p>
    <w:p w14:paraId="38612351">
      <w:pPr>
        <w:pStyle w:val="16"/>
        <w:numPr>
          <w:ilvl w:val="0"/>
          <w:numId w:val="9"/>
        </w:numPr>
        <w:jc w:val="both"/>
      </w:pPr>
      <w:r>
        <w:rPr>
          <w:rStyle w:val="17"/>
        </w:rPr>
        <w:t>Regression Analysis:</w:t>
      </w:r>
      <w:r>
        <w:t xml:space="preserve"> Examines relationships between financial variables, enabling predictions about how one metric may impact another </w:t>
      </w:r>
      <w:sdt>
        <w:sdtPr>
          <w:id w:val="97281980"/>
        </w:sdtPr>
        <w:sdtContent>
          <w:r>
            <w:fldChar w:fldCharType="begin"/>
          </w:r>
          <w:r>
            <w:instrText xml:space="preserve"> CITATION Rai22 \l 1033 </w:instrText>
          </w:r>
          <w:r>
            <w:fldChar w:fldCharType="separate"/>
          </w:r>
          <w:r>
            <w:t>(Raihan Noval Akbar, 2022)</w:t>
          </w:r>
          <w:r>
            <w:fldChar w:fldCharType="end"/>
          </w:r>
        </w:sdtContent>
      </w:sdt>
      <w:r>
        <w:t>.</w:t>
      </w:r>
    </w:p>
    <w:p w14:paraId="493566AF">
      <w:pPr>
        <w:pStyle w:val="3"/>
        <w:rPr>
          <w:rStyle w:val="17"/>
          <w:b/>
          <w:bCs/>
        </w:rPr>
      </w:pPr>
      <w:r>
        <w:rPr>
          <w:rStyle w:val="17"/>
          <w:b w:val="0"/>
          <w:bCs w:val="0"/>
        </w:rPr>
        <w:br w:type="textWrapping"/>
      </w:r>
    </w:p>
    <w:p w14:paraId="0FA195C6">
      <w:pPr>
        <w:pStyle w:val="2"/>
        <w:rPr>
          <w:rStyle w:val="17"/>
          <w:bCs w:val="0"/>
        </w:rPr>
      </w:pPr>
      <w:r>
        <w:rPr>
          <w:rStyle w:val="17"/>
          <w:bCs w:val="0"/>
        </w:rPr>
        <w:br w:type="column"/>
      </w:r>
      <w:bookmarkStart w:id="35" w:name="_Toc223040483"/>
      <w:bookmarkStart w:id="36" w:name="_Toc223264646"/>
      <w:r>
        <w:rPr>
          <w:rFonts w:eastAsiaTheme="minorHAnsi"/>
        </w:rPr>
        <w:t>Chapter 4: Methodology</w:t>
      </w:r>
      <w:bookmarkEnd w:id="35"/>
      <w:bookmarkEnd w:id="36"/>
      <w:r>
        <w:rPr>
          <w:rStyle w:val="17"/>
          <w:bCs w:val="0"/>
        </w:rPr>
        <w:tab/>
      </w:r>
      <w:r>
        <w:rPr>
          <w:rStyle w:val="17"/>
          <w:bCs w:val="0"/>
        </w:rPr>
        <w:tab/>
      </w:r>
      <w:r>
        <w:rPr>
          <w:rStyle w:val="17"/>
          <w:bCs w:val="0"/>
        </w:rPr>
        <w:tab/>
      </w:r>
      <w:r>
        <w:rPr>
          <w:rStyle w:val="17"/>
          <w:bCs w:val="0"/>
        </w:rPr>
        <w:tab/>
      </w:r>
      <w:r>
        <w:rPr>
          <w:rStyle w:val="17"/>
          <w:bCs w:val="0"/>
        </w:rPr>
        <w:tab/>
      </w:r>
      <w:r>
        <w:rPr>
          <w:rStyle w:val="17"/>
          <w:bCs w:val="0"/>
        </w:rPr>
        <w:tab/>
      </w:r>
      <w:r>
        <w:rPr>
          <w:rStyle w:val="17"/>
          <w:bCs w:val="0"/>
        </w:rPr>
        <w:tab/>
      </w:r>
      <w:bookmarkStart w:id="37" w:name="_Toc223040484"/>
    </w:p>
    <w:p w14:paraId="4DFAF7DB">
      <w:pPr>
        <w:pStyle w:val="45"/>
        <w:rPr>
          <w:rStyle w:val="17"/>
          <w:b w:val="0"/>
          <w:bCs w:val="0"/>
          <w:sz w:val="36"/>
        </w:rPr>
      </w:pPr>
      <w:r>
        <w:rPr>
          <w:rStyle w:val="17"/>
          <w:b w:val="0"/>
          <w:sz w:val="36"/>
        </w:rPr>
        <w:t>DATA TYPE</w:t>
      </w:r>
    </w:p>
    <w:p w14:paraId="0F0F3F07">
      <w:pPr>
        <w:pStyle w:val="45"/>
        <w:rPr>
          <w:rStyle w:val="17"/>
          <w:b w:val="0"/>
          <w:bCs w:val="0"/>
          <w:sz w:val="36"/>
        </w:rPr>
      </w:pPr>
      <w:r>
        <w:rPr>
          <w:rStyle w:val="17"/>
          <w:b w:val="0"/>
          <w:sz w:val="36"/>
        </w:rPr>
        <w:t>RESEARCH TYPE</w:t>
      </w:r>
    </w:p>
    <w:p w14:paraId="736631F5">
      <w:pPr>
        <w:pStyle w:val="45"/>
        <w:rPr>
          <w:rStyle w:val="17"/>
          <w:b w:val="0"/>
          <w:bCs w:val="0"/>
          <w:sz w:val="36"/>
        </w:rPr>
      </w:pPr>
      <w:r>
        <w:rPr>
          <w:rStyle w:val="17"/>
          <w:b w:val="0"/>
          <w:sz w:val="36"/>
        </w:rPr>
        <w:t>SAMPLING METHOD</w:t>
      </w:r>
    </w:p>
    <w:p w14:paraId="3B213D36">
      <w:pPr>
        <w:pStyle w:val="45"/>
        <w:rPr>
          <w:rStyle w:val="17"/>
          <w:b w:val="0"/>
          <w:bCs w:val="0"/>
          <w:sz w:val="36"/>
        </w:rPr>
      </w:pPr>
      <w:r>
        <w:rPr>
          <w:rStyle w:val="17"/>
          <w:b w:val="0"/>
          <w:sz w:val="36"/>
        </w:rPr>
        <w:t>DATA ANALYSIS TOOLS</w:t>
      </w:r>
    </w:p>
    <w:p w14:paraId="16DE7395">
      <w:pPr>
        <w:pStyle w:val="45"/>
        <w:rPr>
          <w:sz w:val="48"/>
        </w:rPr>
      </w:pPr>
      <w:r>
        <w:rPr>
          <w:rStyle w:val="17"/>
          <w:b w:val="0"/>
          <w:sz w:val="36"/>
        </w:rPr>
        <w:t>DATA PRESENTATION</w:t>
      </w:r>
    </w:p>
    <w:p w14:paraId="31D23E60">
      <w:pPr>
        <w:rPr>
          <w:rStyle w:val="17"/>
          <w:rFonts w:asciiTheme="majorHAnsi" w:hAnsiTheme="majorHAnsi" w:eastAsiaTheme="majorEastAsia" w:cstheme="majorBidi"/>
          <w:bCs w:val="0"/>
          <w:color w:val="366091" w:themeColor="accent1" w:themeShade="BF"/>
          <w:sz w:val="44"/>
          <w:szCs w:val="28"/>
          <w:u w:val="single"/>
        </w:rPr>
      </w:pPr>
      <w:r>
        <w:rPr>
          <w:rStyle w:val="17"/>
        </w:rPr>
        <w:br w:type="page"/>
      </w:r>
    </w:p>
    <w:p w14:paraId="5FB05738">
      <w:pPr>
        <w:pStyle w:val="3"/>
        <w:rPr>
          <w:kern w:val="28"/>
        </w:rPr>
      </w:pPr>
      <w:bookmarkStart w:id="38" w:name="_Toc223264647"/>
      <w:r>
        <w:rPr>
          <w:rStyle w:val="17"/>
          <w:b w:val="0"/>
          <w:bCs w:val="0"/>
        </w:rPr>
        <w:t>4.1 Data Type</w:t>
      </w:r>
      <w:bookmarkEnd w:id="37"/>
      <w:bookmarkEnd w:id="38"/>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p>
    <w:p w14:paraId="25203781">
      <w:pPr>
        <w:pStyle w:val="16"/>
        <w:jc w:val="both"/>
      </w:pPr>
      <w:r>
        <w:t xml:space="preserve">This study relies primarily on </w:t>
      </w:r>
      <w:r>
        <w:rPr>
          <w:bCs/>
        </w:rPr>
        <w:t>secondary data</w:t>
      </w:r>
      <w:r>
        <w:t>, obtained from the published annual reports of selected banks in Bangladesh, which were accessed through the official websites of the respective institutions. These reports were thoroughly reviewed to extract relevant financial data and to calculate various financial ratios. Where certain ratios were not directly provided, they were derived through computation using the raw figures available in the financial statements. Additionally, scholarly sources such as books, journals, and academic articles have been referenced to support the conceptual and analytical framework of the study</w:t>
      </w:r>
      <w:sdt>
        <w:sdtPr>
          <w:id w:val="112218282"/>
        </w:sdtPr>
        <w:sdtContent>
          <w:r>
            <w:fldChar w:fldCharType="begin"/>
          </w:r>
          <w:r>
            <w:instrText xml:space="preserve"> CITATION Mim19 \l 1033 </w:instrText>
          </w:r>
          <w:r>
            <w:fldChar w:fldCharType="separate"/>
          </w:r>
          <w:r>
            <w:t xml:space="preserve"> (Patel, 2019)</w:t>
          </w:r>
          <w:r>
            <w:fldChar w:fldCharType="end"/>
          </w:r>
        </w:sdtContent>
      </w:sdt>
      <w:r>
        <w:t>.</w:t>
      </w:r>
    </w:p>
    <w:p w14:paraId="70110967">
      <w:pPr>
        <w:pStyle w:val="16"/>
        <w:jc w:val="both"/>
      </w:pPr>
      <w:r>
        <w:t xml:space="preserve">A </w:t>
      </w:r>
      <w:r>
        <w:rPr>
          <w:bCs/>
        </w:rPr>
        <w:t>mixed panel data approach</w:t>
      </w:r>
      <w:r>
        <w:t xml:space="preserve"> was employed, incorporating information from </w:t>
      </w:r>
      <w:r>
        <w:rPr>
          <w:bCs/>
        </w:rPr>
        <w:t>ten financial</w:t>
      </w:r>
      <w:r>
        <w:rPr>
          <w:b/>
          <w:bCs/>
        </w:rPr>
        <w:t xml:space="preserve"> </w:t>
      </w:r>
      <w:r>
        <w:rPr>
          <w:bCs/>
        </w:rPr>
        <w:t>institutions</w:t>
      </w:r>
      <w:r>
        <w:t xml:space="preserve"> (five conventional banks and five Islamic banks) over a three-year period (2022–2024). The panel dataset includes 30 observations (N = 10, T = 3</w:t>
      </w:r>
      <w:r>
        <w:rPr>
          <w:b/>
          <w:bCs/>
        </w:rPr>
        <w:t>)</w:t>
      </w:r>
      <w:r>
        <w:t>. To explore potential causal relationships between a dependent variable and multiple independent variables, regression analysis was conducted</w:t>
      </w:r>
      <w:sdt>
        <w:sdtPr>
          <w:id w:val="112218285"/>
        </w:sdtPr>
        <w:sdtContent>
          <w:r>
            <w:fldChar w:fldCharType="begin"/>
          </w:r>
          <w:r>
            <w:instrText xml:space="preserve"> CITATION Moh16 \l 1033 </w:instrText>
          </w:r>
          <w:r>
            <w:fldChar w:fldCharType="separate"/>
          </w:r>
          <w:r>
            <w:t xml:space="preserve"> (Mohamed Al Kilani, 2016)</w:t>
          </w:r>
          <w:r>
            <w:fldChar w:fldCharType="end"/>
          </w:r>
        </w:sdtContent>
      </w:sdt>
      <w:r>
        <w:t>.</w:t>
      </w:r>
    </w:p>
    <w:p w14:paraId="371A13D3">
      <w:pPr>
        <w:pStyle w:val="3"/>
      </w:pPr>
      <w:bookmarkStart w:id="39" w:name="_Toc223040485"/>
      <w:bookmarkStart w:id="40" w:name="_Toc223264648"/>
      <w:r>
        <w:rPr>
          <w:rStyle w:val="17"/>
          <w:b w:val="0"/>
          <w:bCs w:val="0"/>
        </w:rPr>
        <w:t>4.2 Research Type</w:t>
      </w:r>
      <w:bookmarkEnd w:id="39"/>
      <w:bookmarkEnd w:id="40"/>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p>
    <w:p w14:paraId="0E420AAA">
      <w:pPr>
        <w:pStyle w:val="16"/>
        <w:jc w:val="both"/>
      </w:pPr>
      <w:r>
        <w:t>This research adopts a mixed-method approach, combining both quantitative and qualitative methodologies. The quantitative aspect is reflected in the numerical analysis of the banks' financial data, including the use of ratios and graphical presentations that illustrate trends over the study period</w:t>
      </w:r>
      <w:sdt>
        <w:sdtPr>
          <w:id w:val="112218286"/>
        </w:sdtPr>
        <w:sdtContent>
          <w:r>
            <w:fldChar w:fldCharType="begin"/>
          </w:r>
          <w:r>
            <w:instrText xml:space="preserve"> CITATION Moh16 \l 1033 </w:instrText>
          </w:r>
          <w:r>
            <w:fldChar w:fldCharType="separate"/>
          </w:r>
          <w:r>
            <w:t xml:space="preserve"> (Mohamed Al Kilani, 2016)</w:t>
          </w:r>
          <w:r>
            <w:fldChar w:fldCharType="end"/>
          </w:r>
        </w:sdtContent>
      </w:sdt>
      <w:r>
        <w:t>. Meanwhile, the qualitative component involves the interpretation and contextual analysis of the significance of specific financial ratios and their implications on the financial health of the banks. Together, these approaches provide a comprehensive assessment of the banks’ financial positions and performance.</w:t>
      </w:r>
    </w:p>
    <w:p w14:paraId="6D75D860">
      <w:pPr>
        <w:pStyle w:val="3"/>
      </w:pPr>
      <w:bookmarkStart w:id="41" w:name="_Toc223040486"/>
      <w:bookmarkStart w:id="42" w:name="_Toc223264649"/>
      <w:r>
        <w:rPr>
          <w:rStyle w:val="17"/>
          <w:b w:val="0"/>
          <w:bCs w:val="0"/>
        </w:rPr>
        <w:t>4.3 Sampling Method</w:t>
      </w:r>
      <w:bookmarkEnd w:id="41"/>
      <w:bookmarkEnd w:id="42"/>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p>
    <w:p w14:paraId="13CF8F21">
      <w:pPr>
        <w:pStyle w:val="16"/>
        <w:jc w:val="both"/>
      </w:pPr>
      <w:r>
        <w:t>The research uses a non-probability sampling technique, specifically purposive sampling, due to the deliberate selection of five conventional and five Islamic banks based on their relevance and data availability. The sample covers the most recent three-year financial periods. This sampling approach was chosen to ensure the inclusion of banks that are active and prominent in Bangladesh's financial sector. The analysis was conducted using a panel data regression model, with N = 10, T = 3, and 30 total observations, allowing for the exploration of potential relationships among the variables</w:t>
      </w:r>
      <w:sdt>
        <w:sdtPr>
          <w:id w:val="112218287"/>
        </w:sdtPr>
        <w:sdtContent>
          <w:r>
            <w:fldChar w:fldCharType="begin"/>
          </w:r>
          <w:r>
            <w:instrText xml:space="preserve"> CITATION DrB22 \l 1033 </w:instrText>
          </w:r>
          <w:r>
            <w:fldChar w:fldCharType="separate"/>
          </w:r>
          <w:r>
            <w:t xml:space="preserve"> (Dr. B.N. Gupta, 2022)</w:t>
          </w:r>
          <w:r>
            <w:fldChar w:fldCharType="end"/>
          </w:r>
        </w:sdtContent>
      </w:sdt>
    </w:p>
    <w:p w14:paraId="2FBFC179">
      <w:pPr>
        <w:pStyle w:val="3"/>
      </w:pPr>
      <w:bookmarkStart w:id="43" w:name="_Toc223040487"/>
      <w:bookmarkStart w:id="44" w:name="_Toc223264650"/>
      <w:r>
        <w:rPr>
          <w:rStyle w:val="17"/>
          <w:b w:val="0"/>
          <w:bCs w:val="0"/>
        </w:rPr>
        <w:t>4.4 Data Analysis Tools</w:t>
      </w:r>
      <w:bookmarkEnd w:id="43"/>
      <w:bookmarkEnd w:id="44"/>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p>
    <w:p w14:paraId="4403EAFF">
      <w:pPr>
        <w:pStyle w:val="16"/>
        <w:jc w:val="both"/>
      </w:pPr>
      <w:r>
        <w:t>To conduct the panel data analysis, TSP Version 5.0 statistical software was employed. This tool is well-suited for estimating panel data, which involves the combination of time series and cross-sectional data</w:t>
      </w:r>
      <w:sdt>
        <w:sdtPr>
          <w:id w:val="112218288"/>
        </w:sdtPr>
        <w:sdtContent>
          <w:r>
            <w:fldChar w:fldCharType="begin"/>
          </w:r>
          <w:r>
            <w:instrText xml:space="preserve"> CITATION Han19 \l 1033 </w:instrText>
          </w:r>
          <w:r>
            <w:fldChar w:fldCharType="separate"/>
          </w:r>
          <w:r>
            <w:t xml:space="preserve"> (Snyder, 2019)</w:t>
          </w:r>
          <w:r>
            <w:fldChar w:fldCharType="end"/>
          </w:r>
        </w:sdtContent>
      </w:sdt>
      <w:r>
        <w:t>. The study specifically applied the Ordinary Least Squares (OLS) method and the Fixed Effects Model (FEM) to evaluate the financial data and generate the regression results. These models were selected for their effectiveness in identifying both consistent patterns and individual bank level variations within the dataset.</w:t>
      </w:r>
    </w:p>
    <w:p w14:paraId="3BB46E71">
      <w:pPr>
        <w:pStyle w:val="3"/>
      </w:pPr>
      <w:bookmarkStart w:id="45" w:name="_Toc223040488"/>
      <w:bookmarkStart w:id="46" w:name="_Toc223264651"/>
      <w:r>
        <w:rPr>
          <w:rStyle w:val="17"/>
          <w:b w:val="0"/>
          <w:bCs w:val="0"/>
        </w:rPr>
        <w:t>4.5 Data Presentation</w:t>
      </w:r>
      <w:bookmarkEnd w:id="45"/>
      <w:bookmarkEnd w:id="46"/>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p>
    <w:p w14:paraId="3C7EE71D">
      <w:pPr>
        <w:pStyle w:val="16"/>
        <w:jc w:val="both"/>
      </w:pPr>
      <w:r>
        <w:t>To enhance clarity and understanding, the study presents its findings through tables and</w:t>
      </w:r>
      <w:r>
        <w:rPr>
          <w:b/>
          <w:bCs/>
        </w:rPr>
        <w:t xml:space="preserve"> </w:t>
      </w:r>
      <w:r>
        <w:t>graphical illustrations. These visual tools aid in the interpretation of complex numerical data and facilitate comparisons across time and between banks. The inclusion of graphs such as bar charts and line graphs helps readers quickly identify trends, variations, and key outcomes of the analysis.</w:t>
      </w:r>
    </w:p>
    <w:p w14:paraId="3FD1ED43">
      <w:pPr>
        <w:rPr>
          <w:rFonts w:ascii="Times New Roman" w:hAnsi="Times New Roman" w:eastAsia="Times New Roman" w:cs="Times New Roman"/>
          <w:sz w:val="24"/>
          <w:szCs w:val="24"/>
        </w:rPr>
      </w:pPr>
      <w:bookmarkStart w:id="47" w:name="_Toc223040489"/>
      <w:bookmarkStart w:id="48" w:name="_Toc223264652"/>
      <w:r>
        <w:rPr>
          <w:rFonts w:ascii="Times New Roman" w:hAnsi="Times New Roman" w:eastAsia="Times New Roman" w:cs="Times New Roman"/>
          <w:bCs/>
          <w:sz w:val="24"/>
          <w:szCs w:val="24"/>
        </w:rPr>
        <w:br w:type="page"/>
      </w:r>
    </w:p>
    <w:p w14:paraId="5CEB7B75">
      <w:pPr>
        <w:pStyle w:val="2"/>
      </w:pPr>
      <w:r>
        <w:t>Chapter 5</w:t>
      </w:r>
      <w:r>
        <w:rPr>
          <w:rFonts w:eastAsiaTheme="minorHAnsi"/>
          <w:color w:val="auto"/>
          <w:szCs w:val="22"/>
        </w:rPr>
        <w:t>:</w:t>
      </w:r>
      <w:r>
        <w:t xml:space="preserve"> Selected Conventional and Non-conventional Banks in Bangladesh</w:t>
      </w:r>
      <w:bookmarkEnd w:id="47"/>
      <w:bookmarkEnd w:id="48"/>
      <w:r>
        <w:tab/>
      </w:r>
      <w:r>
        <w:tab/>
      </w:r>
      <w:r>
        <w:tab/>
      </w:r>
      <w:r>
        <w:tab/>
      </w:r>
      <w:r>
        <w:tab/>
      </w:r>
    </w:p>
    <w:p w14:paraId="6009D660">
      <w:pPr>
        <w:pStyle w:val="45"/>
        <w:rPr>
          <w:sz w:val="44"/>
        </w:rPr>
      </w:pPr>
      <w:r>
        <w:rPr>
          <w:sz w:val="36"/>
        </w:rPr>
        <w:t>BANKING INDUSTRY IN BANGLADESH</w:t>
      </w:r>
    </w:p>
    <w:p w14:paraId="37ECDB57">
      <w:pPr>
        <w:pStyle w:val="45"/>
        <w:rPr>
          <w:sz w:val="44"/>
        </w:rPr>
      </w:pPr>
      <w:r>
        <w:rPr>
          <w:sz w:val="36"/>
        </w:rPr>
        <w:t>SELECTED NON-CONVENTIONAL (ISLAMIC) BANKS</w:t>
      </w:r>
    </w:p>
    <w:p w14:paraId="10230BE5">
      <w:pPr>
        <w:pStyle w:val="45"/>
        <w:rPr>
          <w:sz w:val="44"/>
        </w:rPr>
      </w:pPr>
      <w:r>
        <w:rPr>
          <w:sz w:val="36"/>
        </w:rPr>
        <w:t xml:space="preserve">SELECTED CONVENTIONAL BANKS </w:t>
      </w:r>
      <w:r>
        <w:br w:type="page"/>
      </w:r>
    </w:p>
    <w:p w14:paraId="4AC634A2">
      <w:pPr>
        <w:pStyle w:val="3"/>
        <w:rPr>
          <w:rStyle w:val="17"/>
          <w:b w:val="0"/>
          <w:bCs w:val="0"/>
        </w:rPr>
      </w:pPr>
      <w:bookmarkStart w:id="49" w:name="_Toc223264653"/>
      <w:bookmarkStart w:id="50" w:name="_Toc223040490"/>
      <w:r>
        <w:rPr>
          <w:rStyle w:val="17"/>
          <w:b w:val="0"/>
          <w:bCs w:val="0"/>
        </w:rPr>
        <w:t>5.1Banking Industry in Bangladesh</w:t>
      </w:r>
      <w:bookmarkEnd w:id="49"/>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p>
    <w:p w14:paraId="1CEC4EA5">
      <w:pPr>
        <w:pStyle w:val="16"/>
        <w:jc w:val="both"/>
      </w:pPr>
      <w:r>
        <w:t xml:space="preserve">The banking industry in Bangladesh operates under the regulatory authority of Bangladesh Bank, which oversees financial stability and compliance within the sector. As of 2023, there are 61 scheduled commercial banks operating in the country, classified into four broad categories: State-Owned Commercial Banks (SCBs), Specialized Banks (SBs), Private Commercial Banks (PCBs), and Foreign Commercial Banks (FCBs) </w:t>
      </w:r>
      <w:sdt>
        <w:sdtPr>
          <w:id w:val="83691623"/>
        </w:sdtPr>
        <w:sdtContent>
          <w:r>
            <w:fldChar w:fldCharType="begin"/>
          </w:r>
          <w:r>
            <w:instrText xml:space="preserve"> CITATION Tan23 \l 1033 </w:instrText>
          </w:r>
          <w:r>
            <w:fldChar w:fldCharType="separate"/>
          </w:r>
          <w:r>
            <w:t>(Haque, 2023)</w:t>
          </w:r>
          <w:r>
            <w:fldChar w:fldCharType="end"/>
          </w:r>
        </w:sdtContent>
      </w:sdt>
      <w:r>
        <w:t>. Among these, the sector includes 6 state-owned commercial banks, 3 specialized banks, 43 private commercial banks (comprising 33 conventional banks and 10 full Islamic Shariah-based banks), and 9 foreign commercial banks . This structure reflects the diversified nature of the banking landscape in Bangladesh, which supports a range of financial services from traditional interest-based lending to Shariah-compliant banking operations. For the purpose of this study, a sample of ten banks has been selected from the overall banking industry of Bangladesh. The sample consists of five conventional commercial banks and five non-conventional (Islamic) banks.</w:t>
      </w:r>
    </w:p>
    <w:p w14:paraId="1BD98979"/>
    <w:p w14:paraId="34F1A9DF">
      <w:pPr>
        <w:pStyle w:val="3"/>
        <w:rPr>
          <w:b w:val="0"/>
          <w:bCs w:val="0"/>
        </w:rPr>
      </w:pPr>
      <w:bookmarkStart w:id="51" w:name="_Toc223264654"/>
      <w:r>
        <w:rPr>
          <w:rStyle w:val="17"/>
          <w:b w:val="0"/>
          <w:bCs w:val="0"/>
        </w:rPr>
        <w:t>5.2 Selected Non-conventional (Islamic) Banks</w:t>
      </w:r>
      <w:bookmarkEnd w:id="50"/>
      <w:bookmarkEnd w:id="51"/>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p>
    <w:p w14:paraId="1411DA5D">
      <w:pPr>
        <w:pStyle w:val="16"/>
        <w:jc w:val="both"/>
      </w:pPr>
      <w:r>
        <w:t>Islamic banking in Bangladesh operates in accordance with the principles of Shariah law, which prohibits interest (Riba) and promotes profit-and-loss sharing arrangements, ethical investment, and risk-sharing. Since the establishment of Islami Bank Bangladesh Limited</w:t>
      </w:r>
      <w:r>
        <w:rPr>
          <w:b/>
          <w:bCs/>
        </w:rPr>
        <w:t xml:space="preserve"> (</w:t>
      </w:r>
      <w:r>
        <w:t>IBBL) in 1983, the Islamic banking sector has witnessed rapid growth, driven by increasing demand from the Muslim population, government support, and the opening of Islamic windows by conventional banks</w:t>
      </w:r>
      <w:sdt>
        <w:sdtPr>
          <w:id w:val="817501"/>
        </w:sdtPr>
        <w:sdtContent>
          <w:r>
            <w:fldChar w:fldCharType="begin"/>
          </w:r>
          <w:r>
            <w:instrText xml:space="preserve"> CITATION Ahm25 \l 1033 </w:instrText>
          </w:r>
          <w:r>
            <w:fldChar w:fldCharType="separate"/>
          </w:r>
          <w:r>
            <w:t xml:space="preserve"> (Ahmed, 2025)</w:t>
          </w:r>
          <w:r>
            <w:fldChar w:fldCharType="end"/>
          </w:r>
        </w:sdtContent>
      </w:sdt>
      <w:r>
        <w:t>.</w:t>
      </w:r>
    </w:p>
    <w:p w14:paraId="2FA1955C">
      <w:pPr>
        <w:pStyle w:val="16"/>
        <w:jc w:val="both"/>
      </w:pPr>
      <w:r>
        <w:t>Islamic banks in Bangladesh play a vital role in financial inclusion, SME development, rural financing, and socially responsible banking. The selected five non-conventional banks for this study are:</w:t>
      </w:r>
    </w:p>
    <w:p w14:paraId="59227E2D">
      <w:pPr>
        <w:pStyle w:val="5"/>
        <w:jc w:val="both"/>
      </w:pPr>
      <w:r>
        <w:t>• Islami Bank Bangladesh Limited (IBBL)</w:t>
      </w:r>
    </w:p>
    <w:p w14:paraId="2949AE34">
      <w:pPr>
        <w:pStyle w:val="16"/>
        <w:jc w:val="both"/>
      </w:pPr>
      <w:r>
        <w:t xml:space="preserve">Founded in 1983, IBBL is the first and largest Islamic bank in Bangladesh. It offers a wide range of Shariah-compliant financial services to both retail and corporate clients. Known for its vast nationwide branch network, the bank emphasizes ethical banking, social responsibility, and inclusive finance </w:t>
      </w:r>
      <w:sdt>
        <w:sdtPr>
          <w:id w:val="817502"/>
        </w:sdtPr>
        <w:sdtContent>
          <w:r>
            <w:fldChar w:fldCharType="begin"/>
          </w:r>
          <w:r>
            <w:instrText xml:space="preserve"> CITATION MdL16 \l 1033 </w:instrText>
          </w:r>
          <w:r>
            <w:fldChar w:fldCharType="separate"/>
          </w:r>
          <w:r>
            <w:t>(Md Lutfor Rahman, 2016)</w:t>
          </w:r>
          <w:r>
            <w:fldChar w:fldCharType="end"/>
          </w:r>
        </w:sdtContent>
      </w:sdt>
      <w:r>
        <w:t>.</w:t>
      </w:r>
    </w:p>
    <w:p w14:paraId="379A5A79">
      <w:pPr>
        <w:pStyle w:val="16"/>
        <w:jc w:val="both"/>
      </w:pPr>
    </w:p>
    <w:p w14:paraId="03E42906">
      <w:pPr>
        <w:pStyle w:val="5"/>
        <w:jc w:val="both"/>
      </w:pPr>
      <w:r>
        <w:t>• Al-Arafah Islami Bank Limited</w:t>
      </w:r>
    </w:p>
    <w:p w14:paraId="5CE2951F">
      <w:pPr>
        <w:pStyle w:val="16"/>
        <w:jc w:val="both"/>
      </w:pPr>
      <w:r>
        <w:t>Established in 1995, Al-Arafah Islami Bank is one of the leading Islamic financial institutions in the country. It offers a diverse suite of Shariah-compliant financial services, serving individual, corporate, and industrial clients. The bank is known for its technological adoption and commitment to Islamic principles</w:t>
      </w:r>
      <w:sdt>
        <w:sdtPr>
          <w:id w:val="817503"/>
        </w:sdtPr>
        <w:sdtContent>
          <w:r>
            <w:fldChar w:fldCharType="begin"/>
          </w:r>
          <w:r>
            <w:instrText xml:space="preserve"> CITATION Rah15 \l 1033 </w:instrText>
          </w:r>
          <w:r>
            <w:fldChar w:fldCharType="separate"/>
          </w:r>
          <w:r>
            <w:t xml:space="preserve"> (Rahman, 2015)</w:t>
          </w:r>
          <w:r>
            <w:fldChar w:fldCharType="end"/>
          </w:r>
        </w:sdtContent>
      </w:sdt>
      <w:r>
        <w:t>.</w:t>
      </w:r>
    </w:p>
    <w:p w14:paraId="3F4F1288">
      <w:pPr>
        <w:pStyle w:val="5"/>
        <w:jc w:val="both"/>
      </w:pPr>
      <w:r>
        <w:t>• ICB Islami Bank Limited</w:t>
      </w:r>
    </w:p>
    <w:p w14:paraId="0C258DED">
      <w:pPr>
        <w:pStyle w:val="16"/>
        <w:jc w:val="both"/>
      </w:pPr>
      <w:r>
        <w:t xml:space="preserve">ICB islami bank limited, founded in 1987 as Al-Baraka Bank Bangladesh Ltd, later becoming The Oriental Bank Ltd, before being acquired and renamed ICB Islamic Bank Ltd in February 2008 , has grown into a prominent Islamic bank by offering a wide range of financial services based on Islamic Shariah. The bank focuses on SMEs, corporate clients, and retail banking, emphasizing customer satisfaction and digital innovation </w:t>
      </w:r>
    </w:p>
    <w:p w14:paraId="502AEE2C">
      <w:pPr>
        <w:pStyle w:val="5"/>
        <w:jc w:val="both"/>
      </w:pPr>
      <w:r>
        <w:t>• EXIM Bank Limited</w:t>
      </w:r>
    </w:p>
    <w:p w14:paraId="74116185">
      <w:pPr>
        <w:pStyle w:val="16"/>
        <w:jc w:val="both"/>
      </w:pPr>
      <w:r>
        <w:t>Originally established in 1999 as a conventional bank, EXIM Bank later transitioned into a fully-fledged Islamic bank. It offers a comprehensive range of Shariah-compliant services in trade finance, retail, and investment banking, combining modern banking practices with Islamic principles</w:t>
      </w:r>
    </w:p>
    <w:p w14:paraId="1DBCCC2C">
      <w:pPr>
        <w:pStyle w:val="5"/>
        <w:jc w:val="both"/>
      </w:pPr>
      <w:r>
        <w:t>• First Security Islami Bank Limited</w:t>
      </w:r>
    </w:p>
    <w:p w14:paraId="3689F051">
      <w:pPr>
        <w:pStyle w:val="16"/>
        <w:jc w:val="both"/>
      </w:pPr>
      <w:r>
        <w:t>Founded in 1999, First Security Islami Bank limited is a recognized name in ethical Islamic banking. It offers</w:t>
      </w:r>
      <w:r>
        <w:rPr>
          <w:b/>
          <w:bCs/>
        </w:rPr>
        <w:t xml:space="preserve"> </w:t>
      </w:r>
      <w:r>
        <w:t>Shariah-compliant Islamic</w:t>
      </w:r>
      <w:r>
        <w:rPr>
          <w:b/>
          <w:bCs/>
        </w:rPr>
        <w:t xml:space="preserve"> </w:t>
      </w:r>
      <w:r>
        <w:t>banking</w:t>
      </w:r>
      <w:r>
        <w:rPr>
          <w:b/>
          <w:bCs/>
        </w:rPr>
        <w:t xml:space="preserve"> </w:t>
      </w:r>
      <w:r>
        <w:t>services in</w:t>
      </w:r>
      <w:r>
        <w:rPr>
          <w:b/>
          <w:bCs/>
        </w:rPr>
        <w:t xml:space="preserve"> </w:t>
      </w:r>
      <w:r>
        <w:t>Bangladesh, offering products like savings, current accounts, financing and digital banking based on Islamic principles. It also aims at contributing to socio-economic development by adopting modern technology and expanding financial inclusion across various customer segments.</w:t>
      </w:r>
    </w:p>
    <w:p w14:paraId="23909ACE">
      <w:pPr>
        <w:pStyle w:val="3"/>
      </w:pPr>
      <w:bookmarkStart w:id="52" w:name="_Toc223040491"/>
      <w:bookmarkStart w:id="53" w:name="_Toc223264655"/>
      <w:r>
        <w:rPr>
          <w:rStyle w:val="17"/>
          <w:b w:val="0"/>
          <w:bCs w:val="0"/>
        </w:rPr>
        <w:t>5.3 Selected Conventional Banks</w:t>
      </w:r>
      <w:bookmarkEnd w:id="52"/>
      <w:bookmarkEnd w:id="53"/>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r>
        <w:rPr>
          <w:rStyle w:val="17"/>
          <w:b w:val="0"/>
          <w:bCs w:val="0"/>
        </w:rPr>
        <w:tab/>
      </w:r>
    </w:p>
    <w:p w14:paraId="2BE62D9E">
      <w:pPr>
        <w:pStyle w:val="16"/>
        <w:jc w:val="both"/>
      </w:pPr>
      <w:r>
        <w:t>Conventional banking in Bangladesh follows interest-based financial practices, consistent with traditional capitalist banking models. These banks provide standard services such as loans, deposits, credit facilities, and investment products. They play a crucial role in supporting economic activities, trade, investment, and infrastructure development.</w:t>
      </w:r>
    </w:p>
    <w:p w14:paraId="48009EDA">
      <w:pPr>
        <w:pStyle w:val="16"/>
        <w:jc w:val="both"/>
      </w:pPr>
      <w:r>
        <w:t>The five selected conventional banks for this study represent both state-owned and private sector institutions that contribute significantly to the country’s financial system:</w:t>
      </w:r>
    </w:p>
    <w:p w14:paraId="4139B48D">
      <w:pPr>
        <w:pStyle w:val="5"/>
        <w:jc w:val="both"/>
      </w:pPr>
      <w:r>
        <w:t>• IFIC Bank Limited</w:t>
      </w:r>
    </w:p>
    <w:p w14:paraId="0DFC513B">
      <w:pPr>
        <w:pStyle w:val="16"/>
        <w:jc w:val="both"/>
      </w:pPr>
      <w:r>
        <w:t xml:space="preserve">Established in 1976,as </w:t>
      </w:r>
      <w:r>
        <w:rPr>
          <w:rStyle w:val="12"/>
          <w:rFonts w:eastAsiaTheme="majorEastAsia"/>
        </w:rPr>
        <w:t>International Finance Investment and Commerce Bank Limited</w:t>
      </w:r>
      <w:r>
        <w:t xml:space="preserve"> under a joint venture between the Government of Bangladesh and private sponsors and later became a full-fledged commercial bank in 1983. It offers a wide range of banking services including corporate, retail, SME, and trade finance, expanding financial inclusion through a large branch network, and supporting economic growth with customer-oriented, innovative financial products</w:t>
      </w:r>
      <w:sdt>
        <w:sdtPr>
          <w:id w:val="817504"/>
        </w:sdtPr>
        <w:sdtContent>
          <w:r>
            <w:fldChar w:fldCharType="begin"/>
          </w:r>
          <w:r>
            <w:instrText xml:space="preserve"> CITATION SMo15 \l 1033 </w:instrText>
          </w:r>
          <w:r>
            <w:fldChar w:fldCharType="separate"/>
          </w:r>
          <w:r>
            <w:t xml:space="preserve"> (Moudud-Ul-Huq, 2015)</w:t>
          </w:r>
          <w:r>
            <w:fldChar w:fldCharType="end"/>
          </w:r>
        </w:sdtContent>
      </w:sdt>
      <w:r>
        <w:t>.</w:t>
      </w:r>
    </w:p>
    <w:p w14:paraId="298A3737">
      <w:pPr>
        <w:pStyle w:val="5"/>
        <w:jc w:val="both"/>
      </w:pPr>
      <w:r>
        <w:t xml:space="preserve">• </w:t>
      </w:r>
      <w:r>
        <w:rPr>
          <w:sz w:val="23"/>
          <w:szCs w:val="23"/>
        </w:rPr>
        <w:t>JAMUNA BANK PLC</w:t>
      </w:r>
    </w:p>
    <w:p w14:paraId="5B2E5393">
      <w:pPr>
        <w:pStyle w:val="16"/>
        <w:jc w:val="both"/>
      </w:pPr>
      <w:r>
        <w:t>Established in 2001,as a third-generation private commercial bank in Bangladesh. It offers diversified financial services, including retail and corporate banking, SME financing, Islamic banking, foreign trade, remittance, and digital banking solutions. It contributes significantly to Bangladesh’s economy by facilitating investment, supporting entrepreneurs and businesses, and promoting overall financial inclusion and economic development.</w:t>
      </w:r>
    </w:p>
    <w:p w14:paraId="47BE9E35">
      <w:pPr>
        <w:pStyle w:val="5"/>
        <w:jc w:val="both"/>
      </w:pPr>
      <w:r>
        <w:t>• NCC BANK LIMITED (National Credit and Commerce Bank PLC)</w:t>
      </w:r>
    </w:p>
    <w:p w14:paraId="52F9C873">
      <w:pPr>
        <w:pStyle w:val="16"/>
        <w:jc w:val="both"/>
      </w:pPr>
      <w:r>
        <w:t>Originally formed as an investment company in 1985 and converted into a private commercial bank in 1993; it is known for providing a wide range of services including retail and corporate banking, SME and digital banking, loans, remittances, and foreign exchange operations. The bank supports Bangladesh’s economic development by financing industrial, commercial, and trade activities and promoting financial inclusion and growth in various sectors.</w:t>
      </w:r>
    </w:p>
    <w:p w14:paraId="21AE8434">
      <w:pPr>
        <w:pStyle w:val="5"/>
        <w:jc w:val="both"/>
      </w:pPr>
      <w:r>
        <w:t xml:space="preserve">• </w:t>
      </w:r>
      <w:r>
        <w:rPr>
          <w:sz w:val="23"/>
          <w:szCs w:val="23"/>
        </w:rPr>
        <w:t>SOUTHEAST BANK PLC</w:t>
      </w:r>
    </w:p>
    <w:p w14:paraId="12181092">
      <w:pPr>
        <w:pStyle w:val="16"/>
        <w:jc w:val="both"/>
      </w:pPr>
      <w:r>
        <w:t xml:space="preserve">Founded in </w:t>
      </w:r>
      <w:r>
        <w:rPr>
          <w:rStyle w:val="17"/>
        </w:rPr>
        <w:t>1995,</w:t>
      </w:r>
      <w:r>
        <w:t xml:space="preserve"> as a private commercial bank in Bangladesh and is known for offering a comprehensive range of banking services including </w:t>
      </w:r>
      <w:r>
        <w:rPr>
          <w:b/>
        </w:rPr>
        <w:t>retail and corporate banking, deposits, loans and advances, trade finance, foreign exchange, SME banking and digital banking solutions</w:t>
      </w:r>
      <w:r>
        <w:t>. The bank contributes to the growth of the national economy by facilitating financial intermediation, supporting business activities and trade, and promoting financial inclusion across the country.</w:t>
      </w:r>
    </w:p>
    <w:p w14:paraId="0B1FD2D6">
      <w:pPr>
        <w:pStyle w:val="5"/>
        <w:jc w:val="both"/>
      </w:pPr>
      <w:r>
        <w:t>• MTB (</w:t>
      </w:r>
      <w:r>
        <w:rPr>
          <w:sz w:val="23"/>
          <w:szCs w:val="23"/>
        </w:rPr>
        <w:t>MUTUAL TRUST BANK LIMITED)</w:t>
      </w:r>
    </w:p>
    <w:p w14:paraId="7ECA7DD1">
      <w:pPr>
        <w:pStyle w:val="16"/>
        <w:jc w:val="both"/>
      </w:pPr>
      <w:r>
        <w:t xml:space="preserve">Established in </w:t>
      </w:r>
      <w:r>
        <w:rPr>
          <w:b/>
          <w:bCs/>
        </w:rPr>
        <w:t>1999</w:t>
      </w:r>
      <w:r>
        <w:t xml:space="preserve">, MTB is a leading private commercial bank promoting retail and corporate banking, SME and NRB banking, trade finance, treasury, card, and digital banking services. The bank supports the country’s economic growth by facilitating financial intermediation, enabling business investment and trade, and promoting financial inclusion across various sectors of the economy. </w:t>
      </w:r>
      <w:r>
        <w:br w:type="page"/>
      </w:r>
    </w:p>
    <w:p w14:paraId="7F3B746D">
      <w:pPr>
        <w:pStyle w:val="2"/>
      </w:pPr>
      <w:bookmarkStart w:id="54" w:name="_Toc223040492"/>
      <w:bookmarkStart w:id="55" w:name="_Toc223264656"/>
      <w:r>
        <w:t>Chapter 6: Analysis, Findings and Discussion</w:t>
      </w:r>
      <w:bookmarkEnd w:id="54"/>
      <w:bookmarkEnd w:id="55"/>
      <w:r>
        <w:tab/>
      </w:r>
      <w:r>
        <w:tab/>
      </w:r>
    </w:p>
    <w:p w14:paraId="3699680D">
      <w:pPr>
        <w:pStyle w:val="45"/>
        <w:rPr>
          <w:sz w:val="36"/>
        </w:rPr>
      </w:pPr>
      <w:r>
        <w:rPr>
          <w:sz w:val="36"/>
        </w:rPr>
        <w:t xml:space="preserve">ANALYSIS </w:t>
      </w:r>
    </w:p>
    <w:p w14:paraId="0ECC15ED">
      <w:pPr>
        <w:pStyle w:val="45"/>
        <w:rPr>
          <w:sz w:val="36"/>
        </w:rPr>
      </w:pPr>
      <w:r>
        <w:rPr>
          <w:sz w:val="36"/>
        </w:rPr>
        <w:t xml:space="preserve">MODEL SPECIFICATION </w:t>
      </w:r>
    </w:p>
    <w:p w14:paraId="31CBF624">
      <w:pPr>
        <w:pStyle w:val="45"/>
        <w:rPr>
          <w:sz w:val="36"/>
        </w:rPr>
      </w:pPr>
      <w:r>
        <w:rPr>
          <w:sz w:val="36"/>
        </w:rPr>
        <w:t>HYPOTHESIS DEVELOPMENT</w:t>
      </w:r>
    </w:p>
    <w:p w14:paraId="689A3236">
      <w:pPr>
        <w:pStyle w:val="45"/>
        <w:rPr>
          <w:sz w:val="36"/>
        </w:rPr>
      </w:pPr>
      <w:r>
        <w:rPr>
          <w:sz w:val="36"/>
        </w:rPr>
        <w:t>FINDINGS AND DISCUSSION</w:t>
      </w:r>
    </w:p>
    <w:p w14:paraId="39557E74">
      <w:pPr>
        <w:pStyle w:val="45"/>
        <w:rPr>
          <w:sz w:val="36"/>
        </w:rPr>
      </w:pPr>
      <w:r>
        <w:rPr>
          <w:sz w:val="36"/>
        </w:rPr>
        <w:t xml:space="preserve">FURTHER DISCUSSION </w:t>
      </w:r>
      <w:bookmarkStart w:id="56" w:name="_Toc223040493"/>
    </w:p>
    <w:p w14:paraId="6BA82EF7">
      <w:pPr>
        <w:pStyle w:val="3"/>
        <w:rPr>
          <w:sz w:val="30"/>
          <w:szCs w:val="30"/>
        </w:rPr>
      </w:pPr>
      <w:r>
        <w:rPr>
          <w:sz w:val="30"/>
          <w:szCs w:val="30"/>
        </w:rPr>
        <w:br w:type="page"/>
      </w:r>
      <w:bookmarkStart w:id="57" w:name="_Toc223264657"/>
      <w:r>
        <w:t>6.1 Analysis</w:t>
      </w:r>
      <w:bookmarkEnd w:id="56"/>
      <w:bookmarkEnd w:id="57"/>
      <w:r>
        <w:tab/>
      </w:r>
      <w:r>
        <w:tab/>
      </w:r>
      <w:r>
        <w:tab/>
      </w:r>
      <w:r>
        <w:tab/>
      </w:r>
      <w:r>
        <w:tab/>
      </w:r>
      <w:r>
        <w:tab/>
      </w:r>
      <w:r>
        <w:tab/>
      </w:r>
      <w:r>
        <w:tab/>
      </w:r>
      <w:r>
        <w:tab/>
      </w:r>
      <w:r>
        <w:tab/>
      </w:r>
      <w:r>
        <w:t xml:space="preserve"> </w:t>
      </w:r>
      <w:r>
        <w:tab/>
      </w:r>
      <w:r>
        <w:tab/>
      </w:r>
    </w:p>
    <w:p w14:paraId="59A8C9B8">
      <w:pPr>
        <w:pStyle w:val="26"/>
        <w:jc w:val="both"/>
        <w:rPr>
          <w:sz w:val="26"/>
          <w:szCs w:val="26"/>
        </w:rPr>
      </w:pPr>
      <w:r>
        <w:t>Compared to cross-sectional data, panel data provides greater degrees of freedom and reduces the problem of multicollinearity. These advantages contribute to more precise estimation of model parameters. In addition, panel data analysis allows the researcher to explore dynamic relationships over time while effectively controlling for omitted variable bias. This is particularly important in this study, as there may be several unobserved factors influencing the performance of individual banks.</w:t>
      </w:r>
    </w:p>
    <w:p w14:paraId="61D878FD">
      <w:pPr>
        <w:pStyle w:val="16"/>
        <w:jc w:val="both"/>
      </w:pPr>
      <w:r>
        <w:t>In this research, the total number of banks (N) is 10, the time period covered is 3 years, and the total number of observations (NOB) is 30.</w:t>
      </w:r>
    </w:p>
    <w:p w14:paraId="0F7D6231">
      <w:pPr>
        <w:pStyle w:val="16"/>
        <w:jc w:val="both"/>
      </w:pPr>
      <w:r>
        <w:t>For the purpose of analysis, Net Interest Income (NII), expressed as a percentage of operating income, has been selected as the dependent variable. Net Interest Income represents the difference between a bank’s interest income and its interest expenses. It serves as a key indicator of a bank’s profitability and operational efficiency, particularly in relation to its core lending activities, as it reflects the spread between interest earned and interest paid</w:t>
      </w:r>
      <w:sdt>
        <w:sdtPr>
          <w:id w:val="817505"/>
        </w:sdtPr>
        <w:sdtContent>
          <w:r>
            <w:fldChar w:fldCharType="begin"/>
          </w:r>
          <w:r>
            <w:instrText xml:space="preserve"> CITATION Son20 \l 1033 </w:instrText>
          </w:r>
          <w:r>
            <w:fldChar w:fldCharType="separate"/>
          </w:r>
          <w:r>
            <w:t xml:space="preserve"> (Sonia Rezina &amp; Shaimom Rubaiyat, 2020)</w:t>
          </w:r>
          <w:r>
            <w:fldChar w:fldCharType="end"/>
          </w:r>
        </w:sdtContent>
      </w:sdt>
      <w:r>
        <w:t>. By presenting NII as a proportion of operating income, the analysis captures its relative contribution to the bank’s total revenue. This approach ensures a more accurate and comprehensive evaluation of the importance of interest-based income within the bank’s overall operational performance.</w:t>
      </w:r>
    </w:p>
    <w:p w14:paraId="33A6410F">
      <w:pPr>
        <w:pStyle w:val="16"/>
        <w:jc w:val="both"/>
      </w:pPr>
      <w:r>
        <w:t>The independent variables used in this study are described below:</w:t>
      </w:r>
    </w:p>
    <w:p w14:paraId="53783FA3">
      <w:pPr>
        <w:pStyle w:val="16"/>
        <w:jc w:val="both"/>
      </w:pPr>
      <w:r>
        <w:rPr>
          <w:rStyle w:val="17"/>
        </w:rPr>
        <w:t xml:space="preserve">OPP (Operating Profit Margin): </w:t>
      </w:r>
      <w:r>
        <w:t>OPP represents the ratio of operating profit to total operating income. It measures a bank’s profitability by excluding the effects of interest-related activities. Therefore, it reflects how efficiently and profitably the bank conducts its overall business operations beyond its core interest-based functions</w:t>
      </w:r>
      <w:sdt>
        <w:sdtPr>
          <w:id w:val="817506"/>
        </w:sdtPr>
        <w:sdtContent>
          <w:r>
            <w:fldChar w:fldCharType="begin"/>
          </w:r>
          <w:r>
            <w:instrText xml:space="preserve"> CITATION Nom15 \l 1033 </w:instrText>
          </w:r>
          <w:r>
            <w:fldChar w:fldCharType="separate"/>
          </w:r>
          <w:r>
            <w:t xml:space="preserve"> (Noman, 2015)</w:t>
          </w:r>
          <w:r>
            <w:fldChar w:fldCharType="end"/>
          </w:r>
        </w:sdtContent>
      </w:sdt>
      <w:r>
        <w:t>.</w:t>
      </w:r>
    </w:p>
    <w:p w14:paraId="6995A8BA">
      <w:pPr>
        <w:pStyle w:val="16"/>
        <w:jc w:val="both"/>
      </w:pPr>
      <w:r>
        <w:rPr>
          <w:rStyle w:val="17"/>
        </w:rPr>
        <w:t xml:space="preserve">DEP (Deposit Ratio): </w:t>
      </w:r>
      <w:r>
        <w:t>DEP refers to the ratio of total deposits to total liabilities, expressed as a percentage. This ratio indicates the proportion of a bank’s liabilities that consists of customer deposits. A higher DEP suggests a stronger ability to attract and retain depositors, which is essential for supporting lending and investment activities.</w:t>
      </w:r>
    </w:p>
    <w:p w14:paraId="2EDBE9B1">
      <w:pPr>
        <w:pStyle w:val="16"/>
        <w:jc w:val="both"/>
      </w:pPr>
      <w:r>
        <w:rPr>
          <w:rStyle w:val="17"/>
        </w:rPr>
        <w:t>NIM (Net Interest Margin):</w:t>
      </w:r>
      <w:r>
        <w:t xml:space="preserve"> NIM is calculated as net interest income divided by total interest income. It measures the bank’s ability to generate profit from its interest-earning activities, particularly loans and deposits. A higher NIM indicates that a larger portion of total interest income is retained as net income, thereby reflecting stronger profitability from core banking operations.</w:t>
      </w:r>
    </w:p>
    <w:p w14:paraId="4BF22392">
      <w:pPr>
        <w:pStyle w:val="16"/>
        <w:jc w:val="both"/>
      </w:pPr>
      <w:r>
        <w:rPr>
          <w:rStyle w:val="17"/>
        </w:rPr>
        <w:t>PRV (Provision Ratio Value):</w:t>
      </w:r>
      <w:r>
        <w:t xml:space="preserve"> PRV is measured by dividing total loan loss provisions by total loans. This ratio serves as an indicator of the bank’s preparedness to absorb potential loan losses. It reflects prudent credit risk management and demonstrates the bank’s commitment to maintaining asset quality.</w:t>
      </w:r>
    </w:p>
    <w:p w14:paraId="0116729D">
      <w:pPr>
        <w:pStyle w:val="16"/>
        <w:jc w:val="both"/>
      </w:pPr>
      <w:r>
        <w:rPr>
          <w:rStyle w:val="17"/>
        </w:rPr>
        <w:t xml:space="preserve">EQR (Equity Ratio): </w:t>
      </w:r>
      <w:r>
        <w:t>EQR is defined as the ratio of total equity to total loans. It serves as a proxy for the Capital Adequacy Ratio (CAR), indicating the bank’s financial strength and its ability to absorb potential future losses. A higher EQR suggests that a larger proportion of loans is supported by shareholders’ equity, implying greater financial stability.</w:t>
      </w:r>
    </w:p>
    <w:p w14:paraId="5439DA0C">
      <w:pPr>
        <w:pStyle w:val="16"/>
        <w:jc w:val="both"/>
      </w:pPr>
      <w:r>
        <w:rPr>
          <w:rStyle w:val="17"/>
        </w:rPr>
        <w:t>DUM (Dummy Variable):</w:t>
      </w:r>
      <w:r>
        <w:t xml:space="preserve"> DUM is a binary variable used to distinguish between Islamic and Conventional banks. It takes the value of 1 for Islamic banks and 0 for conventional (Conventional) banks. This variable allows the study to examine structural differences between the two banking systems.</w:t>
      </w:r>
    </w:p>
    <w:p w14:paraId="4EAB6CE4">
      <w:pPr>
        <w:pStyle w:val="3"/>
      </w:pPr>
      <w:bookmarkStart w:id="58" w:name="_Toc223040494"/>
      <w:bookmarkStart w:id="59" w:name="_Toc223264658"/>
      <w:r>
        <w:t>6.2 Model Specification</w:t>
      </w:r>
      <w:bookmarkEnd w:id="58"/>
      <w:bookmarkEnd w:id="59"/>
      <w:r>
        <w:tab/>
      </w:r>
      <w:r>
        <w:tab/>
      </w:r>
      <w:r>
        <w:tab/>
      </w:r>
      <w:r>
        <w:tab/>
      </w:r>
      <w:r>
        <w:tab/>
      </w:r>
      <w:r>
        <w:tab/>
      </w:r>
      <w:r>
        <w:tab/>
      </w:r>
      <w:r>
        <w:tab/>
      </w:r>
      <w:r>
        <w:tab/>
      </w:r>
      <w:r>
        <w:tab/>
      </w:r>
    </w:p>
    <w:p w14:paraId="2551102D">
      <w:pPr>
        <w:pStyle w:val="16"/>
        <w:jc w:val="both"/>
      </w:pPr>
      <w:r>
        <w:t>The regression model representing the relationship between the dependent and independent variables is expressed as:</w:t>
      </w:r>
    </w:p>
    <w:p w14:paraId="0B9002AA">
      <w:pPr>
        <w:jc w:val="both"/>
        <w:rPr>
          <w:rStyle w:val="34"/>
          <w:rFonts w:ascii="Times New Roman" w:hAnsi="Times New Roman" w:cs="Times New Roman"/>
        </w:rPr>
      </w:pPr>
      <w:r>
        <w:rPr>
          <w:rStyle w:val="34"/>
          <w:rFonts w:ascii="Times New Roman" w:hAnsi="Times New Roman" w:cs="Times New Roman"/>
          <w:sz w:val="28"/>
        </w:rPr>
        <w:t>NII=α+(β1xNIM)+(β2xOPP)+(β3xPRV)+(β4xDEP)+(β5xEQR)+(β6xDUM)+e</w:t>
      </w:r>
    </w:p>
    <w:p w14:paraId="3DC241EE">
      <w:pPr>
        <w:pStyle w:val="16"/>
        <w:jc w:val="both"/>
      </w:pPr>
      <w:r>
        <w:t>Where:</w:t>
      </w:r>
    </w:p>
    <w:p w14:paraId="49FC7CD8">
      <w:pPr>
        <w:pStyle w:val="16"/>
        <w:numPr>
          <w:ilvl w:val="0"/>
          <w:numId w:val="10"/>
        </w:numPr>
        <w:jc w:val="both"/>
      </w:pPr>
      <w:r>
        <w:rPr>
          <w:rStyle w:val="34"/>
        </w:rPr>
        <w:t xml:space="preserve">α\alpha </w:t>
      </w:r>
      <w:r>
        <w:t xml:space="preserve"> = constant (y-intercept)</w:t>
      </w:r>
    </w:p>
    <w:p w14:paraId="029F5F81">
      <w:pPr>
        <w:pStyle w:val="3"/>
      </w:pPr>
      <w:bookmarkStart w:id="60" w:name="_Toc223040495"/>
      <w:bookmarkStart w:id="61" w:name="_Toc223264659"/>
      <w:r>
        <w:t>6.3 Hypothesis Development</w:t>
      </w:r>
      <w:bookmarkEnd w:id="60"/>
      <w:bookmarkEnd w:id="61"/>
      <w:r>
        <w:tab/>
      </w:r>
      <w:r>
        <w:tab/>
      </w:r>
      <w:r>
        <w:tab/>
      </w:r>
      <w:r>
        <w:tab/>
      </w:r>
      <w:r>
        <w:tab/>
      </w:r>
      <w:r>
        <w:tab/>
      </w:r>
      <w:r>
        <w:tab/>
      </w:r>
      <w:r>
        <w:tab/>
      </w:r>
      <w:r>
        <w:tab/>
      </w:r>
    </w:p>
    <w:p w14:paraId="1810A9E8">
      <w:pPr>
        <w:pStyle w:val="16"/>
        <w:jc w:val="both"/>
      </w:pPr>
      <w:r>
        <w:t>To examine the relationship between the independent variables (NIM, OPP, PRV, DEP, EQR, and DUM) and the dependent variable (NII), the following hypotheses are formulated:</w:t>
      </w:r>
    </w:p>
    <w:p w14:paraId="79422FDC">
      <w:pPr>
        <w:jc w:val="both"/>
        <w:rPr>
          <w:rStyle w:val="34"/>
          <w:rFonts w:ascii="Times New Roman" w:hAnsi="Times New Roman" w:cs="Times New Roman"/>
          <w:sz w:val="24"/>
          <w:szCs w:val="24"/>
        </w:rPr>
      </w:pPr>
      <w:r>
        <w:rPr>
          <w:rStyle w:val="34"/>
          <w:rFonts w:ascii="Times New Roman" w:hAnsi="Times New Roman" w:cs="Times New Roman"/>
          <w:sz w:val="24"/>
          <w:szCs w:val="24"/>
        </w:rPr>
        <w:t>H0:β1=β2=β3=β4=β5=β6=0</w:t>
      </w:r>
    </w:p>
    <w:p w14:paraId="6B01E92A">
      <w:pPr>
        <w:jc w:val="both"/>
        <w:rPr>
          <w:rFonts w:ascii="Times New Roman" w:hAnsi="Times New Roman" w:cs="Times New Roman"/>
          <w:sz w:val="24"/>
          <w:szCs w:val="24"/>
        </w:rPr>
      </w:pPr>
      <w:r>
        <w:rPr>
          <w:rStyle w:val="35"/>
          <w:rFonts w:ascii="Times New Roman" w:hAnsi="Times New Roman" w:cs="Times New Roman"/>
          <w:sz w:val="24"/>
          <w:szCs w:val="24"/>
        </w:rPr>
        <w:t>H1</w:t>
      </w:r>
      <w:r>
        <w:rPr>
          <w:rStyle w:val="38"/>
          <w:rFonts w:ascii="Times New Roman" w:hAnsi="Times New Roman" w:cs="Times New Roman"/>
          <w:sz w:val="24"/>
          <w:szCs w:val="24"/>
        </w:rPr>
        <w:t>:</w:t>
      </w:r>
      <w:r>
        <w:rPr>
          <w:rStyle w:val="36"/>
          <w:rFonts w:ascii="Times New Roman" w:hAnsi="Times New Roman" w:cs="Times New Roman"/>
          <w:sz w:val="24"/>
          <w:szCs w:val="24"/>
        </w:rPr>
        <w:t xml:space="preserve"> </w:t>
      </w:r>
      <w:r>
        <w:rPr>
          <w:rStyle w:val="35"/>
          <w:rFonts w:ascii="Times New Roman" w:hAnsi="Times New Roman" w:cs="Times New Roman"/>
          <w:sz w:val="24"/>
          <w:szCs w:val="24"/>
        </w:rPr>
        <w:t>At least one βi</w:t>
      </w:r>
      <w:r>
        <w:rPr>
          <w:rStyle w:val="38"/>
          <w:rFonts w:ascii="Times New Roman" w:hAnsi="Times New Roman" w:cs="Times New Roman"/>
          <w:sz w:val="24"/>
          <w:szCs w:val="24"/>
        </w:rPr>
        <w:t>​</w:t>
      </w:r>
      <w:r>
        <w:rPr>
          <w:rStyle w:val="36"/>
          <w:rFonts w:ascii="Times New Roman" w:hAnsi="Times New Roman" w:cs="Times New Roman"/>
          <w:sz w:val="24"/>
          <w:szCs w:val="24"/>
        </w:rPr>
        <w:t>=</w:t>
      </w:r>
      <w:r>
        <w:rPr>
          <w:rStyle w:val="35"/>
          <w:rFonts w:ascii="Times New Roman" w:hAnsi="Times New Roman" w:cs="Times New Roman"/>
          <w:sz w:val="24"/>
          <w:szCs w:val="24"/>
        </w:rPr>
        <w:t>0</w:t>
      </w:r>
      <w:r>
        <w:rPr>
          <w:rFonts w:ascii="Times New Roman" w:hAnsi="Times New Roman" w:cs="Times New Roman"/>
          <w:sz w:val="24"/>
          <w:szCs w:val="24"/>
        </w:rPr>
        <w:t xml:space="preserve"> </w:t>
      </w:r>
    </w:p>
    <w:p w14:paraId="1DA26678">
      <w:pPr>
        <w:pStyle w:val="16"/>
        <w:jc w:val="both"/>
      </w:pPr>
      <w:r>
        <w:t>The null hypothesis (</w:t>
      </w:r>
      <w:r>
        <w:rPr>
          <w:rStyle w:val="34"/>
        </w:rPr>
        <w:t>H0</w:t>
      </w:r>
      <w:r>
        <w:rPr>
          <w:rStyle w:val="38"/>
        </w:rPr>
        <w:t>)</w:t>
      </w:r>
      <w:r>
        <w:t xml:space="preserve"> states that none of the independent variables have a statistically significant effect on NII. In other words, all slope coefficients are equal to zero, implying no meaningful relationship between the explanatory variables and Net Interest Income </w:t>
      </w:r>
      <w:sdt>
        <w:sdtPr>
          <w:id w:val="817513"/>
        </w:sdtPr>
        <w:sdtContent>
          <w:r>
            <w:fldChar w:fldCharType="begin"/>
          </w:r>
          <w:r>
            <w:instrText xml:space="preserve"> CITATION Isl151 \l 1033 </w:instrText>
          </w:r>
          <w:r>
            <w:fldChar w:fldCharType="separate"/>
          </w:r>
          <w:r>
            <w:t>(Ashrafuzzaman, A Comparative Study of Islamic and Conventional Banking in Bangladesh: Camel Analysis , 2015)</w:t>
          </w:r>
          <w:r>
            <w:fldChar w:fldCharType="end"/>
          </w:r>
        </w:sdtContent>
      </w:sdt>
    </w:p>
    <w:p w14:paraId="672E039D">
      <w:pPr>
        <w:pStyle w:val="16"/>
        <w:jc w:val="both"/>
      </w:pPr>
      <w:r>
        <w:t>Alternatively, the hypotheses can be expressed as:</w:t>
      </w:r>
    </w:p>
    <w:p w14:paraId="312B5053">
      <w:pPr>
        <w:pStyle w:val="26"/>
      </w:pPr>
      <w:r>
        <w:t xml:space="preserve">H0: βi = 0 </w:t>
      </w:r>
    </w:p>
    <w:p w14:paraId="5B11981C">
      <w:pPr>
        <w:jc w:val="both"/>
        <w:rPr>
          <w:rStyle w:val="34"/>
          <w:rFonts w:ascii="Times New Roman" w:hAnsi="Times New Roman" w:cs="Times New Roman"/>
          <w:sz w:val="24"/>
          <w:szCs w:val="24"/>
        </w:rPr>
      </w:pPr>
      <w:r>
        <w:rPr>
          <w:rFonts w:ascii="Times New Roman" w:hAnsi="Times New Roman" w:cs="Times New Roman"/>
          <w:sz w:val="24"/>
          <w:szCs w:val="24"/>
        </w:rPr>
        <w:t>H1: βi ≠ 0 (for some i)</w:t>
      </w:r>
    </w:p>
    <w:p w14:paraId="1CDA2B1C">
      <w:pPr>
        <w:pStyle w:val="16"/>
        <w:jc w:val="both"/>
      </w:pPr>
      <w:r>
        <w:t>Testing these hypotheses is essential for determining the explanatory power of the independent variables. If any coefficient is statistically significant and differs from zero, the null hypothesis will be rejected, indicating that the corresponding variable has a significant impact on NII.</w:t>
      </w:r>
      <w:bookmarkStart w:id="62" w:name="_Toc223040496"/>
    </w:p>
    <w:p w14:paraId="27572C15">
      <w:pPr>
        <w:pStyle w:val="3"/>
      </w:pPr>
      <w:bookmarkStart w:id="63" w:name="_Toc223264660"/>
      <w:r>
        <w:t>6.4 Findings and Discussion</w:t>
      </w:r>
      <w:bookmarkEnd w:id="62"/>
      <w:bookmarkEnd w:id="63"/>
      <w:r>
        <w:tab/>
      </w:r>
      <w:r>
        <w:tab/>
      </w:r>
      <w:r>
        <w:tab/>
      </w:r>
      <w:r>
        <w:tab/>
      </w:r>
      <w:r>
        <w:tab/>
      </w:r>
      <w:r>
        <w:tab/>
      </w:r>
      <w:r>
        <w:tab/>
      </w:r>
      <w:r>
        <w:tab/>
      </w:r>
      <w:r>
        <w:tab/>
      </w:r>
    </w:p>
    <w:p w14:paraId="100F6C85"/>
    <w:tbl>
      <w:tblPr>
        <w:tblStyle w:val="19"/>
        <w:tblW w:w="0" w:type="auto"/>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807"/>
        <w:gridCol w:w="1915"/>
        <w:gridCol w:w="1915"/>
        <w:gridCol w:w="1915"/>
        <w:gridCol w:w="1808"/>
      </w:tblGrid>
      <w:tr w14:paraId="5DDB1F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360" w:type="dxa"/>
            <w:gridSpan w:val="5"/>
          </w:tcPr>
          <w:p w14:paraId="3D8F1C7F">
            <w:pPr>
              <w:spacing w:after="0" w:line="240" w:lineRule="auto"/>
              <w:jc w:val="center"/>
              <w:rPr>
                <w:rFonts w:ascii="Times New Roman" w:hAnsi="Times New Roman" w:cs="Times New Roman"/>
                <w:b/>
              </w:rPr>
            </w:pPr>
            <w:r>
              <w:rPr>
                <w:rFonts w:ascii="Times New Roman" w:hAnsi="Times New Roman" w:cs="Times New Roman"/>
                <w:b/>
              </w:rPr>
              <w:t>Dependent variable= NII</w:t>
            </w:r>
          </w:p>
        </w:tc>
      </w:tr>
      <w:tr w14:paraId="7E5262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7" w:type="dxa"/>
          </w:tcPr>
          <w:p w14:paraId="66A27457">
            <w:pPr>
              <w:spacing w:after="0" w:line="240" w:lineRule="auto"/>
              <w:jc w:val="center"/>
              <w:rPr>
                <w:rFonts w:ascii="Times New Roman" w:hAnsi="Times New Roman" w:cs="Times New Roman"/>
              </w:rPr>
            </w:pPr>
          </w:p>
        </w:tc>
        <w:tc>
          <w:tcPr>
            <w:tcW w:w="3830" w:type="dxa"/>
            <w:gridSpan w:val="2"/>
            <w:tcBorders>
              <w:right w:val="single" w:color="auto" w:sz="4" w:space="0"/>
            </w:tcBorders>
          </w:tcPr>
          <w:p w14:paraId="426EA383">
            <w:pPr>
              <w:spacing w:after="0" w:line="240" w:lineRule="auto"/>
              <w:jc w:val="center"/>
              <w:rPr>
                <w:rFonts w:ascii="Times New Roman" w:hAnsi="Times New Roman" w:cs="Times New Roman"/>
                <w:b/>
              </w:rPr>
            </w:pPr>
            <w:r>
              <w:rPr>
                <w:rFonts w:ascii="Times New Roman" w:hAnsi="Times New Roman" w:cs="Times New Roman"/>
                <w:b/>
              </w:rPr>
              <w:t>Plain OLS</w:t>
            </w:r>
          </w:p>
        </w:tc>
        <w:tc>
          <w:tcPr>
            <w:tcW w:w="3723" w:type="dxa"/>
            <w:gridSpan w:val="2"/>
            <w:tcBorders>
              <w:left w:val="single" w:color="auto" w:sz="4" w:space="0"/>
            </w:tcBorders>
          </w:tcPr>
          <w:p w14:paraId="570C794B">
            <w:pPr>
              <w:spacing w:after="0" w:line="240" w:lineRule="auto"/>
              <w:jc w:val="center"/>
              <w:rPr>
                <w:rFonts w:ascii="Times New Roman" w:hAnsi="Times New Roman" w:cs="Times New Roman"/>
                <w:b/>
              </w:rPr>
            </w:pPr>
            <w:r>
              <w:rPr>
                <w:rFonts w:ascii="Times New Roman" w:hAnsi="Times New Roman" w:cs="Times New Roman"/>
                <w:b/>
              </w:rPr>
              <w:t>Fixed Effects</w:t>
            </w:r>
          </w:p>
        </w:tc>
      </w:tr>
      <w:tr w14:paraId="7340AB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7" w:type="dxa"/>
          </w:tcPr>
          <w:p w14:paraId="24945170">
            <w:pPr>
              <w:spacing w:after="0" w:line="240" w:lineRule="auto"/>
              <w:jc w:val="center"/>
              <w:rPr>
                <w:rFonts w:ascii="Times New Roman" w:hAnsi="Times New Roman" w:cs="Times New Roman"/>
              </w:rPr>
            </w:pPr>
          </w:p>
        </w:tc>
        <w:tc>
          <w:tcPr>
            <w:tcW w:w="1915" w:type="dxa"/>
          </w:tcPr>
          <w:p w14:paraId="6DB694F0">
            <w:pPr>
              <w:spacing w:after="0" w:line="240" w:lineRule="auto"/>
              <w:jc w:val="center"/>
              <w:rPr>
                <w:rFonts w:ascii="Times New Roman" w:hAnsi="Times New Roman" w:cs="Times New Roman"/>
                <w:b/>
              </w:rPr>
            </w:pPr>
            <w:r>
              <w:rPr>
                <w:rFonts w:ascii="Times New Roman" w:hAnsi="Times New Roman" w:cs="Times New Roman"/>
                <w:b/>
              </w:rPr>
              <w:t>Coefficients</w:t>
            </w:r>
          </w:p>
        </w:tc>
        <w:tc>
          <w:tcPr>
            <w:tcW w:w="1915" w:type="dxa"/>
            <w:tcBorders>
              <w:right w:val="single" w:color="auto" w:sz="4" w:space="0"/>
            </w:tcBorders>
          </w:tcPr>
          <w:p w14:paraId="243451AB">
            <w:pPr>
              <w:spacing w:after="0" w:line="240" w:lineRule="auto"/>
              <w:jc w:val="center"/>
              <w:rPr>
                <w:rFonts w:ascii="Times New Roman" w:hAnsi="Times New Roman" w:cs="Times New Roman"/>
                <w:b/>
              </w:rPr>
            </w:pPr>
            <w:r>
              <w:rPr>
                <w:rFonts w:ascii="Times New Roman" w:hAnsi="Times New Roman" w:cs="Times New Roman"/>
                <w:b/>
              </w:rPr>
              <w:t>p- value</w:t>
            </w:r>
          </w:p>
        </w:tc>
        <w:tc>
          <w:tcPr>
            <w:tcW w:w="1915" w:type="dxa"/>
            <w:tcBorders>
              <w:left w:val="single" w:color="auto" w:sz="4" w:space="0"/>
            </w:tcBorders>
          </w:tcPr>
          <w:p w14:paraId="370AB85D">
            <w:pPr>
              <w:spacing w:after="0" w:line="240" w:lineRule="auto"/>
              <w:jc w:val="center"/>
              <w:rPr>
                <w:rFonts w:ascii="Times New Roman" w:hAnsi="Times New Roman" w:cs="Times New Roman"/>
                <w:b/>
              </w:rPr>
            </w:pPr>
            <w:r>
              <w:rPr>
                <w:rFonts w:ascii="Times New Roman" w:hAnsi="Times New Roman" w:cs="Times New Roman"/>
                <w:b/>
              </w:rPr>
              <w:t>Coefficients</w:t>
            </w:r>
          </w:p>
        </w:tc>
        <w:tc>
          <w:tcPr>
            <w:tcW w:w="1808" w:type="dxa"/>
          </w:tcPr>
          <w:p w14:paraId="4743E000">
            <w:pPr>
              <w:spacing w:after="0" w:line="240" w:lineRule="auto"/>
              <w:jc w:val="center"/>
              <w:rPr>
                <w:rFonts w:ascii="Times New Roman" w:hAnsi="Times New Roman" w:cs="Times New Roman"/>
              </w:rPr>
            </w:pPr>
            <w:r>
              <w:rPr>
                <w:rFonts w:ascii="Times New Roman" w:hAnsi="Times New Roman" w:cs="Times New Roman"/>
              </w:rPr>
              <w:t>p- value</w:t>
            </w:r>
          </w:p>
        </w:tc>
      </w:tr>
      <w:tr w14:paraId="55C143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7" w:type="dxa"/>
          </w:tcPr>
          <w:p w14:paraId="736585E7">
            <w:pPr>
              <w:spacing w:after="0" w:line="240" w:lineRule="auto"/>
              <w:jc w:val="center"/>
              <w:rPr>
                <w:rFonts w:ascii="Times New Roman" w:hAnsi="Times New Roman" w:cs="Times New Roman"/>
              </w:rPr>
            </w:pPr>
            <w:r>
              <w:rPr>
                <w:rFonts w:ascii="Times New Roman" w:hAnsi="Times New Roman" w:cs="Times New Roman"/>
              </w:rPr>
              <w:t>NIIM</w:t>
            </w:r>
          </w:p>
        </w:tc>
        <w:tc>
          <w:tcPr>
            <w:tcW w:w="1915" w:type="dxa"/>
          </w:tcPr>
          <w:p w14:paraId="59CDFAED">
            <w:pPr>
              <w:spacing w:after="0" w:line="240" w:lineRule="auto"/>
              <w:jc w:val="center"/>
              <w:rPr>
                <w:rFonts w:ascii="Times New Roman" w:hAnsi="Times New Roman" w:cs="Times New Roman"/>
              </w:rPr>
            </w:pPr>
            <w:r>
              <w:rPr>
                <w:rFonts w:ascii="Times New Roman" w:hAnsi="Times New Roman" w:cs="Times New Roman"/>
              </w:rPr>
              <w:t>0.9791</w:t>
            </w:r>
          </w:p>
        </w:tc>
        <w:tc>
          <w:tcPr>
            <w:tcW w:w="1915" w:type="dxa"/>
          </w:tcPr>
          <w:p w14:paraId="4DAE5082">
            <w:pPr>
              <w:spacing w:after="0" w:line="240" w:lineRule="auto"/>
              <w:jc w:val="center"/>
              <w:rPr>
                <w:rFonts w:ascii="Times New Roman" w:hAnsi="Times New Roman" w:cs="Times New Roman"/>
              </w:rPr>
            </w:pPr>
            <w:r>
              <w:rPr>
                <w:rFonts w:ascii="Times New Roman" w:hAnsi="Times New Roman" w:cs="Times New Roman"/>
              </w:rPr>
              <w:t>0.000</w:t>
            </w:r>
          </w:p>
        </w:tc>
        <w:tc>
          <w:tcPr>
            <w:tcW w:w="1915" w:type="dxa"/>
          </w:tcPr>
          <w:p w14:paraId="3CFB01F6">
            <w:pPr>
              <w:spacing w:after="0" w:line="240" w:lineRule="auto"/>
              <w:jc w:val="center"/>
              <w:rPr>
                <w:rFonts w:ascii="Times New Roman" w:hAnsi="Times New Roman" w:cs="Times New Roman"/>
              </w:rPr>
            </w:pPr>
            <w:r>
              <w:rPr>
                <w:rFonts w:ascii="Times New Roman" w:hAnsi="Times New Roman" w:cs="Times New Roman"/>
              </w:rPr>
              <w:t>0.9363</w:t>
            </w:r>
          </w:p>
        </w:tc>
        <w:tc>
          <w:tcPr>
            <w:tcW w:w="1808" w:type="dxa"/>
          </w:tcPr>
          <w:p w14:paraId="7863FFDB">
            <w:pPr>
              <w:spacing w:after="0" w:line="240" w:lineRule="auto"/>
              <w:jc w:val="center"/>
              <w:rPr>
                <w:rFonts w:ascii="Times New Roman" w:hAnsi="Times New Roman" w:cs="Times New Roman"/>
              </w:rPr>
            </w:pPr>
          </w:p>
        </w:tc>
      </w:tr>
      <w:tr w14:paraId="25527E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7" w:type="dxa"/>
          </w:tcPr>
          <w:p w14:paraId="0D9F573C">
            <w:pPr>
              <w:spacing w:after="0" w:line="240" w:lineRule="auto"/>
              <w:jc w:val="center"/>
              <w:rPr>
                <w:rFonts w:ascii="Times New Roman" w:hAnsi="Times New Roman" w:cs="Times New Roman"/>
              </w:rPr>
            </w:pPr>
            <w:r>
              <w:rPr>
                <w:rFonts w:ascii="Times New Roman" w:hAnsi="Times New Roman" w:cs="Times New Roman"/>
              </w:rPr>
              <w:t>OPP</w:t>
            </w:r>
          </w:p>
        </w:tc>
        <w:tc>
          <w:tcPr>
            <w:tcW w:w="1915" w:type="dxa"/>
          </w:tcPr>
          <w:p w14:paraId="496FF4AB">
            <w:pPr>
              <w:spacing w:after="0" w:line="240" w:lineRule="auto"/>
              <w:jc w:val="center"/>
              <w:rPr>
                <w:rFonts w:ascii="Times New Roman" w:hAnsi="Times New Roman" w:cs="Times New Roman"/>
              </w:rPr>
            </w:pPr>
            <w:r>
              <w:rPr>
                <w:rFonts w:ascii="Times New Roman" w:hAnsi="Times New Roman" w:cs="Times New Roman"/>
              </w:rPr>
              <w:t>0.1648</w:t>
            </w:r>
          </w:p>
        </w:tc>
        <w:tc>
          <w:tcPr>
            <w:tcW w:w="1915" w:type="dxa"/>
          </w:tcPr>
          <w:p w14:paraId="78B898ED">
            <w:pPr>
              <w:spacing w:after="0" w:line="240" w:lineRule="auto"/>
              <w:jc w:val="center"/>
              <w:rPr>
                <w:rFonts w:ascii="Times New Roman" w:hAnsi="Times New Roman" w:cs="Times New Roman"/>
              </w:rPr>
            </w:pPr>
            <w:r>
              <w:rPr>
                <w:rFonts w:ascii="Times New Roman" w:hAnsi="Times New Roman" w:cs="Times New Roman"/>
              </w:rPr>
              <w:t>0.000</w:t>
            </w:r>
          </w:p>
        </w:tc>
        <w:tc>
          <w:tcPr>
            <w:tcW w:w="1915" w:type="dxa"/>
          </w:tcPr>
          <w:p w14:paraId="1FEFE1B1">
            <w:pPr>
              <w:spacing w:after="0" w:line="240" w:lineRule="auto"/>
              <w:jc w:val="center"/>
              <w:rPr>
                <w:rFonts w:ascii="Times New Roman" w:hAnsi="Times New Roman" w:cs="Times New Roman"/>
              </w:rPr>
            </w:pPr>
            <w:r>
              <w:rPr>
                <w:rFonts w:ascii="Times New Roman" w:hAnsi="Times New Roman" w:cs="Times New Roman"/>
              </w:rPr>
              <w:t>0.1571</w:t>
            </w:r>
          </w:p>
        </w:tc>
        <w:tc>
          <w:tcPr>
            <w:tcW w:w="1808" w:type="dxa"/>
          </w:tcPr>
          <w:p w14:paraId="721D64A3">
            <w:pPr>
              <w:spacing w:after="0" w:line="240" w:lineRule="auto"/>
              <w:jc w:val="center"/>
              <w:rPr>
                <w:rFonts w:ascii="Times New Roman" w:hAnsi="Times New Roman" w:cs="Times New Roman"/>
              </w:rPr>
            </w:pPr>
            <w:r>
              <w:rPr>
                <w:rFonts w:ascii="Times New Roman" w:hAnsi="Times New Roman" w:cs="Times New Roman"/>
              </w:rPr>
              <w:t>0.000</w:t>
            </w:r>
          </w:p>
        </w:tc>
      </w:tr>
      <w:tr w14:paraId="51C639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7" w:type="dxa"/>
          </w:tcPr>
          <w:p w14:paraId="7F79E66E">
            <w:pPr>
              <w:spacing w:after="0" w:line="240" w:lineRule="auto"/>
              <w:jc w:val="center"/>
              <w:rPr>
                <w:rFonts w:ascii="Times New Roman" w:hAnsi="Times New Roman" w:cs="Times New Roman"/>
              </w:rPr>
            </w:pPr>
            <w:r>
              <w:rPr>
                <w:rFonts w:ascii="Times New Roman" w:hAnsi="Times New Roman" w:cs="Times New Roman"/>
              </w:rPr>
              <w:t>PRV</w:t>
            </w:r>
          </w:p>
        </w:tc>
        <w:tc>
          <w:tcPr>
            <w:tcW w:w="1915" w:type="dxa"/>
          </w:tcPr>
          <w:p w14:paraId="544F68C0">
            <w:pPr>
              <w:spacing w:after="0" w:line="240" w:lineRule="auto"/>
              <w:jc w:val="center"/>
              <w:rPr>
                <w:rFonts w:ascii="Times New Roman" w:hAnsi="Times New Roman" w:cs="Times New Roman"/>
              </w:rPr>
            </w:pPr>
            <w:r>
              <w:rPr>
                <w:rFonts w:ascii="Times New Roman" w:hAnsi="Times New Roman" w:cs="Times New Roman"/>
              </w:rPr>
              <w:t>-1.386</w:t>
            </w:r>
          </w:p>
        </w:tc>
        <w:tc>
          <w:tcPr>
            <w:tcW w:w="1915" w:type="dxa"/>
          </w:tcPr>
          <w:p w14:paraId="68385D8F">
            <w:pPr>
              <w:spacing w:after="0" w:line="240" w:lineRule="auto"/>
              <w:jc w:val="center"/>
              <w:rPr>
                <w:rFonts w:ascii="Times New Roman" w:hAnsi="Times New Roman" w:cs="Times New Roman"/>
              </w:rPr>
            </w:pPr>
            <w:r>
              <w:rPr>
                <w:rFonts w:ascii="Times New Roman" w:hAnsi="Times New Roman" w:cs="Times New Roman"/>
              </w:rPr>
              <w:t>0.547</w:t>
            </w:r>
          </w:p>
        </w:tc>
        <w:tc>
          <w:tcPr>
            <w:tcW w:w="1915" w:type="dxa"/>
          </w:tcPr>
          <w:p w14:paraId="3C5CD1CB">
            <w:pPr>
              <w:spacing w:after="0" w:line="240" w:lineRule="auto"/>
              <w:jc w:val="center"/>
              <w:rPr>
                <w:rFonts w:ascii="Times New Roman" w:hAnsi="Times New Roman" w:cs="Times New Roman"/>
              </w:rPr>
            </w:pPr>
            <w:r>
              <w:rPr>
                <w:rFonts w:ascii="Times New Roman" w:hAnsi="Times New Roman" w:cs="Times New Roman"/>
              </w:rPr>
              <w:t>-2.773</w:t>
            </w:r>
          </w:p>
        </w:tc>
        <w:tc>
          <w:tcPr>
            <w:tcW w:w="1808" w:type="dxa"/>
          </w:tcPr>
          <w:p w14:paraId="0C22A949">
            <w:pPr>
              <w:spacing w:after="0" w:line="240" w:lineRule="auto"/>
              <w:jc w:val="center"/>
              <w:rPr>
                <w:rFonts w:ascii="Times New Roman" w:hAnsi="Times New Roman" w:cs="Times New Roman"/>
              </w:rPr>
            </w:pPr>
            <w:r>
              <w:rPr>
                <w:rFonts w:ascii="Times New Roman" w:hAnsi="Times New Roman" w:cs="Times New Roman"/>
              </w:rPr>
              <w:t>0.092</w:t>
            </w:r>
          </w:p>
        </w:tc>
      </w:tr>
      <w:tr w14:paraId="35044F1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7" w:type="dxa"/>
          </w:tcPr>
          <w:p w14:paraId="0F67A219">
            <w:pPr>
              <w:spacing w:after="0" w:line="240" w:lineRule="auto"/>
              <w:jc w:val="center"/>
              <w:rPr>
                <w:rFonts w:ascii="Times New Roman" w:hAnsi="Times New Roman" w:cs="Times New Roman"/>
              </w:rPr>
            </w:pPr>
            <w:r>
              <w:rPr>
                <w:rFonts w:ascii="Times New Roman" w:hAnsi="Times New Roman" w:cs="Times New Roman"/>
              </w:rPr>
              <w:t>DEP</w:t>
            </w:r>
          </w:p>
        </w:tc>
        <w:tc>
          <w:tcPr>
            <w:tcW w:w="1915" w:type="dxa"/>
          </w:tcPr>
          <w:p w14:paraId="44A9640F">
            <w:pPr>
              <w:spacing w:after="0" w:line="240" w:lineRule="auto"/>
              <w:jc w:val="center"/>
              <w:rPr>
                <w:rFonts w:ascii="Times New Roman" w:hAnsi="Times New Roman" w:cs="Times New Roman"/>
              </w:rPr>
            </w:pPr>
            <w:r>
              <w:rPr>
                <w:rFonts w:ascii="Times New Roman" w:hAnsi="Times New Roman" w:cs="Times New Roman"/>
              </w:rPr>
              <w:t>0.3572</w:t>
            </w:r>
          </w:p>
        </w:tc>
        <w:tc>
          <w:tcPr>
            <w:tcW w:w="1915" w:type="dxa"/>
          </w:tcPr>
          <w:p w14:paraId="1366A4C2">
            <w:pPr>
              <w:spacing w:after="0" w:line="240" w:lineRule="auto"/>
              <w:jc w:val="center"/>
              <w:rPr>
                <w:rFonts w:ascii="Times New Roman" w:hAnsi="Times New Roman" w:cs="Times New Roman"/>
              </w:rPr>
            </w:pPr>
            <w:r>
              <w:rPr>
                <w:rFonts w:ascii="Times New Roman" w:hAnsi="Times New Roman" w:cs="Times New Roman"/>
              </w:rPr>
              <w:t>0.024</w:t>
            </w:r>
          </w:p>
        </w:tc>
        <w:tc>
          <w:tcPr>
            <w:tcW w:w="1915" w:type="dxa"/>
          </w:tcPr>
          <w:p w14:paraId="47BE29E3">
            <w:pPr>
              <w:spacing w:after="0" w:line="240" w:lineRule="auto"/>
              <w:jc w:val="center"/>
              <w:rPr>
                <w:rFonts w:ascii="Times New Roman" w:hAnsi="Times New Roman" w:cs="Times New Roman"/>
              </w:rPr>
            </w:pPr>
            <w:r>
              <w:rPr>
                <w:rFonts w:ascii="Times New Roman" w:hAnsi="Times New Roman" w:cs="Times New Roman"/>
              </w:rPr>
              <w:t>0.3144</w:t>
            </w:r>
          </w:p>
        </w:tc>
        <w:tc>
          <w:tcPr>
            <w:tcW w:w="1808" w:type="dxa"/>
          </w:tcPr>
          <w:p w14:paraId="0863D6A6">
            <w:pPr>
              <w:spacing w:after="0" w:line="240" w:lineRule="auto"/>
              <w:jc w:val="center"/>
              <w:rPr>
                <w:rFonts w:ascii="Times New Roman" w:hAnsi="Times New Roman" w:cs="Times New Roman"/>
              </w:rPr>
            </w:pPr>
            <w:r>
              <w:rPr>
                <w:rFonts w:ascii="Times New Roman" w:hAnsi="Times New Roman" w:cs="Times New Roman"/>
              </w:rPr>
              <w:t>0.128</w:t>
            </w:r>
          </w:p>
        </w:tc>
      </w:tr>
      <w:tr w14:paraId="33DE47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7" w:type="dxa"/>
          </w:tcPr>
          <w:p w14:paraId="58A6B424">
            <w:pPr>
              <w:spacing w:after="0" w:line="240" w:lineRule="auto"/>
              <w:jc w:val="center"/>
              <w:rPr>
                <w:rFonts w:ascii="Times New Roman" w:hAnsi="Times New Roman" w:cs="Times New Roman"/>
              </w:rPr>
            </w:pPr>
            <w:r>
              <w:rPr>
                <w:rFonts w:ascii="Times New Roman" w:hAnsi="Times New Roman" w:cs="Times New Roman"/>
              </w:rPr>
              <w:t>DUM</w:t>
            </w:r>
          </w:p>
        </w:tc>
        <w:tc>
          <w:tcPr>
            <w:tcW w:w="1915" w:type="dxa"/>
          </w:tcPr>
          <w:p w14:paraId="43504931">
            <w:pPr>
              <w:spacing w:after="0" w:line="240" w:lineRule="auto"/>
              <w:jc w:val="center"/>
              <w:rPr>
                <w:rFonts w:ascii="Times New Roman" w:hAnsi="Times New Roman" w:cs="Times New Roman"/>
              </w:rPr>
            </w:pPr>
            <w:r>
              <w:rPr>
                <w:rFonts w:ascii="Times New Roman" w:hAnsi="Times New Roman" w:cs="Times New Roman"/>
              </w:rPr>
              <w:t>0.221</w:t>
            </w:r>
          </w:p>
        </w:tc>
        <w:tc>
          <w:tcPr>
            <w:tcW w:w="1915" w:type="dxa"/>
          </w:tcPr>
          <w:p w14:paraId="330811A9">
            <w:pPr>
              <w:spacing w:after="0" w:line="240" w:lineRule="auto"/>
              <w:jc w:val="center"/>
              <w:rPr>
                <w:rFonts w:ascii="Times New Roman" w:hAnsi="Times New Roman" w:cs="Times New Roman"/>
              </w:rPr>
            </w:pPr>
            <w:r>
              <w:rPr>
                <w:rFonts w:ascii="Times New Roman" w:hAnsi="Times New Roman" w:cs="Times New Roman"/>
              </w:rPr>
              <w:t>0.000</w:t>
            </w:r>
          </w:p>
        </w:tc>
        <w:tc>
          <w:tcPr>
            <w:tcW w:w="1915" w:type="dxa"/>
          </w:tcPr>
          <w:p w14:paraId="2A240E79">
            <w:pPr>
              <w:spacing w:after="0" w:line="240" w:lineRule="auto"/>
              <w:jc w:val="center"/>
              <w:rPr>
                <w:rFonts w:ascii="Times New Roman" w:hAnsi="Times New Roman" w:cs="Times New Roman"/>
              </w:rPr>
            </w:pPr>
            <w:r>
              <w:rPr>
                <w:rFonts w:ascii="Times New Roman" w:hAnsi="Times New Roman" w:cs="Times New Roman"/>
              </w:rPr>
              <w:t>0.000</w:t>
            </w:r>
          </w:p>
        </w:tc>
        <w:tc>
          <w:tcPr>
            <w:tcW w:w="1808" w:type="dxa"/>
          </w:tcPr>
          <w:p w14:paraId="2A464321">
            <w:pPr>
              <w:spacing w:after="0" w:line="240" w:lineRule="auto"/>
              <w:jc w:val="center"/>
              <w:rPr>
                <w:rFonts w:ascii="Times New Roman" w:hAnsi="Times New Roman" w:cs="Times New Roman"/>
              </w:rPr>
            </w:pPr>
            <w:r>
              <w:rPr>
                <w:rFonts w:ascii="Times New Roman" w:hAnsi="Times New Roman" w:cs="Times New Roman"/>
              </w:rPr>
              <w:t>0.000</w:t>
            </w:r>
          </w:p>
        </w:tc>
      </w:tr>
      <w:tr w14:paraId="59CA90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7" w:type="dxa"/>
          </w:tcPr>
          <w:p w14:paraId="4525F544">
            <w:pPr>
              <w:spacing w:after="0" w:line="240" w:lineRule="auto"/>
              <w:jc w:val="center"/>
              <w:rPr>
                <w:rFonts w:ascii="Times New Roman" w:hAnsi="Times New Roman" w:cs="Times New Roman"/>
              </w:rPr>
            </w:pPr>
            <w:r>
              <w:rPr>
                <w:rFonts w:ascii="Times New Roman" w:hAnsi="Times New Roman" w:cs="Times New Roman"/>
                <w:sz w:val="23"/>
                <w:szCs w:val="23"/>
              </w:rPr>
              <w:t>α</w:t>
            </w:r>
          </w:p>
        </w:tc>
        <w:tc>
          <w:tcPr>
            <w:tcW w:w="1915" w:type="dxa"/>
          </w:tcPr>
          <w:p w14:paraId="2C04B9F4">
            <w:pPr>
              <w:spacing w:after="0" w:line="240" w:lineRule="auto"/>
              <w:jc w:val="center"/>
              <w:rPr>
                <w:rFonts w:ascii="Times New Roman" w:hAnsi="Times New Roman" w:cs="Times New Roman"/>
              </w:rPr>
            </w:pPr>
            <w:r>
              <w:rPr>
                <w:rFonts w:ascii="Times New Roman" w:hAnsi="Times New Roman" w:cs="Times New Roman"/>
              </w:rPr>
              <w:t>-0.197</w:t>
            </w:r>
          </w:p>
        </w:tc>
        <w:tc>
          <w:tcPr>
            <w:tcW w:w="1915" w:type="dxa"/>
          </w:tcPr>
          <w:p w14:paraId="18C40178">
            <w:pPr>
              <w:spacing w:after="0" w:line="240" w:lineRule="auto"/>
              <w:jc w:val="center"/>
              <w:rPr>
                <w:rFonts w:ascii="Times New Roman" w:hAnsi="Times New Roman" w:cs="Times New Roman"/>
              </w:rPr>
            </w:pPr>
            <w:r>
              <w:rPr>
                <w:rFonts w:ascii="Times New Roman" w:hAnsi="Times New Roman" w:cs="Times New Roman"/>
              </w:rPr>
              <w:t>0.163</w:t>
            </w:r>
          </w:p>
        </w:tc>
        <w:tc>
          <w:tcPr>
            <w:tcW w:w="1915" w:type="dxa"/>
          </w:tcPr>
          <w:p w14:paraId="6EC50726">
            <w:pPr>
              <w:spacing w:after="0" w:line="240" w:lineRule="auto"/>
              <w:jc w:val="center"/>
              <w:rPr>
                <w:rFonts w:ascii="Times New Roman" w:hAnsi="Times New Roman" w:cs="Times New Roman"/>
              </w:rPr>
            </w:pPr>
            <w:r>
              <w:rPr>
                <w:rFonts w:ascii="Times New Roman" w:hAnsi="Times New Roman" w:cs="Times New Roman"/>
              </w:rPr>
              <w:t>0.000</w:t>
            </w:r>
          </w:p>
        </w:tc>
        <w:tc>
          <w:tcPr>
            <w:tcW w:w="1808" w:type="dxa"/>
          </w:tcPr>
          <w:p w14:paraId="03BCC965">
            <w:pPr>
              <w:spacing w:after="0" w:line="240" w:lineRule="auto"/>
              <w:jc w:val="center"/>
              <w:rPr>
                <w:rFonts w:ascii="Times New Roman" w:hAnsi="Times New Roman" w:cs="Times New Roman"/>
              </w:rPr>
            </w:pPr>
            <w:r>
              <w:rPr>
                <w:rFonts w:ascii="Times New Roman" w:hAnsi="Times New Roman" w:cs="Times New Roman"/>
              </w:rPr>
              <w:t>0.000</w:t>
            </w:r>
          </w:p>
        </w:tc>
      </w:tr>
      <w:tr w14:paraId="03BB8A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7" w:type="dxa"/>
          </w:tcPr>
          <w:p w14:paraId="4CCA7B7D">
            <w:pPr>
              <w:spacing w:after="0" w:line="240" w:lineRule="auto"/>
              <w:jc w:val="center"/>
              <w:rPr>
                <w:rFonts w:ascii="Times New Roman" w:hAnsi="Times New Roman" w:cs="Times New Roman"/>
                <w:sz w:val="23"/>
                <w:szCs w:val="23"/>
              </w:rPr>
            </w:pPr>
          </w:p>
        </w:tc>
        <w:tc>
          <w:tcPr>
            <w:tcW w:w="1915" w:type="dxa"/>
          </w:tcPr>
          <w:p w14:paraId="669BC93D">
            <w:pPr>
              <w:spacing w:after="0" w:line="240" w:lineRule="auto"/>
              <w:jc w:val="center"/>
              <w:rPr>
                <w:rFonts w:ascii="Times New Roman" w:hAnsi="Times New Roman" w:cs="Times New Roman"/>
              </w:rPr>
            </w:pPr>
          </w:p>
        </w:tc>
        <w:tc>
          <w:tcPr>
            <w:tcW w:w="1915" w:type="dxa"/>
          </w:tcPr>
          <w:p w14:paraId="758FCF13">
            <w:pPr>
              <w:spacing w:after="0" w:line="240" w:lineRule="auto"/>
              <w:jc w:val="center"/>
              <w:rPr>
                <w:rFonts w:ascii="Times New Roman" w:hAnsi="Times New Roman" w:cs="Times New Roman"/>
              </w:rPr>
            </w:pPr>
          </w:p>
        </w:tc>
        <w:tc>
          <w:tcPr>
            <w:tcW w:w="1915" w:type="dxa"/>
          </w:tcPr>
          <w:p w14:paraId="6FDEB9C2">
            <w:pPr>
              <w:spacing w:after="0" w:line="240" w:lineRule="auto"/>
              <w:jc w:val="center"/>
              <w:rPr>
                <w:rFonts w:ascii="Times New Roman" w:hAnsi="Times New Roman" w:cs="Times New Roman"/>
              </w:rPr>
            </w:pPr>
          </w:p>
        </w:tc>
        <w:tc>
          <w:tcPr>
            <w:tcW w:w="1808" w:type="dxa"/>
          </w:tcPr>
          <w:p w14:paraId="1651FFE5">
            <w:pPr>
              <w:keepNext/>
              <w:spacing w:after="0" w:line="240" w:lineRule="auto"/>
              <w:jc w:val="center"/>
              <w:rPr>
                <w:rFonts w:ascii="Times New Roman" w:hAnsi="Times New Roman" w:cs="Times New Roman"/>
              </w:rPr>
            </w:pPr>
          </w:p>
        </w:tc>
      </w:tr>
    </w:tbl>
    <w:p w14:paraId="450D83A2">
      <w:pPr>
        <w:pStyle w:val="11"/>
      </w:pPr>
      <w:bookmarkStart w:id="64" w:name="_Toc223265611"/>
      <w:bookmarkStart w:id="65" w:name="_Toc223265093"/>
      <w:bookmarkStart w:id="66" w:name="_Toc223263771"/>
      <w:bookmarkStart w:id="67" w:name="_Toc223267047"/>
      <w:r>
        <w:t xml:space="preserve">Table </w:t>
      </w:r>
      <w:r>
        <w:fldChar w:fldCharType="begin"/>
      </w:r>
      <w:r>
        <w:instrText xml:space="preserve"> SEQ Table \* ARABIC </w:instrText>
      </w:r>
      <w:r>
        <w:fldChar w:fldCharType="separate"/>
      </w:r>
      <w:r>
        <w:t>2</w:t>
      </w:r>
      <w:r>
        <w:fldChar w:fldCharType="end"/>
      </w:r>
      <w:r>
        <w:t>: Significance of coefficients of Independent Variables using Plain OLS &amp; Fixed Effects</w:t>
      </w:r>
      <w:bookmarkEnd w:id="64"/>
      <w:bookmarkEnd w:id="65"/>
      <w:bookmarkEnd w:id="66"/>
      <w:bookmarkEnd w:id="67"/>
    </w:p>
    <w:p w14:paraId="754F3E4A">
      <w:pPr>
        <w:pStyle w:val="16"/>
        <w:spacing w:before="0" w:beforeAutospacing="0" w:after="0" w:afterAutospacing="0"/>
        <w:jc w:val="both"/>
        <w:rPr>
          <w:i/>
        </w:rPr>
      </w:pPr>
      <w:r>
        <w:rPr>
          <w:i/>
          <w:sz w:val="22"/>
          <w:szCs w:val="22"/>
        </w:rPr>
        <w:t>Note: Refer to Appendix A to see the data set used to generate findings.</w:t>
      </w:r>
    </w:p>
    <w:p w14:paraId="0481BF31">
      <w:pPr>
        <w:pStyle w:val="16"/>
        <w:spacing w:after="0" w:afterAutospacing="0"/>
        <w:jc w:val="both"/>
      </w:pPr>
      <w:r>
        <w:t>Based on the estimated results, the regression equations are as follows:</w:t>
      </w:r>
    </w:p>
    <w:p w14:paraId="3557C201">
      <w:pPr>
        <w:pStyle w:val="4"/>
        <w:jc w:val="both"/>
        <w:rPr>
          <w:rFonts w:ascii="Times New Roman" w:hAnsi="Times New Roman" w:cs="Times New Roman"/>
        </w:rPr>
      </w:pPr>
      <w:bookmarkStart w:id="68" w:name="_Toc223040497"/>
      <w:bookmarkStart w:id="69" w:name="_Toc223264661"/>
      <w:r>
        <w:rPr>
          <w:rFonts w:ascii="Times New Roman" w:hAnsi="Times New Roman" w:cs="Times New Roman"/>
        </w:rPr>
        <w:t>Plain OLS Model:</w:t>
      </w:r>
      <w:bookmarkEnd w:id="68"/>
      <w:bookmarkEnd w:id="69"/>
    </w:p>
    <w:p w14:paraId="7FCB5AAF">
      <w:pPr>
        <w:spacing w:after="0"/>
        <w:jc w:val="both"/>
        <w:rPr>
          <w:rFonts w:ascii="Times New Roman" w:hAnsi="Times New Roman" w:cs="Times New Roman"/>
        </w:rPr>
      </w:pPr>
      <w:r>
        <w:rPr>
          <w:rFonts w:ascii="Times New Roman" w:hAnsi="Times New Roman" w:cs="Times New Roman"/>
        </w:rPr>
        <w:t>NII= -0.197 + (0.9791*NIM) + (0.1648*OPP) – (1.386*PRV) + (0.3572*DEP) – (0.363*EQR) + (0.221*DUM)</w:t>
      </w:r>
    </w:p>
    <w:p w14:paraId="4A8677DA">
      <w:pPr>
        <w:pStyle w:val="26"/>
        <w:jc w:val="both"/>
        <w:rPr>
          <w:i/>
          <w:sz w:val="23"/>
          <w:szCs w:val="23"/>
        </w:rPr>
      </w:pPr>
      <w:r>
        <w:rPr>
          <w:i/>
          <w:sz w:val="23"/>
          <w:szCs w:val="23"/>
        </w:rPr>
        <w:t xml:space="preserve">(Note: α was excluded as it is not significant and has a negligible coefficient) </w:t>
      </w:r>
    </w:p>
    <w:p w14:paraId="72652BAA">
      <w:pPr>
        <w:pStyle w:val="4"/>
        <w:jc w:val="both"/>
        <w:rPr>
          <w:rFonts w:ascii="Times New Roman" w:hAnsi="Times New Roman" w:cs="Times New Roman"/>
        </w:rPr>
      </w:pPr>
      <w:bookmarkStart w:id="70" w:name="_Toc223264662"/>
      <w:bookmarkStart w:id="71" w:name="_Toc223040498"/>
      <w:r>
        <w:rPr>
          <w:rFonts w:ascii="Times New Roman" w:hAnsi="Times New Roman" w:cs="Times New Roman"/>
        </w:rPr>
        <w:t>Fixed Effects Model:</w:t>
      </w:r>
      <w:bookmarkEnd w:id="70"/>
      <w:bookmarkEnd w:id="71"/>
    </w:p>
    <w:p w14:paraId="61141F45">
      <w:pPr>
        <w:jc w:val="both"/>
        <w:rPr>
          <w:rFonts w:ascii="Times New Roman" w:hAnsi="Times New Roman" w:cs="Times New Roman"/>
        </w:rPr>
      </w:pPr>
      <w:r>
        <w:rPr>
          <w:rFonts w:ascii="Times New Roman" w:hAnsi="Times New Roman" w:cs="Times New Roman"/>
        </w:rPr>
        <w:t>NII= (0.9363*NIM) + (0.1571*OPP) – (2.773*PRV) + (0.3144*DEP) – (1.462*EQR)</w:t>
      </w:r>
    </w:p>
    <w:p w14:paraId="454F9861">
      <w:pPr>
        <w:pStyle w:val="16"/>
        <w:jc w:val="both"/>
      </w:pPr>
      <w:r>
        <w:t xml:space="preserve">Since </w:t>
      </w:r>
      <w:r>
        <w:rPr>
          <w:rStyle w:val="34"/>
        </w:rPr>
        <w:t>βi≠0</w:t>
      </w:r>
      <w:r>
        <w:t>, the null hypothesis is rejected. This indicates that several independent variables have statistically significant effects on Net Interest Income (NII). The influence of each variable is discussed below.</w:t>
      </w:r>
    </w:p>
    <w:p w14:paraId="2D611EFF">
      <w:pPr>
        <w:pStyle w:val="16"/>
        <w:numPr>
          <w:ilvl w:val="0"/>
          <w:numId w:val="11"/>
        </w:numPr>
        <w:jc w:val="both"/>
        <w:rPr>
          <w:b/>
          <w:bCs/>
        </w:rPr>
      </w:pPr>
      <w:r>
        <w:rPr>
          <w:rStyle w:val="17"/>
        </w:rPr>
        <w:t xml:space="preserve">NIM (Net Interest Margin): </w:t>
      </w:r>
      <w:r>
        <w:t>NIM demonstrates a strong positive relationship with Net Interest Income (NII). A higher NIM reflects greater interest earnings, which directly contribute to higher NII. Both variables share the same numerator (interest income minus interest expenses), while their denominators differ operating income for NII and total interest income for NIM. Therefore, any change in total interest income directly affects NII. The results indicate that a one-unit change in NIM leads to a substantial change in NII (approximately 98% in the OLS model and 94% in the Fixed Effects model).</w:t>
      </w:r>
    </w:p>
    <w:p w14:paraId="2EFF9C7B">
      <w:pPr>
        <w:pStyle w:val="16"/>
        <w:numPr>
          <w:ilvl w:val="0"/>
          <w:numId w:val="11"/>
        </w:numPr>
        <w:jc w:val="both"/>
        <w:rPr>
          <w:b/>
          <w:bCs/>
        </w:rPr>
      </w:pPr>
      <w:r>
        <w:rPr>
          <w:rStyle w:val="17"/>
        </w:rPr>
        <w:t xml:space="preserve">OPP (Operating Profit Margin): </w:t>
      </w:r>
      <w:r>
        <w:t>A higher Operating Profit Margin (OPP) suggests that the bank is more efficient in generating operating profit, which in turn positively influences NII. The findings show that operating profit has a significant positive effect (around 17%) on net interest income. This is noteworthy because operating expenses include a considerable portion of interest expenses. However, the direction of causality remains uncertain. It is possible that changes in NII may also influence OPP. Since lagged variables were not incorporated in order to preserve degrees of freedom, the exact direction of causality cannot be conclusively determined.</w:t>
      </w:r>
    </w:p>
    <w:p w14:paraId="38343622">
      <w:pPr>
        <w:pStyle w:val="16"/>
        <w:numPr>
          <w:ilvl w:val="0"/>
          <w:numId w:val="11"/>
        </w:numPr>
        <w:jc w:val="both"/>
      </w:pPr>
      <w:r>
        <w:rPr>
          <w:rStyle w:val="17"/>
        </w:rPr>
        <w:t>PRV (Provision Ratio Value):</w:t>
      </w:r>
      <w:r>
        <w:t xml:space="preserve"> Although the Provision Ratio Value (PRV) is statistically insignificant in the OLS model and only weakly significant in the Fixed Effects model, its coefficient is largely negative in magnitude. When banks allocate substantial funds as provisions, those funds remain unproductive and do not generate interest income. Consequently, a higher PRV implies more idle funds and, therefore, lower NII.</w:t>
      </w:r>
    </w:p>
    <w:p w14:paraId="2FF4AF30">
      <w:pPr>
        <w:pStyle w:val="16"/>
        <w:numPr>
          <w:ilvl w:val="0"/>
          <w:numId w:val="11"/>
        </w:numPr>
        <w:jc w:val="both"/>
      </w:pPr>
      <w:r>
        <w:rPr>
          <w:rStyle w:val="17"/>
        </w:rPr>
        <w:t>DEP (Deposit Ratio):</w:t>
      </w:r>
      <w:r>
        <w:t xml:space="preserve"> An increase in deposits enhances the bank’s loan able funds, allowing it to generate more interest income. According to the OLS results, a 1% increase in deposits as a proportion of total liabilities leads to approximately a 0.35% increase in NII as a percentage of operating income across the banking system.</w:t>
      </w:r>
    </w:p>
    <w:p w14:paraId="65EFE67E">
      <w:pPr>
        <w:pStyle w:val="16"/>
        <w:numPr>
          <w:ilvl w:val="0"/>
          <w:numId w:val="11"/>
        </w:numPr>
        <w:jc w:val="both"/>
      </w:pPr>
      <w:r>
        <w:rPr>
          <w:rStyle w:val="17"/>
        </w:rPr>
        <w:t>EQR (Equity Ratio):</w:t>
      </w:r>
      <w:r>
        <w:t xml:space="preserve"> The Equity Ratio (EQR) includes regulatory capital and reserve funds maintained to cover potential risks. A higher EQR implies that a larger portion of funds is held as capital rather than being used for lending activities, resulting in lower NII. In the Fixed Effects model, the coefficient (-1.46) indicates a stronger negative impact over time. This highlights the banking sector’s reliance on loan able funds for generating interest income and emphasizes the importance of risk management at the individual bank level. When bank-specific fixed effects are considered, the excess reserve amount representing expected risk exposure shows a significant negative influence on NII as a percentage of operating income.</w:t>
      </w:r>
    </w:p>
    <w:p w14:paraId="7CD26FBB">
      <w:pPr>
        <w:pStyle w:val="16"/>
        <w:numPr>
          <w:ilvl w:val="0"/>
          <w:numId w:val="11"/>
        </w:numPr>
        <w:jc w:val="both"/>
      </w:pPr>
      <w:r>
        <w:rPr>
          <w:rStyle w:val="17"/>
        </w:rPr>
        <w:t>DUM (Dummy Variable):</w:t>
      </w:r>
      <w:r>
        <w:t xml:space="preserve"> The Dummy variable is statistically significant and positively related to NII in the Plain OLS model (coefficient = 0.221). This suggests that, on average, Islamic banks generate approximately 22 percentage points higher net interest income compared to Conventional banks.</w:t>
      </w:r>
    </w:p>
    <w:p w14:paraId="647ED52F">
      <w:pPr>
        <w:pStyle w:val="16"/>
        <w:jc w:val="both"/>
      </w:pPr>
      <w:r>
        <w:t>The OLS model shows a constant term of -0.197; however, it is statistically insignificant and does not provide accurate representation of how the banks have performed.</w:t>
      </w:r>
    </w:p>
    <w:p w14:paraId="654AABFE">
      <w:pPr>
        <w:pStyle w:val="16"/>
        <w:jc w:val="both"/>
      </w:pPr>
      <w:r>
        <w:t>Since the earlier findings indicate that Islamic banks demonstrate relatively better performance, the next stage of the analysis aims to identify which specific variables contribute to this superior performance. To explore this, the dummy variable representing Islamic banks is interacted with three selected independent variables (NIM, PRV, and EQR). This approach allows the model to capture the combined (interaction) effects that are specific to Islamic banks.</w:t>
      </w:r>
    </w:p>
    <w:tbl>
      <w:tblPr>
        <w:tblStyle w:val="19"/>
        <w:tblW w:w="0" w:type="auto"/>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807"/>
        <w:gridCol w:w="1915"/>
        <w:gridCol w:w="1915"/>
        <w:gridCol w:w="1915"/>
        <w:gridCol w:w="1916"/>
      </w:tblGrid>
      <w:tr w14:paraId="377E69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468" w:type="dxa"/>
            <w:gridSpan w:val="5"/>
          </w:tcPr>
          <w:p w14:paraId="52E1449D">
            <w:pPr>
              <w:spacing w:after="0" w:line="240" w:lineRule="auto"/>
              <w:jc w:val="center"/>
              <w:rPr>
                <w:rFonts w:ascii="Times New Roman" w:hAnsi="Times New Roman" w:cs="Times New Roman"/>
                <w:b/>
              </w:rPr>
            </w:pPr>
            <w:r>
              <w:rPr>
                <w:rFonts w:ascii="Times New Roman" w:hAnsi="Times New Roman" w:cs="Times New Roman"/>
                <w:b/>
              </w:rPr>
              <w:t>Dependent variable= NII</w:t>
            </w:r>
          </w:p>
        </w:tc>
      </w:tr>
      <w:tr w14:paraId="7777D30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7" w:type="dxa"/>
          </w:tcPr>
          <w:p w14:paraId="64D77E40">
            <w:pPr>
              <w:spacing w:after="0" w:line="240" w:lineRule="auto"/>
              <w:jc w:val="center"/>
              <w:rPr>
                <w:rFonts w:ascii="Times New Roman" w:hAnsi="Times New Roman" w:cs="Times New Roman"/>
              </w:rPr>
            </w:pPr>
          </w:p>
        </w:tc>
        <w:tc>
          <w:tcPr>
            <w:tcW w:w="3830" w:type="dxa"/>
            <w:gridSpan w:val="2"/>
            <w:tcBorders>
              <w:right w:val="single" w:color="auto" w:sz="4" w:space="0"/>
            </w:tcBorders>
          </w:tcPr>
          <w:p w14:paraId="4B3EC421">
            <w:pPr>
              <w:spacing w:after="0" w:line="240" w:lineRule="auto"/>
              <w:jc w:val="center"/>
              <w:rPr>
                <w:rFonts w:ascii="Times New Roman" w:hAnsi="Times New Roman" w:cs="Times New Roman"/>
                <w:b/>
              </w:rPr>
            </w:pPr>
            <w:r>
              <w:rPr>
                <w:rFonts w:ascii="Times New Roman" w:hAnsi="Times New Roman" w:cs="Times New Roman"/>
                <w:b/>
              </w:rPr>
              <w:t>Plain OLS</w:t>
            </w:r>
          </w:p>
        </w:tc>
        <w:tc>
          <w:tcPr>
            <w:tcW w:w="3831" w:type="dxa"/>
            <w:gridSpan w:val="2"/>
            <w:tcBorders>
              <w:left w:val="single" w:color="auto" w:sz="4" w:space="0"/>
            </w:tcBorders>
          </w:tcPr>
          <w:p w14:paraId="7DCA8701">
            <w:pPr>
              <w:spacing w:after="0" w:line="240" w:lineRule="auto"/>
              <w:jc w:val="center"/>
              <w:rPr>
                <w:rFonts w:ascii="Times New Roman" w:hAnsi="Times New Roman" w:cs="Times New Roman"/>
                <w:b/>
              </w:rPr>
            </w:pPr>
            <w:r>
              <w:rPr>
                <w:rFonts w:ascii="Times New Roman" w:hAnsi="Times New Roman" w:cs="Times New Roman"/>
                <w:b/>
              </w:rPr>
              <w:t>Fixed Effects</w:t>
            </w:r>
          </w:p>
        </w:tc>
      </w:tr>
      <w:tr w14:paraId="11AB5D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7" w:type="dxa"/>
          </w:tcPr>
          <w:p w14:paraId="4CA8EF8C">
            <w:pPr>
              <w:spacing w:after="0" w:line="240" w:lineRule="auto"/>
              <w:jc w:val="center"/>
              <w:rPr>
                <w:rFonts w:ascii="Times New Roman" w:hAnsi="Times New Roman" w:cs="Times New Roman"/>
              </w:rPr>
            </w:pPr>
          </w:p>
        </w:tc>
        <w:tc>
          <w:tcPr>
            <w:tcW w:w="1915" w:type="dxa"/>
          </w:tcPr>
          <w:p w14:paraId="2B9637D8">
            <w:pPr>
              <w:spacing w:after="0" w:line="240" w:lineRule="auto"/>
              <w:jc w:val="center"/>
              <w:rPr>
                <w:rFonts w:ascii="Times New Roman" w:hAnsi="Times New Roman" w:cs="Times New Roman"/>
              </w:rPr>
            </w:pPr>
            <w:r>
              <w:rPr>
                <w:rFonts w:ascii="Times New Roman" w:hAnsi="Times New Roman" w:cs="Times New Roman"/>
              </w:rPr>
              <w:t>Coefficients</w:t>
            </w:r>
          </w:p>
        </w:tc>
        <w:tc>
          <w:tcPr>
            <w:tcW w:w="1915" w:type="dxa"/>
            <w:tcBorders>
              <w:right w:val="single" w:color="auto" w:sz="4" w:space="0"/>
            </w:tcBorders>
          </w:tcPr>
          <w:p w14:paraId="6DCCCC14">
            <w:pPr>
              <w:spacing w:after="0" w:line="240" w:lineRule="auto"/>
              <w:jc w:val="center"/>
              <w:rPr>
                <w:rFonts w:ascii="Times New Roman" w:hAnsi="Times New Roman" w:cs="Times New Roman"/>
              </w:rPr>
            </w:pPr>
            <w:r>
              <w:rPr>
                <w:rFonts w:ascii="Times New Roman" w:hAnsi="Times New Roman" w:cs="Times New Roman"/>
              </w:rPr>
              <w:t>p- value</w:t>
            </w:r>
          </w:p>
        </w:tc>
        <w:tc>
          <w:tcPr>
            <w:tcW w:w="1915" w:type="dxa"/>
            <w:tcBorders>
              <w:left w:val="single" w:color="auto" w:sz="4" w:space="0"/>
            </w:tcBorders>
          </w:tcPr>
          <w:p w14:paraId="72F8D7C8">
            <w:pPr>
              <w:spacing w:after="0" w:line="240" w:lineRule="auto"/>
              <w:jc w:val="center"/>
              <w:rPr>
                <w:rFonts w:ascii="Times New Roman" w:hAnsi="Times New Roman" w:cs="Times New Roman"/>
              </w:rPr>
            </w:pPr>
            <w:r>
              <w:rPr>
                <w:rFonts w:ascii="Times New Roman" w:hAnsi="Times New Roman" w:cs="Times New Roman"/>
              </w:rPr>
              <w:t>Coefficients</w:t>
            </w:r>
          </w:p>
        </w:tc>
        <w:tc>
          <w:tcPr>
            <w:tcW w:w="1916" w:type="dxa"/>
          </w:tcPr>
          <w:p w14:paraId="176E20B6">
            <w:pPr>
              <w:spacing w:after="0" w:line="240" w:lineRule="auto"/>
              <w:jc w:val="center"/>
              <w:rPr>
                <w:rFonts w:ascii="Times New Roman" w:hAnsi="Times New Roman" w:cs="Times New Roman"/>
              </w:rPr>
            </w:pPr>
            <w:r>
              <w:rPr>
                <w:rFonts w:ascii="Times New Roman" w:hAnsi="Times New Roman" w:cs="Times New Roman"/>
              </w:rPr>
              <w:t>p- value</w:t>
            </w:r>
          </w:p>
        </w:tc>
      </w:tr>
      <w:tr w14:paraId="178076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7" w:type="dxa"/>
          </w:tcPr>
          <w:p w14:paraId="0D41CDCE">
            <w:pPr>
              <w:spacing w:after="0" w:line="240" w:lineRule="auto"/>
              <w:jc w:val="center"/>
              <w:rPr>
                <w:rFonts w:ascii="Times New Roman" w:hAnsi="Times New Roman" w:cs="Times New Roman"/>
                <w:b/>
              </w:rPr>
            </w:pPr>
            <w:r>
              <w:rPr>
                <w:rFonts w:ascii="Times New Roman" w:hAnsi="Times New Roman" w:cs="Times New Roman"/>
                <w:b/>
              </w:rPr>
              <w:t>NIIM</w:t>
            </w:r>
          </w:p>
        </w:tc>
        <w:tc>
          <w:tcPr>
            <w:tcW w:w="1915" w:type="dxa"/>
          </w:tcPr>
          <w:p w14:paraId="728EC9F7">
            <w:pPr>
              <w:spacing w:after="0" w:line="240" w:lineRule="auto"/>
              <w:jc w:val="center"/>
              <w:rPr>
                <w:rFonts w:ascii="Times New Roman" w:hAnsi="Times New Roman" w:cs="Times New Roman"/>
              </w:rPr>
            </w:pPr>
            <w:r>
              <w:rPr>
                <w:rFonts w:ascii="Times New Roman" w:hAnsi="Times New Roman" w:cs="Times New Roman"/>
              </w:rPr>
              <w:t>0.971446</w:t>
            </w:r>
          </w:p>
        </w:tc>
        <w:tc>
          <w:tcPr>
            <w:tcW w:w="1915" w:type="dxa"/>
          </w:tcPr>
          <w:p w14:paraId="6ABA9658">
            <w:pPr>
              <w:spacing w:after="0" w:line="240" w:lineRule="auto"/>
              <w:jc w:val="center"/>
              <w:rPr>
                <w:rFonts w:ascii="Times New Roman" w:hAnsi="Times New Roman" w:cs="Times New Roman"/>
              </w:rPr>
            </w:pPr>
            <w:r>
              <w:rPr>
                <w:rFonts w:ascii="Times New Roman" w:hAnsi="Times New Roman" w:cs="Times New Roman"/>
              </w:rPr>
              <w:t>0.000</w:t>
            </w:r>
          </w:p>
        </w:tc>
        <w:tc>
          <w:tcPr>
            <w:tcW w:w="1915" w:type="dxa"/>
          </w:tcPr>
          <w:p w14:paraId="03A83F93">
            <w:pPr>
              <w:spacing w:after="0" w:line="240" w:lineRule="auto"/>
              <w:jc w:val="center"/>
              <w:rPr>
                <w:rFonts w:ascii="Times New Roman" w:hAnsi="Times New Roman" w:cs="Times New Roman"/>
              </w:rPr>
            </w:pPr>
            <w:r>
              <w:rPr>
                <w:rFonts w:ascii="Times New Roman" w:hAnsi="Times New Roman" w:cs="Times New Roman"/>
              </w:rPr>
              <w:t>1.1994</w:t>
            </w:r>
          </w:p>
        </w:tc>
        <w:tc>
          <w:tcPr>
            <w:tcW w:w="1916" w:type="dxa"/>
          </w:tcPr>
          <w:p w14:paraId="7A35BEDF">
            <w:pPr>
              <w:spacing w:after="0" w:line="240" w:lineRule="auto"/>
              <w:jc w:val="center"/>
              <w:rPr>
                <w:rFonts w:ascii="Times New Roman" w:hAnsi="Times New Roman" w:cs="Times New Roman"/>
              </w:rPr>
            </w:pPr>
            <w:r>
              <w:rPr>
                <w:rFonts w:ascii="Times New Roman" w:hAnsi="Times New Roman" w:cs="Times New Roman"/>
              </w:rPr>
              <w:t>0.000</w:t>
            </w:r>
          </w:p>
        </w:tc>
      </w:tr>
      <w:tr w14:paraId="3549DB3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7" w:type="dxa"/>
          </w:tcPr>
          <w:p w14:paraId="443A3192">
            <w:pPr>
              <w:spacing w:after="0" w:line="240" w:lineRule="auto"/>
              <w:jc w:val="center"/>
              <w:rPr>
                <w:rFonts w:ascii="Times New Roman" w:hAnsi="Times New Roman" w:cs="Times New Roman"/>
                <w:b/>
              </w:rPr>
            </w:pPr>
            <w:r>
              <w:rPr>
                <w:rFonts w:ascii="Times New Roman" w:hAnsi="Times New Roman" w:cs="Times New Roman"/>
                <w:b/>
              </w:rPr>
              <w:t>DNIM</w:t>
            </w:r>
          </w:p>
        </w:tc>
        <w:tc>
          <w:tcPr>
            <w:tcW w:w="1915" w:type="dxa"/>
          </w:tcPr>
          <w:p w14:paraId="76D4D4A1">
            <w:pPr>
              <w:spacing w:after="0" w:line="240" w:lineRule="auto"/>
              <w:jc w:val="center"/>
              <w:rPr>
                <w:rFonts w:ascii="Times New Roman" w:hAnsi="Times New Roman" w:cs="Times New Roman"/>
              </w:rPr>
            </w:pPr>
            <w:r>
              <w:rPr>
                <w:rFonts w:ascii="Times New Roman" w:hAnsi="Times New Roman" w:cs="Times New Roman"/>
              </w:rPr>
              <w:t>-0.06184</w:t>
            </w:r>
          </w:p>
        </w:tc>
        <w:tc>
          <w:tcPr>
            <w:tcW w:w="1915" w:type="dxa"/>
          </w:tcPr>
          <w:p w14:paraId="548A325B">
            <w:pPr>
              <w:spacing w:after="0" w:line="240" w:lineRule="auto"/>
              <w:jc w:val="center"/>
              <w:rPr>
                <w:rFonts w:ascii="Times New Roman" w:hAnsi="Times New Roman" w:cs="Times New Roman"/>
              </w:rPr>
            </w:pPr>
            <w:r>
              <w:rPr>
                <w:rFonts w:ascii="Times New Roman" w:hAnsi="Times New Roman" w:cs="Times New Roman"/>
              </w:rPr>
              <w:t>0.664</w:t>
            </w:r>
          </w:p>
        </w:tc>
        <w:tc>
          <w:tcPr>
            <w:tcW w:w="1915" w:type="dxa"/>
          </w:tcPr>
          <w:p w14:paraId="53444A4D">
            <w:pPr>
              <w:spacing w:after="0" w:line="240" w:lineRule="auto"/>
              <w:jc w:val="center"/>
              <w:rPr>
                <w:rFonts w:ascii="Times New Roman" w:hAnsi="Times New Roman" w:cs="Times New Roman"/>
              </w:rPr>
            </w:pPr>
            <w:r>
              <w:rPr>
                <w:rFonts w:ascii="Times New Roman" w:hAnsi="Times New Roman" w:cs="Times New Roman"/>
              </w:rPr>
              <w:t>-1.14971</w:t>
            </w:r>
          </w:p>
        </w:tc>
        <w:tc>
          <w:tcPr>
            <w:tcW w:w="1916" w:type="dxa"/>
          </w:tcPr>
          <w:p w14:paraId="3C8E1C8D">
            <w:pPr>
              <w:spacing w:after="0" w:line="240" w:lineRule="auto"/>
              <w:jc w:val="center"/>
              <w:rPr>
                <w:rFonts w:ascii="Times New Roman" w:hAnsi="Times New Roman" w:cs="Times New Roman"/>
              </w:rPr>
            </w:pPr>
            <w:r>
              <w:rPr>
                <w:rFonts w:ascii="Times New Roman" w:hAnsi="Times New Roman" w:cs="Times New Roman"/>
              </w:rPr>
              <w:t>0.000</w:t>
            </w:r>
          </w:p>
        </w:tc>
      </w:tr>
      <w:tr w14:paraId="1705EC3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7" w:type="dxa"/>
          </w:tcPr>
          <w:p w14:paraId="08D2386B">
            <w:pPr>
              <w:spacing w:after="0" w:line="240" w:lineRule="auto"/>
              <w:jc w:val="center"/>
              <w:rPr>
                <w:rFonts w:ascii="Times New Roman" w:hAnsi="Times New Roman" w:cs="Times New Roman"/>
                <w:b/>
              </w:rPr>
            </w:pPr>
            <w:r>
              <w:rPr>
                <w:rFonts w:ascii="Times New Roman" w:hAnsi="Times New Roman" w:cs="Times New Roman"/>
                <w:b/>
              </w:rPr>
              <w:t>OPP</w:t>
            </w:r>
          </w:p>
        </w:tc>
        <w:tc>
          <w:tcPr>
            <w:tcW w:w="1915" w:type="dxa"/>
          </w:tcPr>
          <w:p w14:paraId="6C37B79B">
            <w:pPr>
              <w:spacing w:after="0" w:line="240" w:lineRule="auto"/>
              <w:jc w:val="center"/>
              <w:rPr>
                <w:rFonts w:ascii="Times New Roman" w:hAnsi="Times New Roman" w:cs="Times New Roman"/>
              </w:rPr>
            </w:pPr>
            <w:r>
              <w:rPr>
                <w:rFonts w:ascii="Times New Roman" w:hAnsi="Times New Roman" w:cs="Times New Roman"/>
              </w:rPr>
              <w:t>0.165503</w:t>
            </w:r>
          </w:p>
        </w:tc>
        <w:tc>
          <w:tcPr>
            <w:tcW w:w="1915" w:type="dxa"/>
          </w:tcPr>
          <w:p w14:paraId="096A313F">
            <w:pPr>
              <w:spacing w:after="0" w:line="240" w:lineRule="auto"/>
              <w:jc w:val="center"/>
              <w:rPr>
                <w:rFonts w:ascii="Times New Roman" w:hAnsi="Times New Roman" w:cs="Times New Roman"/>
              </w:rPr>
            </w:pPr>
            <w:r>
              <w:rPr>
                <w:rFonts w:ascii="Times New Roman" w:hAnsi="Times New Roman" w:cs="Times New Roman"/>
              </w:rPr>
              <w:t>0.000</w:t>
            </w:r>
          </w:p>
        </w:tc>
        <w:tc>
          <w:tcPr>
            <w:tcW w:w="1915" w:type="dxa"/>
          </w:tcPr>
          <w:p w14:paraId="1A7D2D85">
            <w:pPr>
              <w:spacing w:after="0" w:line="240" w:lineRule="auto"/>
              <w:jc w:val="center"/>
              <w:rPr>
                <w:rFonts w:ascii="Times New Roman" w:hAnsi="Times New Roman" w:cs="Times New Roman"/>
              </w:rPr>
            </w:pPr>
            <w:r>
              <w:rPr>
                <w:rFonts w:ascii="Times New Roman" w:hAnsi="Times New Roman" w:cs="Times New Roman"/>
              </w:rPr>
              <w:t>0.148462</w:t>
            </w:r>
          </w:p>
        </w:tc>
        <w:tc>
          <w:tcPr>
            <w:tcW w:w="1916" w:type="dxa"/>
          </w:tcPr>
          <w:p w14:paraId="40F97348">
            <w:pPr>
              <w:spacing w:after="0" w:line="240" w:lineRule="auto"/>
              <w:jc w:val="center"/>
              <w:rPr>
                <w:rFonts w:ascii="Times New Roman" w:hAnsi="Times New Roman" w:cs="Times New Roman"/>
              </w:rPr>
            </w:pPr>
            <w:r>
              <w:rPr>
                <w:rFonts w:ascii="Times New Roman" w:hAnsi="Times New Roman" w:cs="Times New Roman"/>
              </w:rPr>
              <w:t>0.000</w:t>
            </w:r>
          </w:p>
        </w:tc>
      </w:tr>
      <w:tr w14:paraId="72CCC6E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7" w:type="dxa"/>
          </w:tcPr>
          <w:p w14:paraId="4281936D">
            <w:pPr>
              <w:spacing w:after="0" w:line="240" w:lineRule="auto"/>
              <w:jc w:val="center"/>
              <w:rPr>
                <w:rFonts w:ascii="Times New Roman" w:hAnsi="Times New Roman" w:cs="Times New Roman"/>
                <w:b/>
              </w:rPr>
            </w:pPr>
            <w:r>
              <w:rPr>
                <w:rFonts w:ascii="Times New Roman" w:hAnsi="Times New Roman" w:cs="Times New Roman"/>
                <w:b/>
              </w:rPr>
              <w:t>PRV</w:t>
            </w:r>
          </w:p>
        </w:tc>
        <w:tc>
          <w:tcPr>
            <w:tcW w:w="1915" w:type="dxa"/>
          </w:tcPr>
          <w:p w14:paraId="72C68284">
            <w:pPr>
              <w:spacing w:after="0" w:line="240" w:lineRule="auto"/>
              <w:jc w:val="center"/>
              <w:rPr>
                <w:rFonts w:ascii="Times New Roman" w:hAnsi="Times New Roman" w:cs="Times New Roman"/>
              </w:rPr>
            </w:pPr>
            <w:r>
              <w:rPr>
                <w:rFonts w:ascii="Times New Roman" w:hAnsi="Times New Roman" w:cs="Times New Roman"/>
              </w:rPr>
              <w:t>-1.79244</w:t>
            </w:r>
          </w:p>
        </w:tc>
        <w:tc>
          <w:tcPr>
            <w:tcW w:w="1915" w:type="dxa"/>
          </w:tcPr>
          <w:p w14:paraId="24C78536">
            <w:pPr>
              <w:spacing w:after="0" w:line="240" w:lineRule="auto"/>
              <w:jc w:val="center"/>
              <w:rPr>
                <w:rFonts w:ascii="Times New Roman" w:hAnsi="Times New Roman" w:cs="Times New Roman"/>
              </w:rPr>
            </w:pPr>
            <w:r>
              <w:rPr>
                <w:rFonts w:ascii="Times New Roman" w:hAnsi="Times New Roman" w:cs="Times New Roman"/>
              </w:rPr>
              <w:t>0.487</w:t>
            </w:r>
          </w:p>
        </w:tc>
        <w:tc>
          <w:tcPr>
            <w:tcW w:w="1915" w:type="dxa"/>
          </w:tcPr>
          <w:p w14:paraId="65C7742E">
            <w:pPr>
              <w:spacing w:after="0" w:line="240" w:lineRule="auto"/>
              <w:jc w:val="center"/>
              <w:rPr>
                <w:rFonts w:ascii="Times New Roman" w:hAnsi="Times New Roman" w:cs="Times New Roman"/>
              </w:rPr>
            </w:pPr>
            <w:r>
              <w:rPr>
                <w:rFonts w:ascii="Times New Roman" w:hAnsi="Times New Roman" w:cs="Times New Roman"/>
              </w:rPr>
              <w:t>-2.83439</w:t>
            </w:r>
          </w:p>
        </w:tc>
        <w:tc>
          <w:tcPr>
            <w:tcW w:w="1916" w:type="dxa"/>
          </w:tcPr>
          <w:p w14:paraId="719575D9">
            <w:pPr>
              <w:spacing w:after="0" w:line="240" w:lineRule="auto"/>
              <w:jc w:val="center"/>
              <w:rPr>
                <w:rFonts w:ascii="Times New Roman" w:hAnsi="Times New Roman" w:cs="Times New Roman"/>
              </w:rPr>
            </w:pPr>
            <w:r>
              <w:rPr>
                <w:rFonts w:ascii="Times New Roman" w:hAnsi="Times New Roman" w:cs="Times New Roman"/>
              </w:rPr>
              <w:t>0.075</w:t>
            </w:r>
          </w:p>
        </w:tc>
      </w:tr>
      <w:tr w14:paraId="7BCEA7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7" w:type="dxa"/>
          </w:tcPr>
          <w:p w14:paraId="5B174366">
            <w:pPr>
              <w:spacing w:after="0" w:line="240" w:lineRule="auto"/>
              <w:jc w:val="center"/>
              <w:rPr>
                <w:rFonts w:ascii="Times New Roman" w:hAnsi="Times New Roman" w:cs="Times New Roman"/>
                <w:b/>
              </w:rPr>
            </w:pPr>
            <w:r>
              <w:rPr>
                <w:rFonts w:ascii="Times New Roman" w:hAnsi="Times New Roman" w:cs="Times New Roman"/>
                <w:b/>
              </w:rPr>
              <w:t>DPRV</w:t>
            </w:r>
          </w:p>
        </w:tc>
        <w:tc>
          <w:tcPr>
            <w:tcW w:w="1915" w:type="dxa"/>
          </w:tcPr>
          <w:p w14:paraId="046BA95D">
            <w:pPr>
              <w:spacing w:after="0" w:line="240" w:lineRule="auto"/>
              <w:jc w:val="center"/>
              <w:rPr>
                <w:rFonts w:ascii="Times New Roman" w:hAnsi="Times New Roman" w:cs="Times New Roman"/>
              </w:rPr>
            </w:pPr>
            <w:r>
              <w:rPr>
                <w:rFonts w:ascii="Times New Roman" w:hAnsi="Times New Roman" w:cs="Times New Roman"/>
              </w:rPr>
              <w:t>7.18791</w:t>
            </w:r>
          </w:p>
        </w:tc>
        <w:tc>
          <w:tcPr>
            <w:tcW w:w="1915" w:type="dxa"/>
          </w:tcPr>
          <w:p w14:paraId="28E4EE82">
            <w:pPr>
              <w:spacing w:after="0" w:line="240" w:lineRule="auto"/>
              <w:jc w:val="center"/>
              <w:rPr>
                <w:rFonts w:ascii="Times New Roman" w:hAnsi="Times New Roman" w:cs="Times New Roman"/>
              </w:rPr>
            </w:pPr>
            <w:r>
              <w:rPr>
                <w:rFonts w:ascii="Times New Roman" w:hAnsi="Times New Roman" w:cs="Times New Roman"/>
              </w:rPr>
              <w:t>0.27</w:t>
            </w:r>
          </w:p>
        </w:tc>
        <w:tc>
          <w:tcPr>
            <w:tcW w:w="1915" w:type="dxa"/>
          </w:tcPr>
          <w:p w14:paraId="7E71EEAE">
            <w:pPr>
              <w:spacing w:after="0" w:line="240" w:lineRule="auto"/>
              <w:jc w:val="center"/>
              <w:rPr>
                <w:rFonts w:ascii="Times New Roman" w:hAnsi="Times New Roman" w:cs="Times New Roman"/>
              </w:rPr>
            </w:pPr>
            <w:r>
              <w:rPr>
                <w:rFonts w:ascii="Times New Roman" w:hAnsi="Times New Roman" w:cs="Times New Roman"/>
              </w:rPr>
              <w:t>1.90029</w:t>
            </w:r>
          </w:p>
        </w:tc>
        <w:tc>
          <w:tcPr>
            <w:tcW w:w="1916" w:type="dxa"/>
          </w:tcPr>
          <w:p w14:paraId="02AB4F70">
            <w:pPr>
              <w:spacing w:after="0" w:line="240" w:lineRule="auto"/>
              <w:jc w:val="center"/>
              <w:rPr>
                <w:rFonts w:ascii="Times New Roman" w:hAnsi="Times New Roman" w:cs="Times New Roman"/>
              </w:rPr>
            </w:pPr>
            <w:r>
              <w:rPr>
                <w:rFonts w:ascii="Times New Roman" w:hAnsi="Times New Roman" w:cs="Times New Roman"/>
              </w:rPr>
              <w:t>0.596</w:t>
            </w:r>
          </w:p>
        </w:tc>
      </w:tr>
      <w:tr w14:paraId="36B7F18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7" w:type="dxa"/>
          </w:tcPr>
          <w:p w14:paraId="47179777">
            <w:pPr>
              <w:spacing w:after="0" w:line="240" w:lineRule="auto"/>
              <w:jc w:val="center"/>
              <w:rPr>
                <w:rFonts w:ascii="Times New Roman" w:hAnsi="Times New Roman" w:cs="Times New Roman"/>
                <w:b/>
              </w:rPr>
            </w:pPr>
            <w:r>
              <w:rPr>
                <w:rFonts w:ascii="Times New Roman" w:hAnsi="Times New Roman" w:cs="Times New Roman"/>
                <w:b/>
              </w:rPr>
              <w:t>DEP</w:t>
            </w:r>
          </w:p>
        </w:tc>
        <w:tc>
          <w:tcPr>
            <w:tcW w:w="1915" w:type="dxa"/>
          </w:tcPr>
          <w:p w14:paraId="3AE8C3E1">
            <w:pPr>
              <w:spacing w:after="0" w:line="240" w:lineRule="auto"/>
              <w:jc w:val="center"/>
              <w:rPr>
                <w:rFonts w:ascii="Times New Roman" w:hAnsi="Times New Roman" w:cs="Times New Roman"/>
              </w:rPr>
            </w:pPr>
            <w:r>
              <w:rPr>
                <w:rFonts w:ascii="Times New Roman" w:hAnsi="Times New Roman" w:cs="Times New Roman"/>
              </w:rPr>
              <w:t>0.337694</w:t>
            </w:r>
          </w:p>
        </w:tc>
        <w:tc>
          <w:tcPr>
            <w:tcW w:w="1915" w:type="dxa"/>
          </w:tcPr>
          <w:p w14:paraId="2C2C1336">
            <w:pPr>
              <w:spacing w:after="0" w:line="240" w:lineRule="auto"/>
              <w:jc w:val="center"/>
              <w:rPr>
                <w:rFonts w:ascii="Times New Roman" w:hAnsi="Times New Roman" w:cs="Times New Roman"/>
              </w:rPr>
            </w:pPr>
            <w:r>
              <w:rPr>
                <w:rFonts w:ascii="Times New Roman" w:hAnsi="Times New Roman" w:cs="Times New Roman"/>
              </w:rPr>
              <w:t>0.043</w:t>
            </w:r>
          </w:p>
        </w:tc>
        <w:tc>
          <w:tcPr>
            <w:tcW w:w="1915" w:type="dxa"/>
          </w:tcPr>
          <w:p w14:paraId="5844241E">
            <w:pPr>
              <w:spacing w:after="0" w:line="240" w:lineRule="auto"/>
              <w:jc w:val="center"/>
              <w:rPr>
                <w:rFonts w:ascii="Times New Roman" w:hAnsi="Times New Roman" w:cs="Times New Roman"/>
              </w:rPr>
            </w:pPr>
            <w:r>
              <w:rPr>
                <w:rFonts w:ascii="Times New Roman" w:hAnsi="Times New Roman" w:cs="Times New Roman"/>
              </w:rPr>
              <w:t>0.025024</w:t>
            </w:r>
          </w:p>
        </w:tc>
        <w:tc>
          <w:tcPr>
            <w:tcW w:w="1916" w:type="dxa"/>
          </w:tcPr>
          <w:p w14:paraId="2F902B1C">
            <w:pPr>
              <w:spacing w:after="0" w:line="240" w:lineRule="auto"/>
              <w:jc w:val="center"/>
              <w:rPr>
                <w:rFonts w:ascii="Times New Roman" w:hAnsi="Times New Roman" w:cs="Times New Roman"/>
              </w:rPr>
            </w:pPr>
            <w:r>
              <w:rPr>
                <w:rFonts w:ascii="Times New Roman" w:hAnsi="Times New Roman" w:cs="Times New Roman"/>
              </w:rPr>
              <w:t>0.892</w:t>
            </w:r>
          </w:p>
        </w:tc>
      </w:tr>
      <w:tr w14:paraId="582044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7" w:type="dxa"/>
          </w:tcPr>
          <w:p w14:paraId="7B9C8014">
            <w:pPr>
              <w:spacing w:after="0" w:line="240" w:lineRule="auto"/>
              <w:jc w:val="center"/>
              <w:rPr>
                <w:rFonts w:ascii="Times New Roman" w:hAnsi="Times New Roman" w:cs="Times New Roman"/>
                <w:b/>
              </w:rPr>
            </w:pPr>
            <w:r>
              <w:rPr>
                <w:rFonts w:ascii="Times New Roman" w:hAnsi="Times New Roman" w:cs="Times New Roman"/>
                <w:b/>
              </w:rPr>
              <w:t>EQR</w:t>
            </w:r>
          </w:p>
        </w:tc>
        <w:tc>
          <w:tcPr>
            <w:tcW w:w="1915" w:type="dxa"/>
          </w:tcPr>
          <w:p w14:paraId="261976E3">
            <w:pPr>
              <w:spacing w:after="0" w:line="240" w:lineRule="auto"/>
              <w:jc w:val="center"/>
              <w:rPr>
                <w:rFonts w:ascii="Times New Roman" w:hAnsi="Times New Roman" w:cs="Times New Roman"/>
              </w:rPr>
            </w:pPr>
            <w:r>
              <w:rPr>
                <w:rFonts w:ascii="Times New Roman" w:hAnsi="Times New Roman" w:cs="Times New Roman"/>
              </w:rPr>
              <w:t>-1.82592</w:t>
            </w:r>
          </w:p>
        </w:tc>
        <w:tc>
          <w:tcPr>
            <w:tcW w:w="1915" w:type="dxa"/>
          </w:tcPr>
          <w:p w14:paraId="2EA19DE3">
            <w:pPr>
              <w:spacing w:after="0" w:line="240" w:lineRule="auto"/>
              <w:jc w:val="center"/>
              <w:rPr>
                <w:rFonts w:ascii="Times New Roman" w:hAnsi="Times New Roman" w:cs="Times New Roman"/>
              </w:rPr>
            </w:pPr>
            <w:r>
              <w:rPr>
                <w:rFonts w:ascii="Times New Roman" w:hAnsi="Times New Roman" w:cs="Times New Roman"/>
              </w:rPr>
              <w:t>0.000</w:t>
            </w:r>
          </w:p>
        </w:tc>
        <w:tc>
          <w:tcPr>
            <w:tcW w:w="1915" w:type="dxa"/>
          </w:tcPr>
          <w:p w14:paraId="4864D9B2">
            <w:pPr>
              <w:spacing w:after="0" w:line="240" w:lineRule="auto"/>
              <w:jc w:val="center"/>
              <w:rPr>
                <w:rFonts w:ascii="Times New Roman" w:hAnsi="Times New Roman" w:cs="Times New Roman"/>
              </w:rPr>
            </w:pPr>
            <w:r>
              <w:rPr>
                <w:rFonts w:ascii="Times New Roman" w:hAnsi="Times New Roman" w:cs="Times New Roman"/>
              </w:rPr>
              <w:t>-0.40976</w:t>
            </w:r>
          </w:p>
        </w:tc>
        <w:tc>
          <w:tcPr>
            <w:tcW w:w="1916" w:type="dxa"/>
          </w:tcPr>
          <w:p w14:paraId="611AD074">
            <w:pPr>
              <w:spacing w:after="0" w:line="240" w:lineRule="auto"/>
              <w:jc w:val="center"/>
              <w:rPr>
                <w:rFonts w:ascii="Times New Roman" w:hAnsi="Times New Roman" w:cs="Times New Roman"/>
              </w:rPr>
            </w:pPr>
            <w:r>
              <w:rPr>
                <w:rFonts w:ascii="Times New Roman" w:hAnsi="Times New Roman" w:cs="Times New Roman"/>
              </w:rPr>
              <w:t>0.218</w:t>
            </w:r>
          </w:p>
        </w:tc>
      </w:tr>
      <w:tr w14:paraId="0C2AD6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7" w:type="dxa"/>
          </w:tcPr>
          <w:p w14:paraId="3D218758">
            <w:pPr>
              <w:spacing w:after="0" w:line="240" w:lineRule="auto"/>
              <w:jc w:val="center"/>
              <w:rPr>
                <w:rFonts w:ascii="Times New Roman" w:hAnsi="Times New Roman" w:cs="Times New Roman"/>
                <w:b/>
              </w:rPr>
            </w:pPr>
            <w:r>
              <w:rPr>
                <w:rFonts w:ascii="Times New Roman" w:hAnsi="Times New Roman" w:cs="Times New Roman"/>
                <w:b/>
              </w:rPr>
              <w:t>DEQR</w:t>
            </w:r>
          </w:p>
        </w:tc>
        <w:tc>
          <w:tcPr>
            <w:tcW w:w="1915" w:type="dxa"/>
          </w:tcPr>
          <w:p w14:paraId="61545A69">
            <w:pPr>
              <w:spacing w:after="0" w:line="240" w:lineRule="auto"/>
              <w:jc w:val="center"/>
              <w:rPr>
                <w:rFonts w:ascii="Times New Roman" w:hAnsi="Times New Roman" w:cs="Times New Roman"/>
              </w:rPr>
            </w:pPr>
            <w:r>
              <w:rPr>
                <w:rFonts w:ascii="Times New Roman" w:hAnsi="Times New Roman" w:cs="Times New Roman"/>
              </w:rPr>
              <w:t>1.46221</w:t>
            </w:r>
          </w:p>
        </w:tc>
        <w:tc>
          <w:tcPr>
            <w:tcW w:w="1915" w:type="dxa"/>
          </w:tcPr>
          <w:p w14:paraId="23A2E919">
            <w:pPr>
              <w:spacing w:after="0" w:line="240" w:lineRule="auto"/>
              <w:jc w:val="center"/>
              <w:rPr>
                <w:rFonts w:ascii="Times New Roman" w:hAnsi="Times New Roman" w:cs="Times New Roman"/>
              </w:rPr>
            </w:pPr>
            <w:r>
              <w:rPr>
                <w:rFonts w:ascii="Times New Roman" w:hAnsi="Times New Roman" w:cs="Times New Roman"/>
              </w:rPr>
              <w:t>0.000</w:t>
            </w:r>
          </w:p>
        </w:tc>
        <w:tc>
          <w:tcPr>
            <w:tcW w:w="1915" w:type="dxa"/>
          </w:tcPr>
          <w:p w14:paraId="07093B4C">
            <w:pPr>
              <w:spacing w:after="0" w:line="240" w:lineRule="auto"/>
              <w:jc w:val="center"/>
              <w:rPr>
                <w:rFonts w:ascii="Times New Roman" w:hAnsi="Times New Roman" w:cs="Times New Roman"/>
              </w:rPr>
            </w:pPr>
            <w:r>
              <w:rPr>
                <w:rFonts w:ascii="Times New Roman" w:hAnsi="Times New Roman" w:cs="Times New Roman"/>
              </w:rPr>
              <w:t>-.24156</w:t>
            </w:r>
          </w:p>
        </w:tc>
        <w:tc>
          <w:tcPr>
            <w:tcW w:w="1916" w:type="dxa"/>
          </w:tcPr>
          <w:p w14:paraId="2B07FCC9">
            <w:pPr>
              <w:spacing w:after="0" w:line="240" w:lineRule="auto"/>
              <w:jc w:val="center"/>
              <w:rPr>
                <w:rFonts w:ascii="Times New Roman" w:hAnsi="Times New Roman" w:cs="Times New Roman"/>
              </w:rPr>
            </w:pPr>
            <w:r>
              <w:rPr>
                <w:rFonts w:ascii="Times New Roman" w:hAnsi="Times New Roman" w:cs="Times New Roman"/>
              </w:rPr>
              <w:t>0.607</w:t>
            </w:r>
          </w:p>
        </w:tc>
      </w:tr>
      <w:tr w14:paraId="1DCF461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7" w:type="dxa"/>
          </w:tcPr>
          <w:p w14:paraId="23C45B38">
            <w:pPr>
              <w:spacing w:after="0" w:line="240" w:lineRule="auto"/>
              <w:jc w:val="center"/>
              <w:rPr>
                <w:rFonts w:ascii="Times New Roman" w:hAnsi="Times New Roman" w:cs="Times New Roman"/>
                <w:b/>
              </w:rPr>
            </w:pPr>
            <w:r>
              <w:rPr>
                <w:rFonts w:ascii="Times New Roman" w:hAnsi="Times New Roman" w:cs="Times New Roman"/>
                <w:b/>
                <w:sz w:val="23"/>
                <w:szCs w:val="23"/>
              </w:rPr>
              <w:t>α</w:t>
            </w:r>
          </w:p>
        </w:tc>
        <w:tc>
          <w:tcPr>
            <w:tcW w:w="1915" w:type="dxa"/>
          </w:tcPr>
          <w:p w14:paraId="47EF123B">
            <w:pPr>
              <w:spacing w:after="0" w:line="240" w:lineRule="auto"/>
              <w:jc w:val="center"/>
              <w:rPr>
                <w:rFonts w:ascii="Times New Roman" w:hAnsi="Times New Roman" w:cs="Times New Roman"/>
              </w:rPr>
            </w:pPr>
            <w:r>
              <w:rPr>
                <w:rFonts w:ascii="Times New Roman" w:hAnsi="Times New Roman" w:cs="Times New Roman"/>
              </w:rPr>
              <w:t>3.53E-03</w:t>
            </w:r>
          </w:p>
        </w:tc>
        <w:tc>
          <w:tcPr>
            <w:tcW w:w="1915" w:type="dxa"/>
          </w:tcPr>
          <w:p w14:paraId="62F8561E">
            <w:pPr>
              <w:spacing w:after="0" w:line="240" w:lineRule="auto"/>
              <w:jc w:val="center"/>
              <w:rPr>
                <w:rFonts w:ascii="Times New Roman" w:hAnsi="Times New Roman" w:cs="Times New Roman"/>
              </w:rPr>
            </w:pPr>
            <w:r>
              <w:rPr>
                <w:rFonts w:ascii="Times New Roman" w:hAnsi="Times New Roman" w:cs="Times New Roman"/>
              </w:rPr>
              <w:t>0.982</w:t>
            </w:r>
          </w:p>
        </w:tc>
        <w:tc>
          <w:tcPr>
            <w:tcW w:w="1915" w:type="dxa"/>
          </w:tcPr>
          <w:p w14:paraId="64A88DCD">
            <w:pPr>
              <w:spacing w:after="0" w:line="240" w:lineRule="auto"/>
              <w:jc w:val="center"/>
              <w:rPr>
                <w:rFonts w:ascii="Times New Roman" w:hAnsi="Times New Roman" w:cs="Times New Roman"/>
              </w:rPr>
            </w:pPr>
            <w:r>
              <w:rPr>
                <w:rFonts w:ascii="Times New Roman" w:hAnsi="Times New Roman" w:cs="Times New Roman"/>
              </w:rPr>
              <w:t>0.000</w:t>
            </w:r>
          </w:p>
        </w:tc>
        <w:tc>
          <w:tcPr>
            <w:tcW w:w="1916" w:type="dxa"/>
          </w:tcPr>
          <w:p w14:paraId="272BAD80">
            <w:pPr>
              <w:keepNext/>
              <w:spacing w:after="0" w:line="240" w:lineRule="auto"/>
              <w:jc w:val="center"/>
              <w:rPr>
                <w:rFonts w:ascii="Times New Roman" w:hAnsi="Times New Roman" w:cs="Times New Roman"/>
              </w:rPr>
            </w:pPr>
            <w:r>
              <w:rPr>
                <w:rFonts w:ascii="Times New Roman" w:hAnsi="Times New Roman" w:cs="Times New Roman"/>
              </w:rPr>
              <w:t>0.000</w:t>
            </w:r>
          </w:p>
        </w:tc>
      </w:tr>
    </w:tbl>
    <w:p w14:paraId="4A622D19">
      <w:pPr>
        <w:pStyle w:val="11"/>
        <w:rPr>
          <w:rFonts w:cs="Times New Roman"/>
        </w:rPr>
      </w:pPr>
      <w:bookmarkStart w:id="72" w:name="_Toc223265094"/>
      <w:bookmarkStart w:id="73" w:name="_Toc223263772"/>
      <w:bookmarkStart w:id="74" w:name="_Toc223265612"/>
      <w:bookmarkStart w:id="75" w:name="_Toc223267048"/>
      <w:r>
        <w:rPr>
          <w:rFonts w:cs="Times New Roman"/>
        </w:rPr>
        <w:t xml:space="preserve">Table </w:t>
      </w:r>
      <w:r>
        <w:rPr>
          <w:rFonts w:cs="Times New Roman"/>
        </w:rPr>
        <w:fldChar w:fldCharType="begin"/>
      </w:r>
      <w:r>
        <w:rPr>
          <w:rFonts w:cs="Times New Roman"/>
        </w:rPr>
        <w:instrText xml:space="preserve"> SEQ Table \* ARABIC </w:instrText>
      </w:r>
      <w:r>
        <w:rPr>
          <w:rFonts w:cs="Times New Roman"/>
        </w:rPr>
        <w:fldChar w:fldCharType="separate"/>
      </w:r>
      <w:r>
        <w:rPr>
          <w:rFonts w:cs="Times New Roman"/>
        </w:rPr>
        <w:t>3</w:t>
      </w:r>
      <w:r>
        <w:rPr>
          <w:rFonts w:cs="Times New Roman"/>
        </w:rPr>
        <w:fldChar w:fldCharType="end"/>
      </w:r>
      <w:r>
        <w:rPr>
          <w:rFonts w:cs="Times New Roman"/>
        </w:rPr>
        <w:t>: Significance of coefficients after compounding Dummy variable</w:t>
      </w:r>
      <w:bookmarkEnd w:id="72"/>
      <w:bookmarkEnd w:id="73"/>
      <w:bookmarkEnd w:id="74"/>
      <w:bookmarkEnd w:id="75"/>
    </w:p>
    <w:p w14:paraId="56BBCA52">
      <w:pPr>
        <w:pStyle w:val="16"/>
        <w:jc w:val="both"/>
      </w:pPr>
      <w:r>
        <w:t>The dependent variable remains Net Interest Income (NII). The regression results obtained from both the Plain OLS and Fixed Effects models after incorporating the interaction terms are presented in Table 2.</w:t>
      </w:r>
    </w:p>
    <w:p w14:paraId="27E492BE">
      <w:pPr>
        <w:pStyle w:val="16"/>
        <w:jc w:val="both"/>
      </w:pPr>
      <w:r>
        <w:t>To examine how Islamic banks differ from Conventional banks in terms of performance, the dummy variable was compounded with three selected independent variables. Based on this extended specification, the following regression equations can be derived:</w:t>
      </w:r>
    </w:p>
    <w:p w14:paraId="38DCC556">
      <w:pPr>
        <w:pStyle w:val="4"/>
        <w:jc w:val="both"/>
        <w:rPr>
          <w:rFonts w:ascii="Times New Roman" w:hAnsi="Times New Roman" w:cs="Times New Roman"/>
        </w:rPr>
      </w:pPr>
      <w:bookmarkStart w:id="76" w:name="_Toc223040500"/>
      <w:bookmarkStart w:id="77" w:name="_Toc223264663"/>
      <w:r>
        <w:rPr>
          <w:rFonts w:ascii="Times New Roman" w:hAnsi="Times New Roman" w:cs="Times New Roman"/>
        </w:rPr>
        <w:t>Plain OLS with Interaction Terms:</w:t>
      </w:r>
      <w:bookmarkEnd w:id="76"/>
      <w:bookmarkEnd w:id="77"/>
    </w:p>
    <w:p w14:paraId="54AABCAF">
      <w:pPr>
        <w:jc w:val="both"/>
        <w:rPr>
          <w:rFonts w:ascii="Times New Roman" w:hAnsi="Times New Roman" w:cs="Times New Roman"/>
        </w:rPr>
      </w:pPr>
      <w:r>
        <w:rPr>
          <w:rFonts w:ascii="Times New Roman" w:hAnsi="Times New Roman" w:cs="Times New Roman"/>
        </w:rPr>
        <w:t>NII= (0.971446*NIM) – (0.06184*DNIM) + (0.165503*OPP) – (1.79244*PRV) + (7.18791*DPRV) + (0.337694*DEP) – (1.82592*EQR) + (1.46221*DEQR)</w:t>
      </w:r>
    </w:p>
    <w:p w14:paraId="57386AD1">
      <w:pPr>
        <w:pStyle w:val="16"/>
        <w:jc w:val="both"/>
      </w:pPr>
      <w:r>
        <w:rPr>
          <w:rStyle w:val="12"/>
          <w:rFonts w:eastAsiaTheme="majorEastAsia"/>
        </w:rPr>
        <w:t xml:space="preserve"> (The constant term was excluded due to insignificance.)</w:t>
      </w:r>
    </w:p>
    <w:p w14:paraId="5205F57E">
      <w:pPr>
        <w:pStyle w:val="4"/>
        <w:jc w:val="both"/>
        <w:rPr>
          <w:rFonts w:ascii="Times New Roman" w:hAnsi="Times New Roman" w:cs="Times New Roman"/>
        </w:rPr>
      </w:pPr>
      <w:bookmarkStart w:id="78" w:name="_Toc223040501"/>
      <w:bookmarkStart w:id="79" w:name="_Toc223264664"/>
      <w:r>
        <w:rPr>
          <w:rFonts w:ascii="Times New Roman" w:hAnsi="Times New Roman" w:cs="Times New Roman"/>
        </w:rPr>
        <w:t>Fixed Effects with Interaction Terms:</w:t>
      </w:r>
      <w:bookmarkEnd w:id="78"/>
      <w:bookmarkEnd w:id="79"/>
    </w:p>
    <w:p w14:paraId="137538C6">
      <w:pPr>
        <w:jc w:val="both"/>
        <w:rPr>
          <w:rFonts w:ascii="Times New Roman" w:hAnsi="Times New Roman" w:cs="Times New Roman"/>
        </w:rPr>
      </w:pPr>
      <w:r>
        <w:rPr>
          <w:rFonts w:ascii="Times New Roman" w:hAnsi="Times New Roman" w:cs="Times New Roman"/>
        </w:rPr>
        <w:t>NII= (1.1994*NIM) – (1.14971*DNIM) + (0.148462*OPP) – (2.83439*PRV) + (1.90029*DPRV) + (0.025024*DEP) – (0.40976*EQR) – (0.24156*DEQR)</w:t>
      </w:r>
    </w:p>
    <w:p w14:paraId="67496A9B">
      <w:pPr>
        <w:jc w:val="both"/>
        <w:rPr>
          <w:rFonts w:ascii="Times New Roman" w:hAnsi="Times New Roman" w:cs="Times New Roman"/>
        </w:rPr>
      </w:pPr>
      <w:r>
        <w:rPr>
          <w:rFonts w:ascii="Times New Roman" w:hAnsi="Times New Roman" w:cs="Times New Roman"/>
        </w:rPr>
        <w:t>The table below shows a summarized version of net coefficient values for Islamic banks.</w:t>
      </w:r>
    </w:p>
    <w:tbl>
      <w:tblPr>
        <w:tblStyle w:val="19"/>
        <w:tblW w:w="0" w:type="auto"/>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084"/>
        <w:gridCol w:w="3192"/>
        <w:gridCol w:w="3084"/>
      </w:tblGrid>
      <w:tr w14:paraId="370358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84" w:type="dxa"/>
          </w:tcPr>
          <w:p w14:paraId="1B5ED435">
            <w:pPr>
              <w:spacing w:after="0" w:line="240" w:lineRule="auto"/>
              <w:jc w:val="center"/>
              <w:rPr>
                <w:rFonts w:ascii="Times New Roman" w:hAnsi="Times New Roman" w:cs="Times New Roman"/>
              </w:rPr>
            </w:pPr>
          </w:p>
        </w:tc>
        <w:tc>
          <w:tcPr>
            <w:tcW w:w="3192" w:type="dxa"/>
          </w:tcPr>
          <w:p w14:paraId="66C50CF9">
            <w:pPr>
              <w:spacing w:after="0" w:line="240" w:lineRule="auto"/>
              <w:jc w:val="center"/>
              <w:rPr>
                <w:rFonts w:ascii="Times New Roman" w:hAnsi="Times New Roman" w:cs="Times New Roman"/>
              </w:rPr>
            </w:pPr>
            <w:r>
              <w:rPr>
                <w:rFonts w:ascii="Times New Roman" w:hAnsi="Times New Roman" w:cs="Times New Roman"/>
              </w:rPr>
              <w:t>Plain OLS</w:t>
            </w:r>
          </w:p>
        </w:tc>
        <w:tc>
          <w:tcPr>
            <w:tcW w:w="3084" w:type="dxa"/>
          </w:tcPr>
          <w:p w14:paraId="2881E510">
            <w:pPr>
              <w:spacing w:after="0" w:line="240" w:lineRule="auto"/>
              <w:jc w:val="center"/>
              <w:rPr>
                <w:rFonts w:ascii="Times New Roman" w:hAnsi="Times New Roman" w:cs="Times New Roman"/>
              </w:rPr>
            </w:pPr>
            <w:r>
              <w:rPr>
                <w:rFonts w:ascii="Times New Roman" w:hAnsi="Times New Roman" w:cs="Times New Roman"/>
              </w:rPr>
              <w:t>Fixed Effects</w:t>
            </w:r>
          </w:p>
        </w:tc>
      </w:tr>
      <w:tr w14:paraId="671B772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84" w:type="dxa"/>
          </w:tcPr>
          <w:p w14:paraId="1F41AAD1">
            <w:pPr>
              <w:spacing w:after="0" w:line="240" w:lineRule="auto"/>
              <w:jc w:val="center"/>
              <w:rPr>
                <w:rFonts w:ascii="Times New Roman" w:hAnsi="Times New Roman" w:cs="Times New Roman"/>
              </w:rPr>
            </w:pPr>
            <w:r>
              <w:rPr>
                <w:rFonts w:ascii="Times New Roman" w:hAnsi="Times New Roman" w:cs="Times New Roman"/>
              </w:rPr>
              <w:t>NIM</w:t>
            </w:r>
          </w:p>
        </w:tc>
        <w:tc>
          <w:tcPr>
            <w:tcW w:w="3192" w:type="dxa"/>
          </w:tcPr>
          <w:p w14:paraId="0E90353E">
            <w:pPr>
              <w:spacing w:after="0" w:line="240" w:lineRule="auto"/>
              <w:jc w:val="center"/>
              <w:rPr>
                <w:rFonts w:ascii="Times New Roman" w:hAnsi="Times New Roman" w:cs="Times New Roman"/>
              </w:rPr>
            </w:pPr>
            <w:r>
              <w:rPr>
                <w:rFonts w:ascii="Times New Roman" w:hAnsi="Times New Roman" w:cs="Times New Roman"/>
              </w:rPr>
              <w:t>0.909606</w:t>
            </w:r>
          </w:p>
        </w:tc>
        <w:tc>
          <w:tcPr>
            <w:tcW w:w="3084" w:type="dxa"/>
          </w:tcPr>
          <w:p w14:paraId="10911A2A">
            <w:pPr>
              <w:spacing w:after="0" w:line="240" w:lineRule="auto"/>
              <w:jc w:val="center"/>
              <w:rPr>
                <w:rFonts w:ascii="Times New Roman" w:hAnsi="Times New Roman" w:cs="Times New Roman"/>
              </w:rPr>
            </w:pPr>
            <w:r>
              <w:rPr>
                <w:rFonts w:ascii="Times New Roman" w:hAnsi="Times New Roman" w:cs="Times New Roman"/>
              </w:rPr>
              <w:t>0.04969</w:t>
            </w:r>
          </w:p>
        </w:tc>
      </w:tr>
      <w:tr w14:paraId="211F63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84" w:type="dxa"/>
          </w:tcPr>
          <w:p w14:paraId="2D8C5513">
            <w:pPr>
              <w:spacing w:after="0" w:line="240" w:lineRule="auto"/>
              <w:jc w:val="center"/>
              <w:rPr>
                <w:rFonts w:ascii="Times New Roman" w:hAnsi="Times New Roman" w:cs="Times New Roman"/>
              </w:rPr>
            </w:pPr>
            <w:r>
              <w:rPr>
                <w:rFonts w:ascii="Times New Roman" w:hAnsi="Times New Roman" w:cs="Times New Roman"/>
              </w:rPr>
              <w:t>OPP</w:t>
            </w:r>
          </w:p>
        </w:tc>
        <w:tc>
          <w:tcPr>
            <w:tcW w:w="3192" w:type="dxa"/>
          </w:tcPr>
          <w:p w14:paraId="119D5C3D">
            <w:pPr>
              <w:spacing w:after="0" w:line="240" w:lineRule="auto"/>
              <w:jc w:val="center"/>
              <w:rPr>
                <w:rFonts w:ascii="Times New Roman" w:hAnsi="Times New Roman" w:cs="Times New Roman"/>
              </w:rPr>
            </w:pPr>
            <w:r>
              <w:rPr>
                <w:rFonts w:ascii="Times New Roman" w:hAnsi="Times New Roman" w:cs="Times New Roman"/>
              </w:rPr>
              <w:t>0.165503</w:t>
            </w:r>
          </w:p>
        </w:tc>
        <w:tc>
          <w:tcPr>
            <w:tcW w:w="3084" w:type="dxa"/>
          </w:tcPr>
          <w:p w14:paraId="346E5DBE">
            <w:pPr>
              <w:spacing w:after="0" w:line="240" w:lineRule="auto"/>
              <w:jc w:val="center"/>
              <w:rPr>
                <w:rFonts w:ascii="Times New Roman" w:hAnsi="Times New Roman" w:cs="Times New Roman"/>
              </w:rPr>
            </w:pPr>
            <w:r>
              <w:rPr>
                <w:rFonts w:ascii="Times New Roman" w:hAnsi="Times New Roman" w:cs="Times New Roman"/>
              </w:rPr>
              <w:t>0.148462</w:t>
            </w:r>
          </w:p>
        </w:tc>
      </w:tr>
      <w:tr w14:paraId="587023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84" w:type="dxa"/>
          </w:tcPr>
          <w:p w14:paraId="76189B3D">
            <w:pPr>
              <w:spacing w:after="0" w:line="240" w:lineRule="auto"/>
              <w:jc w:val="center"/>
              <w:rPr>
                <w:rFonts w:ascii="Times New Roman" w:hAnsi="Times New Roman" w:cs="Times New Roman"/>
              </w:rPr>
            </w:pPr>
            <w:r>
              <w:rPr>
                <w:rFonts w:ascii="Times New Roman" w:hAnsi="Times New Roman" w:cs="Times New Roman"/>
              </w:rPr>
              <w:t>PRV</w:t>
            </w:r>
          </w:p>
        </w:tc>
        <w:tc>
          <w:tcPr>
            <w:tcW w:w="3192" w:type="dxa"/>
          </w:tcPr>
          <w:p w14:paraId="289519E3">
            <w:pPr>
              <w:spacing w:after="0" w:line="240" w:lineRule="auto"/>
              <w:jc w:val="center"/>
              <w:rPr>
                <w:rFonts w:ascii="Times New Roman" w:hAnsi="Times New Roman" w:cs="Times New Roman"/>
              </w:rPr>
            </w:pPr>
            <w:r>
              <w:rPr>
                <w:rFonts w:ascii="Times New Roman" w:hAnsi="Times New Roman" w:cs="Times New Roman"/>
              </w:rPr>
              <w:t>5.39547</w:t>
            </w:r>
          </w:p>
        </w:tc>
        <w:tc>
          <w:tcPr>
            <w:tcW w:w="3084" w:type="dxa"/>
          </w:tcPr>
          <w:p w14:paraId="0D60419E">
            <w:pPr>
              <w:spacing w:after="0" w:line="240" w:lineRule="auto"/>
              <w:jc w:val="center"/>
              <w:rPr>
                <w:rFonts w:ascii="Times New Roman" w:hAnsi="Times New Roman" w:cs="Times New Roman"/>
              </w:rPr>
            </w:pPr>
            <w:r>
              <w:rPr>
                <w:rFonts w:ascii="Times New Roman" w:hAnsi="Times New Roman" w:cs="Times New Roman"/>
              </w:rPr>
              <w:t>-0.9341</w:t>
            </w:r>
          </w:p>
        </w:tc>
      </w:tr>
      <w:tr w14:paraId="0935261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84" w:type="dxa"/>
          </w:tcPr>
          <w:p w14:paraId="6B2988B6">
            <w:pPr>
              <w:spacing w:after="0" w:line="240" w:lineRule="auto"/>
              <w:jc w:val="center"/>
              <w:rPr>
                <w:rFonts w:ascii="Times New Roman" w:hAnsi="Times New Roman" w:cs="Times New Roman"/>
              </w:rPr>
            </w:pPr>
            <w:r>
              <w:rPr>
                <w:rFonts w:ascii="Times New Roman" w:hAnsi="Times New Roman" w:cs="Times New Roman"/>
              </w:rPr>
              <w:t>DEP</w:t>
            </w:r>
          </w:p>
        </w:tc>
        <w:tc>
          <w:tcPr>
            <w:tcW w:w="3192" w:type="dxa"/>
          </w:tcPr>
          <w:p w14:paraId="2121218C">
            <w:pPr>
              <w:spacing w:after="0" w:line="240" w:lineRule="auto"/>
              <w:jc w:val="center"/>
              <w:rPr>
                <w:rFonts w:ascii="Times New Roman" w:hAnsi="Times New Roman" w:cs="Times New Roman"/>
              </w:rPr>
            </w:pPr>
            <w:r>
              <w:rPr>
                <w:rFonts w:ascii="Times New Roman" w:hAnsi="Times New Roman" w:cs="Times New Roman"/>
              </w:rPr>
              <w:t>0.337694</w:t>
            </w:r>
          </w:p>
        </w:tc>
        <w:tc>
          <w:tcPr>
            <w:tcW w:w="3084" w:type="dxa"/>
          </w:tcPr>
          <w:p w14:paraId="12F82ECF">
            <w:pPr>
              <w:spacing w:after="0" w:line="240" w:lineRule="auto"/>
              <w:jc w:val="center"/>
              <w:rPr>
                <w:rFonts w:ascii="Times New Roman" w:hAnsi="Times New Roman" w:cs="Times New Roman"/>
              </w:rPr>
            </w:pPr>
            <w:r>
              <w:rPr>
                <w:rFonts w:ascii="Times New Roman" w:hAnsi="Times New Roman" w:cs="Times New Roman"/>
              </w:rPr>
              <w:t>0.025024</w:t>
            </w:r>
          </w:p>
        </w:tc>
      </w:tr>
      <w:tr w14:paraId="22F8B9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84" w:type="dxa"/>
          </w:tcPr>
          <w:p w14:paraId="3441A32F">
            <w:pPr>
              <w:spacing w:after="0" w:line="240" w:lineRule="auto"/>
              <w:jc w:val="center"/>
              <w:rPr>
                <w:rFonts w:ascii="Times New Roman" w:hAnsi="Times New Roman" w:cs="Times New Roman"/>
              </w:rPr>
            </w:pPr>
            <w:r>
              <w:rPr>
                <w:rFonts w:ascii="Times New Roman" w:hAnsi="Times New Roman" w:cs="Times New Roman"/>
              </w:rPr>
              <w:t>EQR</w:t>
            </w:r>
          </w:p>
        </w:tc>
        <w:tc>
          <w:tcPr>
            <w:tcW w:w="3192" w:type="dxa"/>
          </w:tcPr>
          <w:p w14:paraId="7718F505">
            <w:pPr>
              <w:spacing w:after="0" w:line="240" w:lineRule="auto"/>
              <w:jc w:val="center"/>
              <w:rPr>
                <w:rFonts w:ascii="Times New Roman" w:hAnsi="Times New Roman" w:cs="Times New Roman"/>
              </w:rPr>
            </w:pPr>
            <w:r>
              <w:rPr>
                <w:rFonts w:ascii="Times New Roman" w:hAnsi="Times New Roman" w:cs="Times New Roman"/>
              </w:rPr>
              <w:t>-0.36371</w:t>
            </w:r>
          </w:p>
        </w:tc>
        <w:tc>
          <w:tcPr>
            <w:tcW w:w="3084" w:type="dxa"/>
          </w:tcPr>
          <w:p w14:paraId="6AC9728A">
            <w:pPr>
              <w:spacing w:after="0" w:line="240" w:lineRule="auto"/>
              <w:jc w:val="center"/>
              <w:rPr>
                <w:rFonts w:ascii="Times New Roman" w:hAnsi="Times New Roman" w:cs="Times New Roman"/>
              </w:rPr>
            </w:pPr>
            <w:r>
              <w:rPr>
                <w:rFonts w:ascii="Times New Roman" w:hAnsi="Times New Roman" w:cs="Times New Roman"/>
              </w:rPr>
              <w:t>-0.651316</w:t>
            </w:r>
          </w:p>
        </w:tc>
      </w:tr>
      <w:tr w14:paraId="6D3F255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84" w:type="dxa"/>
          </w:tcPr>
          <w:p w14:paraId="7DE05BC1">
            <w:pPr>
              <w:spacing w:after="0" w:line="240" w:lineRule="auto"/>
              <w:jc w:val="center"/>
              <w:rPr>
                <w:rFonts w:ascii="Times New Roman" w:hAnsi="Times New Roman" w:cs="Times New Roman"/>
              </w:rPr>
            </w:pPr>
            <w:r>
              <w:rPr>
                <w:rFonts w:ascii="Times New Roman" w:hAnsi="Times New Roman" w:cs="Times New Roman"/>
              </w:rPr>
              <w:t>α</w:t>
            </w:r>
          </w:p>
        </w:tc>
        <w:tc>
          <w:tcPr>
            <w:tcW w:w="3192" w:type="dxa"/>
          </w:tcPr>
          <w:p w14:paraId="44566E8D">
            <w:pPr>
              <w:spacing w:after="0" w:line="240" w:lineRule="auto"/>
              <w:jc w:val="center"/>
              <w:rPr>
                <w:rFonts w:ascii="Times New Roman" w:hAnsi="Times New Roman" w:cs="Times New Roman"/>
              </w:rPr>
            </w:pPr>
            <w:r>
              <w:rPr>
                <w:rFonts w:ascii="Times New Roman" w:hAnsi="Times New Roman" w:cs="Times New Roman"/>
              </w:rPr>
              <w:t>3.53E-03</w:t>
            </w:r>
          </w:p>
        </w:tc>
        <w:tc>
          <w:tcPr>
            <w:tcW w:w="3084" w:type="dxa"/>
          </w:tcPr>
          <w:p w14:paraId="47C94513">
            <w:pPr>
              <w:spacing w:after="0" w:line="240" w:lineRule="auto"/>
              <w:jc w:val="center"/>
              <w:rPr>
                <w:rFonts w:ascii="Times New Roman" w:hAnsi="Times New Roman" w:cs="Times New Roman"/>
              </w:rPr>
            </w:pPr>
            <w:r>
              <w:rPr>
                <w:rFonts w:ascii="Times New Roman" w:hAnsi="Times New Roman" w:cs="Times New Roman"/>
              </w:rPr>
              <w:t>0.000</w:t>
            </w:r>
          </w:p>
        </w:tc>
      </w:tr>
    </w:tbl>
    <w:p w14:paraId="00752E29">
      <w:pPr>
        <w:pStyle w:val="11"/>
        <w:jc w:val="both"/>
        <w:rPr>
          <w:rFonts w:cs="Times New Roman"/>
        </w:rPr>
      </w:pPr>
      <w:bookmarkStart w:id="80" w:name="_Toc223265095"/>
      <w:bookmarkStart w:id="81" w:name="_Toc223265613"/>
      <w:bookmarkStart w:id="82" w:name="_Toc223267049"/>
      <w:r>
        <w:rPr>
          <w:rFonts w:cs="Times New Roman"/>
        </w:rPr>
        <w:t xml:space="preserve">Table </w:t>
      </w:r>
      <w:r>
        <w:rPr>
          <w:rFonts w:cs="Times New Roman"/>
        </w:rPr>
        <w:fldChar w:fldCharType="begin"/>
      </w:r>
      <w:r>
        <w:rPr>
          <w:rFonts w:cs="Times New Roman"/>
        </w:rPr>
        <w:instrText xml:space="preserve"> SEQ Table \* ARABIC </w:instrText>
      </w:r>
      <w:r>
        <w:rPr>
          <w:rFonts w:cs="Times New Roman"/>
        </w:rPr>
        <w:fldChar w:fldCharType="separate"/>
      </w:r>
      <w:r>
        <w:rPr>
          <w:rFonts w:cs="Times New Roman"/>
        </w:rPr>
        <w:t>4</w:t>
      </w:r>
      <w:r>
        <w:rPr>
          <w:rFonts w:cs="Times New Roman"/>
        </w:rPr>
        <w:fldChar w:fldCharType="end"/>
      </w:r>
      <w:r>
        <w:rPr>
          <w:rFonts w:cs="Times New Roman"/>
        </w:rPr>
        <w:t xml:space="preserve"> : Net coefficients of Islamic bank’s Independent variables</w:t>
      </w:r>
      <w:bookmarkEnd w:id="80"/>
      <w:bookmarkEnd w:id="81"/>
      <w:bookmarkEnd w:id="82"/>
    </w:p>
    <w:p w14:paraId="2125372C">
      <w:pPr>
        <w:pStyle w:val="16"/>
        <w:spacing w:before="0" w:beforeAutospacing="0" w:after="0" w:afterAutospacing="0"/>
        <w:jc w:val="both"/>
      </w:pPr>
      <w:r>
        <w:tab/>
      </w:r>
    </w:p>
    <w:p w14:paraId="03784EE8">
      <w:pPr>
        <w:pStyle w:val="16"/>
      </w:pPr>
      <w:r>
        <w:t>The interpretations of the results are presented as follows:</w:t>
      </w:r>
    </w:p>
    <w:p w14:paraId="5DD8FCA3">
      <w:pPr>
        <w:pStyle w:val="16"/>
        <w:numPr>
          <w:ilvl w:val="0"/>
          <w:numId w:val="12"/>
        </w:numPr>
        <w:jc w:val="both"/>
      </w:pPr>
      <w:r>
        <w:rPr>
          <w:rStyle w:val="17"/>
        </w:rPr>
        <w:t>DNIM (Dummy Net Interest Margin):</w:t>
      </w:r>
      <w:r>
        <w:t xml:space="preserve"> For Conventional banks, the coefficient of NIM are 0.971446, while the coefficient of the interaction term DNIM is −0.06184. This indicates that the difference in the NIM effect between Islamic and Conventional banks is −0.06184. Therefore, the net NIM coefficient for Islamic banks is calculated as: 0.971446 − 0.06184 = 0.909606. Although the difference is relatively small in the OLS model, the Fixed Effects model shows that the magnitude of this variation is large and statistically significant. One possible explanation is that Islamic banks operate under different principles in defining interest income and interest expenses compared to conventional banks. For Islamic banks, changes in total interest income may exert a relatively stronger negative effect on total operating income. This suggests that non-interest income likely plays a more substantial role in the overall operating income structure of Islamic banks.</w:t>
      </w:r>
    </w:p>
    <w:p w14:paraId="76A88FAC">
      <w:pPr>
        <w:pStyle w:val="16"/>
        <w:numPr>
          <w:ilvl w:val="0"/>
          <w:numId w:val="12"/>
        </w:numPr>
        <w:jc w:val="both"/>
      </w:pPr>
      <w:r>
        <w:rPr>
          <w:rStyle w:val="17"/>
        </w:rPr>
        <w:t>DPRV (Dummy Provision Ratio Value):</w:t>
      </w:r>
      <w:r>
        <w:t xml:space="preserve"> Similarly, the concept and treatment of provisions may differ between Islamic and Conventional banks. In Bangladesh, Islamic banks are required to maintain a Statutory Liquidity Ratio (SLR) of 10% of total deposit liabilities, whereas conventional banks must maintain 20%. This relatively lower liquidity requirement provides Islamic banks with greater flexibility in utilizing funds for investment purposes, which can enhance Net Interest Income (NII). Although the magnitude of the coefficient difference is considerable, the statistical significance of this variable is weak. A larger sample size would be necessary to establish a more robust level of statistical significance.</w:t>
      </w:r>
    </w:p>
    <w:p w14:paraId="07A42310">
      <w:pPr>
        <w:pStyle w:val="16"/>
        <w:numPr>
          <w:ilvl w:val="0"/>
          <w:numId w:val="12"/>
        </w:numPr>
        <w:jc w:val="both"/>
      </w:pPr>
      <w:r>
        <w:rPr>
          <w:rStyle w:val="17"/>
        </w:rPr>
        <w:t>DEQR (Dummy Equity Ratio):</w:t>
      </w:r>
      <w:r>
        <w:t xml:space="preserve"> In the earlier model, the equity ratio (EQR) demonstrated a strong negative impact on NII. However, when the interaction term is introduced, the effect of equity on Islamic banks differs noticeably from that of Conventional banks. The negative influence of equity is substantially reduced for Islamic banks. This may be explained by the structural characteristics of Islamic banking, where a significant portion of financing is equity-based in nature. Consequently, changes in equity often reflect changes in investment activities, which ultimately contribute to operating income.</w:t>
      </w:r>
    </w:p>
    <w:p w14:paraId="6E09BFA5">
      <w:pPr>
        <w:pStyle w:val="16"/>
        <w:jc w:val="both"/>
      </w:pPr>
      <w:r>
        <w:t>Although an increase in equity may still negatively affect NII, the impact is less pronounced for Islamic banks than for conventional banks. Furthermore, Islamic banks typically treat unsuccessful investments as losses without necessarily maintaining a high Capital Adequacy Ratio (CAR) to cover them, unlike conventional banks. As a result, Islamic banks may retain more liquid capital for investment purposes, allowing them to generate comparatively higher NII. Nevertheless, since Islamic banks are still required to maintain a minimum CAR, the overall effect of EQR on NII remains negative.</w:t>
      </w:r>
    </w:p>
    <w:p w14:paraId="6B2737C3">
      <w:pPr>
        <w:pStyle w:val="16"/>
        <w:jc w:val="both"/>
      </w:pPr>
      <w:r>
        <w:t>It is important to note that variables that were not statistically significant in this analysis might have achieved significance if a larger dataset had been used. Once again, the Fixed Effects model appears to outperform the Plain OLS model, as it had the higher SBIC.</w:t>
      </w:r>
    </w:p>
    <w:p w14:paraId="5E8BAA7C">
      <w:pPr>
        <w:pStyle w:val="16"/>
        <w:jc w:val="both"/>
      </w:pPr>
      <w:r>
        <w:t>The differences in variable coefficients between Islamic and Conventional banks, based on the Fixed Effects model, are summarized below:</w:t>
      </w:r>
    </w:p>
    <w:p w14:paraId="1E54DFAE">
      <w:pPr>
        <w:jc w:val="both"/>
        <w:rPr>
          <w:rFonts w:ascii="Times New Roman" w:hAnsi="Times New Roman" w:cs="Times New Roman"/>
        </w:rPr>
      </w:pPr>
    </w:p>
    <w:tbl>
      <w:tblPr>
        <w:tblStyle w:val="19"/>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014"/>
        <w:gridCol w:w="1710"/>
        <w:gridCol w:w="2090"/>
      </w:tblGrid>
      <w:tr w14:paraId="5D90F6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14" w:type="dxa"/>
          </w:tcPr>
          <w:p w14:paraId="45236F46">
            <w:pPr>
              <w:spacing w:after="0" w:line="240" w:lineRule="auto"/>
              <w:jc w:val="center"/>
              <w:rPr>
                <w:rFonts w:ascii="Times New Roman" w:hAnsi="Times New Roman" w:cs="Times New Roman"/>
                <w:b/>
              </w:rPr>
            </w:pPr>
            <w:r>
              <w:rPr>
                <w:rFonts w:ascii="Times New Roman" w:hAnsi="Times New Roman" w:cs="Times New Roman"/>
                <w:b/>
              </w:rPr>
              <w:t>Variables</w:t>
            </w:r>
          </w:p>
        </w:tc>
        <w:tc>
          <w:tcPr>
            <w:tcW w:w="1710" w:type="dxa"/>
          </w:tcPr>
          <w:p w14:paraId="690A0FE5">
            <w:pPr>
              <w:pStyle w:val="16"/>
              <w:jc w:val="center"/>
              <w:rPr>
                <w:b/>
                <w:sz w:val="22"/>
              </w:rPr>
            </w:pPr>
            <w:r>
              <w:rPr>
                <w:b/>
                <w:sz w:val="22"/>
              </w:rPr>
              <w:t>Islamic</w:t>
            </w:r>
          </w:p>
        </w:tc>
        <w:tc>
          <w:tcPr>
            <w:tcW w:w="2090" w:type="dxa"/>
          </w:tcPr>
          <w:p w14:paraId="3F59BF35">
            <w:pPr>
              <w:pStyle w:val="16"/>
              <w:jc w:val="center"/>
              <w:rPr>
                <w:b/>
                <w:sz w:val="22"/>
              </w:rPr>
            </w:pPr>
            <w:r>
              <w:rPr>
                <w:b/>
                <w:sz w:val="22"/>
              </w:rPr>
              <w:t>Conventional</w:t>
            </w:r>
          </w:p>
        </w:tc>
      </w:tr>
      <w:tr w14:paraId="1B9DF9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14" w:type="dxa"/>
          </w:tcPr>
          <w:p w14:paraId="3D2DAC95">
            <w:pPr>
              <w:pStyle w:val="16"/>
              <w:jc w:val="center"/>
              <w:rPr>
                <w:sz w:val="22"/>
              </w:rPr>
            </w:pPr>
            <w:r>
              <w:rPr>
                <w:sz w:val="22"/>
              </w:rPr>
              <w:t>NIM</w:t>
            </w:r>
          </w:p>
        </w:tc>
        <w:tc>
          <w:tcPr>
            <w:tcW w:w="1710" w:type="dxa"/>
          </w:tcPr>
          <w:p w14:paraId="43F43857">
            <w:pPr>
              <w:pStyle w:val="16"/>
              <w:jc w:val="center"/>
              <w:rPr>
                <w:sz w:val="22"/>
              </w:rPr>
            </w:pPr>
            <w:r>
              <w:rPr>
                <w:sz w:val="22"/>
              </w:rPr>
              <w:t>0.04969</w:t>
            </w:r>
          </w:p>
        </w:tc>
        <w:tc>
          <w:tcPr>
            <w:tcW w:w="2090" w:type="dxa"/>
          </w:tcPr>
          <w:p w14:paraId="0A3E21B6">
            <w:pPr>
              <w:pStyle w:val="16"/>
              <w:jc w:val="center"/>
              <w:rPr>
                <w:sz w:val="22"/>
              </w:rPr>
            </w:pPr>
            <w:r>
              <w:rPr>
                <w:sz w:val="22"/>
              </w:rPr>
              <w:t>1.1994</w:t>
            </w:r>
          </w:p>
        </w:tc>
      </w:tr>
      <w:tr w14:paraId="25FB06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14" w:type="dxa"/>
          </w:tcPr>
          <w:p w14:paraId="561F3439">
            <w:pPr>
              <w:pStyle w:val="16"/>
              <w:jc w:val="center"/>
              <w:rPr>
                <w:sz w:val="22"/>
              </w:rPr>
            </w:pPr>
            <w:r>
              <w:rPr>
                <w:sz w:val="22"/>
              </w:rPr>
              <w:t>OPP</w:t>
            </w:r>
          </w:p>
        </w:tc>
        <w:tc>
          <w:tcPr>
            <w:tcW w:w="1710" w:type="dxa"/>
          </w:tcPr>
          <w:p w14:paraId="160401F3">
            <w:pPr>
              <w:pStyle w:val="16"/>
              <w:jc w:val="center"/>
              <w:rPr>
                <w:sz w:val="22"/>
              </w:rPr>
            </w:pPr>
            <w:r>
              <w:rPr>
                <w:sz w:val="22"/>
              </w:rPr>
              <w:t>0.148462</w:t>
            </w:r>
          </w:p>
        </w:tc>
        <w:tc>
          <w:tcPr>
            <w:tcW w:w="2090" w:type="dxa"/>
          </w:tcPr>
          <w:p w14:paraId="0C93F769">
            <w:pPr>
              <w:pStyle w:val="16"/>
              <w:jc w:val="center"/>
              <w:rPr>
                <w:sz w:val="22"/>
              </w:rPr>
            </w:pPr>
            <w:r>
              <w:rPr>
                <w:sz w:val="22"/>
              </w:rPr>
              <w:t>0.148462</w:t>
            </w:r>
          </w:p>
        </w:tc>
      </w:tr>
      <w:tr w14:paraId="2C1294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14" w:type="dxa"/>
          </w:tcPr>
          <w:p w14:paraId="3CB57278">
            <w:pPr>
              <w:pStyle w:val="16"/>
              <w:jc w:val="center"/>
              <w:rPr>
                <w:sz w:val="22"/>
              </w:rPr>
            </w:pPr>
            <w:r>
              <w:rPr>
                <w:sz w:val="22"/>
              </w:rPr>
              <w:t>PRV</w:t>
            </w:r>
          </w:p>
        </w:tc>
        <w:tc>
          <w:tcPr>
            <w:tcW w:w="1710" w:type="dxa"/>
          </w:tcPr>
          <w:p w14:paraId="4A9F6AFB">
            <w:pPr>
              <w:pStyle w:val="16"/>
              <w:jc w:val="center"/>
              <w:rPr>
                <w:sz w:val="22"/>
              </w:rPr>
            </w:pPr>
            <w:r>
              <w:rPr>
                <w:sz w:val="22"/>
              </w:rPr>
              <w:t>-0.9341</w:t>
            </w:r>
          </w:p>
        </w:tc>
        <w:tc>
          <w:tcPr>
            <w:tcW w:w="2090" w:type="dxa"/>
          </w:tcPr>
          <w:p w14:paraId="7BDD5662">
            <w:pPr>
              <w:pStyle w:val="16"/>
              <w:jc w:val="center"/>
              <w:rPr>
                <w:sz w:val="22"/>
              </w:rPr>
            </w:pPr>
            <w:r>
              <w:rPr>
                <w:sz w:val="22"/>
              </w:rPr>
              <w:t>-283439</w:t>
            </w:r>
          </w:p>
        </w:tc>
      </w:tr>
      <w:tr w14:paraId="5B9DD5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14" w:type="dxa"/>
          </w:tcPr>
          <w:p w14:paraId="2E2E7A07">
            <w:pPr>
              <w:pStyle w:val="16"/>
              <w:jc w:val="center"/>
              <w:rPr>
                <w:sz w:val="22"/>
              </w:rPr>
            </w:pPr>
            <w:r>
              <w:rPr>
                <w:sz w:val="22"/>
              </w:rPr>
              <w:t>DEP</w:t>
            </w:r>
          </w:p>
        </w:tc>
        <w:tc>
          <w:tcPr>
            <w:tcW w:w="1710" w:type="dxa"/>
          </w:tcPr>
          <w:p w14:paraId="3E957DF9">
            <w:pPr>
              <w:pStyle w:val="16"/>
              <w:jc w:val="center"/>
              <w:rPr>
                <w:sz w:val="22"/>
              </w:rPr>
            </w:pPr>
            <w:r>
              <w:rPr>
                <w:sz w:val="22"/>
              </w:rPr>
              <w:t>0.025024</w:t>
            </w:r>
          </w:p>
        </w:tc>
        <w:tc>
          <w:tcPr>
            <w:tcW w:w="2090" w:type="dxa"/>
          </w:tcPr>
          <w:p w14:paraId="56570F04">
            <w:pPr>
              <w:pStyle w:val="16"/>
              <w:jc w:val="center"/>
              <w:rPr>
                <w:sz w:val="22"/>
              </w:rPr>
            </w:pPr>
            <w:r>
              <w:rPr>
                <w:sz w:val="22"/>
              </w:rPr>
              <w:t>0.025024</w:t>
            </w:r>
          </w:p>
        </w:tc>
      </w:tr>
      <w:tr w14:paraId="3F5F9D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14" w:type="dxa"/>
          </w:tcPr>
          <w:p w14:paraId="44C2D5F3">
            <w:pPr>
              <w:pStyle w:val="16"/>
              <w:jc w:val="center"/>
              <w:rPr>
                <w:sz w:val="22"/>
              </w:rPr>
            </w:pPr>
            <w:r>
              <w:rPr>
                <w:sz w:val="22"/>
              </w:rPr>
              <w:t>EQP</w:t>
            </w:r>
          </w:p>
        </w:tc>
        <w:tc>
          <w:tcPr>
            <w:tcW w:w="1710" w:type="dxa"/>
          </w:tcPr>
          <w:p w14:paraId="71F84CD6">
            <w:pPr>
              <w:pStyle w:val="16"/>
              <w:jc w:val="center"/>
              <w:rPr>
                <w:sz w:val="22"/>
              </w:rPr>
            </w:pPr>
            <w:r>
              <w:rPr>
                <w:sz w:val="22"/>
              </w:rPr>
              <w:t>-0.65132</w:t>
            </w:r>
          </w:p>
        </w:tc>
        <w:tc>
          <w:tcPr>
            <w:tcW w:w="2090" w:type="dxa"/>
          </w:tcPr>
          <w:p w14:paraId="69C2D765">
            <w:pPr>
              <w:pStyle w:val="16"/>
              <w:keepNext/>
              <w:jc w:val="center"/>
              <w:rPr>
                <w:sz w:val="22"/>
              </w:rPr>
            </w:pPr>
            <w:r>
              <w:rPr>
                <w:sz w:val="22"/>
              </w:rPr>
              <w:t>-0.409756</w:t>
            </w:r>
          </w:p>
        </w:tc>
      </w:tr>
    </w:tbl>
    <w:p w14:paraId="64D5E567">
      <w:pPr>
        <w:pStyle w:val="11"/>
        <w:jc w:val="center"/>
      </w:pPr>
      <w:bookmarkStart w:id="83" w:name="_Toc223267050"/>
      <w:bookmarkStart w:id="84" w:name="_Toc223265614"/>
      <w:bookmarkStart w:id="85" w:name="_Toc223265096"/>
      <w:r>
        <w:t xml:space="preserve">Table </w:t>
      </w:r>
      <w:r>
        <w:fldChar w:fldCharType="begin"/>
      </w:r>
      <w:r>
        <w:instrText xml:space="preserve"> SEQ Table \* ARABIC </w:instrText>
      </w:r>
      <w:r>
        <w:fldChar w:fldCharType="separate"/>
      </w:r>
      <w:r>
        <w:t>5</w:t>
      </w:r>
      <w:r>
        <w:fldChar w:fldCharType="end"/>
      </w:r>
      <w:r>
        <w:t>: Difference in coefficients of each category of bank</w:t>
      </w:r>
      <w:bookmarkEnd w:id="83"/>
      <w:bookmarkEnd w:id="84"/>
      <w:bookmarkEnd w:id="85"/>
    </w:p>
    <w:p w14:paraId="4177042F">
      <w:pPr>
        <w:pStyle w:val="16"/>
        <w:spacing w:before="0" w:beforeAutospacing="0" w:after="0" w:afterAutospacing="0"/>
        <w:jc w:val="center"/>
        <w:rPr>
          <w:i/>
          <w:sz w:val="22"/>
        </w:rPr>
      </w:pPr>
      <w:bookmarkStart w:id="86" w:name="_Toc223040502"/>
      <w:r>
        <w:br w:type="page"/>
      </w:r>
    </w:p>
    <w:p w14:paraId="7520C6D0">
      <w:pPr>
        <w:pStyle w:val="3"/>
      </w:pPr>
      <w:bookmarkStart w:id="87" w:name="_Toc223264665"/>
      <w:r>
        <w:t>6.5 Further Discussion</w:t>
      </w:r>
      <w:bookmarkEnd w:id="86"/>
      <w:bookmarkEnd w:id="87"/>
      <w:r>
        <w:tab/>
      </w:r>
      <w:r>
        <w:tab/>
      </w:r>
      <w:r>
        <w:tab/>
      </w:r>
      <w:r>
        <w:tab/>
      </w:r>
      <w:r>
        <w:tab/>
      </w:r>
      <w:r>
        <w:tab/>
      </w:r>
      <w:r>
        <w:tab/>
      </w:r>
      <w:r>
        <w:tab/>
      </w:r>
      <w:r>
        <w:tab/>
      </w:r>
      <w:r>
        <w:tab/>
      </w:r>
    </w:p>
    <w:p w14:paraId="4EDA2AED">
      <w:pPr>
        <w:pStyle w:val="16"/>
        <w:jc w:val="both"/>
      </w:pPr>
      <w:r>
        <w:t>Financial indicators for 2022 show that Islamic banks outperform Conventional banks in several areas:</w:t>
      </w:r>
    </w:p>
    <w:p w14:paraId="382B7778">
      <w:pPr>
        <w:pStyle w:val="16"/>
        <w:numPr>
          <w:ilvl w:val="0"/>
          <w:numId w:val="13"/>
        </w:numPr>
        <w:jc w:val="both"/>
      </w:pPr>
      <w:r>
        <w:t>Lower Non-Performing Loan (NPL) ratios, indicating better asset quality and credit risk management.</w:t>
      </w:r>
    </w:p>
    <w:p w14:paraId="395E67C8">
      <w:pPr>
        <w:pStyle w:val="16"/>
        <w:numPr>
          <w:ilvl w:val="0"/>
          <w:numId w:val="13"/>
        </w:numPr>
        <w:jc w:val="both"/>
      </w:pPr>
      <w:r>
        <w:t>Higher liquidity levels, enhancing their ability to meet short-term obligations</w:t>
      </w:r>
    </w:p>
    <w:p w14:paraId="3EB690C1">
      <w:pPr>
        <w:pStyle w:val="16"/>
        <w:numPr>
          <w:ilvl w:val="0"/>
          <w:numId w:val="13"/>
        </w:numPr>
        <w:jc w:val="both"/>
      </w:pPr>
      <w:r>
        <w:t>Higher NIM, reflecting stronger profitability from financing activities.</w:t>
      </w:r>
    </w:p>
    <w:p w14:paraId="06E20324">
      <w:pPr>
        <w:pStyle w:val="16"/>
        <w:numPr>
          <w:ilvl w:val="0"/>
          <w:numId w:val="13"/>
        </w:numPr>
        <w:jc w:val="both"/>
      </w:pPr>
      <w:r>
        <w:t>Lower EQR (proxy for CAR), suggesting more efficient capital utilization</w:t>
      </w:r>
    </w:p>
    <w:p w14:paraId="2853D0DE">
      <w:pPr>
        <w:pStyle w:val="16"/>
        <w:jc w:val="both"/>
      </w:pPr>
      <w:r>
        <w:t>These findings suggest that Islamic banks demonstrate comparatively stronger financial stability and operational efficiency. Their lower NPL ratios, stronger liquidity positions, higher profitability margins, and efficient capital management collectively contribute to superior performance.</w:t>
      </w:r>
    </w:p>
    <w:tbl>
      <w:tblPr>
        <w:tblStyle w:val="19"/>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90"/>
        <w:gridCol w:w="1279"/>
        <w:gridCol w:w="1279"/>
        <w:gridCol w:w="1279"/>
        <w:gridCol w:w="1281"/>
      </w:tblGrid>
      <w:tr w14:paraId="77C6043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1" w:hRule="atLeast"/>
          <w:jc w:val="center"/>
        </w:trPr>
        <w:tc>
          <w:tcPr>
            <w:tcW w:w="6550" w:type="dxa"/>
            <w:gridSpan w:val="5"/>
          </w:tcPr>
          <w:p w14:paraId="64089239">
            <w:pPr>
              <w:pStyle w:val="16"/>
              <w:jc w:val="center"/>
            </w:pPr>
            <w:r>
              <w:t>AVERAGE VALUES</w:t>
            </w:r>
          </w:p>
        </w:tc>
      </w:tr>
      <w:tr w14:paraId="24F0A4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1" w:hRule="atLeast"/>
          <w:jc w:val="center"/>
        </w:trPr>
        <w:tc>
          <w:tcPr>
            <w:tcW w:w="1432" w:type="dxa"/>
          </w:tcPr>
          <w:p w14:paraId="68B84964">
            <w:pPr>
              <w:pStyle w:val="16"/>
              <w:jc w:val="center"/>
            </w:pPr>
            <w:r>
              <w:t>Category</w:t>
            </w:r>
          </w:p>
        </w:tc>
        <w:tc>
          <w:tcPr>
            <w:tcW w:w="1279" w:type="dxa"/>
          </w:tcPr>
          <w:p w14:paraId="76743690">
            <w:pPr>
              <w:pStyle w:val="16"/>
              <w:jc w:val="center"/>
            </w:pPr>
            <w:r>
              <w:t>NPL Ratio</w:t>
            </w:r>
          </w:p>
        </w:tc>
        <w:tc>
          <w:tcPr>
            <w:tcW w:w="1279" w:type="dxa"/>
          </w:tcPr>
          <w:p w14:paraId="63029568">
            <w:pPr>
              <w:pStyle w:val="16"/>
              <w:jc w:val="center"/>
            </w:pPr>
            <w:r>
              <w:t>Liquidity Ratio</w:t>
            </w:r>
          </w:p>
        </w:tc>
        <w:tc>
          <w:tcPr>
            <w:tcW w:w="1279" w:type="dxa"/>
          </w:tcPr>
          <w:p w14:paraId="5CCEA020">
            <w:pPr>
              <w:pStyle w:val="16"/>
              <w:jc w:val="center"/>
            </w:pPr>
            <w:r>
              <w:t>NIM</w:t>
            </w:r>
          </w:p>
        </w:tc>
        <w:tc>
          <w:tcPr>
            <w:tcW w:w="1280" w:type="dxa"/>
          </w:tcPr>
          <w:p w14:paraId="07E2F0CB">
            <w:pPr>
              <w:pStyle w:val="16"/>
              <w:jc w:val="center"/>
            </w:pPr>
            <w:r>
              <w:t>ERQ</w:t>
            </w:r>
          </w:p>
        </w:tc>
      </w:tr>
      <w:tr w14:paraId="5BFBD5A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1" w:hRule="atLeast"/>
          <w:jc w:val="center"/>
        </w:trPr>
        <w:tc>
          <w:tcPr>
            <w:tcW w:w="1432" w:type="dxa"/>
          </w:tcPr>
          <w:p w14:paraId="6EBC6E4E">
            <w:pPr>
              <w:pStyle w:val="16"/>
              <w:jc w:val="center"/>
            </w:pPr>
            <w:r>
              <w:t>Islamic</w:t>
            </w:r>
          </w:p>
        </w:tc>
        <w:tc>
          <w:tcPr>
            <w:tcW w:w="1279" w:type="dxa"/>
          </w:tcPr>
          <w:p w14:paraId="3B9DA0E1">
            <w:pPr>
              <w:pStyle w:val="16"/>
              <w:jc w:val="center"/>
            </w:pPr>
            <w:r>
              <w:t>4.98%</w:t>
            </w:r>
          </w:p>
        </w:tc>
        <w:tc>
          <w:tcPr>
            <w:tcW w:w="1279" w:type="dxa"/>
          </w:tcPr>
          <w:p w14:paraId="3E8C9950">
            <w:pPr>
              <w:pStyle w:val="16"/>
              <w:jc w:val="center"/>
            </w:pPr>
            <w:r>
              <w:t>133.00%</w:t>
            </w:r>
          </w:p>
        </w:tc>
        <w:tc>
          <w:tcPr>
            <w:tcW w:w="1279" w:type="dxa"/>
          </w:tcPr>
          <w:p w14:paraId="5DDBB30E">
            <w:pPr>
              <w:pStyle w:val="16"/>
              <w:jc w:val="center"/>
            </w:pPr>
            <w:r>
              <w:t>3.85%</w:t>
            </w:r>
          </w:p>
        </w:tc>
        <w:tc>
          <w:tcPr>
            <w:tcW w:w="1280" w:type="dxa"/>
          </w:tcPr>
          <w:p w14:paraId="58DD6B24">
            <w:pPr>
              <w:pStyle w:val="16"/>
              <w:jc w:val="center"/>
            </w:pPr>
            <w:r>
              <w:t>5.72%</w:t>
            </w:r>
          </w:p>
        </w:tc>
      </w:tr>
      <w:tr w14:paraId="1A9188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2" w:hRule="atLeast"/>
          <w:jc w:val="center"/>
        </w:trPr>
        <w:tc>
          <w:tcPr>
            <w:tcW w:w="1432" w:type="dxa"/>
          </w:tcPr>
          <w:p w14:paraId="01719804">
            <w:pPr>
              <w:pStyle w:val="16"/>
              <w:jc w:val="center"/>
            </w:pPr>
            <w:r>
              <w:t>Conventional-Bank</w:t>
            </w:r>
          </w:p>
        </w:tc>
        <w:tc>
          <w:tcPr>
            <w:tcW w:w="1279" w:type="dxa"/>
          </w:tcPr>
          <w:p w14:paraId="7066C303">
            <w:pPr>
              <w:pStyle w:val="16"/>
              <w:jc w:val="center"/>
            </w:pPr>
            <w:r>
              <w:t>6.84%</w:t>
            </w:r>
          </w:p>
        </w:tc>
        <w:tc>
          <w:tcPr>
            <w:tcW w:w="1279" w:type="dxa"/>
          </w:tcPr>
          <w:p w14:paraId="334B3A41">
            <w:pPr>
              <w:pStyle w:val="16"/>
              <w:jc w:val="center"/>
            </w:pPr>
            <w:r>
              <w:t>32.63%</w:t>
            </w:r>
          </w:p>
        </w:tc>
        <w:tc>
          <w:tcPr>
            <w:tcW w:w="1279" w:type="dxa"/>
          </w:tcPr>
          <w:p w14:paraId="3DF4EC57">
            <w:pPr>
              <w:pStyle w:val="16"/>
              <w:jc w:val="center"/>
            </w:pPr>
            <w:r>
              <w:t>3.34%</w:t>
            </w:r>
          </w:p>
        </w:tc>
        <w:tc>
          <w:tcPr>
            <w:tcW w:w="1280" w:type="dxa"/>
          </w:tcPr>
          <w:p w14:paraId="095591B3">
            <w:pPr>
              <w:pStyle w:val="16"/>
              <w:keepNext/>
              <w:jc w:val="center"/>
            </w:pPr>
            <w:r>
              <w:t>7.21%</w:t>
            </w:r>
          </w:p>
        </w:tc>
      </w:tr>
    </w:tbl>
    <w:p w14:paraId="41EC3778">
      <w:pPr>
        <w:pStyle w:val="11"/>
        <w:jc w:val="center"/>
      </w:pPr>
      <w:bookmarkStart w:id="88" w:name="_Toc223265097"/>
      <w:bookmarkStart w:id="89" w:name="_Toc223265615"/>
      <w:bookmarkStart w:id="90" w:name="_Toc223267051"/>
      <w:r>
        <w:t xml:space="preserve">Table </w:t>
      </w:r>
      <w:r>
        <w:fldChar w:fldCharType="begin"/>
      </w:r>
      <w:r>
        <w:instrText xml:space="preserve"> SEQ Table \* ARABIC </w:instrText>
      </w:r>
      <w:r>
        <w:fldChar w:fldCharType="separate"/>
      </w:r>
      <w:r>
        <w:t>6</w:t>
      </w:r>
      <w:r>
        <w:fldChar w:fldCharType="end"/>
      </w:r>
      <w:r>
        <w:t>: Important ratios for the year 202</w:t>
      </w:r>
      <w:bookmarkEnd w:id="88"/>
      <w:bookmarkEnd w:id="89"/>
      <w:bookmarkEnd w:id="90"/>
      <w:r>
        <w:t>2</w:t>
      </w:r>
    </w:p>
    <w:p w14:paraId="0E9AEB47">
      <w:pPr>
        <w:pStyle w:val="16"/>
        <w:spacing w:before="0" w:beforeAutospacing="0" w:after="0" w:afterAutospacing="0"/>
        <w:jc w:val="center"/>
        <w:rPr>
          <w:i/>
          <w:sz w:val="22"/>
        </w:rPr>
      </w:pPr>
      <w:r>
        <w:rPr>
          <w:i/>
          <w:sz w:val="22"/>
        </w:rPr>
        <w:t>Note: Refer to Appendix to see ratios for all banks</w:t>
      </w:r>
      <w:bookmarkStart w:id="91" w:name="_Toc223040503"/>
    </w:p>
    <w:p w14:paraId="4D850868">
      <w:pPr>
        <w:rPr>
          <w:rFonts w:asciiTheme="majorHAnsi" w:hAnsiTheme="majorHAnsi" w:eastAsiaTheme="majorEastAsia" w:cstheme="majorBidi"/>
          <w:bCs/>
          <w:color w:val="366091" w:themeColor="accent1" w:themeShade="BF"/>
          <w:sz w:val="44"/>
          <w:szCs w:val="28"/>
          <w:u w:val="single"/>
        </w:rPr>
      </w:pPr>
      <w:r>
        <w:br w:type="page"/>
      </w:r>
    </w:p>
    <w:p w14:paraId="647FCA48">
      <w:pPr>
        <w:pStyle w:val="2"/>
      </w:pPr>
      <w:bookmarkStart w:id="92" w:name="_Toc223264666"/>
      <w:r>
        <w:t>Chapter 7: Conclusion and Recommendations</w:t>
      </w:r>
      <w:bookmarkEnd w:id="91"/>
      <w:bookmarkEnd w:id="92"/>
      <w:r>
        <w:tab/>
      </w:r>
      <w:r>
        <w:tab/>
      </w:r>
    </w:p>
    <w:p w14:paraId="3AF1947F">
      <w:pPr>
        <w:pStyle w:val="45"/>
        <w:rPr>
          <w:sz w:val="36"/>
        </w:rPr>
      </w:pPr>
      <w:r>
        <w:rPr>
          <w:sz w:val="36"/>
        </w:rPr>
        <w:t>Conclusion</w:t>
      </w:r>
    </w:p>
    <w:p w14:paraId="58F0DF19">
      <w:pPr>
        <w:pStyle w:val="45"/>
        <w:rPr>
          <w:sz w:val="36"/>
        </w:rPr>
      </w:pPr>
      <w:r>
        <w:rPr>
          <w:sz w:val="36"/>
        </w:rPr>
        <w:t>Recommendations</w:t>
      </w:r>
    </w:p>
    <w:p w14:paraId="6582BD5A">
      <w:pPr>
        <w:rPr>
          <w:rFonts w:asciiTheme="majorHAnsi" w:hAnsiTheme="majorHAnsi" w:eastAsiaTheme="majorEastAsia" w:cstheme="majorBidi"/>
          <w:bCs/>
          <w:color w:val="366091" w:themeColor="accent1" w:themeShade="BF"/>
          <w:sz w:val="44"/>
          <w:szCs w:val="28"/>
          <w:u w:val="single"/>
        </w:rPr>
      </w:pPr>
      <w:bookmarkStart w:id="93" w:name="_Toc223040504"/>
      <w:r>
        <w:br w:type="page"/>
      </w:r>
    </w:p>
    <w:p w14:paraId="3B54788A">
      <w:pPr>
        <w:pStyle w:val="3"/>
      </w:pPr>
      <w:bookmarkStart w:id="94" w:name="_Toc223264667"/>
      <w:r>
        <w:t>7.1 Conclusion</w:t>
      </w:r>
      <w:bookmarkEnd w:id="93"/>
      <w:bookmarkEnd w:id="94"/>
      <w:r>
        <w:tab/>
      </w:r>
      <w:r>
        <w:tab/>
      </w:r>
      <w:r>
        <w:tab/>
      </w:r>
      <w:r>
        <w:tab/>
      </w:r>
      <w:r>
        <w:tab/>
      </w:r>
      <w:r>
        <w:tab/>
      </w:r>
      <w:r>
        <w:tab/>
      </w:r>
      <w:r>
        <w:tab/>
      </w:r>
      <w:r>
        <w:tab/>
      </w:r>
      <w:r>
        <w:tab/>
      </w:r>
      <w:r>
        <w:tab/>
      </w:r>
    </w:p>
    <w:p w14:paraId="5CABDCB6">
      <w:pPr>
        <w:jc w:val="both"/>
        <w:rPr>
          <w:rFonts w:ascii="Times New Roman" w:hAnsi="Times New Roman" w:cs="Times New Roman"/>
          <w:sz w:val="24"/>
        </w:rPr>
      </w:pPr>
      <w:r>
        <w:rPr>
          <w:rFonts w:ascii="Times New Roman" w:hAnsi="Times New Roman" w:cs="Times New Roman"/>
          <w:sz w:val="24"/>
        </w:rPr>
        <w:t xml:space="preserve">Conventional banks primarily generate their revenue through interest and bank fees. In contrast, Islamic banks derive their income from profit/loss sharing, service fees, trading, leasing, and other Shariah compliant transactions. This indicates that the factors affecting net income will vary for Islamic banks. While some factors may be alike, their impact differs due to the distinct revenue composition. This distinction was confirmed by compounding the Dummy variable across both models. The fixed effects model proved to be more effective in testing the initial hypothesis as well as in the compounding of the Dummy variable. The differences in coefficients indicated that NIM remains a reliable indicator of NII for Islamic banks. PRV does not hold statistical significance in differentiating between Islamic and Conventional banks. Furthermore, in line with the regulations set by Bangladesh Bank, Islamic banks are required to maintain the same CAR as their Conventional counterparts. The mandated minimum CAR is 10% of the total RWA for all commercial banks, including Islamic banks. This requirement is unnecessary since Islamic banks account for bad investments as losses that do not require substantial equity to cover risky assets. A minimal portion of funds is allocated for loans, resulting in lower risky loan assets, thus Islamic banks do not need to uphold the same CAR level as Conventional banks. Consequently, EQR exerts a significantly lesser negative effect on the NII of Islamic banks. Nevertheless, Islamic banks continue to outperform in terms of NIM, NPL, and liquidity ratios </w:t>
      </w:r>
      <w:sdt>
        <w:sdtPr>
          <w:rPr>
            <w:rFonts w:ascii="Times New Roman" w:hAnsi="Times New Roman" w:cs="Times New Roman"/>
            <w:sz w:val="24"/>
          </w:rPr>
          <w:id w:val="817520"/>
        </w:sdtPr>
        <w:sdtEndPr>
          <w:rPr>
            <w:rFonts w:ascii="Times New Roman" w:hAnsi="Times New Roman" w:cs="Times New Roman"/>
            <w:sz w:val="24"/>
          </w:rPr>
        </w:sdtEndPr>
        <w:sdtContent>
          <w:r>
            <w:rPr>
              <w:rFonts w:ascii="Times New Roman" w:hAnsi="Times New Roman" w:cs="Times New Roman"/>
              <w:sz w:val="24"/>
            </w:rPr>
            <w:fldChar w:fldCharType="begin"/>
          </w:r>
          <w:r>
            <w:rPr>
              <w:rFonts w:ascii="Times New Roman" w:hAnsi="Times New Roman" w:cs="Times New Roman"/>
              <w:sz w:val="24"/>
            </w:rPr>
            <w:instrText xml:space="preserve"> CITATION Abd25 \l 1033 </w:instrText>
          </w:r>
          <w:r>
            <w:rPr>
              <w:rFonts w:ascii="Times New Roman" w:hAnsi="Times New Roman" w:cs="Times New Roman"/>
              <w:sz w:val="24"/>
            </w:rPr>
            <w:fldChar w:fldCharType="separate"/>
          </w:r>
          <w:r>
            <w:rPr>
              <w:rFonts w:ascii="Times New Roman" w:hAnsi="Times New Roman" w:cs="Times New Roman"/>
              <w:sz w:val="24"/>
            </w:rPr>
            <w:t>(Meero, 2025)</w:t>
          </w:r>
          <w:r>
            <w:rPr>
              <w:rFonts w:ascii="Times New Roman" w:hAnsi="Times New Roman" w:cs="Times New Roman"/>
              <w:sz w:val="24"/>
            </w:rPr>
            <w:fldChar w:fldCharType="end"/>
          </w:r>
        </w:sdtContent>
      </w:sdt>
      <w:r>
        <w:rPr>
          <w:rFonts w:ascii="Times New Roman" w:hAnsi="Times New Roman" w:cs="Times New Roman"/>
          <w:sz w:val="24"/>
        </w:rPr>
        <w:t>.</w:t>
      </w:r>
    </w:p>
    <w:p w14:paraId="6AF0572A">
      <w:pPr>
        <w:pStyle w:val="3"/>
        <w:rPr>
          <w:rFonts w:ascii="Times New Roman" w:hAnsi="Times New Roman" w:cs="Times New Roman"/>
          <w:b w:val="0"/>
        </w:rPr>
      </w:pPr>
      <w:bookmarkStart w:id="95" w:name="_Toc223040505"/>
      <w:bookmarkStart w:id="96" w:name="_Toc223264668"/>
      <w:r>
        <w:rPr>
          <w:rFonts w:ascii="Times New Roman" w:hAnsi="Times New Roman" w:cs="Times New Roman"/>
          <w:b w:val="0"/>
        </w:rPr>
        <w:t>7.2 Recommendations</w:t>
      </w:r>
      <w:bookmarkEnd w:id="95"/>
      <w:bookmarkEnd w:id="96"/>
      <w:r>
        <w:rPr>
          <w:rFonts w:ascii="Times New Roman" w:hAnsi="Times New Roman" w:cs="Times New Roman"/>
          <w:b w:val="0"/>
        </w:rPr>
        <w:tab/>
      </w:r>
      <w:r>
        <w:rPr>
          <w:rFonts w:ascii="Times New Roman" w:hAnsi="Times New Roman" w:cs="Times New Roman"/>
          <w:b w:val="0"/>
        </w:rPr>
        <w:tab/>
      </w:r>
      <w:r>
        <w:rPr>
          <w:rFonts w:ascii="Times New Roman" w:hAnsi="Times New Roman" w:cs="Times New Roman"/>
          <w:b w:val="0"/>
        </w:rPr>
        <w:tab/>
      </w:r>
      <w:r>
        <w:rPr>
          <w:rFonts w:ascii="Times New Roman" w:hAnsi="Times New Roman" w:cs="Times New Roman"/>
          <w:b w:val="0"/>
        </w:rPr>
        <w:tab/>
      </w:r>
      <w:r>
        <w:rPr>
          <w:rFonts w:ascii="Times New Roman" w:hAnsi="Times New Roman" w:cs="Times New Roman"/>
          <w:b w:val="0"/>
        </w:rPr>
        <w:tab/>
      </w:r>
      <w:r>
        <w:rPr>
          <w:rFonts w:ascii="Times New Roman" w:hAnsi="Times New Roman" w:cs="Times New Roman"/>
          <w:b w:val="0"/>
        </w:rPr>
        <w:tab/>
      </w:r>
      <w:r>
        <w:rPr>
          <w:rFonts w:ascii="Times New Roman" w:hAnsi="Times New Roman" w:cs="Times New Roman"/>
          <w:b w:val="0"/>
        </w:rPr>
        <w:tab/>
      </w:r>
      <w:r>
        <w:rPr>
          <w:rFonts w:ascii="Times New Roman" w:hAnsi="Times New Roman" w:cs="Times New Roman"/>
          <w:b w:val="0"/>
        </w:rPr>
        <w:tab/>
      </w:r>
      <w:r>
        <w:rPr>
          <w:rFonts w:ascii="Times New Roman" w:hAnsi="Times New Roman" w:cs="Times New Roman"/>
          <w:b w:val="0"/>
        </w:rPr>
        <w:tab/>
      </w:r>
      <w:r>
        <w:rPr>
          <w:rFonts w:ascii="Times New Roman" w:hAnsi="Times New Roman" w:cs="Times New Roman"/>
          <w:b w:val="0"/>
        </w:rPr>
        <w:tab/>
      </w:r>
    </w:p>
    <w:p w14:paraId="355DB731">
      <w:pPr>
        <w:jc w:val="both"/>
        <w:rPr>
          <w:rFonts w:ascii="Times New Roman" w:hAnsi="Times New Roman" w:cs="Times New Roman"/>
          <w:sz w:val="24"/>
        </w:rPr>
      </w:pPr>
      <w:r>
        <w:rPr>
          <w:rFonts w:ascii="Times New Roman" w:hAnsi="Times New Roman" w:cs="Times New Roman"/>
          <w:sz w:val="24"/>
        </w:rPr>
        <w:t>The predominant religion in Bangladesh is Islam, resulting in Muslims constituting over 90% of the nation's populace. The main factor contributing to the exceptional performance of Islamic banks is the demand for Shariah-compliant banking services tailored for this 90% of the Bangladeshi population. Clearly, the demand for Islamic banking is expected to increase in the future. Due to this undeniable trend in demand, numerous conventional banks, including AB Bank, Bank Asia Limited, and Mercantile Bank, have established their own Islamic banking branches or windows. Conventional banks that have not yet embraced this approach should act swiftly to join this trend before the Islamic banking sector reaches saturation. The Bangladesh Bank has set a lower Statutory Liquidity Ratio (SLR) for Islamic banks at 10%, compared to 20% for Conventional banks, allowing them to allocate more liquid assets for investment, thus enhancing their Net Interest Income (NII). If a similar relaxation were permitted for the mandated 10% Capital Adequacy Ratio (CAR), Islamic banks would have fewer funds tied up as loss-absorbing equity. The increased availability of funds would positively influence total investments and, ultimately, profits. For Conventional banks, there is a pressing need to improve their Non-Performing Loan (NPL) ratio, which was approximately 2% higher than that of Islamic banks. Reducing this ratio is crucial for generating greater loan interest income, which constitutes a significant portion of their overall revenue. Conventional banks are more vulnerable to questionable and bad loans since they tend to lend more than Islamic banks. Therefore, it is vital to adopt a strategic approach to loan offerings. Investing in thorough background checks for individual borrowers and primarily focusing on corporate loans will help minimize overall defaults. In this era, speed and convenience are paramount. Online banking, or in certain instances, Internet banking, has seen significant growth since 2011. HSBC, BRAC Bank, Janata Bank, City Bank, Southeast Bank, AB Bank, Bank Asia, Jamuna Bank, First Security Bank, Mercantile Bank, and Premier Bank were among the pioneers in launching online banking. Currently, bKash (a subsidiary of BRAC Bank Ltd.) and Rocket (a subsidiary of DBBL) dominate the Mobile Financial Service (MFS) sector, holding a combined market share of 97%, with bKash accounting for 80% of this share as of February 2020. While this market clearly demonstrates the traits of a duopoly, it remains highly profitable, boasting 2,708,700,000 active MFS accounts as reported by Bangladesh Bank in February 2020. Consequently,whether Islamic or conventional banks, embracing this technological evolution by establishing their own MFS subsidiaries or other online banking services will undoubtedly enhance their turnover.</w:t>
      </w:r>
    </w:p>
    <w:p w14:paraId="6847E3AC">
      <w:pPr>
        <w:rPr>
          <w:rFonts w:ascii="Times New Roman" w:hAnsi="Times New Roman" w:cs="Times New Roman"/>
        </w:rPr>
      </w:pPr>
      <w:r>
        <w:rPr>
          <w:rFonts w:ascii="Times New Roman" w:hAnsi="Times New Roman" w:cs="Times New Roman"/>
        </w:rPr>
        <w:br w:type="page"/>
      </w:r>
    </w:p>
    <w:sdt>
      <w:sdtPr>
        <w:rPr>
          <w:rFonts w:asciiTheme="minorHAnsi" w:hAnsiTheme="minorHAnsi" w:eastAsiaTheme="minorHAnsi" w:cstheme="minorBidi"/>
          <w:bCs w:val="0"/>
          <w:color w:val="auto"/>
          <w:sz w:val="22"/>
          <w:szCs w:val="22"/>
          <w:u w:val="none"/>
        </w:rPr>
        <w:id w:val="83691571"/>
        <w:docPartObj>
          <w:docPartGallery w:val="AutoText"/>
        </w:docPartObj>
      </w:sdtPr>
      <w:sdtEndPr>
        <w:rPr>
          <w:rFonts w:asciiTheme="minorHAnsi" w:hAnsiTheme="minorHAnsi" w:eastAsiaTheme="minorHAnsi" w:cstheme="minorBidi"/>
          <w:bCs w:val="0"/>
          <w:color w:val="auto"/>
          <w:sz w:val="22"/>
          <w:szCs w:val="22"/>
          <w:u w:val="none"/>
        </w:rPr>
      </w:sdtEndPr>
      <w:sdtContent>
        <w:p w14:paraId="40D0DBDD">
          <w:pPr>
            <w:pStyle w:val="2"/>
          </w:pPr>
          <w:bookmarkStart w:id="97" w:name="_Toc223264669"/>
          <w:r>
            <w:t>References</w:t>
          </w:r>
          <w:bookmarkEnd w:id="97"/>
          <w:r>
            <w:tab/>
          </w:r>
          <w:r>
            <w:tab/>
          </w:r>
          <w:r>
            <w:tab/>
          </w:r>
          <w:r>
            <w:tab/>
          </w:r>
          <w:r>
            <w:tab/>
          </w:r>
          <w:r>
            <w:tab/>
          </w:r>
          <w:r>
            <w:tab/>
          </w:r>
          <w:r>
            <w:tab/>
          </w:r>
          <w:r>
            <w:tab/>
          </w:r>
          <w:r>
            <w:tab/>
          </w:r>
          <w:r>
            <w:tab/>
          </w:r>
        </w:p>
        <w:sdt>
          <w:sdtPr>
            <w:id w:val="111145805"/>
          </w:sdtPr>
          <w:sdtContent>
            <w:p w14:paraId="7A29EF02">
              <w:pPr>
                <w:pStyle w:val="46"/>
                <w:jc w:val="both"/>
                <w:rPr>
                  <w:rFonts w:ascii="Times New Roman" w:hAnsi="Times New Roman" w:cs="Times New Roman"/>
                </w:rPr>
              </w:pPr>
              <w:r>
                <w:fldChar w:fldCharType="begin"/>
              </w:r>
              <w:r>
                <w:instrText xml:space="preserve"> BIBLIOGRAPHY </w:instrText>
              </w:r>
              <w:r>
                <w:fldChar w:fldCharType="separate"/>
              </w:r>
              <w:r>
                <w:rPr>
                  <w:rFonts w:ascii="Times New Roman" w:hAnsi="Times New Roman" w:cs="Times New Roman"/>
                  <w:rtl/>
                </w:rPr>
                <w:t>؛</w:t>
              </w:r>
              <w:r>
                <w:rPr>
                  <w:rFonts w:ascii="Times New Roman" w:hAnsi="Times New Roman" w:cs="Times New Roman"/>
                </w:rPr>
                <w:t xml:space="preserve">, A. E. (2020). Modern Analysis of Financial Statements: Pharmaceutical companies in Iran. . </w:t>
              </w:r>
              <w:r>
                <w:rPr>
                  <w:rFonts w:ascii="Times New Roman" w:hAnsi="Times New Roman" w:cs="Times New Roman"/>
                  <w:i/>
                  <w:iCs/>
                </w:rPr>
                <w:t xml:space="preserve">Journal of </w:t>
              </w:r>
              <w:r>
                <w:rPr>
                  <w:rFonts w:ascii="Times New Roman" w:hAnsi="Times New Roman" w:cs="Times New Roman"/>
                  <w:i/>
                  <w:iCs/>
                </w:rPr>
                <w:tab/>
              </w:r>
              <w:r>
                <w:rPr>
                  <w:rFonts w:ascii="Times New Roman" w:hAnsi="Times New Roman" w:cs="Times New Roman"/>
                  <w:i/>
                  <w:iCs/>
                </w:rPr>
                <w:t>management and accounting studies</w:t>
              </w:r>
              <w:r>
                <w:rPr>
                  <w:rFonts w:ascii="Times New Roman" w:hAnsi="Times New Roman" w:cs="Times New Roman"/>
                </w:rPr>
                <w:t xml:space="preserve"> , 19-23.</w:t>
              </w:r>
            </w:p>
            <w:p w14:paraId="65F6A7A7">
              <w:pPr>
                <w:pStyle w:val="46"/>
                <w:jc w:val="both"/>
                <w:rPr>
                  <w:rFonts w:ascii="Times New Roman" w:hAnsi="Times New Roman" w:cs="Times New Roman"/>
                </w:rPr>
              </w:pPr>
              <w:r>
                <w:rPr>
                  <w:rFonts w:ascii="Times New Roman" w:hAnsi="Times New Roman" w:cs="Times New Roman"/>
                </w:rPr>
                <w:t xml:space="preserve">Abolfathi, E., &amp; Taebi, P. (2016). Modern Analysis of Financial Statements: Pharmaceutical companies </w:t>
              </w:r>
              <w:r>
                <w:rPr>
                  <w:rFonts w:ascii="Times New Roman" w:hAnsi="Times New Roman" w:cs="Times New Roman"/>
                </w:rPr>
                <w:tab/>
              </w:r>
              <w:r>
                <w:rPr>
                  <w:rFonts w:ascii="Times New Roman" w:hAnsi="Times New Roman" w:cs="Times New Roman"/>
                </w:rPr>
                <w:t xml:space="preserve">in Iran. </w:t>
              </w:r>
              <w:r>
                <w:rPr>
                  <w:rFonts w:ascii="Times New Roman" w:hAnsi="Times New Roman" w:cs="Times New Roman"/>
                  <w:i/>
                  <w:iCs/>
                </w:rPr>
                <w:t>Journal of Management and Accounting Studies</w:t>
              </w:r>
              <w:r>
                <w:rPr>
                  <w:rFonts w:ascii="Times New Roman" w:hAnsi="Times New Roman" w:cs="Times New Roman"/>
                </w:rPr>
                <w:t xml:space="preserve"> , 19-23.</w:t>
              </w:r>
            </w:p>
            <w:p w14:paraId="750F42BA">
              <w:pPr>
                <w:pStyle w:val="46"/>
                <w:jc w:val="both"/>
                <w:rPr>
                  <w:rFonts w:ascii="Times New Roman" w:hAnsi="Times New Roman" w:cs="Times New Roman"/>
                </w:rPr>
              </w:pPr>
              <w:r>
                <w:rPr>
                  <w:rFonts w:ascii="Times New Roman" w:hAnsi="Times New Roman" w:cs="Times New Roman"/>
                </w:rPr>
                <w:t xml:space="preserve">Ahmed, M. (2025). 50 Years of Islamic Banking in Bangladesh (1974-2025): A Study on Operational </w:t>
              </w:r>
              <w:r>
                <w:rPr>
                  <w:rFonts w:ascii="Times New Roman" w:hAnsi="Times New Roman" w:cs="Times New Roman"/>
                </w:rPr>
                <w:tab/>
              </w:r>
              <w:r>
                <w:rPr>
                  <w:rFonts w:ascii="Times New Roman" w:hAnsi="Times New Roman" w:cs="Times New Roman"/>
                </w:rPr>
                <w:t>Conflicts. ResearchGate's conference paper.</w:t>
              </w:r>
            </w:p>
            <w:p w14:paraId="65C33354">
              <w:pPr>
                <w:pStyle w:val="46"/>
                <w:jc w:val="both"/>
                <w:rPr>
                  <w:rFonts w:ascii="Times New Roman" w:hAnsi="Times New Roman" w:cs="Times New Roman"/>
                </w:rPr>
              </w:pPr>
              <w:r>
                <w:rPr>
                  <w:rFonts w:ascii="Times New Roman" w:hAnsi="Times New Roman" w:cs="Times New Roman"/>
                </w:rPr>
                <w:t xml:space="preserve">Ashrafuzzaman, I. &amp;. (2015). A Comparative Study of Islamic and Conventional Banking in Bangladesh: </w:t>
              </w:r>
              <w:r>
                <w:rPr>
                  <w:rFonts w:ascii="Times New Roman" w:hAnsi="Times New Roman" w:cs="Times New Roman"/>
                </w:rPr>
                <w:tab/>
              </w:r>
              <w:r>
                <w:rPr>
                  <w:rFonts w:ascii="Times New Roman" w:hAnsi="Times New Roman" w:cs="Times New Roman"/>
                </w:rPr>
                <w:t xml:space="preserve">Camel Analysis . </w:t>
              </w:r>
              <w:r>
                <w:rPr>
                  <w:rFonts w:ascii="Times New Roman" w:hAnsi="Times New Roman" w:cs="Times New Roman"/>
                  <w:i/>
                  <w:iCs/>
                </w:rPr>
                <w:t>Journal of Business and Technology (Dhaka)</w:t>
              </w:r>
              <w:r>
                <w:rPr>
                  <w:rFonts w:ascii="Times New Roman" w:hAnsi="Times New Roman" w:cs="Times New Roman"/>
                </w:rPr>
                <w:t xml:space="preserve"> , 74-91.</w:t>
              </w:r>
            </w:p>
            <w:p w14:paraId="6839F59A">
              <w:pPr>
                <w:pStyle w:val="46"/>
                <w:jc w:val="both"/>
                <w:rPr>
                  <w:rFonts w:ascii="Times New Roman" w:hAnsi="Times New Roman" w:cs="Times New Roman"/>
                </w:rPr>
              </w:pPr>
              <w:r>
                <w:rPr>
                  <w:rFonts w:ascii="Times New Roman" w:hAnsi="Times New Roman" w:cs="Times New Roman"/>
                </w:rPr>
                <w:t xml:space="preserve">Ashrafuzzaman, I. &amp;. (2016). A Comparative Study of Islamic and Conventional Banking in Bangladesh: </w:t>
              </w:r>
              <w:r>
                <w:rPr>
                  <w:rFonts w:ascii="Times New Roman" w:hAnsi="Times New Roman" w:cs="Times New Roman"/>
                </w:rPr>
                <w:tab/>
              </w:r>
              <w:r>
                <w:rPr>
                  <w:rFonts w:ascii="Times New Roman" w:hAnsi="Times New Roman" w:cs="Times New Roman"/>
                </w:rPr>
                <w:t xml:space="preserve">Camel Analysis. </w:t>
              </w:r>
              <w:r>
                <w:rPr>
                  <w:rFonts w:ascii="Times New Roman" w:hAnsi="Times New Roman" w:cs="Times New Roman"/>
                  <w:i/>
                  <w:iCs/>
                </w:rPr>
                <w:t>Journal of Business and Technology (Dhaka)</w:t>
              </w:r>
              <w:r>
                <w:rPr>
                  <w:rFonts w:ascii="Times New Roman" w:hAnsi="Times New Roman" w:cs="Times New Roman"/>
                </w:rPr>
                <w:t xml:space="preserve"> , 74-91.</w:t>
              </w:r>
            </w:p>
            <w:p w14:paraId="0443CCF6">
              <w:pPr>
                <w:pStyle w:val="46"/>
                <w:jc w:val="both"/>
                <w:rPr>
                  <w:rFonts w:ascii="Times New Roman" w:hAnsi="Times New Roman" w:cs="Times New Roman"/>
                </w:rPr>
              </w:pPr>
              <w:r>
                <w:rPr>
                  <w:rFonts w:ascii="Times New Roman" w:hAnsi="Times New Roman" w:cs="Times New Roman"/>
                </w:rPr>
                <w:t xml:space="preserve">Ashrafuzzaman, I. &amp;. (2015). A comparative study on selected Islamic and Conventional Banks in </w:t>
              </w:r>
              <w:r>
                <w:rPr>
                  <w:rFonts w:ascii="Times New Roman" w:hAnsi="Times New Roman" w:cs="Times New Roman"/>
                </w:rPr>
                <w:tab/>
              </w:r>
              <w:r>
                <w:rPr>
                  <w:rFonts w:ascii="Times New Roman" w:hAnsi="Times New Roman" w:cs="Times New Roman"/>
                </w:rPr>
                <w:t xml:space="preserve">Bangladesh. </w:t>
              </w:r>
              <w:r>
                <w:rPr>
                  <w:rFonts w:ascii="Times New Roman" w:hAnsi="Times New Roman" w:cs="Times New Roman"/>
                  <w:i/>
                  <w:iCs/>
                </w:rPr>
                <w:t>Asian Business Review</w:t>
              </w:r>
              <w:r>
                <w:rPr>
                  <w:rFonts w:ascii="Times New Roman" w:hAnsi="Times New Roman" w:cs="Times New Roman"/>
                </w:rPr>
                <w:t xml:space="preserve"> , 151-160.</w:t>
              </w:r>
            </w:p>
            <w:p w14:paraId="2E603125">
              <w:pPr>
                <w:pStyle w:val="46"/>
                <w:jc w:val="both"/>
                <w:rPr>
                  <w:rFonts w:ascii="Times New Roman" w:hAnsi="Times New Roman" w:cs="Times New Roman"/>
                </w:rPr>
              </w:pPr>
              <w:r>
                <w:rPr>
                  <w:rFonts w:ascii="Times New Roman" w:hAnsi="Times New Roman" w:cs="Times New Roman"/>
                </w:rPr>
                <w:t xml:space="preserve">Barman, D. R. (2023). FINANCIAL STATEMENTS: A TOOLS TO EVALUATE BUSINESS. </w:t>
              </w:r>
              <w:r>
                <w:rPr>
                  <w:rFonts w:ascii="Times New Roman" w:hAnsi="Times New Roman" w:cs="Times New Roman"/>
                  <w:i/>
                  <w:iCs/>
                </w:rPr>
                <w:t xml:space="preserve">orcid </w:t>
              </w:r>
              <w:r>
                <w:rPr>
                  <w:rFonts w:ascii="Times New Roman" w:hAnsi="Times New Roman" w:cs="Times New Roman"/>
                  <w:i/>
                  <w:iCs/>
                </w:rPr>
                <w:tab/>
              </w:r>
              <w:r>
                <w:rPr>
                  <w:rFonts w:ascii="Times New Roman" w:hAnsi="Times New Roman" w:cs="Times New Roman"/>
                  <w:i/>
                  <w:iCs/>
                </w:rPr>
                <w:t>logo</w:t>
              </w:r>
              <w:r>
                <w:rPr>
                  <w:rFonts w:ascii="Times New Roman" w:hAnsi="Times New Roman" w:cs="Times New Roman"/>
                </w:rPr>
                <w:t xml:space="preserve"> , 819-835.</w:t>
              </w:r>
            </w:p>
            <w:p w14:paraId="0823F9E9">
              <w:pPr>
                <w:pStyle w:val="46"/>
                <w:jc w:val="both"/>
                <w:rPr>
                  <w:rFonts w:ascii="Times New Roman" w:hAnsi="Times New Roman" w:cs="Times New Roman"/>
                </w:rPr>
              </w:pPr>
              <w:r>
                <w:rPr>
                  <w:rFonts w:ascii="Times New Roman" w:hAnsi="Times New Roman" w:cs="Times New Roman"/>
                </w:rPr>
                <w:t xml:space="preserve">Dr. B.N. Gupta, ,. N. (2022). </w:t>
              </w:r>
              <w:r>
                <w:rPr>
                  <w:rFonts w:ascii="Times New Roman" w:hAnsi="Times New Roman" w:cs="Times New Roman"/>
                  <w:i/>
                  <w:iCs/>
                </w:rPr>
                <w:t>Research Methodology.</w:t>
              </w:r>
              <w:r>
                <w:rPr>
                  <w:rFonts w:ascii="Times New Roman" w:hAnsi="Times New Roman" w:cs="Times New Roman"/>
                </w:rPr>
                <w:t xml:space="preserve"> Laipat Kunj, Agra, Uttar Pradesh.: SBPD </w:t>
              </w:r>
              <w:r>
                <w:rPr>
                  <w:rFonts w:ascii="Times New Roman" w:hAnsi="Times New Roman" w:cs="Times New Roman"/>
                </w:rPr>
                <w:tab/>
              </w:r>
              <w:r>
                <w:rPr>
                  <w:rFonts w:ascii="Times New Roman" w:hAnsi="Times New Roman" w:cs="Times New Roman"/>
                </w:rPr>
                <w:t>Publications.</w:t>
              </w:r>
            </w:p>
            <w:p w14:paraId="1135D4EF">
              <w:pPr>
                <w:pStyle w:val="46"/>
                <w:jc w:val="both"/>
                <w:rPr>
                  <w:rFonts w:ascii="Times New Roman" w:hAnsi="Times New Roman" w:cs="Times New Roman"/>
                </w:rPr>
              </w:pPr>
              <w:r>
                <w:rPr>
                  <w:rFonts w:ascii="Times New Roman" w:hAnsi="Times New Roman" w:cs="Times New Roman"/>
                </w:rPr>
                <w:t xml:space="preserve">Helda Aslim Safitry, D. I. (2021). ANALYSIS OF FINANCIAL STATEMENT IN ASSESSING THE </w:t>
              </w:r>
              <w:r>
                <w:rPr>
                  <w:rFonts w:ascii="Times New Roman" w:hAnsi="Times New Roman" w:cs="Times New Roman"/>
                </w:rPr>
                <w:tab/>
              </w:r>
              <w:r>
                <w:rPr>
                  <w:rFonts w:ascii="Times New Roman" w:hAnsi="Times New Roman" w:cs="Times New Roman"/>
                </w:rPr>
                <w:t xml:space="preserve">FINANCIAL PERFORMANCE OF LOCAL GOVERNMENT. </w:t>
              </w:r>
              <w:r>
                <w:rPr>
                  <w:rFonts w:ascii="Times New Roman" w:hAnsi="Times New Roman" w:cs="Times New Roman"/>
                  <w:i/>
                  <w:iCs/>
                </w:rPr>
                <w:t xml:space="preserve">Jurnal Riset Akuntansi </w:t>
              </w:r>
              <w:r>
                <w:rPr>
                  <w:rFonts w:ascii="Times New Roman" w:hAnsi="Times New Roman" w:cs="Times New Roman"/>
                  <w:i/>
                  <w:iCs/>
                </w:rPr>
                <w:tab/>
              </w:r>
              <w:r>
                <w:rPr>
                  <w:rFonts w:ascii="Times New Roman" w:hAnsi="Times New Roman" w:cs="Times New Roman"/>
                  <w:i/>
                  <w:iCs/>
                </w:rPr>
                <w:t>Kontemporer 13(2)</w:t>
              </w:r>
              <w:r>
                <w:rPr>
                  <w:rFonts w:ascii="Times New Roman" w:hAnsi="Times New Roman" w:cs="Times New Roman"/>
                </w:rPr>
                <w:t xml:space="preserve"> , 65-71.</w:t>
              </w:r>
            </w:p>
            <w:p w14:paraId="7D82AA73">
              <w:pPr>
                <w:pStyle w:val="46"/>
                <w:jc w:val="both"/>
                <w:rPr>
                  <w:rFonts w:ascii="Times New Roman" w:hAnsi="Times New Roman" w:cs="Times New Roman"/>
                </w:rPr>
              </w:pPr>
              <w:r>
                <w:rPr>
                  <w:rFonts w:ascii="Times New Roman" w:hAnsi="Times New Roman" w:cs="Times New Roman"/>
                </w:rPr>
                <w:t xml:space="preserve">Lyn M. Fraser, A. O. (2023). </w:t>
              </w:r>
              <w:r>
                <w:rPr>
                  <w:rFonts w:ascii="Times New Roman" w:hAnsi="Times New Roman" w:cs="Times New Roman"/>
                  <w:i/>
                  <w:iCs/>
                </w:rPr>
                <w:t>Understanding Financial Statements.</w:t>
              </w:r>
              <w:r>
                <w:rPr>
                  <w:rFonts w:ascii="Times New Roman" w:hAnsi="Times New Roman" w:cs="Times New Roman"/>
                </w:rPr>
                <w:t xml:space="preserve"> New York: Pearson.</w:t>
              </w:r>
            </w:p>
            <w:p w14:paraId="0D170A18">
              <w:pPr>
                <w:pStyle w:val="46"/>
                <w:jc w:val="both"/>
                <w:rPr>
                  <w:rFonts w:ascii="Times New Roman" w:hAnsi="Times New Roman" w:cs="Times New Roman"/>
                </w:rPr>
              </w:pPr>
              <w:r>
                <w:rPr>
                  <w:rFonts w:ascii="Times New Roman" w:hAnsi="Times New Roman" w:cs="Times New Roman"/>
                </w:rPr>
                <w:t xml:space="preserve">Md Lutfor Rahman, S. H. (2016). Liquidity Risk Management: A Comparative Study between </w:t>
              </w:r>
              <w:r>
                <w:rPr>
                  <w:rFonts w:ascii="Times New Roman" w:hAnsi="Times New Roman" w:cs="Times New Roman"/>
                </w:rPr>
                <w:tab/>
              </w:r>
              <w:r>
                <w:rPr>
                  <w:rFonts w:ascii="Times New Roman" w:hAnsi="Times New Roman" w:cs="Times New Roman"/>
                </w:rPr>
                <w:t xml:space="preserve">Conventional and Islamic Banks in Bangladesh. </w:t>
              </w:r>
              <w:r>
                <w:rPr>
                  <w:rFonts w:ascii="Times New Roman" w:hAnsi="Times New Roman" w:cs="Times New Roman"/>
                  <w:i/>
                  <w:iCs/>
                </w:rPr>
                <w:t xml:space="preserve">Journal of Business and Technology (Dhaka) </w:t>
              </w:r>
              <w:r>
                <w:rPr>
                  <w:rFonts w:ascii="Times New Roman" w:hAnsi="Times New Roman" w:cs="Times New Roman"/>
                  <w:i/>
                  <w:iCs/>
                </w:rPr>
                <w:tab/>
              </w:r>
              <w:r>
                <w:rPr>
                  <w:rFonts w:ascii="Times New Roman" w:hAnsi="Times New Roman" w:cs="Times New Roman"/>
                  <w:i/>
                  <w:iCs/>
                </w:rPr>
                <w:t>10(2)</w:t>
              </w:r>
              <w:r>
                <w:rPr>
                  <w:rFonts w:ascii="Times New Roman" w:hAnsi="Times New Roman" w:cs="Times New Roman"/>
                </w:rPr>
                <w:t xml:space="preserve"> .</w:t>
              </w:r>
            </w:p>
            <w:p w14:paraId="7AFD0750">
              <w:pPr>
                <w:pStyle w:val="46"/>
                <w:jc w:val="both"/>
                <w:rPr>
                  <w:rFonts w:ascii="Times New Roman" w:hAnsi="Times New Roman" w:cs="Times New Roman"/>
                </w:rPr>
              </w:pPr>
              <w:r>
                <w:rPr>
                  <w:rFonts w:ascii="Times New Roman" w:hAnsi="Times New Roman" w:cs="Times New Roman"/>
                </w:rPr>
                <w:t xml:space="preserve">Meero, A. (2025). Islamic vs. Conventional Banking in the Age of FinTech and AI: Evolving Business </w:t>
              </w:r>
              <w:r>
                <w:rPr>
                  <w:rFonts w:ascii="Times New Roman" w:hAnsi="Times New Roman" w:cs="Times New Roman"/>
                </w:rPr>
                <w:tab/>
              </w:r>
              <w:r>
                <w:rPr>
                  <w:rFonts w:ascii="Times New Roman" w:hAnsi="Times New Roman" w:cs="Times New Roman"/>
                </w:rPr>
                <w:t xml:space="preserve">Models, Efficiency, and Stability (2020–2024). </w:t>
              </w:r>
              <w:r>
                <w:rPr>
                  <w:rFonts w:ascii="Times New Roman" w:hAnsi="Times New Roman" w:cs="Times New Roman"/>
                  <w:i/>
                  <w:iCs/>
                </w:rPr>
                <w:t xml:space="preserve">International Journal of Financial Studies (IJFS) </w:t>
              </w:r>
              <w:r>
                <w:rPr>
                  <w:rFonts w:ascii="Times New Roman" w:hAnsi="Times New Roman" w:cs="Times New Roman"/>
                  <w:i/>
                  <w:iCs/>
                </w:rPr>
                <w:tab/>
              </w:r>
              <w:r>
                <w:rPr>
                  <w:rFonts w:ascii="Times New Roman" w:hAnsi="Times New Roman" w:cs="Times New Roman"/>
                  <w:i/>
                  <w:iCs/>
                </w:rPr>
                <w:t>13(3)</w:t>
              </w:r>
              <w:r>
                <w:rPr>
                  <w:rFonts w:ascii="Times New Roman" w:hAnsi="Times New Roman" w:cs="Times New Roman"/>
                </w:rPr>
                <w:t xml:space="preserve"> , 148.</w:t>
              </w:r>
            </w:p>
            <w:p w14:paraId="39185079">
              <w:pPr>
                <w:pStyle w:val="46"/>
                <w:jc w:val="both"/>
                <w:rPr>
                  <w:rFonts w:ascii="Times New Roman" w:hAnsi="Times New Roman" w:cs="Times New Roman"/>
                </w:rPr>
              </w:pPr>
              <w:r>
                <w:rPr>
                  <w:rFonts w:ascii="Times New Roman" w:hAnsi="Times New Roman" w:cs="Times New Roman"/>
                </w:rPr>
                <w:t xml:space="preserve">Mery Sutrisna, N. N., &amp; Indayani, I. (2020). The Effect of Human Resource Competence, Utilization of </w:t>
              </w:r>
              <w:r>
                <w:rPr>
                  <w:rFonts w:ascii="Times New Roman" w:hAnsi="Times New Roman" w:cs="Times New Roman"/>
                </w:rPr>
                <w:tab/>
              </w:r>
              <w:r>
                <w:rPr>
                  <w:rFonts w:ascii="Times New Roman" w:hAnsi="Times New Roman" w:cs="Times New Roman"/>
                </w:rPr>
                <w:t xml:space="preserve">Information Technology, Internal Control Systems, and Application of Government Accounting </w:t>
              </w:r>
              <w:r>
                <w:rPr>
                  <w:rFonts w:ascii="Times New Roman" w:hAnsi="Times New Roman" w:cs="Times New Roman"/>
                </w:rPr>
                <w:tab/>
              </w:r>
              <w:r>
                <w:rPr>
                  <w:rFonts w:ascii="Times New Roman" w:hAnsi="Times New Roman" w:cs="Times New Roman"/>
                </w:rPr>
                <w:t xml:space="preserve">Standards on The Quality of Financial Reporting (Study on South Aceh Government SKPK). </w:t>
              </w:r>
              <w:r>
                <w:rPr>
                  <w:rFonts w:ascii="Times New Roman" w:hAnsi="Times New Roman" w:cs="Times New Roman"/>
                </w:rPr>
                <w:tab/>
              </w:r>
              <w:r>
                <w:rPr>
                  <w:rFonts w:ascii="Times New Roman" w:hAnsi="Times New Roman" w:cs="Times New Roman"/>
                  <w:i/>
                  <w:iCs/>
                </w:rPr>
                <w:t>International Journal of Business Economics and Social Development</w:t>
              </w:r>
              <w:r>
                <w:rPr>
                  <w:rFonts w:ascii="Times New Roman" w:hAnsi="Times New Roman" w:cs="Times New Roman"/>
                </w:rPr>
                <w:t xml:space="preserve"> , 4-10.</w:t>
              </w:r>
            </w:p>
            <w:p w14:paraId="602A6CB6">
              <w:pPr>
                <w:pStyle w:val="46"/>
                <w:jc w:val="both"/>
                <w:rPr>
                  <w:rFonts w:ascii="Times New Roman" w:hAnsi="Times New Roman" w:cs="Times New Roman"/>
                </w:rPr>
              </w:pPr>
              <w:r>
                <w:rPr>
                  <w:rFonts w:ascii="Times New Roman" w:hAnsi="Times New Roman" w:cs="Times New Roman"/>
                </w:rPr>
                <w:t xml:space="preserve">Min Cao, R. C. (2015). Big Data Analytics in Financial Statement Audits. </w:t>
              </w:r>
              <w:r>
                <w:rPr>
                  <w:rFonts w:ascii="Times New Roman" w:hAnsi="Times New Roman" w:cs="Times New Roman"/>
                  <w:i/>
                  <w:iCs/>
                </w:rPr>
                <w:t>Accounting Horizons</w:t>
              </w:r>
              <w:r>
                <w:rPr>
                  <w:rFonts w:ascii="Times New Roman" w:hAnsi="Times New Roman" w:cs="Times New Roman"/>
                </w:rPr>
                <w:t xml:space="preserve"> , 423-</w:t>
              </w:r>
              <w:r>
                <w:rPr>
                  <w:rFonts w:ascii="Times New Roman" w:hAnsi="Times New Roman" w:cs="Times New Roman"/>
                </w:rPr>
                <w:tab/>
              </w:r>
              <w:r>
                <w:rPr>
                  <w:rFonts w:ascii="Times New Roman" w:hAnsi="Times New Roman" w:cs="Times New Roman"/>
                </w:rPr>
                <w:t>429.</w:t>
              </w:r>
            </w:p>
            <w:p w14:paraId="71DBD9AA">
              <w:pPr>
                <w:pStyle w:val="46"/>
                <w:jc w:val="both"/>
                <w:rPr>
                  <w:rFonts w:ascii="Times New Roman" w:hAnsi="Times New Roman" w:cs="Times New Roman"/>
                </w:rPr>
              </w:pPr>
              <w:r>
                <w:rPr>
                  <w:rFonts w:ascii="Times New Roman" w:hAnsi="Times New Roman" w:cs="Times New Roman"/>
                </w:rPr>
                <w:t xml:space="preserve">Mohamed Al Kilani, V. K. (2016). An Overview of Research Methodology in Information System (IS). </w:t>
              </w:r>
              <w:r>
                <w:rPr>
                  <w:rFonts w:ascii="Times New Roman" w:hAnsi="Times New Roman" w:cs="Times New Roman"/>
                </w:rPr>
                <w:tab/>
              </w:r>
              <w:r>
                <w:rPr>
                  <w:rFonts w:ascii="Times New Roman" w:hAnsi="Times New Roman" w:cs="Times New Roman"/>
                  <w:i/>
                  <w:iCs/>
                </w:rPr>
                <w:t>International Journal of Research &amp; Review</w:t>
              </w:r>
              <w:r>
                <w:rPr>
                  <w:rFonts w:ascii="Times New Roman" w:hAnsi="Times New Roman" w:cs="Times New Roman"/>
                </w:rPr>
                <w:t xml:space="preserve"> , 137-161.</w:t>
              </w:r>
            </w:p>
            <w:p w14:paraId="22602AB0">
              <w:pPr>
                <w:pStyle w:val="46"/>
                <w:jc w:val="both"/>
                <w:rPr>
                  <w:rFonts w:ascii="Times New Roman" w:hAnsi="Times New Roman" w:cs="Times New Roman"/>
                </w:rPr>
              </w:pPr>
              <w:r>
                <w:rPr>
                  <w:rFonts w:ascii="Times New Roman" w:hAnsi="Times New Roman" w:cs="Times New Roman"/>
                </w:rPr>
                <w:t xml:space="preserve">Moudud-Ul-Huq, S. (2015). Corporate governance practices in Bangladesh: A comparative analysis </w:t>
              </w:r>
              <w:r>
                <w:rPr>
                  <w:rFonts w:ascii="Times New Roman" w:hAnsi="Times New Roman" w:cs="Times New Roman"/>
                </w:rPr>
                <w:tab/>
              </w:r>
              <w:r>
                <w:rPr>
                  <w:rFonts w:ascii="Times New Roman" w:hAnsi="Times New Roman" w:cs="Times New Roman"/>
                </w:rPr>
                <w:t>between conventional banks and Islamic banks.</w:t>
              </w:r>
            </w:p>
            <w:p w14:paraId="45E07121">
              <w:pPr>
                <w:pStyle w:val="46"/>
                <w:jc w:val="both"/>
                <w:rPr>
                  <w:rFonts w:ascii="Times New Roman" w:hAnsi="Times New Roman" w:cs="Times New Roman"/>
                </w:rPr>
              </w:pPr>
              <w:r>
                <w:rPr>
                  <w:rFonts w:ascii="Times New Roman" w:hAnsi="Times New Roman" w:cs="Times New Roman"/>
                </w:rPr>
                <w:t xml:space="preserve">Noman, A. H. (2015). Comparative Performance Analysis between Conventional and Islamic Banks in </w:t>
              </w:r>
              <w:r>
                <w:rPr>
                  <w:rFonts w:ascii="Times New Roman" w:hAnsi="Times New Roman" w:cs="Times New Roman"/>
                </w:rPr>
                <w:tab/>
              </w:r>
              <w:r>
                <w:rPr>
                  <w:rFonts w:ascii="Times New Roman" w:hAnsi="Times New Roman" w:cs="Times New Roman"/>
                </w:rPr>
                <w:t xml:space="preserve">Bangladesh- An Application of Binary Logistic Regression. </w:t>
              </w:r>
              <w:r>
                <w:rPr>
                  <w:rFonts w:ascii="Times New Roman" w:hAnsi="Times New Roman" w:cs="Times New Roman"/>
                  <w:i/>
                  <w:iCs/>
                </w:rPr>
                <w:t>Asian Social Science, 11(21)</w:t>
              </w:r>
              <w:r>
                <w:rPr>
                  <w:rFonts w:ascii="Times New Roman" w:hAnsi="Times New Roman" w:cs="Times New Roman"/>
                </w:rPr>
                <w:t xml:space="preserve"> , 248.</w:t>
              </w:r>
            </w:p>
            <w:p w14:paraId="368C1BEE">
              <w:pPr>
                <w:pStyle w:val="46"/>
                <w:jc w:val="both"/>
                <w:rPr>
                  <w:rFonts w:ascii="Times New Roman" w:hAnsi="Times New Roman" w:cs="Times New Roman"/>
                </w:rPr>
              </w:pPr>
              <w:r>
                <w:rPr>
                  <w:rFonts w:ascii="Times New Roman" w:hAnsi="Times New Roman" w:cs="Times New Roman"/>
                </w:rPr>
                <w:t xml:space="preserve">Nurzaimahl, R., &amp; Mudas, I. (2016). The skills and understanding of rural enterprise management of the </w:t>
              </w:r>
              <w:r>
                <w:rPr>
                  <w:rFonts w:ascii="Times New Roman" w:hAnsi="Times New Roman" w:cs="Times New Roman"/>
                </w:rPr>
                <w:tab/>
              </w:r>
              <w:r>
                <w:rPr>
                  <w:rFonts w:ascii="Times New Roman" w:hAnsi="Times New Roman" w:cs="Times New Roman"/>
                </w:rPr>
                <w:t xml:space="preserve">preparation of financial statements using Financial Accounting Standards (IFRs) financial </w:t>
              </w:r>
              <w:r>
                <w:rPr>
                  <w:rFonts w:ascii="Times New Roman" w:hAnsi="Times New Roman" w:cs="Times New Roman"/>
                </w:rPr>
                <w:tab/>
              </w:r>
              <w:r>
                <w:rPr>
                  <w:rFonts w:ascii="Times New Roman" w:hAnsi="Times New Roman" w:cs="Times New Roman"/>
                </w:rPr>
                <w:t xml:space="preserve">statement on the Entities Without Public Accountability (ETAP) framework on the </w:t>
              </w:r>
              <w:r>
                <w:rPr>
                  <w:rFonts w:ascii="Times New Roman" w:hAnsi="Times New Roman" w:cs="Times New Roman"/>
                </w:rPr>
                <w:tab/>
              </w:r>
              <w:r>
                <w:rPr>
                  <w:rFonts w:ascii="Times New Roman" w:hAnsi="Times New Roman" w:cs="Times New Roman"/>
                </w:rPr>
                <w:t xml:space="preserve">implementation of . </w:t>
              </w:r>
              <w:r>
                <w:rPr>
                  <w:rFonts w:ascii="Times New Roman" w:hAnsi="Times New Roman" w:cs="Times New Roman"/>
                  <w:i/>
                  <w:iCs/>
                </w:rPr>
                <w:t>International Journal of applied business and Economic reserch</w:t>
              </w:r>
              <w:r>
                <w:rPr>
                  <w:rFonts w:ascii="Times New Roman" w:hAnsi="Times New Roman" w:cs="Times New Roman"/>
                </w:rPr>
                <w:t xml:space="preserve"> .</w:t>
              </w:r>
            </w:p>
            <w:p w14:paraId="2F9118CC">
              <w:pPr>
                <w:pStyle w:val="46"/>
                <w:jc w:val="both"/>
                <w:rPr>
                  <w:rFonts w:ascii="Times New Roman" w:hAnsi="Times New Roman" w:cs="Times New Roman"/>
                </w:rPr>
              </w:pPr>
              <w:r>
                <w:rPr>
                  <w:rFonts w:ascii="Times New Roman" w:hAnsi="Times New Roman" w:cs="Times New Roman"/>
                </w:rPr>
                <w:t xml:space="preserve">Olubusayo Mesioye, I. B. (2024). Evaluating Financial Reporting Quality: Metrics, Challenges, and </w:t>
              </w:r>
              <w:r>
                <w:rPr>
                  <w:rFonts w:ascii="Times New Roman" w:hAnsi="Times New Roman" w:cs="Times New Roman"/>
                </w:rPr>
                <w:tab/>
              </w:r>
              <w:r>
                <w:rPr>
                  <w:rFonts w:ascii="Times New Roman" w:hAnsi="Times New Roman" w:cs="Times New Roman"/>
                </w:rPr>
                <w:t xml:space="preserve">Impact on Decision-Making. </w:t>
              </w:r>
              <w:r>
                <w:rPr>
                  <w:rFonts w:ascii="Times New Roman" w:hAnsi="Times New Roman" w:cs="Times New Roman"/>
                  <w:i/>
                  <w:iCs/>
                </w:rPr>
                <w:t>International Journal of Research Publication and Reviews 5(10</w:t>
              </w:r>
              <w:r>
                <w:rPr>
                  <w:rFonts w:ascii="Times New Roman" w:hAnsi="Times New Roman" w:cs="Times New Roman"/>
                </w:rPr>
                <w:t xml:space="preserve"> , </w:t>
              </w:r>
              <w:r>
                <w:rPr>
                  <w:rFonts w:ascii="Times New Roman" w:hAnsi="Times New Roman" w:cs="Times New Roman"/>
                </w:rPr>
                <w:tab/>
              </w:r>
              <w:r>
                <w:rPr>
                  <w:rFonts w:ascii="Times New Roman" w:hAnsi="Times New Roman" w:cs="Times New Roman"/>
                </w:rPr>
                <w:t>1144-1156.</w:t>
              </w:r>
            </w:p>
            <w:p w14:paraId="7824DBFA">
              <w:pPr>
                <w:pStyle w:val="46"/>
                <w:jc w:val="both"/>
                <w:rPr>
                  <w:rFonts w:ascii="Times New Roman" w:hAnsi="Times New Roman" w:cs="Times New Roman"/>
                </w:rPr>
              </w:pPr>
              <w:r>
                <w:rPr>
                  <w:rFonts w:ascii="Times New Roman" w:hAnsi="Times New Roman" w:cs="Times New Roman"/>
                </w:rPr>
                <w:t xml:space="preserve">Palepu, K. G. (2020). Business Analysis and Valuation: Using Financial Statements. </w:t>
              </w:r>
              <w:r>
                <w:rPr>
                  <w:rFonts w:ascii="Times New Roman" w:hAnsi="Times New Roman" w:cs="Times New Roman"/>
                  <w:i/>
                  <w:iCs/>
                </w:rPr>
                <w:t xml:space="preserve">Technology and </w:t>
              </w:r>
              <w:r>
                <w:rPr>
                  <w:rFonts w:ascii="Times New Roman" w:hAnsi="Times New Roman" w:cs="Times New Roman"/>
                  <w:i/>
                  <w:iCs/>
                </w:rPr>
                <w:tab/>
              </w:r>
              <w:r>
                <w:rPr>
                  <w:rFonts w:ascii="Times New Roman" w:hAnsi="Times New Roman" w:cs="Times New Roman"/>
                  <w:i/>
                  <w:iCs/>
                </w:rPr>
                <w:t>Investment,Vol.14 No.1</w:t>
              </w:r>
              <w:r>
                <w:rPr>
                  <w:rFonts w:ascii="Times New Roman" w:hAnsi="Times New Roman" w:cs="Times New Roman"/>
                </w:rPr>
                <w:t xml:space="preserve"> .</w:t>
              </w:r>
            </w:p>
            <w:p w14:paraId="20EFA0E2">
              <w:pPr>
                <w:pStyle w:val="46"/>
                <w:jc w:val="both"/>
                <w:rPr>
                  <w:rFonts w:ascii="Times New Roman" w:hAnsi="Times New Roman" w:cs="Times New Roman"/>
                </w:rPr>
              </w:pPr>
              <w:r>
                <w:rPr>
                  <w:rFonts w:ascii="Times New Roman" w:hAnsi="Times New Roman" w:cs="Times New Roman"/>
                </w:rPr>
                <w:t xml:space="preserve">Patel, M. P. (2019). Exploring Research Methodology: Review Article. </w:t>
              </w:r>
              <w:r>
                <w:rPr>
                  <w:rFonts w:ascii="Times New Roman" w:hAnsi="Times New Roman" w:cs="Times New Roman"/>
                  <w:i/>
                  <w:iCs/>
                </w:rPr>
                <w:t xml:space="preserve">International Journal of Research </w:t>
              </w:r>
              <w:r>
                <w:rPr>
                  <w:rFonts w:ascii="Times New Roman" w:hAnsi="Times New Roman" w:cs="Times New Roman"/>
                  <w:i/>
                  <w:iCs/>
                </w:rPr>
                <w:tab/>
              </w:r>
              <w:r>
                <w:rPr>
                  <w:rFonts w:ascii="Times New Roman" w:hAnsi="Times New Roman" w:cs="Times New Roman"/>
                  <w:i/>
                  <w:iCs/>
                </w:rPr>
                <w:t>and Review, 6(3)</w:t>
              </w:r>
              <w:r>
                <w:rPr>
                  <w:rFonts w:ascii="Times New Roman" w:hAnsi="Times New Roman" w:cs="Times New Roman"/>
                </w:rPr>
                <w:t xml:space="preserve"> , 48-55.</w:t>
              </w:r>
            </w:p>
            <w:p w14:paraId="0BF1696D">
              <w:pPr>
                <w:pStyle w:val="46"/>
                <w:jc w:val="both"/>
                <w:rPr>
                  <w:rFonts w:ascii="Times New Roman" w:hAnsi="Times New Roman" w:cs="Times New Roman"/>
                </w:rPr>
              </w:pPr>
              <w:r>
                <w:rPr>
                  <w:rFonts w:ascii="Times New Roman" w:hAnsi="Times New Roman" w:cs="Times New Roman"/>
                </w:rPr>
                <w:t xml:space="preserve">Pooja Nagpal, Y. N. (2022). Corporate Governance Practices &amp; Financial Statement Analysis in Rwanda </w:t>
              </w:r>
              <w:r>
                <w:rPr>
                  <w:rFonts w:ascii="Times New Roman" w:hAnsi="Times New Roman" w:cs="Times New Roman"/>
                </w:rPr>
                <w:tab/>
              </w:r>
              <w:r>
                <w:rPr>
                  <w:rFonts w:ascii="Times New Roman" w:hAnsi="Times New Roman" w:cs="Times New Roman"/>
                </w:rPr>
                <w:t xml:space="preserve">-A Case Study of Bank of Rwanda of the Creative Commons Attribution License. </w:t>
              </w:r>
              <w:r>
                <w:rPr>
                  <w:rFonts w:ascii="Times New Roman" w:hAnsi="Times New Roman" w:cs="Times New Roman"/>
                  <w:i/>
                  <w:iCs/>
                </w:rPr>
                <w:t xml:space="preserve">International </w:t>
              </w:r>
              <w:r>
                <w:rPr>
                  <w:rFonts w:ascii="Times New Roman" w:hAnsi="Times New Roman" w:cs="Times New Roman"/>
                  <w:i/>
                  <w:iCs/>
                </w:rPr>
                <w:tab/>
              </w:r>
              <w:r>
                <w:rPr>
                  <w:rFonts w:ascii="Times New Roman" w:hAnsi="Times New Roman" w:cs="Times New Roman"/>
                  <w:i/>
                  <w:iCs/>
                </w:rPr>
                <w:t>Journal of Trend in Scientific Research and Development (IJTSRD)</w:t>
              </w:r>
              <w:r>
                <w:rPr>
                  <w:rFonts w:ascii="Times New Roman" w:hAnsi="Times New Roman" w:cs="Times New Roman"/>
                </w:rPr>
                <w:t xml:space="preserve"> , 1821-1829.</w:t>
              </w:r>
            </w:p>
            <w:p w14:paraId="139AA85B">
              <w:pPr>
                <w:pStyle w:val="46"/>
                <w:jc w:val="both"/>
                <w:rPr>
                  <w:rFonts w:ascii="Times New Roman" w:hAnsi="Times New Roman" w:cs="Times New Roman"/>
                </w:rPr>
              </w:pPr>
              <w:r>
                <w:rPr>
                  <w:rFonts w:ascii="Times New Roman" w:hAnsi="Times New Roman" w:cs="Times New Roman"/>
                </w:rPr>
                <w:t>Quesada-Pineda, H. (2019). Analysis of financial statements using ratios.</w:t>
              </w:r>
            </w:p>
            <w:p w14:paraId="2D117C44">
              <w:pPr>
                <w:pStyle w:val="46"/>
                <w:jc w:val="both"/>
                <w:rPr>
                  <w:rFonts w:ascii="Times New Roman" w:hAnsi="Times New Roman" w:cs="Times New Roman"/>
                </w:rPr>
              </w:pPr>
              <w:r>
                <w:rPr>
                  <w:rFonts w:ascii="Times New Roman" w:hAnsi="Times New Roman" w:cs="Times New Roman"/>
                </w:rPr>
                <w:t xml:space="preserve">R. Daniel Eka Prasetya Antawirya, I. G., &amp; I Gde Ary Wirajaya, I. G. (2019). Application of fraud </w:t>
              </w:r>
              <w:r>
                <w:rPr>
                  <w:rFonts w:ascii="Times New Roman" w:hAnsi="Times New Roman" w:cs="Times New Roman"/>
                </w:rPr>
                <w:tab/>
              </w:r>
              <w:r>
                <w:rPr>
                  <w:rFonts w:ascii="Times New Roman" w:hAnsi="Times New Roman" w:cs="Times New Roman"/>
                </w:rPr>
                <w:t xml:space="preserve">pentagon in detecting financial statement fraud. </w:t>
              </w:r>
              <w:r>
                <w:rPr>
                  <w:rFonts w:ascii="Times New Roman" w:hAnsi="Times New Roman" w:cs="Times New Roman"/>
                  <w:i/>
                  <w:iCs/>
                </w:rPr>
                <w:t xml:space="preserve">International Research Journal of Management </w:t>
              </w:r>
              <w:r>
                <w:rPr>
                  <w:rFonts w:ascii="Times New Roman" w:hAnsi="Times New Roman" w:cs="Times New Roman"/>
                  <w:i/>
                  <w:iCs/>
                </w:rPr>
                <w:tab/>
              </w:r>
              <w:r>
                <w:rPr>
                  <w:rFonts w:ascii="Times New Roman" w:hAnsi="Times New Roman" w:cs="Times New Roman"/>
                  <w:i/>
                  <w:iCs/>
                </w:rPr>
                <w:t>IT and Social Sciences 6(5)</w:t>
              </w:r>
              <w:r>
                <w:rPr>
                  <w:rFonts w:ascii="Times New Roman" w:hAnsi="Times New Roman" w:cs="Times New Roman"/>
                </w:rPr>
                <w:t xml:space="preserve"> , 73-80.</w:t>
              </w:r>
            </w:p>
            <w:p w14:paraId="028A24F2">
              <w:pPr>
                <w:pStyle w:val="46"/>
                <w:jc w:val="both"/>
                <w:rPr>
                  <w:rFonts w:ascii="Times New Roman" w:hAnsi="Times New Roman" w:cs="Times New Roman"/>
                </w:rPr>
              </w:pPr>
              <w:r>
                <w:rPr>
                  <w:rFonts w:ascii="Times New Roman" w:hAnsi="Times New Roman" w:cs="Times New Roman"/>
                </w:rPr>
                <w:t xml:space="preserve">Rahman, M. M. (2015). Rahman, M. M., Rahman, M. A., &amp; Azad, M. A. K. (2015). Risk management </w:t>
              </w:r>
              <w:r>
                <w:rPr>
                  <w:rFonts w:ascii="Times New Roman" w:hAnsi="Times New Roman" w:cs="Times New Roman"/>
                </w:rPr>
                <w:tab/>
              </w:r>
              <w:r>
                <w:rPr>
                  <w:rFonts w:ascii="Times New Roman" w:hAnsi="Times New Roman" w:cs="Times New Roman"/>
                </w:rPr>
                <w:t xml:space="preserve">practices in Islamic and conventional banks of Bangladesh: A comparative analysis. . </w:t>
              </w:r>
              <w:r>
                <w:rPr>
                  <w:rFonts w:ascii="Times New Roman" w:hAnsi="Times New Roman" w:cs="Times New Roman"/>
                  <w:i/>
                  <w:iCs/>
                </w:rPr>
                <w:t xml:space="preserve">Asian </w:t>
              </w:r>
              <w:r>
                <w:rPr>
                  <w:rFonts w:ascii="Times New Roman" w:hAnsi="Times New Roman" w:cs="Times New Roman"/>
                  <w:i/>
                  <w:iCs/>
                </w:rPr>
                <w:tab/>
              </w:r>
              <w:r>
                <w:rPr>
                  <w:rFonts w:ascii="Times New Roman" w:hAnsi="Times New Roman" w:cs="Times New Roman"/>
                  <w:i/>
                  <w:iCs/>
                </w:rPr>
                <w:t>Social Science, 11(18)</w:t>
              </w:r>
              <w:r>
                <w:rPr>
                  <w:rFonts w:ascii="Times New Roman" w:hAnsi="Times New Roman" w:cs="Times New Roman"/>
                </w:rPr>
                <w:t xml:space="preserve"> , 153.</w:t>
              </w:r>
            </w:p>
            <w:p w14:paraId="3E8C8B15">
              <w:pPr>
                <w:pStyle w:val="46"/>
                <w:jc w:val="both"/>
                <w:rPr>
                  <w:rFonts w:ascii="Times New Roman" w:hAnsi="Times New Roman" w:cs="Times New Roman"/>
                </w:rPr>
              </w:pPr>
              <w:r>
                <w:rPr>
                  <w:rFonts w:ascii="Times New Roman" w:hAnsi="Times New Roman" w:cs="Times New Roman"/>
                </w:rPr>
                <w:t xml:space="preserve">Raihan Noval Akbar, A. Z. (2022). FINANCIAL STATEMENT ANALYSIS OF FRAUD WITH </w:t>
              </w:r>
              <w:r>
                <w:rPr>
                  <w:rFonts w:ascii="Times New Roman" w:hAnsi="Times New Roman" w:cs="Times New Roman"/>
                </w:rPr>
                <w:tab/>
              </w:r>
              <w:r>
                <w:rPr>
                  <w:rFonts w:ascii="Times New Roman" w:hAnsi="Times New Roman" w:cs="Times New Roman"/>
                </w:rPr>
                <w:t xml:space="preserve">HEXAGON THEORY FRAUD APPROACH. </w:t>
              </w:r>
              <w:r>
                <w:rPr>
                  <w:rFonts w:ascii="Times New Roman" w:hAnsi="Times New Roman" w:cs="Times New Roman"/>
                  <w:i/>
                  <w:iCs/>
                </w:rPr>
                <w:t>Jurnal Akuntansi, Perpajakan dan Auditing, 3(1)</w:t>
              </w:r>
              <w:r>
                <w:rPr>
                  <w:rFonts w:ascii="Times New Roman" w:hAnsi="Times New Roman" w:cs="Times New Roman"/>
                </w:rPr>
                <w:t xml:space="preserve"> , </w:t>
              </w:r>
              <w:r>
                <w:rPr>
                  <w:rFonts w:ascii="Times New Roman" w:hAnsi="Times New Roman" w:cs="Times New Roman"/>
                </w:rPr>
                <w:tab/>
              </w:r>
              <w:r>
                <w:rPr>
                  <w:rFonts w:ascii="Times New Roman" w:hAnsi="Times New Roman" w:cs="Times New Roman"/>
                </w:rPr>
                <w:t>137-161.</w:t>
              </w:r>
            </w:p>
            <w:p w14:paraId="22EA2AB2">
              <w:pPr>
                <w:pStyle w:val="46"/>
                <w:jc w:val="both"/>
                <w:rPr>
                  <w:rFonts w:ascii="Times New Roman" w:hAnsi="Times New Roman" w:cs="Times New Roman"/>
                </w:rPr>
              </w:pPr>
              <w:r>
                <w:rPr>
                  <w:rFonts w:ascii="Times New Roman" w:hAnsi="Times New Roman" w:cs="Times New Roman"/>
                </w:rPr>
                <w:t xml:space="preserve">Ratmi Dewi, J. H. (2020). The Effect Of Government Accounting Standards, Internal ControlSystems, </w:t>
              </w:r>
              <w:r>
                <w:rPr>
                  <w:rFonts w:ascii="Times New Roman" w:hAnsi="Times New Roman" w:cs="Times New Roman"/>
                </w:rPr>
                <w:tab/>
              </w:r>
              <w:r>
                <w:rPr>
                  <w:rFonts w:ascii="Times New Roman" w:hAnsi="Times New Roman" w:cs="Times New Roman"/>
                </w:rPr>
                <w:t xml:space="preserve">Competence Of Human Resources, And Use OfInformation Technology On Quality Of Financial </w:t>
              </w:r>
              <w:r>
                <w:rPr>
                  <w:rFonts w:ascii="Times New Roman" w:hAnsi="Times New Roman" w:cs="Times New Roman"/>
                </w:rPr>
                <w:tab/>
              </w:r>
              <w:r>
                <w:rPr>
                  <w:rFonts w:ascii="Times New Roman" w:hAnsi="Times New Roman" w:cs="Times New Roman"/>
                </w:rPr>
                <w:t xml:space="preserve">Statements. </w:t>
              </w:r>
              <w:r>
                <w:rPr>
                  <w:rFonts w:ascii="Times New Roman" w:hAnsi="Times New Roman" w:cs="Times New Roman"/>
                  <w:i/>
                  <w:iCs/>
                </w:rPr>
                <w:t>International Journal of Innovative Research and Advanced Studies (IJIRAS)</w:t>
              </w:r>
              <w:r>
                <w:rPr>
                  <w:rFonts w:ascii="Times New Roman" w:hAnsi="Times New Roman" w:cs="Times New Roman"/>
                </w:rPr>
                <w:t xml:space="preserve"> , 4-10.</w:t>
              </w:r>
            </w:p>
            <w:p w14:paraId="1BB485B6">
              <w:pPr>
                <w:pStyle w:val="46"/>
                <w:jc w:val="both"/>
                <w:rPr>
                  <w:rFonts w:ascii="Times New Roman" w:hAnsi="Times New Roman" w:cs="Times New Roman"/>
                </w:rPr>
              </w:pPr>
              <w:r>
                <w:rPr>
                  <w:rFonts w:ascii="Times New Roman" w:hAnsi="Times New Roman" w:cs="Times New Roman"/>
                </w:rPr>
                <w:t xml:space="preserve">Richard G. Schroeder, M. W. (2025). </w:t>
              </w:r>
              <w:r>
                <w:rPr>
                  <w:rFonts w:ascii="Times New Roman" w:hAnsi="Times New Roman" w:cs="Times New Roman"/>
                  <w:i/>
                  <w:iCs/>
                </w:rPr>
                <w:t xml:space="preserve">Financial Accounting Theory and Analysis: Text and Cases, 50th </w:t>
              </w:r>
              <w:r>
                <w:rPr>
                  <w:rFonts w:ascii="Times New Roman" w:hAnsi="Times New Roman" w:cs="Times New Roman"/>
                  <w:i/>
                  <w:iCs/>
                </w:rPr>
                <w:tab/>
              </w:r>
              <w:r>
                <w:rPr>
                  <w:rFonts w:ascii="Times New Roman" w:hAnsi="Times New Roman" w:cs="Times New Roman"/>
                  <w:i/>
                  <w:iCs/>
                </w:rPr>
                <w:t>Anniversary.</w:t>
              </w:r>
              <w:r>
                <w:rPr>
                  <w:rFonts w:ascii="Times New Roman" w:hAnsi="Times New Roman" w:cs="Times New Roman"/>
                </w:rPr>
                <w:t xml:space="preserve"> Hoboken, New Jersey (US): John Wiley &amp; Sons Inc.</w:t>
              </w:r>
            </w:p>
            <w:p w14:paraId="67FA4A83">
              <w:pPr>
                <w:pStyle w:val="46"/>
                <w:jc w:val="both"/>
                <w:rPr>
                  <w:rFonts w:ascii="Times New Roman" w:hAnsi="Times New Roman" w:cs="Times New Roman"/>
                </w:rPr>
              </w:pPr>
              <w:r>
                <w:rPr>
                  <w:rFonts w:ascii="Times New Roman" w:hAnsi="Times New Roman" w:cs="Times New Roman"/>
                </w:rPr>
                <w:t xml:space="preserve">Rif'atul Fitriyah, S. N. (2021). FRAUD PENTAGON THEORY FOR DETECTING FINANCIAL </w:t>
              </w:r>
              <w:r>
                <w:rPr>
                  <w:rFonts w:ascii="Times New Roman" w:hAnsi="Times New Roman" w:cs="Times New Roman"/>
                </w:rPr>
                <w:tab/>
              </w:r>
              <w:r>
                <w:rPr>
                  <w:rFonts w:ascii="Times New Roman" w:hAnsi="Times New Roman" w:cs="Times New Roman"/>
                </w:rPr>
                <w:t xml:space="preserve">STATEMENT FRAUDULENT. </w:t>
              </w:r>
              <w:r>
                <w:rPr>
                  <w:rFonts w:ascii="Times New Roman" w:hAnsi="Times New Roman" w:cs="Times New Roman"/>
                  <w:i/>
                  <w:iCs/>
                </w:rPr>
                <w:t>Jurnal Riset Akuntansi Kontemporer,13(1)</w:t>
              </w:r>
              <w:r>
                <w:rPr>
                  <w:rFonts w:ascii="Times New Roman" w:hAnsi="Times New Roman" w:cs="Times New Roman"/>
                </w:rPr>
                <w:t xml:space="preserve"> , 20-25.</w:t>
              </w:r>
            </w:p>
            <w:p w14:paraId="634F4A09">
              <w:pPr>
                <w:pStyle w:val="46"/>
                <w:jc w:val="both"/>
                <w:rPr>
                  <w:rFonts w:ascii="Times New Roman" w:hAnsi="Times New Roman" w:cs="Times New Roman"/>
                </w:rPr>
              </w:pPr>
              <w:r>
                <w:rPr>
                  <w:rFonts w:ascii="Times New Roman" w:hAnsi="Times New Roman" w:cs="Times New Roman"/>
                </w:rPr>
                <w:t xml:space="preserve">Robinson, T. R., &amp; Henry, E. (2020). </w:t>
              </w:r>
              <w:r>
                <w:rPr>
                  <w:rFonts w:ascii="Times New Roman" w:hAnsi="Times New Roman" w:cs="Times New Roman"/>
                  <w:i/>
                  <w:iCs/>
                </w:rPr>
                <w:t>International financial statement analysis.</w:t>
              </w:r>
              <w:r>
                <w:rPr>
                  <w:rFonts w:ascii="Times New Roman" w:hAnsi="Times New Roman" w:cs="Times New Roman"/>
                </w:rPr>
                <w:t xml:space="preserve"> John Wiley &amp; Sons.</w:t>
              </w:r>
            </w:p>
            <w:p w14:paraId="41D99160">
              <w:pPr>
                <w:pStyle w:val="46"/>
                <w:jc w:val="both"/>
                <w:rPr>
                  <w:rFonts w:ascii="Times New Roman" w:hAnsi="Times New Roman" w:cs="Times New Roman"/>
                </w:rPr>
              </w:pPr>
              <w:r>
                <w:rPr>
                  <w:rFonts w:ascii="Times New Roman" w:hAnsi="Times New Roman" w:cs="Times New Roman"/>
                </w:rPr>
                <w:t xml:space="preserve">Snyder, H. (2019). Literature review as a research methodology: An overview and guidelines. </w:t>
              </w:r>
              <w:r>
                <w:rPr>
                  <w:rFonts w:ascii="Times New Roman" w:hAnsi="Times New Roman" w:cs="Times New Roman"/>
                  <w:i/>
                  <w:iCs/>
                </w:rPr>
                <w:t xml:space="preserve">Journal of </w:t>
              </w:r>
              <w:r>
                <w:rPr>
                  <w:rFonts w:ascii="Times New Roman" w:hAnsi="Times New Roman" w:cs="Times New Roman"/>
                  <w:i/>
                  <w:iCs/>
                </w:rPr>
                <w:tab/>
              </w:r>
              <w:r>
                <w:rPr>
                  <w:rFonts w:ascii="Times New Roman" w:hAnsi="Times New Roman" w:cs="Times New Roman"/>
                  <w:i/>
                  <w:iCs/>
                </w:rPr>
                <w:t>Business Research</w:t>
              </w:r>
              <w:r>
                <w:rPr>
                  <w:rFonts w:ascii="Times New Roman" w:hAnsi="Times New Roman" w:cs="Times New Roman"/>
                </w:rPr>
                <w:t xml:space="preserve"> , 333-339.</w:t>
              </w:r>
            </w:p>
            <w:p w14:paraId="010A53B9">
              <w:pPr>
                <w:pStyle w:val="46"/>
                <w:jc w:val="both"/>
                <w:rPr>
                  <w:rFonts w:ascii="Times New Roman" w:hAnsi="Times New Roman" w:cs="Times New Roman"/>
                </w:rPr>
              </w:pPr>
              <w:r>
                <w:rPr>
                  <w:rFonts w:ascii="Times New Roman" w:hAnsi="Times New Roman" w:cs="Times New Roman"/>
                </w:rPr>
                <w:t xml:space="preserve">Sonia Rezina, N. J., &amp; Shaimom Rubaiyat, C. (2020). Non-Performing Loan in Bangladesh: A </w:t>
              </w:r>
              <w:r>
                <w:rPr>
                  <w:rFonts w:ascii="Times New Roman" w:hAnsi="Times New Roman" w:cs="Times New Roman"/>
                </w:rPr>
                <w:tab/>
              </w:r>
              <w:r>
                <w:rPr>
                  <w:rFonts w:ascii="Times New Roman" w:hAnsi="Times New Roman" w:cs="Times New Roman"/>
                </w:rPr>
                <w:t xml:space="preserve">Comparative Study on the Islamic Banks and Conventional Banks. </w:t>
              </w:r>
              <w:r>
                <w:rPr>
                  <w:rFonts w:ascii="Times New Roman" w:hAnsi="Times New Roman" w:cs="Times New Roman"/>
                  <w:i/>
                  <w:iCs/>
                </w:rPr>
                <w:t xml:space="preserve">Indian Journal of Finance and </w:t>
              </w:r>
              <w:r>
                <w:rPr>
                  <w:rFonts w:ascii="Times New Roman" w:hAnsi="Times New Roman" w:cs="Times New Roman"/>
                  <w:i/>
                  <w:iCs/>
                </w:rPr>
                <w:tab/>
              </w:r>
              <w:r>
                <w:rPr>
                  <w:rFonts w:ascii="Times New Roman" w:hAnsi="Times New Roman" w:cs="Times New Roman"/>
                  <w:i/>
                  <w:iCs/>
                </w:rPr>
                <w:t>Banking 4(1)</w:t>
              </w:r>
              <w:r>
                <w:rPr>
                  <w:rFonts w:ascii="Times New Roman" w:hAnsi="Times New Roman" w:cs="Times New Roman"/>
                </w:rPr>
                <w:t xml:space="preserve"> , 76-83.</w:t>
              </w:r>
            </w:p>
            <w:p w14:paraId="2E758EA6">
              <w:pPr>
                <w:jc w:val="both"/>
              </w:pPr>
              <w:r>
                <w:fldChar w:fldCharType="end"/>
              </w:r>
            </w:p>
          </w:sdtContent>
        </w:sdt>
      </w:sdtContent>
    </w:sdt>
    <w:p w14:paraId="7E7FA380">
      <w:pPr>
        <w:jc w:val="both"/>
        <w:rPr>
          <w:rFonts w:ascii="Times New Roman" w:hAnsi="Times New Roman" w:cs="Times New Roman"/>
        </w:rPr>
      </w:pPr>
    </w:p>
    <w:p w14:paraId="3515E4B2">
      <w:pPr>
        <w:pStyle w:val="26"/>
        <w:pageBreakBefore/>
        <w:rPr>
          <w:sz w:val="23"/>
          <w:szCs w:val="23"/>
        </w:rPr>
      </w:pPr>
      <w:bookmarkStart w:id="98" w:name="_Toc223040507"/>
      <w:bookmarkStart w:id="99" w:name="_Toc223264670"/>
      <w:r>
        <w:rPr>
          <w:rStyle w:val="25"/>
        </w:rPr>
        <w:t>Appendix</w:t>
      </w:r>
      <w:bookmarkEnd w:id="98"/>
      <w:bookmarkEnd w:id="99"/>
      <w:r>
        <w:rPr>
          <w:rStyle w:val="25"/>
        </w:rPr>
        <w:tab/>
      </w:r>
      <w:r>
        <w:rPr>
          <w:rStyle w:val="33"/>
          <w:u w:val="single"/>
        </w:rPr>
        <w:tab/>
      </w:r>
      <w:r>
        <w:rPr>
          <w:rStyle w:val="33"/>
          <w:u w:val="single"/>
        </w:rPr>
        <w:tab/>
      </w:r>
      <w:r>
        <w:rPr>
          <w:rStyle w:val="33"/>
          <w:u w:val="single"/>
        </w:rPr>
        <w:tab/>
      </w:r>
      <w:r>
        <w:rPr>
          <w:rStyle w:val="33"/>
          <w:u w:val="single"/>
        </w:rPr>
        <w:tab/>
      </w:r>
      <w:r>
        <w:rPr>
          <w:rStyle w:val="33"/>
          <w:u w:val="single"/>
        </w:rPr>
        <w:tab/>
      </w:r>
      <w:r>
        <w:rPr>
          <w:rStyle w:val="33"/>
          <w:u w:val="single"/>
        </w:rPr>
        <w:tab/>
      </w:r>
      <w:r>
        <w:rPr>
          <w:rStyle w:val="33"/>
          <w:u w:val="single"/>
        </w:rPr>
        <w:tab/>
      </w:r>
      <w:r>
        <w:rPr>
          <w:rStyle w:val="33"/>
          <w:u w:val="single"/>
        </w:rPr>
        <w:tab/>
      </w:r>
      <w:r>
        <w:rPr>
          <w:rStyle w:val="33"/>
          <w:u w:val="single"/>
        </w:rPr>
        <w:tab/>
      </w:r>
      <w:r>
        <w:rPr>
          <w:rStyle w:val="33"/>
          <w:u w:val="single"/>
        </w:rPr>
        <w:tab/>
      </w:r>
      <w:r>
        <w:rPr>
          <w:b/>
          <w:bCs/>
          <w:sz w:val="26"/>
          <w:szCs w:val="26"/>
        </w:rPr>
        <w:br w:type="textWrapping"/>
      </w:r>
      <w:r>
        <w:rPr>
          <w:b/>
          <w:bCs/>
          <w:sz w:val="26"/>
          <w:szCs w:val="26"/>
        </w:rPr>
        <w:br w:type="textWrapping"/>
      </w:r>
      <w:r>
        <w:rPr>
          <w:b/>
          <w:bCs/>
          <w:sz w:val="26"/>
          <w:szCs w:val="26"/>
        </w:rPr>
        <w:t>A-1: Name of the Bank</w:t>
      </w:r>
      <w:r>
        <w:rPr>
          <w:b/>
          <w:bCs/>
          <w:sz w:val="26"/>
          <w:szCs w:val="26"/>
        </w:rPr>
        <w:br w:type="textWrapping"/>
      </w:r>
    </w:p>
    <w:tbl>
      <w:tblPr>
        <w:tblStyle w:val="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0"/>
        <w:gridCol w:w="4148"/>
        <w:gridCol w:w="3073"/>
      </w:tblGrid>
      <w:tr w14:paraId="345BC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1890" w:type="dxa"/>
          </w:tcPr>
          <w:p w14:paraId="5C7B376C">
            <w:pPr>
              <w:pStyle w:val="26"/>
              <w:jc w:val="center"/>
              <w:rPr>
                <w:sz w:val="23"/>
                <w:szCs w:val="23"/>
              </w:rPr>
            </w:pPr>
            <w:r>
              <w:rPr>
                <w:sz w:val="23"/>
                <w:szCs w:val="23"/>
              </w:rPr>
              <w:t>Bank Code</w:t>
            </w:r>
          </w:p>
        </w:tc>
        <w:tc>
          <w:tcPr>
            <w:tcW w:w="4148" w:type="dxa"/>
          </w:tcPr>
          <w:p w14:paraId="07DB8B53">
            <w:pPr>
              <w:pStyle w:val="26"/>
              <w:jc w:val="center"/>
              <w:rPr>
                <w:sz w:val="23"/>
                <w:szCs w:val="23"/>
              </w:rPr>
            </w:pPr>
            <w:r>
              <w:rPr>
                <w:sz w:val="23"/>
                <w:szCs w:val="23"/>
              </w:rPr>
              <w:t>Bank Name</w:t>
            </w:r>
          </w:p>
        </w:tc>
        <w:tc>
          <w:tcPr>
            <w:tcW w:w="3073" w:type="dxa"/>
          </w:tcPr>
          <w:p w14:paraId="229AAE22">
            <w:pPr>
              <w:pStyle w:val="26"/>
              <w:jc w:val="center"/>
              <w:rPr>
                <w:sz w:val="23"/>
                <w:szCs w:val="23"/>
              </w:rPr>
            </w:pPr>
            <w:r>
              <w:rPr>
                <w:sz w:val="23"/>
                <w:szCs w:val="23"/>
              </w:rPr>
              <w:t>Islamic (I)/Conventional (N)</w:t>
            </w:r>
          </w:p>
        </w:tc>
      </w:tr>
      <w:tr w14:paraId="0D35C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1890" w:type="dxa"/>
          </w:tcPr>
          <w:p w14:paraId="0104C167">
            <w:pPr>
              <w:pStyle w:val="26"/>
              <w:jc w:val="center"/>
              <w:rPr>
                <w:sz w:val="23"/>
                <w:szCs w:val="23"/>
              </w:rPr>
            </w:pPr>
            <w:r>
              <w:rPr>
                <w:sz w:val="23"/>
                <w:szCs w:val="23"/>
              </w:rPr>
              <w:t>Ⅰ</w:t>
            </w:r>
          </w:p>
        </w:tc>
        <w:tc>
          <w:tcPr>
            <w:tcW w:w="4148" w:type="dxa"/>
          </w:tcPr>
          <w:p w14:paraId="0FF5404D">
            <w:pPr>
              <w:pStyle w:val="26"/>
              <w:jc w:val="center"/>
              <w:rPr>
                <w:sz w:val="23"/>
                <w:szCs w:val="23"/>
              </w:rPr>
            </w:pPr>
            <w:r>
              <w:t>FIRST SECURITY ISLAMI BANK LIMITED</w:t>
            </w:r>
          </w:p>
        </w:tc>
        <w:tc>
          <w:tcPr>
            <w:tcW w:w="3073" w:type="dxa"/>
          </w:tcPr>
          <w:p w14:paraId="2F7F7815">
            <w:pPr>
              <w:pStyle w:val="26"/>
              <w:jc w:val="center"/>
              <w:rPr>
                <w:sz w:val="23"/>
                <w:szCs w:val="23"/>
              </w:rPr>
            </w:pPr>
            <w:r>
              <w:rPr>
                <w:sz w:val="23"/>
                <w:szCs w:val="23"/>
              </w:rPr>
              <w:t>I</w:t>
            </w:r>
          </w:p>
        </w:tc>
      </w:tr>
      <w:tr w14:paraId="00081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1890" w:type="dxa"/>
          </w:tcPr>
          <w:p w14:paraId="4F6786EB">
            <w:pPr>
              <w:pStyle w:val="26"/>
              <w:jc w:val="center"/>
              <w:rPr>
                <w:sz w:val="23"/>
                <w:szCs w:val="23"/>
              </w:rPr>
            </w:pPr>
            <w:r>
              <w:rPr>
                <w:sz w:val="23"/>
                <w:szCs w:val="23"/>
              </w:rPr>
              <w:t>Ⅱ</w:t>
            </w:r>
          </w:p>
        </w:tc>
        <w:tc>
          <w:tcPr>
            <w:tcW w:w="4148" w:type="dxa"/>
          </w:tcPr>
          <w:p w14:paraId="25E4D5E6">
            <w:pPr>
              <w:pStyle w:val="26"/>
              <w:jc w:val="center"/>
              <w:rPr>
                <w:sz w:val="23"/>
                <w:szCs w:val="23"/>
              </w:rPr>
            </w:pPr>
            <w:r>
              <w:t>ICB ISLAMI BANK LIMITED</w:t>
            </w:r>
          </w:p>
        </w:tc>
        <w:tc>
          <w:tcPr>
            <w:tcW w:w="3073" w:type="dxa"/>
          </w:tcPr>
          <w:p w14:paraId="5D85CAAA">
            <w:pPr>
              <w:pStyle w:val="26"/>
              <w:jc w:val="center"/>
              <w:rPr>
                <w:sz w:val="23"/>
                <w:szCs w:val="23"/>
              </w:rPr>
            </w:pPr>
            <w:r>
              <w:rPr>
                <w:sz w:val="23"/>
                <w:szCs w:val="23"/>
              </w:rPr>
              <w:t>I</w:t>
            </w:r>
          </w:p>
        </w:tc>
      </w:tr>
      <w:tr w14:paraId="1CD99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1890" w:type="dxa"/>
          </w:tcPr>
          <w:p w14:paraId="04F95748">
            <w:pPr>
              <w:pStyle w:val="26"/>
              <w:jc w:val="center"/>
              <w:rPr>
                <w:sz w:val="23"/>
                <w:szCs w:val="23"/>
              </w:rPr>
            </w:pPr>
            <w:r>
              <w:rPr>
                <w:sz w:val="23"/>
                <w:szCs w:val="23"/>
              </w:rPr>
              <w:t>Ⅲ</w:t>
            </w:r>
          </w:p>
        </w:tc>
        <w:tc>
          <w:tcPr>
            <w:tcW w:w="4148" w:type="dxa"/>
          </w:tcPr>
          <w:p w14:paraId="4653B494">
            <w:pPr>
              <w:pStyle w:val="26"/>
              <w:jc w:val="center"/>
              <w:rPr>
                <w:sz w:val="23"/>
                <w:szCs w:val="23"/>
              </w:rPr>
            </w:pPr>
            <w:r>
              <w:t>ISLAMI BANK LIMITED</w:t>
            </w:r>
          </w:p>
        </w:tc>
        <w:tc>
          <w:tcPr>
            <w:tcW w:w="3073" w:type="dxa"/>
          </w:tcPr>
          <w:p w14:paraId="76402CEA">
            <w:pPr>
              <w:pStyle w:val="26"/>
              <w:jc w:val="center"/>
              <w:rPr>
                <w:sz w:val="23"/>
                <w:szCs w:val="23"/>
              </w:rPr>
            </w:pPr>
            <w:r>
              <w:rPr>
                <w:sz w:val="23"/>
                <w:szCs w:val="23"/>
              </w:rPr>
              <w:t>I</w:t>
            </w:r>
          </w:p>
        </w:tc>
      </w:tr>
      <w:tr w14:paraId="27570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1890" w:type="dxa"/>
          </w:tcPr>
          <w:p w14:paraId="55847FD5">
            <w:pPr>
              <w:pStyle w:val="26"/>
              <w:jc w:val="center"/>
              <w:rPr>
                <w:sz w:val="23"/>
                <w:szCs w:val="23"/>
              </w:rPr>
            </w:pPr>
            <w:r>
              <w:rPr>
                <w:sz w:val="23"/>
                <w:szCs w:val="23"/>
              </w:rPr>
              <w:t>Ⅳ</w:t>
            </w:r>
          </w:p>
        </w:tc>
        <w:tc>
          <w:tcPr>
            <w:tcW w:w="4148" w:type="dxa"/>
          </w:tcPr>
          <w:p w14:paraId="2CFD8EDD">
            <w:pPr>
              <w:pStyle w:val="26"/>
              <w:jc w:val="center"/>
              <w:rPr>
                <w:sz w:val="23"/>
                <w:szCs w:val="23"/>
              </w:rPr>
            </w:pPr>
            <w:r>
              <w:rPr>
                <w:sz w:val="23"/>
                <w:szCs w:val="23"/>
              </w:rPr>
              <w:t>EXIM Bank Limited</w:t>
            </w:r>
          </w:p>
        </w:tc>
        <w:tc>
          <w:tcPr>
            <w:tcW w:w="3073" w:type="dxa"/>
          </w:tcPr>
          <w:p w14:paraId="16EB2765">
            <w:pPr>
              <w:pStyle w:val="26"/>
              <w:jc w:val="center"/>
              <w:rPr>
                <w:sz w:val="23"/>
                <w:szCs w:val="23"/>
              </w:rPr>
            </w:pPr>
            <w:r>
              <w:rPr>
                <w:sz w:val="23"/>
                <w:szCs w:val="23"/>
              </w:rPr>
              <w:t>I</w:t>
            </w:r>
          </w:p>
        </w:tc>
      </w:tr>
      <w:tr w14:paraId="7CEB6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1890" w:type="dxa"/>
          </w:tcPr>
          <w:p w14:paraId="398C3514">
            <w:pPr>
              <w:pStyle w:val="26"/>
              <w:jc w:val="center"/>
              <w:rPr>
                <w:sz w:val="23"/>
                <w:szCs w:val="23"/>
              </w:rPr>
            </w:pPr>
            <w:r>
              <w:rPr>
                <w:sz w:val="23"/>
                <w:szCs w:val="23"/>
              </w:rPr>
              <w:t>Ⅴ</w:t>
            </w:r>
          </w:p>
        </w:tc>
        <w:tc>
          <w:tcPr>
            <w:tcW w:w="4148" w:type="dxa"/>
          </w:tcPr>
          <w:p w14:paraId="75A5E24A">
            <w:pPr>
              <w:pStyle w:val="26"/>
              <w:jc w:val="center"/>
              <w:rPr>
                <w:sz w:val="23"/>
                <w:szCs w:val="23"/>
              </w:rPr>
            </w:pPr>
            <w:r>
              <w:t>AL-ARAFAH ISLAMI BANK LIMITED</w:t>
            </w:r>
          </w:p>
        </w:tc>
        <w:tc>
          <w:tcPr>
            <w:tcW w:w="3073" w:type="dxa"/>
          </w:tcPr>
          <w:p w14:paraId="7BD53F30">
            <w:pPr>
              <w:pStyle w:val="26"/>
              <w:jc w:val="center"/>
              <w:rPr>
                <w:sz w:val="23"/>
                <w:szCs w:val="23"/>
              </w:rPr>
            </w:pPr>
            <w:r>
              <w:rPr>
                <w:sz w:val="23"/>
                <w:szCs w:val="23"/>
              </w:rPr>
              <w:t>I</w:t>
            </w:r>
          </w:p>
        </w:tc>
      </w:tr>
      <w:tr w14:paraId="5B3CD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1890" w:type="dxa"/>
          </w:tcPr>
          <w:p w14:paraId="07C83895">
            <w:pPr>
              <w:pStyle w:val="26"/>
              <w:jc w:val="center"/>
              <w:rPr>
                <w:sz w:val="23"/>
                <w:szCs w:val="23"/>
              </w:rPr>
            </w:pPr>
            <w:r>
              <w:rPr>
                <w:sz w:val="23"/>
                <w:szCs w:val="23"/>
              </w:rPr>
              <w:t>Ⅵ</w:t>
            </w:r>
          </w:p>
        </w:tc>
        <w:tc>
          <w:tcPr>
            <w:tcW w:w="4148" w:type="dxa"/>
          </w:tcPr>
          <w:p w14:paraId="461EFDFD">
            <w:pPr>
              <w:pStyle w:val="26"/>
              <w:jc w:val="center"/>
              <w:rPr>
                <w:sz w:val="23"/>
                <w:szCs w:val="23"/>
              </w:rPr>
            </w:pPr>
            <w:r>
              <w:rPr>
                <w:sz w:val="23"/>
                <w:szCs w:val="23"/>
              </w:rPr>
              <w:t>IFIC BANK LIMITED</w:t>
            </w:r>
          </w:p>
        </w:tc>
        <w:tc>
          <w:tcPr>
            <w:tcW w:w="3073" w:type="dxa"/>
          </w:tcPr>
          <w:p w14:paraId="5BD66B47">
            <w:pPr>
              <w:pStyle w:val="26"/>
              <w:jc w:val="center"/>
              <w:rPr>
                <w:sz w:val="23"/>
                <w:szCs w:val="23"/>
              </w:rPr>
            </w:pPr>
            <w:r>
              <w:rPr>
                <w:sz w:val="23"/>
                <w:szCs w:val="23"/>
              </w:rPr>
              <w:t>N</w:t>
            </w:r>
          </w:p>
        </w:tc>
      </w:tr>
      <w:tr w14:paraId="7DB62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1890" w:type="dxa"/>
          </w:tcPr>
          <w:p w14:paraId="31EDD397">
            <w:pPr>
              <w:pStyle w:val="26"/>
              <w:jc w:val="center"/>
              <w:rPr>
                <w:sz w:val="23"/>
                <w:szCs w:val="23"/>
              </w:rPr>
            </w:pPr>
            <w:r>
              <w:rPr>
                <w:sz w:val="23"/>
                <w:szCs w:val="23"/>
              </w:rPr>
              <w:t>Ⅶ</w:t>
            </w:r>
          </w:p>
        </w:tc>
        <w:tc>
          <w:tcPr>
            <w:tcW w:w="4148" w:type="dxa"/>
          </w:tcPr>
          <w:p w14:paraId="40625994">
            <w:pPr>
              <w:pStyle w:val="26"/>
              <w:jc w:val="center"/>
              <w:rPr>
                <w:sz w:val="23"/>
                <w:szCs w:val="23"/>
              </w:rPr>
            </w:pPr>
            <w:r>
              <w:rPr>
                <w:sz w:val="23"/>
                <w:szCs w:val="23"/>
              </w:rPr>
              <w:t>JAMUNA BANK LIMITED</w:t>
            </w:r>
          </w:p>
        </w:tc>
        <w:tc>
          <w:tcPr>
            <w:tcW w:w="3073" w:type="dxa"/>
          </w:tcPr>
          <w:p w14:paraId="274AB4FF">
            <w:pPr>
              <w:pStyle w:val="26"/>
              <w:jc w:val="center"/>
              <w:rPr>
                <w:sz w:val="23"/>
                <w:szCs w:val="23"/>
              </w:rPr>
            </w:pPr>
            <w:r>
              <w:rPr>
                <w:sz w:val="23"/>
                <w:szCs w:val="23"/>
              </w:rPr>
              <w:t>N</w:t>
            </w:r>
          </w:p>
        </w:tc>
      </w:tr>
      <w:tr w14:paraId="592F7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1890" w:type="dxa"/>
          </w:tcPr>
          <w:p w14:paraId="5BB77DA7">
            <w:pPr>
              <w:pStyle w:val="26"/>
              <w:jc w:val="center"/>
              <w:rPr>
                <w:sz w:val="23"/>
                <w:szCs w:val="23"/>
              </w:rPr>
            </w:pPr>
            <w:r>
              <w:rPr>
                <w:sz w:val="23"/>
                <w:szCs w:val="23"/>
              </w:rPr>
              <w:t>Ⅷ</w:t>
            </w:r>
          </w:p>
        </w:tc>
        <w:tc>
          <w:tcPr>
            <w:tcW w:w="4148" w:type="dxa"/>
          </w:tcPr>
          <w:p w14:paraId="4E1C44DB">
            <w:pPr>
              <w:pStyle w:val="26"/>
              <w:jc w:val="center"/>
              <w:rPr>
                <w:sz w:val="23"/>
                <w:szCs w:val="23"/>
              </w:rPr>
            </w:pPr>
            <w:r>
              <w:t>NCC BANK LIMITED</w:t>
            </w:r>
          </w:p>
        </w:tc>
        <w:tc>
          <w:tcPr>
            <w:tcW w:w="3073" w:type="dxa"/>
          </w:tcPr>
          <w:p w14:paraId="536B227A">
            <w:pPr>
              <w:pStyle w:val="26"/>
              <w:jc w:val="center"/>
              <w:rPr>
                <w:sz w:val="23"/>
                <w:szCs w:val="23"/>
              </w:rPr>
            </w:pPr>
            <w:r>
              <w:rPr>
                <w:sz w:val="23"/>
                <w:szCs w:val="23"/>
              </w:rPr>
              <w:t>N</w:t>
            </w:r>
          </w:p>
        </w:tc>
      </w:tr>
      <w:tr w14:paraId="7A40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1890" w:type="dxa"/>
          </w:tcPr>
          <w:p w14:paraId="44FD901C">
            <w:pPr>
              <w:pStyle w:val="26"/>
              <w:jc w:val="center"/>
              <w:rPr>
                <w:sz w:val="23"/>
                <w:szCs w:val="23"/>
              </w:rPr>
            </w:pPr>
            <w:r>
              <w:rPr>
                <w:sz w:val="23"/>
                <w:szCs w:val="23"/>
              </w:rPr>
              <w:t>Ⅸ</w:t>
            </w:r>
          </w:p>
        </w:tc>
        <w:tc>
          <w:tcPr>
            <w:tcW w:w="4148" w:type="dxa"/>
          </w:tcPr>
          <w:p w14:paraId="2718DADA">
            <w:pPr>
              <w:pStyle w:val="26"/>
              <w:jc w:val="center"/>
              <w:rPr>
                <w:sz w:val="23"/>
                <w:szCs w:val="23"/>
              </w:rPr>
            </w:pPr>
            <w:r>
              <w:rPr>
                <w:sz w:val="23"/>
                <w:szCs w:val="23"/>
              </w:rPr>
              <w:t>SOUTHEAST BANK LIMITED</w:t>
            </w:r>
          </w:p>
        </w:tc>
        <w:tc>
          <w:tcPr>
            <w:tcW w:w="3073" w:type="dxa"/>
          </w:tcPr>
          <w:p w14:paraId="545D86F9">
            <w:pPr>
              <w:pStyle w:val="26"/>
              <w:jc w:val="center"/>
              <w:rPr>
                <w:sz w:val="23"/>
                <w:szCs w:val="23"/>
              </w:rPr>
            </w:pPr>
            <w:r>
              <w:rPr>
                <w:sz w:val="23"/>
                <w:szCs w:val="23"/>
              </w:rPr>
              <w:t>N</w:t>
            </w:r>
          </w:p>
        </w:tc>
      </w:tr>
      <w:tr w14:paraId="62165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1890" w:type="dxa"/>
          </w:tcPr>
          <w:p w14:paraId="0A2720BE">
            <w:pPr>
              <w:pStyle w:val="26"/>
              <w:jc w:val="center"/>
              <w:rPr>
                <w:sz w:val="23"/>
                <w:szCs w:val="23"/>
              </w:rPr>
            </w:pPr>
            <w:r>
              <w:rPr>
                <w:sz w:val="23"/>
                <w:szCs w:val="23"/>
              </w:rPr>
              <w:t>Ⅹ</w:t>
            </w:r>
          </w:p>
        </w:tc>
        <w:tc>
          <w:tcPr>
            <w:tcW w:w="4148" w:type="dxa"/>
          </w:tcPr>
          <w:p w14:paraId="715FFE00">
            <w:pPr>
              <w:pStyle w:val="26"/>
              <w:jc w:val="center"/>
              <w:rPr>
                <w:sz w:val="23"/>
                <w:szCs w:val="23"/>
              </w:rPr>
            </w:pPr>
            <w:r>
              <w:rPr>
                <w:sz w:val="23"/>
                <w:szCs w:val="23"/>
              </w:rPr>
              <w:t>MUTUAL TRUST BANK LIMITED</w:t>
            </w:r>
          </w:p>
        </w:tc>
        <w:tc>
          <w:tcPr>
            <w:tcW w:w="3073" w:type="dxa"/>
          </w:tcPr>
          <w:p w14:paraId="0C80FFD9">
            <w:pPr>
              <w:pStyle w:val="26"/>
              <w:keepNext/>
              <w:jc w:val="center"/>
              <w:rPr>
                <w:sz w:val="23"/>
                <w:szCs w:val="23"/>
              </w:rPr>
            </w:pPr>
            <w:r>
              <w:rPr>
                <w:sz w:val="23"/>
                <w:szCs w:val="23"/>
              </w:rPr>
              <w:t>N</w:t>
            </w:r>
          </w:p>
        </w:tc>
      </w:tr>
    </w:tbl>
    <w:p w14:paraId="18BE8575">
      <w:pPr>
        <w:pStyle w:val="11"/>
      </w:pPr>
      <w:bookmarkStart w:id="100" w:name="_Toc223267052"/>
      <w:bookmarkStart w:id="101" w:name="_Toc223265616"/>
      <w:r>
        <w:t xml:space="preserve">Table </w:t>
      </w:r>
      <w:r>
        <w:fldChar w:fldCharType="begin"/>
      </w:r>
      <w:r>
        <w:instrText xml:space="preserve"> SEQ Table \* ARABIC </w:instrText>
      </w:r>
      <w:r>
        <w:fldChar w:fldCharType="separate"/>
      </w:r>
      <w:r>
        <w:t>7</w:t>
      </w:r>
      <w:r>
        <w:fldChar w:fldCharType="end"/>
      </w:r>
      <w:r>
        <w:t>: Name of the Bank</w:t>
      </w:r>
      <w:bookmarkEnd w:id="100"/>
      <w:bookmarkEnd w:id="101"/>
    </w:p>
    <w:p w14:paraId="44CE0C09">
      <w:pPr>
        <w:pStyle w:val="26"/>
        <w:pageBreakBefore/>
        <w:jc w:val="center"/>
        <w:rPr>
          <w:sz w:val="23"/>
          <w:szCs w:val="23"/>
        </w:rPr>
      </w:pPr>
      <w:r>
        <w:rPr>
          <w:b/>
          <w:bCs/>
          <w:sz w:val="26"/>
          <w:szCs w:val="26"/>
        </w:rPr>
        <w:t>The data set used to generate findings</w:t>
      </w:r>
      <w:r>
        <w:rPr>
          <w:sz w:val="23"/>
          <w:szCs w:val="23"/>
        </w:rPr>
        <w:br w:type="textWrapping"/>
      </w:r>
    </w:p>
    <w:tbl>
      <w:tblPr>
        <w:tblStyle w:val="9"/>
        <w:tblW w:w="97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720"/>
        <w:gridCol w:w="990"/>
        <w:gridCol w:w="1890"/>
        <w:gridCol w:w="1727"/>
        <w:gridCol w:w="1213"/>
        <w:gridCol w:w="1213"/>
        <w:gridCol w:w="1213"/>
      </w:tblGrid>
      <w:tr w14:paraId="0AABC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8" w:type="dxa"/>
            <w:shd w:val="clear" w:color="auto" w:fill="auto"/>
          </w:tcPr>
          <w:p w14:paraId="3D55AE04">
            <w:pPr>
              <w:pStyle w:val="26"/>
              <w:jc w:val="both"/>
              <w:rPr>
                <w:b/>
                <w:color w:val="auto"/>
                <w:sz w:val="22"/>
                <w:szCs w:val="22"/>
              </w:rPr>
            </w:pPr>
            <w:r>
              <w:rPr>
                <w:b/>
                <w:color w:val="auto"/>
                <w:sz w:val="22"/>
                <w:szCs w:val="22"/>
              </w:rPr>
              <w:t xml:space="preserve">Bank ID </w:t>
            </w:r>
          </w:p>
        </w:tc>
        <w:tc>
          <w:tcPr>
            <w:tcW w:w="720" w:type="dxa"/>
            <w:shd w:val="clear" w:color="auto" w:fill="auto"/>
          </w:tcPr>
          <w:p w14:paraId="115E801C">
            <w:pPr>
              <w:pStyle w:val="26"/>
              <w:jc w:val="center"/>
              <w:rPr>
                <w:b/>
                <w:color w:val="auto"/>
                <w:sz w:val="22"/>
                <w:szCs w:val="22"/>
              </w:rPr>
            </w:pPr>
            <w:r>
              <w:rPr>
                <w:b/>
                <w:color w:val="auto"/>
                <w:sz w:val="22"/>
                <w:szCs w:val="22"/>
              </w:rPr>
              <w:t>Year</w:t>
            </w:r>
          </w:p>
        </w:tc>
        <w:tc>
          <w:tcPr>
            <w:tcW w:w="990" w:type="dxa"/>
            <w:shd w:val="clear" w:color="auto" w:fill="auto"/>
          </w:tcPr>
          <w:p w14:paraId="43EDBE51">
            <w:pPr>
              <w:pStyle w:val="26"/>
              <w:jc w:val="center"/>
              <w:rPr>
                <w:b/>
                <w:color w:val="auto"/>
                <w:sz w:val="22"/>
                <w:szCs w:val="22"/>
              </w:rPr>
            </w:pPr>
            <w:r>
              <w:rPr>
                <w:b/>
                <w:color w:val="auto"/>
                <w:sz w:val="22"/>
                <w:szCs w:val="22"/>
              </w:rPr>
              <w:t>NIM</w:t>
            </w:r>
          </w:p>
        </w:tc>
        <w:tc>
          <w:tcPr>
            <w:tcW w:w="1890" w:type="dxa"/>
            <w:shd w:val="clear" w:color="auto" w:fill="auto"/>
          </w:tcPr>
          <w:p w14:paraId="0EEA1C6D">
            <w:pPr>
              <w:pStyle w:val="26"/>
              <w:jc w:val="center"/>
              <w:rPr>
                <w:b/>
                <w:color w:val="auto"/>
                <w:sz w:val="22"/>
                <w:szCs w:val="22"/>
              </w:rPr>
            </w:pPr>
            <w:r>
              <w:rPr>
                <w:b/>
                <w:color w:val="auto"/>
                <w:sz w:val="20"/>
                <w:szCs w:val="22"/>
              </w:rPr>
              <w:t>Net Interest Income(%) of Operating Income</w:t>
            </w:r>
          </w:p>
        </w:tc>
        <w:tc>
          <w:tcPr>
            <w:tcW w:w="1727" w:type="dxa"/>
            <w:shd w:val="clear" w:color="auto" w:fill="auto"/>
          </w:tcPr>
          <w:p w14:paraId="74F924D4">
            <w:pPr>
              <w:pStyle w:val="26"/>
              <w:jc w:val="center"/>
              <w:rPr>
                <w:b/>
                <w:color w:val="auto"/>
                <w:sz w:val="22"/>
                <w:szCs w:val="22"/>
              </w:rPr>
            </w:pPr>
            <w:r>
              <w:rPr>
                <w:b/>
                <w:color w:val="auto"/>
                <w:sz w:val="20"/>
                <w:szCs w:val="22"/>
              </w:rPr>
              <w:t>Operating Profit/(%) of Operating Income</w:t>
            </w:r>
          </w:p>
        </w:tc>
        <w:tc>
          <w:tcPr>
            <w:tcW w:w="1213" w:type="dxa"/>
            <w:shd w:val="clear" w:color="auto" w:fill="auto"/>
          </w:tcPr>
          <w:p w14:paraId="3B23A1BA">
            <w:pPr>
              <w:pStyle w:val="26"/>
              <w:jc w:val="center"/>
              <w:rPr>
                <w:b/>
                <w:color w:val="auto"/>
                <w:sz w:val="20"/>
                <w:szCs w:val="22"/>
              </w:rPr>
            </w:pPr>
            <w:r>
              <w:rPr>
                <w:b/>
                <w:color w:val="auto"/>
                <w:sz w:val="20"/>
                <w:szCs w:val="22"/>
              </w:rPr>
              <w:t>Prov/Assets</w:t>
            </w:r>
          </w:p>
        </w:tc>
        <w:tc>
          <w:tcPr>
            <w:tcW w:w="1213" w:type="dxa"/>
            <w:shd w:val="clear" w:color="auto" w:fill="auto"/>
          </w:tcPr>
          <w:p w14:paraId="3EDD0E20">
            <w:pPr>
              <w:pStyle w:val="26"/>
              <w:jc w:val="center"/>
              <w:rPr>
                <w:b/>
                <w:color w:val="auto"/>
                <w:sz w:val="20"/>
                <w:szCs w:val="22"/>
              </w:rPr>
            </w:pPr>
            <w:r>
              <w:rPr>
                <w:b/>
                <w:color w:val="auto"/>
                <w:sz w:val="20"/>
                <w:szCs w:val="22"/>
              </w:rPr>
              <w:t>Deposit/ TTL Liabilities</w:t>
            </w:r>
          </w:p>
        </w:tc>
        <w:tc>
          <w:tcPr>
            <w:tcW w:w="1213" w:type="dxa"/>
            <w:shd w:val="clear" w:color="auto" w:fill="auto"/>
          </w:tcPr>
          <w:p w14:paraId="3D3D14E4">
            <w:pPr>
              <w:pStyle w:val="26"/>
              <w:jc w:val="center"/>
              <w:rPr>
                <w:b/>
                <w:color w:val="auto"/>
                <w:sz w:val="20"/>
                <w:szCs w:val="22"/>
              </w:rPr>
            </w:pPr>
            <w:r>
              <w:rPr>
                <w:b/>
                <w:color w:val="auto"/>
                <w:sz w:val="20"/>
                <w:szCs w:val="22"/>
              </w:rPr>
              <w:t>TTL EQ/TTL Loan</w:t>
            </w:r>
          </w:p>
        </w:tc>
      </w:tr>
      <w:tr w14:paraId="0E19E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38" w:type="dxa"/>
            <w:shd w:val="clear" w:color="auto" w:fill="auto"/>
          </w:tcPr>
          <w:p w14:paraId="65BFFB0B">
            <w:pPr>
              <w:pStyle w:val="26"/>
              <w:jc w:val="center"/>
              <w:rPr>
                <w:color w:val="auto"/>
                <w:sz w:val="22"/>
                <w:szCs w:val="22"/>
              </w:rPr>
            </w:pPr>
            <w:r>
              <w:rPr>
                <w:color w:val="auto"/>
                <w:sz w:val="22"/>
                <w:szCs w:val="22"/>
              </w:rPr>
              <w:t>Ⅰ</w:t>
            </w:r>
          </w:p>
        </w:tc>
        <w:tc>
          <w:tcPr>
            <w:tcW w:w="720" w:type="dxa"/>
            <w:shd w:val="clear" w:color="auto" w:fill="auto"/>
          </w:tcPr>
          <w:p w14:paraId="563492FD">
            <w:pPr>
              <w:pStyle w:val="26"/>
              <w:jc w:val="center"/>
              <w:rPr>
                <w:color w:val="auto"/>
                <w:sz w:val="22"/>
                <w:szCs w:val="22"/>
              </w:rPr>
            </w:pPr>
            <w:r>
              <w:rPr>
                <w:color w:val="auto"/>
                <w:sz w:val="22"/>
                <w:szCs w:val="22"/>
              </w:rPr>
              <w:t>2022</w:t>
            </w:r>
          </w:p>
        </w:tc>
        <w:tc>
          <w:tcPr>
            <w:tcW w:w="990" w:type="dxa"/>
            <w:shd w:val="clear" w:color="auto" w:fill="auto"/>
          </w:tcPr>
          <w:p w14:paraId="541A62AF">
            <w:pPr>
              <w:pStyle w:val="26"/>
              <w:jc w:val="center"/>
              <w:rPr>
                <w:color w:val="auto"/>
                <w:sz w:val="22"/>
                <w:szCs w:val="22"/>
              </w:rPr>
            </w:pPr>
            <w:r>
              <w:rPr>
                <w:color w:val="auto"/>
                <w:sz w:val="22"/>
                <w:szCs w:val="22"/>
              </w:rPr>
              <w:t>0.1500</w:t>
            </w:r>
          </w:p>
        </w:tc>
        <w:tc>
          <w:tcPr>
            <w:tcW w:w="1890" w:type="dxa"/>
            <w:shd w:val="clear" w:color="auto" w:fill="auto"/>
          </w:tcPr>
          <w:p w14:paraId="637DBC77">
            <w:pPr>
              <w:pStyle w:val="26"/>
              <w:jc w:val="center"/>
              <w:rPr>
                <w:color w:val="auto"/>
                <w:sz w:val="22"/>
                <w:szCs w:val="22"/>
              </w:rPr>
            </w:pPr>
            <w:r>
              <w:rPr>
                <w:color w:val="auto"/>
                <w:sz w:val="22"/>
                <w:szCs w:val="22"/>
              </w:rPr>
              <w:t>0.2575</w:t>
            </w:r>
          </w:p>
        </w:tc>
        <w:tc>
          <w:tcPr>
            <w:tcW w:w="1727" w:type="dxa"/>
            <w:shd w:val="clear" w:color="auto" w:fill="auto"/>
          </w:tcPr>
          <w:p w14:paraId="1DBF4B1B">
            <w:pPr>
              <w:pStyle w:val="26"/>
              <w:jc w:val="center"/>
              <w:rPr>
                <w:color w:val="auto"/>
                <w:sz w:val="22"/>
                <w:szCs w:val="22"/>
              </w:rPr>
            </w:pPr>
            <w:r>
              <w:rPr>
                <w:color w:val="auto"/>
                <w:sz w:val="22"/>
                <w:szCs w:val="22"/>
              </w:rPr>
              <w:t>0.4556</w:t>
            </w:r>
          </w:p>
        </w:tc>
        <w:tc>
          <w:tcPr>
            <w:tcW w:w="1213" w:type="dxa"/>
            <w:shd w:val="clear" w:color="auto" w:fill="auto"/>
          </w:tcPr>
          <w:p w14:paraId="56CA20AE">
            <w:pPr>
              <w:pStyle w:val="26"/>
              <w:jc w:val="center"/>
              <w:rPr>
                <w:color w:val="auto"/>
                <w:sz w:val="22"/>
                <w:szCs w:val="22"/>
              </w:rPr>
            </w:pPr>
            <w:r>
              <w:rPr>
                <w:color w:val="auto"/>
                <w:sz w:val="22"/>
                <w:szCs w:val="22"/>
              </w:rPr>
              <w:t>0.0096</w:t>
            </w:r>
          </w:p>
        </w:tc>
        <w:tc>
          <w:tcPr>
            <w:tcW w:w="1213" w:type="dxa"/>
            <w:shd w:val="clear" w:color="auto" w:fill="auto"/>
          </w:tcPr>
          <w:p w14:paraId="2FA68127">
            <w:pPr>
              <w:pStyle w:val="26"/>
              <w:jc w:val="center"/>
              <w:rPr>
                <w:color w:val="auto"/>
                <w:sz w:val="22"/>
                <w:szCs w:val="22"/>
              </w:rPr>
            </w:pPr>
            <w:r>
              <w:rPr>
                <w:color w:val="auto"/>
                <w:sz w:val="22"/>
                <w:szCs w:val="22"/>
              </w:rPr>
              <w:t>0.8420</w:t>
            </w:r>
          </w:p>
        </w:tc>
        <w:tc>
          <w:tcPr>
            <w:tcW w:w="1213" w:type="dxa"/>
            <w:shd w:val="clear" w:color="auto" w:fill="auto"/>
          </w:tcPr>
          <w:p w14:paraId="5FFA0170">
            <w:pPr>
              <w:pStyle w:val="26"/>
              <w:jc w:val="center"/>
              <w:rPr>
                <w:color w:val="auto"/>
                <w:sz w:val="22"/>
                <w:szCs w:val="22"/>
              </w:rPr>
            </w:pPr>
            <w:r>
              <w:rPr>
                <w:color w:val="auto"/>
                <w:sz w:val="22"/>
                <w:szCs w:val="22"/>
              </w:rPr>
              <w:t>0.1057</w:t>
            </w:r>
          </w:p>
        </w:tc>
      </w:tr>
      <w:tr w14:paraId="356D1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38" w:type="dxa"/>
            <w:shd w:val="clear" w:color="auto" w:fill="auto"/>
          </w:tcPr>
          <w:p w14:paraId="02DD3C8D">
            <w:pPr>
              <w:pStyle w:val="26"/>
              <w:jc w:val="center"/>
              <w:rPr>
                <w:color w:val="auto"/>
                <w:sz w:val="22"/>
                <w:szCs w:val="22"/>
              </w:rPr>
            </w:pPr>
            <w:r>
              <w:rPr>
                <w:color w:val="auto"/>
                <w:sz w:val="22"/>
                <w:szCs w:val="22"/>
              </w:rPr>
              <w:t>Ⅰ</w:t>
            </w:r>
          </w:p>
        </w:tc>
        <w:tc>
          <w:tcPr>
            <w:tcW w:w="720" w:type="dxa"/>
            <w:shd w:val="clear" w:color="auto" w:fill="auto"/>
          </w:tcPr>
          <w:p w14:paraId="1E93AD24">
            <w:pPr>
              <w:pStyle w:val="26"/>
              <w:jc w:val="center"/>
              <w:rPr>
                <w:color w:val="auto"/>
                <w:sz w:val="22"/>
                <w:szCs w:val="22"/>
              </w:rPr>
            </w:pPr>
            <w:r>
              <w:rPr>
                <w:color w:val="auto"/>
                <w:sz w:val="22"/>
                <w:szCs w:val="22"/>
              </w:rPr>
              <w:t>2023</w:t>
            </w:r>
          </w:p>
        </w:tc>
        <w:tc>
          <w:tcPr>
            <w:tcW w:w="990" w:type="dxa"/>
            <w:shd w:val="clear" w:color="auto" w:fill="auto"/>
          </w:tcPr>
          <w:p w14:paraId="6D424679">
            <w:pPr>
              <w:pStyle w:val="26"/>
              <w:jc w:val="center"/>
              <w:rPr>
                <w:color w:val="auto"/>
                <w:sz w:val="22"/>
                <w:szCs w:val="22"/>
              </w:rPr>
            </w:pPr>
            <w:r>
              <w:rPr>
                <w:color w:val="auto"/>
                <w:sz w:val="22"/>
                <w:szCs w:val="22"/>
              </w:rPr>
              <w:t>0.1520</w:t>
            </w:r>
          </w:p>
        </w:tc>
        <w:tc>
          <w:tcPr>
            <w:tcW w:w="1890" w:type="dxa"/>
            <w:shd w:val="clear" w:color="auto" w:fill="auto"/>
          </w:tcPr>
          <w:p w14:paraId="6E4CE674">
            <w:pPr>
              <w:pStyle w:val="26"/>
              <w:jc w:val="center"/>
              <w:rPr>
                <w:color w:val="auto"/>
                <w:sz w:val="22"/>
                <w:szCs w:val="22"/>
              </w:rPr>
            </w:pPr>
            <w:r>
              <w:rPr>
                <w:color w:val="auto"/>
                <w:sz w:val="22"/>
                <w:szCs w:val="22"/>
              </w:rPr>
              <w:t>0.2581</w:t>
            </w:r>
          </w:p>
        </w:tc>
        <w:tc>
          <w:tcPr>
            <w:tcW w:w="1727" w:type="dxa"/>
            <w:shd w:val="clear" w:color="auto" w:fill="auto"/>
          </w:tcPr>
          <w:p w14:paraId="2B787BBB">
            <w:pPr>
              <w:pStyle w:val="26"/>
              <w:jc w:val="center"/>
              <w:rPr>
                <w:color w:val="auto"/>
                <w:sz w:val="22"/>
                <w:szCs w:val="22"/>
              </w:rPr>
            </w:pPr>
            <w:r>
              <w:rPr>
                <w:color w:val="auto"/>
                <w:sz w:val="22"/>
                <w:szCs w:val="22"/>
              </w:rPr>
              <w:t>0.4326</w:t>
            </w:r>
          </w:p>
        </w:tc>
        <w:tc>
          <w:tcPr>
            <w:tcW w:w="1213" w:type="dxa"/>
            <w:shd w:val="clear" w:color="auto" w:fill="auto"/>
          </w:tcPr>
          <w:p w14:paraId="0CF08DE2">
            <w:pPr>
              <w:pStyle w:val="26"/>
              <w:jc w:val="center"/>
              <w:rPr>
                <w:color w:val="auto"/>
                <w:sz w:val="22"/>
                <w:szCs w:val="22"/>
              </w:rPr>
            </w:pPr>
            <w:r>
              <w:rPr>
                <w:color w:val="auto"/>
                <w:sz w:val="22"/>
                <w:szCs w:val="22"/>
              </w:rPr>
              <w:t>0.0147</w:t>
            </w:r>
          </w:p>
        </w:tc>
        <w:tc>
          <w:tcPr>
            <w:tcW w:w="1213" w:type="dxa"/>
            <w:shd w:val="clear" w:color="auto" w:fill="auto"/>
          </w:tcPr>
          <w:p w14:paraId="4C9BAFDC">
            <w:pPr>
              <w:pStyle w:val="26"/>
              <w:jc w:val="center"/>
              <w:rPr>
                <w:color w:val="auto"/>
                <w:sz w:val="22"/>
                <w:szCs w:val="22"/>
              </w:rPr>
            </w:pPr>
            <w:r>
              <w:rPr>
                <w:color w:val="auto"/>
                <w:sz w:val="22"/>
                <w:szCs w:val="22"/>
              </w:rPr>
              <w:t>0.8086</w:t>
            </w:r>
          </w:p>
        </w:tc>
        <w:tc>
          <w:tcPr>
            <w:tcW w:w="1213" w:type="dxa"/>
            <w:shd w:val="clear" w:color="auto" w:fill="auto"/>
          </w:tcPr>
          <w:p w14:paraId="19EEE8C0">
            <w:pPr>
              <w:pStyle w:val="26"/>
              <w:jc w:val="center"/>
              <w:rPr>
                <w:color w:val="auto"/>
                <w:sz w:val="22"/>
                <w:szCs w:val="22"/>
              </w:rPr>
            </w:pPr>
            <w:r>
              <w:rPr>
                <w:color w:val="auto"/>
                <w:sz w:val="22"/>
                <w:szCs w:val="22"/>
              </w:rPr>
              <w:t>0.0992</w:t>
            </w:r>
          </w:p>
        </w:tc>
      </w:tr>
      <w:tr w14:paraId="4249C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38" w:type="dxa"/>
            <w:shd w:val="clear" w:color="auto" w:fill="auto"/>
          </w:tcPr>
          <w:p w14:paraId="3736AB52">
            <w:pPr>
              <w:pStyle w:val="26"/>
              <w:jc w:val="center"/>
              <w:rPr>
                <w:color w:val="auto"/>
                <w:sz w:val="22"/>
                <w:szCs w:val="22"/>
              </w:rPr>
            </w:pPr>
            <w:r>
              <w:rPr>
                <w:color w:val="auto"/>
                <w:sz w:val="22"/>
                <w:szCs w:val="22"/>
              </w:rPr>
              <w:t>Ⅰ</w:t>
            </w:r>
          </w:p>
        </w:tc>
        <w:tc>
          <w:tcPr>
            <w:tcW w:w="720" w:type="dxa"/>
            <w:shd w:val="clear" w:color="auto" w:fill="auto"/>
          </w:tcPr>
          <w:p w14:paraId="0BC85BAF">
            <w:pPr>
              <w:pStyle w:val="26"/>
              <w:jc w:val="center"/>
              <w:rPr>
                <w:color w:val="auto"/>
                <w:sz w:val="22"/>
                <w:szCs w:val="22"/>
              </w:rPr>
            </w:pPr>
            <w:r>
              <w:rPr>
                <w:color w:val="auto"/>
                <w:sz w:val="22"/>
                <w:szCs w:val="22"/>
              </w:rPr>
              <w:t>2024</w:t>
            </w:r>
          </w:p>
        </w:tc>
        <w:tc>
          <w:tcPr>
            <w:tcW w:w="990" w:type="dxa"/>
            <w:shd w:val="clear" w:color="auto" w:fill="auto"/>
          </w:tcPr>
          <w:p w14:paraId="7E1988AB">
            <w:pPr>
              <w:pStyle w:val="26"/>
              <w:jc w:val="center"/>
              <w:rPr>
                <w:color w:val="auto"/>
                <w:sz w:val="22"/>
                <w:szCs w:val="22"/>
              </w:rPr>
            </w:pPr>
            <w:r>
              <w:rPr>
                <w:color w:val="auto"/>
                <w:sz w:val="22"/>
                <w:szCs w:val="22"/>
              </w:rPr>
              <w:t>0.0981</w:t>
            </w:r>
          </w:p>
        </w:tc>
        <w:tc>
          <w:tcPr>
            <w:tcW w:w="1890" w:type="dxa"/>
            <w:shd w:val="clear" w:color="auto" w:fill="auto"/>
          </w:tcPr>
          <w:p w14:paraId="59FB3404">
            <w:pPr>
              <w:pStyle w:val="26"/>
              <w:jc w:val="center"/>
              <w:rPr>
                <w:color w:val="auto"/>
                <w:sz w:val="22"/>
                <w:szCs w:val="22"/>
              </w:rPr>
            </w:pPr>
            <w:r>
              <w:rPr>
                <w:color w:val="auto"/>
                <w:sz w:val="22"/>
                <w:szCs w:val="22"/>
              </w:rPr>
              <w:t>0.2209</w:t>
            </w:r>
          </w:p>
        </w:tc>
        <w:tc>
          <w:tcPr>
            <w:tcW w:w="1727" w:type="dxa"/>
            <w:shd w:val="clear" w:color="auto" w:fill="auto"/>
          </w:tcPr>
          <w:p w14:paraId="5764D86A">
            <w:pPr>
              <w:pStyle w:val="26"/>
              <w:jc w:val="center"/>
              <w:rPr>
                <w:color w:val="auto"/>
                <w:sz w:val="22"/>
                <w:szCs w:val="22"/>
              </w:rPr>
            </w:pPr>
            <w:r>
              <w:rPr>
                <w:color w:val="auto"/>
                <w:sz w:val="22"/>
                <w:szCs w:val="22"/>
              </w:rPr>
              <w:t>0.3556</w:t>
            </w:r>
          </w:p>
        </w:tc>
        <w:tc>
          <w:tcPr>
            <w:tcW w:w="1213" w:type="dxa"/>
            <w:shd w:val="clear" w:color="auto" w:fill="auto"/>
          </w:tcPr>
          <w:p w14:paraId="1B7FC52B">
            <w:pPr>
              <w:pStyle w:val="26"/>
              <w:jc w:val="center"/>
              <w:rPr>
                <w:color w:val="auto"/>
                <w:sz w:val="22"/>
                <w:szCs w:val="22"/>
              </w:rPr>
            </w:pPr>
            <w:r>
              <w:rPr>
                <w:color w:val="auto"/>
                <w:sz w:val="22"/>
                <w:szCs w:val="22"/>
              </w:rPr>
              <w:t>0.0078</w:t>
            </w:r>
          </w:p>
        </w:tc>
        <w:tc>
          <w:tcPr>
            <w:tcW w:w="1213" w:type="dxa"/>
            <w:shd w:val="clear" w:color="auto" w:fill="auto"/>
          </w:tcPr>
          <w:p w14:paraId="7B25F057">
            <w:pPr>
              <w:pStyle w:val="26"/>
              <w:jc w:val="center"/>
              <w:rPr>
                <w:color w:val="auto"/>
                <w:sz w:val="22"/>
                <w:szCs w:val="22"/>
              </w:rPr>
            </w:pPr>
            <w:r>
              <w:rPr>
                <w:color w:val="auto"/>
                <w:sz w:val="22"/>
                <w:szCs w:val="22"/>
              </w:rPr>
              <w:t>0.7851</w:t>
            </w:r>
          </w:p>
        </w:tc>
        <w:tc>
          <w:tcPr>
            <w:tcW w:w="1213" w:type="dxa"/>
            <w:shd w:val="clear" w:color="auto" w:fill="auto"/>
          </w:tcPr>
          <w:p w14:paraId="33AE2B22">
            <w:pPr>
              <w:pStyle w:val="26"/>
              <w:jc w:val="center"/>
              <w:rPr>
                <w:color w:val="auto"/>
                <w:sz w:val="22"/>
                <w:szCs w:val="22"/>
              </w:rPr>
            </w:pPr>
            <w:r>
              <w:rPr>
                <w:color w:val="auto"/>
                <w:sz w:val="22"/>
                <w:szCs w:val="22"/>
              </w:rPr>
              <w:t>0.0940</w:t>
            </w:r>
          </w:p>
        </w:tc>
      </w:tr>
      <w:tr w14:paraId="6EEB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38" w:type="dxa"/>
            <w:shd w:val="clear" w:color="auto" w:fill="auto"/>
          </w:tcPr>
          <w:p w14:paraId="7F019FC1">
            <w:pPr>
              <w:pStyle w:val="26"/>
              <w:jc w:val="center"/>
              <w:rPr>
                <w:color w:val="auto"/>
                <w:sz w:val="22"/>
                <w:szCs w:val="22"/>
              </w:rPr>
            </w:pPr>
            <w:r>
              <w:rPr>
                <w:color w:val="auto"/>
                <w:sz w:val="22"/>
                <w:szCs w:val="22"/>
              </w:rPr>
              <w:t>Ⅱ</w:t>
            </w:r>
          </w:p>
        </w:tc>
        <w:tc>
          <w:tcPr>
            <w:tcW w:w="720" w:type="dxa"/>
            <w:shd w:val="clear" w:color="auto" w:fill="auto"/>
          </w:tcPr>
          <w:p w14:paraId="720C53C8">
            <w:pPr>
              <w:pStyle w:val="26"/>
              <w:jc w:val="center"/>
              <w:rPr>
                <w:color w:val="auto"/>
                <w:sz w:val="22"/>
                <w:szCs w:val="22"/>
              </w:rPr>
            </w:pPr>
            <w:r>
              <w:rPr>
                <w:color w:val="auto"/>
                <w:sz w:val="22"/>
                <w:szCs w:val="22"/>
              </w:rPr>
              <w:t>2022</w:t>
            </w:r>
          </w:p>
        </w:tc>
        <w:tc>
          <w:tcPr>
            <w:tcW w:w="990" w:type="dxa"/>
            <w:shd w:val="clear" w:color="auto" w:fill="auto"/>
          </w:tcPr>
          <w:p w14:paraId="4C26CE39">
            <w:pPr>
              <w:pStyle w:val="26"/>
              <w:jc w:val="center"/>
              <w:rPr>
                <w:color w:val="auto"/>
                <w:sz w:val="22"/>
                <w:szCs w:val="22"/>
              </w:rPr>
            </w:pPr>
            <w:r>
              <w:rPr>
                <w:color w:val="auto"/>
                <w:sz w:val="22"/>
                <w:szCs w:val="22"/>
              </w:rPr>
              <w:t>0.4317</w:t>
            </w:r>
          </w:p>
        </w:tc>
        <w:tc>
          <w:tcPr>
            <w:tcW w:w="1890" w:type="dxa"/>
            <w:shd w:val="clear" w:color="auto" w:fill="auto"/>
          </w:tcPr>
          <w:p w14:paraId="2D6AF378">
            <w:pPr>
              <w:pStyle w:val="26"/>
              <w:jc w:val="center"/>
              <w:rPr>
                <w:color w:val="auto"/>
                <w:sz w:val="22"/>
                <w:szCs w:val="22"/>
              </w:rPr>
            </w:pPr>
            <w:r>
              <w:rPr>
                <w:color w:val="auto"/>
                <w:sz w:val="22"/>
                <w:szCs w:val="22"/>
              </w:rPr>
              <w:t>0.7306</w:t>
            </w:r>
          </w:p>
        </w:tc>
        <w:tc>
          <w:tcPr>
            <w:tcW w:w="1727" w:type="dxa"/>
            <w:shd w:val="clear" w:color="auto" w:fill="auto"/>
          </w:tcPr>
          <w:p w14:paraId="4DCA83C7">
            <w:pPr>
              <w:pStyle w:val="26"/>
              <w:jc w:val="center"/>
              <w:rPr>
                <w:color w:val="auto"/>
                <w:sz w:val="22"/>
                <w:szCs w:val="22"/>
              </w:rPr>
            </w:pPr>
            <w:r>
              <w:rPr>
                <w:color w:val="auto"/>
                <w:sz w:val="22"/>
                <w:szCs w:val="22"/>
              </w:rPr>
              <w:t>0.6283</w:t>
            </w:r>
          </w:p>
        </w:tc>
        <w:tc>
          <w:tcPr>
            <w:tcW w:w="1213" w:type="dxa"/>
            <w:shd w:val="clear" w:color="auto" w:fill="auto"/>
          </w:tcPr>
          <w:p w14:paraId="6E8FFDEC">
            <w:pPr>
              <w:pStyle w:val="26"/>
              <w:jc w:val="center"/>
              <w:rPr>
                <w:color w:val="auto"/>
                <w:sz w:val="22"/>
                <w:szCs w:val="22"/>
              </w:rPr>
            </w:pPr>
            <w:r>
              <w:rPr>
                <w:color w:val="auto"/>
                <w:sz w:val="22"/>
                <w:szCs w:val="22"/>
              </w:rPr>
              <w:t>0.0056</w:t>
            </w:r>
          </w:p>
        </w:tc>
        <w:tc>
          <w:tcPr>
            <w:tcW w:w="1213" w:type="dxa"/>
            <w:shd w:val="clear" w:color="auto" w:fill="auto"/>
          </w:tcPr>
          <w:p w14:paraId="30DED86E">
            <w:pPr>
              <w:pStyle w:val="26"/>
              <w:jc w:val="center"/>
              <w:rPr>
                <w:color w:val="auto"/>
                <w:sz w:val="22"/>
                <w:szCs w:val="22"/>
              </w:rPr>
            </w:pPr>
            <w:r>
              <w:rPr>
                <w:color w:val="auto"/>
                <w:sz w:val="22"/>
                <w:szCs w:val="22"/>
              </w:rPr>
              <w:t>0.8075</w:t>
            </w:r>
          </w:p>
        </w:tc>
        <w:tc>
          <w:tcPr>
            <w:tcW w:w="1213" w:type="dxa"/>
            <w:shd w:val="clear" w:color="auto" w:fill="auto"/>
          </w:tcPr>
          <w:p w14:paraId="046FD9C7">
            <w:pPr>
              <w:pStyle w:val="26"/>
              <w:jc w:val="center"/>
              <w:rPr>
                <w:color w:val="auto"/>
                <w:sz w:val="22"/>
                <w:szCs w:val="22"/>
              </w:rPr>
            </w:pPr>
            <w:r>
              <w:rPr>
                <w:color w:val="auto"/>
                <w:sz w:val="22"/>
                <w:szCs w:val="22"/>
              </w:rPr>
              <w:t>0.1035</w:t>
            </w:r>
          </w:p>
        </w:tc>
      </w:tr>
      <w:tr w14:paraId="544BD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38" w:type="dxa"/>
            <w:shd w:val="clear" w:color="auto" w:fill="auto"/>
          </w:tcPr>
          <w:p w14:paraId="0ECBCF58">
            <w:pPr>
              <w:pStyle w:val="26"/>
              <w:jc w:val="center"/>
              <w:rPr>
                <w:color w:val="auto"/>
                <w:sz w:val="22"/>
                <w:szCs w:val="22"/>
              </w:rPr>
            </w:pPr>
            <w:r>
              <w:rPr>
                <w:color w:val="auto"/>
                <w:sz w:val="22"/>
                <w:szCs w:val="22"/>
              </w:rPr>
              <w:t>Ⅱ</w:t>
            </w:r>
          </w:p>
        </w:tc>
        <w:tc>
          <w:tcPr>
            <w:tcW w:w="720" w:type="dxa"/>
            <w:shd w:val="clear" w:color="auto" w:fill="auto"/>
          </w:tcPr>
          <w:p w14:paraId="533EFA43">
            <w:pPr>
              <w:pStyle w:val="26"/>
              <w:jc w:val="center"/>
              <w:rPr>
                <w:color w:val="auto"/>
                <w:sz w:val="22"/>
                <w:szCs w:val="22"/>
              </w:rPr>
            </w:pPr>
            <w:r>
              <w:rPr>
                <w:color w:val="auto"/>
                <w:sz w:val="22"/>
                <w:szCs w:val="22"/>
              </w:rPr>
              <w:t>2023</w:t>
            </w:r>
          </w:p>
        </w:tc>
        <w:tc>
          <w:tcPr>
            <w:tcW w:w="990" w:type="dxa"/>
            <w:shd w:val="clear" w:color="auto" w:fill="auto"/>
          </w:tcPr>
          <w:p w14:paraId="499FC577">
            <w:pPr>
              <w:pStyle w:val="26"/>
              <w:jc w:val="center"/>
              <w:rPr>
                <w:color w:val="auto"/>
                <w:sz w:val="22"/>
                <w:szCs w:val="22"/>
              </w:rPr>
            </w:pPr>
            <w:r>
              <w:rPr>
                <w:color w:val="auto"/>
                <w:sz w:val="22"/>
                <w:szCs w:val="22"/>
              </w:rPr>
              <w:t>0.4294</w:t>
            </w:r>
          </w:p>
        </w:tc>
        <w:tc>
          <w:tcPr>
            <w:tcW w:w="1890" w:type="dxa"/>
            <w:shd w:val="clear" w:color="auto" w:fill="auto"/>
          </w:tcPr>
          <w:p w14:paraId="4458FF43">
            <w:pPr>
              <w:pStyle w:val="26"/>
              <w:jc w:val="center"/>
              <w:rPr>
                <w:color w:val="auto"/>
                <w:sz w:val="22"/>
                <w:szCs w:val="22"/>
              </w:rPr>
            </w:pPr>
            <w:r>
              <w:rPr>
                <w:color w:val="auto"/>
                <w:sz w:val="22"/>
                <w:szCs w:val="22"/>
              </w:rPr>
              <w:t>0.7387</w:t>
            </w:r>
          </w:p>
        </w:tc>
        <w:tc>
          <w:tcPr>
            <w:tcW w:w="1727" w:type="dxa"/>
            <w:shd w:val="clear" w:color="auto" w:fill="auto"/>
          </w:tcPr>
          <w:p w14:paraId="202FE289">
            <w:pPr>
              <w:pStyle w:val="26"/>
              <w:jc w:val="center"/>
              <w:rPr>
                <w:color w:val="auto"/>
                <w:sz w:val="22"/>
                <w:szCs w:val="22"/>
              </w:rPr>
            </w:pPr>
            <w:r>
              <w:rPr>
                <w:color w:val="auto"/>
                <w:sz w:val="22"/>
                <w:szCs w:val="22"/>
              </w:rPr>
              <w:t>0.5679</w:t>
            </w:r>
          </w:p>
        </w:tc>
        <w:tc>
          <w:tcPr>
            <w:tcW w:w="1213" w:type="dxa"/>
            <w:shd w:val="clear" w:color="auto" w:fill="auto"/>
          </w:tcPr>
          <w:p w14:paraId="1340BD9A">
            <w:pPr>
              <w:pStyle w:val="26"/>
              <w:jc w:val="center"/>
              <w:rPr>
                <w:color w:val="auto"/>
                <w:sz w:val="22"/>
                <w:szCs w:val="22"/>
              </w:rPr>
            </w:pPr>
            <w:r>
              <w:rPr>
                <w:color w:val="auto"/>
                <w:sz w:val="22"/>
                <w:szCs w:val="22"/>
              </w:rPr>
              <w:t>0.0040</w:t>
            </w:r>
          </w:p>
        </w:tc>
        <w:tc>
          <w:tcPr>
            <w:tcW w:w="1213" w:type="dxa"/>
            <w:shd w:val="clear" w:color="auto" w:fill="auto"/>
          </w:tcPr>
          <w:p w14:paraId="270FC829">
            <w:pPr>
              <w:pStyle w:val="26"/>
              <w:jc w:val="center"/>
              <w:rPr>
                <w:color w:val="auto"/>
                <w:sz w:val="22"/>
                <w:szCs w:val="22"/>
              </w:rPr>
            </w:pPr>
            <w:r>
              <w:rPr>
                <w:color w:val="auto"/>
                <w:sz w:val="22"/>
                <w:szCs w:val="22"/>
              </w:rPr>
              <w:t>0.8357</w:t>
            </w:r>
          </w:p>
        </w:tc>
        <w:tc>
          <w:tcPr>
            <w:tcW w:w="1213" w:type="dxa"/>
            <w:shd w:val="clear" w:color="auto" w:fill="auto"/>
          </w:tcPr>
          <w:p w14:paraId="478F60B2">
            <w:pPr>
              <w:pStyle w:val="26"/>
              <w:jc w:val="center"/>
              <w:rPr>
                <w:color w:val="auto"/>
                <w:sz w:val="22"/>
                <w:szCs w:val="22"/>
              </w:rPr>
            </w:pPr>
            <w:r>
              <w:rPr>
                <w:color w:val="auto"/>
                <w:sz w:val="22"/>
                <w:szCs w:val="22"/>
              </w:rPr>
              <w:t>0.0889</w:t>
            </w:r>
          </w:p>
        </w:tc>
      </w:tr>
      <w:tr w14:paraId="009BD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38" w:type="dxa"/>
            <w:shd w:val="clear" w:color="auto" w:fill="auto"/>
          </w:tcPr>
          <w:p w14:paraId="10843C07">
            <w:pPr>
              <w:pStyle w:val="26"/>
              <w:jc w:val="center"/>
              <w:rPr>
                <w:color w:val="auto"/>
                <w:sz w:val="22"/>
                <w:szCs w:val="22"/>
              </w:rPr>
            </w:pPr>
            <w:r>
              <w:rPr>
                <w:color w:val="auto"/>
                <w:sz w:val="22"/>
                <w:szCs w:val="22"/>
              </w:rPr>
              <w:t>Ⅱ</w:t>
            </w:r>
          </w:p>
        </w:tc>
        <w:tc>
          <w:tcPr>
            <w:tcW w:w="720" w:type="dxa"/>
            <w:shd w:val="clear" w:color="auto" w:fill="auto"/>
          </w:tcPr>
          <w:p w14:paraId="6CE96C30">
            <w:pPr>
              <w:pStyle w:val="26"/>
              <w:jc w:val="center"/>
              <w:rPr>
                <w:color w:val="auto"/>
                <w:sz w:val="22"/>
                <w:szCs w:val="22"/>
              </w:rPr>
            </w:pPr>
            <w:r>
              <w:rPr>
                <w:color w:val="auto"/>
                <w:sz w:val="22"/>
                <w:szCs w:val="22"/>
              </w:rPr>
              <w:t>2024</w:t>
            </w:r>
          </w:p>
        </w:tc>
        <w:tc>
          <w:tcPr>
            <w:tcW w:w="990" w:type="dxa"/>
            <w:shd w:val="clear" w:color="auto" w:fill="auto"/>
          </w:tcPr>
          <w:p w14:paraId="3DA3AEC6">
            <w:pPr>
              <w:pStyle w:val="26"/>
              <w:jc w:val="center"/>
              <w:rPr>
                <w:color w:val="auto"/>
                <w:sz w:val="22"/>
                <w:szCs w:val="22"/>
              </w:rPr>
            </w:pPr>
            <w:r>
              <w:rPr>
                <w:color w:val="auto"/>
                <w:sz w:val="22"/>
                <w:szCs w:val="22"/>
              </w:rPr>
              <w:t>0.3491</w:t>
            </w:r>
          </w:p>
        </w:tc>
        <w:tc>
          <w:tcPr>
            <w:tcW w:w="1890" w:type="dxa"/>
            <w:shd w:val="clear" w:color="auto" w:fill="auto"/>
          </w:tcPr>
          <w:p w14:paraId="53033B7B">
            <w:pPr>
              <w:pStyle w:val="26"/>
              <w:jc w:val="center"/>
              <w:rPr>
                <w:color w:val="auto"/>
                <w:sz w:val="22"/>
                <w:szCs w:val="22"/>
              </w:rPr>
            </w:pPr>
            <w:r>
              <w:rPr>
                <w:color w:val="auto"/>
                <w:sz w:val="22"/>
                <w:szCs w:val="22"/>
              </w:rPr>
              <w:t>0.7065</w:t>
            </w:r>
          </w:p>
        </w:tc>
        <w:tc>
          <w:tcPr>
            <w:tcW w:w="1727" w:type="dxa"/>
            <w:shd w:val="clear" w:color="auto" w:fill="auto"/>
          </w:tcPr>
          <w:p w14:paraId="54012073">
            <w:pPr>
              <w:pStyle w:val="26"/>
              <w:jc w:val="center"/>
              <w:rPr>
                <w:color w:val="auto"/>
                <w:sz w:val="22"/>
                <w:szCs w:val="22"/>
              </w:rPr>
            </w:pPr>
            <w:r>
              <w:rPr>
                <w:color w:val="auto"/>
                <w:sz w:val="22"/>
                <w:szCs w:val="22"/>
              </w:rPr>
              <w:t>0.5093</w:t>
            </w:r>
          </w:p>
        </w:tc>
        <w:tc>
          <w:tcPr>
            <w:tcW w:w="1213" w:type="dxa"/>
            <w:shd w:val="clear" w:color="auto" w:fill="auto"/>
          </w:tcPr>
          <w:p w14:paraId="0D095858">
            <w:pPr>
              <w:pStyle w:val="26"/>
              <w:jc w:val="center"/>
              <w:rPr>
                <w:color w:val="auto"/>
                <w:sz w:val="22"/>
                <w:szCs w:val="22"/>
              </w:rPr>
            </w:pPr>
            <w:r>
              <w:rPr>
                <w:color w:val="auto"/>
                <w:sz w:val="22"/>
                <w:szCs w:val="22"/>
              </w:rPr>
              <w:t>0.0065</w:t>
            </w:r>
          </w:p>
        </w:tc>
        <w:tc>
          <w:tcPr>
            <w:tcW w:w="1213" w:type="dxa"/>
            <w:shd w:val="clear" w:color="auto" w:fill="auto"/>
          </w:tcPr>
          <w:p w14:paraId="32D1D8DE">
            <w:pPr>
              <w:pStyle w:val="26"/>
              <w:jc w:val="center"/>
              <w:rPr>
                <w:color w:val="auto"/>
                <w:sz w:val="22"/>
                <w:szCs w:val="22"/>
              </w:rPr>
            </w:pPr>
            <w:r>
              <w:rPr>
                <w:color w:val="auto"/>
                <w:sz w:val="22"/>
                <w:szCs w:val="22"/>
              </w:rPr>
              <w:t>0.8546</w:t>
            </w:r>
          </w:p>
        </w:tc>
        <w:tc>
          <w:tcPr>
            <w:tcW w:w="1213" w:type="dxa"/>
            <w:shd w:val="clear" w:color="auto" w:fill="auto"/>
          </w:tcPr>
          <w:p w14:paraId="4A561FEE">
            <w:pPr>
              <w:pStyle w:val="26"/>
              <w:jc w:val="center"/>
              <w:rPr>
                <w:color w:val="auto"/>
                <w:sz w:val="22"/>
                <w:szCs w:val="22"/>
              </w:rPr>
            </w:pPr>
            <w:r>
              <w:rPr>
                <w:color w:val="auto"/>
                <w:sz w:val="22"/>
                <w:szCs w:val="22"/>
              </w:rPr>
              <w:t>0.0840</w:t>
            </w:r>
          </w:p>
        </w:tc>
      </w:tr>
      <w:tr w14:paraId="33D5C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38" w:type="dxa"/>
            <w:shd w:val="clear" w:color="auto" w:fill="auto"/>
          </w:tcPr>
          <w:p w14:paraId="5AE35B97">
            <w:pPr>
              <w:pStyle w:val="26"/>
              <w:jc w:val="center"/>
              <w:rPr>
                <w:color w:val="auto"/>
                <w:sz w:val="22"/>
                <w:szCs w:val="22"/>
              </w:rPr>
            </w:pPr>
            <w:r>
              <w:rPr>
                <w:color w:val="auto"/>
                <w:sz w:val="22"/>
                <w:szCs w:val="22"/>
              </w:rPr>
              <w:t>Ⅲ</w:t>
            </w:r>
          </w:p>
        </w:tc>
        <w:tc>
          <w:tcPr>
            <w:tcW w:w="720" w:type="dxa"/>
            <w:shd w:val="clear" w:color="auto" w:fill="auto"/>
          </w:tcPr>
          <w:p w14:paraId="10D54F5D">
            <w:pPr>
              <w:pStyle w:val="26"/>
              <w:jc w:val="center"/>
              <w:rPr>
                <w:color w:val="auto"/>
                <w:sz w:val="22"/>
                <w:szCs w:val="22"/>
              </w:rPr>
            </w:pPr>
            <w:r>
              <w:rPr>
                <w:color w:val="auto"/>
                <w:sz w:val="22"/>
                <w:szCs w:val="22"/>
              </w:rPr>
              <w:t>2022</w:t>
            </w:r>
          </w:p>
        </w:tc>
        <w:tc>
          <w:tcPr>
            <w:tcW w:w="990" w:type="dxa"/>
            <w:shd w:val="clear" w:color="auto" w:fill="auto"/>
          </w:tcPr>
          <w:p w14:paraId="3B2E072E">
            <w:pPr>
              <w:pStyle w:val="26"/>
              <w:jc w:val="center"/>
              <w:rPr>
                <w:color w:val="auto"/>
                <w:sz w:val="22"/>
                <w:szCs w:val="22"/>
              </w:rPr>
            </w:pPr>
            <w:r>
              <w:rPr>
                <w:color w:val="auto"/>
                <w:sz w:val="22"/>
                <w:szCs w:val="22"/>
              </w:rPr>
              <w:t>0.2724</w:t>
            </w:r>
          </w:p>
        </w:tc>
        <w:tc>
          <w:tcPr>
            <w:tcW w:w="1890" w:type="dxa"/>
            <w:shd w:val="clear" w:color="auto" w:fill="auto"/>
          </w:tcPr>
          <w:p w14:paraId="4B68B654">
            <w:pPr>
              <w:pStyle w:val="26"/>
              <w:jc w:val="center"/>
              <w:rPr>
                <w:color w:val="auto"/>
                <w:sz w:val="22"/>
                <w:szCs w:val="22"/>
              </w:rPr>
            </w:pPr>
            <w:r>
              <w:rPr>
                <w:color w:val="auto"/>
                <w:sz w:val="22"/>
                <w:szCs w:val="22"/>
              </w:rPr>
              <w:t>0.3730</w:t>
            </w:r>
          </w:p>
        </w:tc>
        <w:tc>
          <w:tcPr>
            <w:tcW w:w="1727" w:type="dxa"/>
            <w:shd w:val="clear" w:color="auto" w:fill="auto"/>
          </w:tcPr>
          <w:p w14:paraId="6A6F6F6C">
            <w:pPr>
              <w:pStyle w:val="26"/>
              <w:jc w:val="center"/>
              <w:rPr>
                <w:color w:val="auto"/>
                <w:sz w:val="22"/>
                <w:szCs w:val="22"/>
              </w:rPr>
            </w:pPr>
            <w:r>
              <w:rPr>
                <w:color w:val="auto"/>
                <w:sz w:val="22"/>
                <w:szCs w:val="22"/>
              </w:rPr>
              <w:t>0.5565</w:t>
            </w:r>
          </w:p>
        </w:tc>
        <w:tc>
          <w:tcPr>
            <w:tcW w:w="1213" w:type="dxa"/>
            <w:shd w:val="clear" w:color="auto" w:fill="auto"/>
          </w:tcPr>
          <w:p w14:paraId="5F87D7A4">
            <w:pPr>
              <w:pStyle w:val="26"/>
              <w:jc w:val="center"/>
              <w:rPr>
                <w:color w:val="auto"/>
                <w:sz w:val="22"/>
                <w:szCs w:val="22"/>
              </w:rPr>
            </w:pPr>
            <w:r>
              <w:rPr>
                <w:color w:val="auto"/>
                <w:sz w:val="22"/>
                <w:szCs w:val="22"/>
              </w:rPr>
              <w:t>0.0104</w:t>
            </w:r>
          </w:p>
        </w:tc>
        <w:tc>
          <w:tcPr>
            <w:tcW w:w="1213" w:type="dxa"/>
            <w:shd w:val="clear" w:color="auto" w:fill="auto"/>
          </w:tcPr>
          <w:p w14:paraId="7AE27650">
            <w:pPr>
              <w:pStyle w:val="26"/>
              <w:jc w:val="center"/>
              <w:rPr>
                <w:color w:val="auto"/>
                <w:sz w:val="22"/>
                <w:szCs w:val="22"/>
              </w:rPr>
            </w:pPr>
            <w:r>
              <w:rPr>
                <w:color w:val="auto"/>
                <w:sz w:val="22"/>
                <w:szCs w:val="22"/>
              </w:rPr>
              <w:t>0.8169</w:t>
            </w:r>
          </w:p>
        </w:tc>
        <w:tc>
          <w:tcPr>
            <w:tcW w:w="1213" w:type="dxa"/>
            <w:shd w:val="clear" w:color="auto" w:fill="auto"/>
          </w:tcPr>
          <w:p w14:paraId="4B3C3474">
            <w:pPr>
              <w:pStyle w:val="26"/>
              <w:jc w:val="center"/>
              <w:rPr>
                <w:color w:val="auto"/>
                <w:sz w:val="22"/>
                <w:szCs w:val="22"/>
              </w:rPr>
            </w:pPr>
            <w:r>
              <w:rPr>
                <w:color w:val="auto"/>
                <w:sz w:val="22"/>
                <w:szCs w:val="22"/>
              </w:rPr>
              <w:t>0.1164</w:t>
            </w:r>
          </w:p>
        </w:tc>
      </w:tr>
      <w:tr w14:paraId="0F3E2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38" w:type="dxa"/>
            <w:shd w:val="clear" w:color="auto" w:fill="auto"/>
          </w:tcPr>
          <w:p w14:paraId="0CCB261B">
            <w:pPr>
              <w:pStyle w:val="26"/>
              <w:jc w:val="center"/>
              <w:rPr>
                <w:color w:val="auto"/>
                <w:sz w:val="22"/>
                <w:szCs w:val="22"/>
              </w:rPr>
            </w:pPr>
            <w:r>
              <w:rPr>
                <w:color w:val="auto"/>
                <w:sz w:val="22"/>
                <w:szCs w:val="22"/>
              </w:rPr>
              <w:t>Ⅲ</w:t>
            </w:r>
          </w:p>
        </w:tc>
        <w:tc>
          <w:tcPr>
            <w:tcW w:w="720" w:type="dxa"/>
            <w:shd w:val="clear" w:color="auto" w:fill="auto"/>
          </w:tcPr>
          <w:p w14:paraId="1BCE56ED">
            <w:pPr>
              <w:pStyle w:val="26"/>
              <w:jc w:val="center"/>
              <w:rPr>
                <w:color w:val="auto"/>
                <w:sz w:val="22"/>
                <w:szCs w:val="22"/>
              </w:rPr>
            </w:pPr>
            <w:r>
              <w:rPr>
                <w:color w:val="auto"/>
                <w:sz w:val="22"/>
                <w:szCs w:val="22"/>
              </w:rPr>
              <w:t>2023</w:t>
            </w:r>
          </w:p>
        </w:tc>
        <w:tc>
          <w:tcPr>
            <w:tcW w:w="990" w:type="dxa"/>
            <w:shd w:val="clear" w:color="auto" w:fill="auto"/>
          </w:tcPr>
          <w:p w14:paraId="35BFD61D">
            <w:pPr>
              <w:pStyle w:val="26"/>
              <w:jc w:val="center"/>
              <w:rPr>
                <w:color w:val="auto"/>
                <w:sz w:val="22"/>
                <w:szCs w:val="22"/>
              </w:rPr>
            </w:pPr>
            <w:r>
              <w:rPr>
                <w:color w:val="auto"/>
                <w:sz w:val="22"/>
                <w:szCs w:val="22"/>
              </w:rPr>
              <w:t>0.3394</w:t>
            </w:r>
          </w:p>
        </w:tc>
        <w:tc>
          <w:tcPr>
            <w:tcW w:w="1890" w:type="dxa"/>
            <w:shd w:val="clear" w:color="auto" w:fill="auto"/>
          </w:tcPr>
          <w:p w14:paraId="662C377E">
            <w:pPr>
              <w:pStyle w:val="26"/>
              <w:jc w:val="center"/>
              <w:rPr>
                <w:color w:val="auto"/>
                <w:sz w:val="22"/>
                <w:szCs w:val="22"/>
              </w:rPr>
            </w:pPr>
            <w:r>
              <w:rPr>
                <w:color w:val="auto"/>
                <w:sz w:val="22"/>
                <w:szCs w:val="22"/>
              </w:rPr>
              <w:t>0.4654</w:t>
            </w:r>
          </w:p>
        </w:tc>
        <w:tc>
          <w:tcPr>
            <w:tcW w:w="1727" w:type="dxa"/>
            <w:shd w:val="clear" w:color="auto" w:fill="auto"/>
          </w:tcPr>
          <w:p w14:paraId="7D38D520">
            <w:pPr>
              <w:pStyle w:val="26"/>
              <w:jc w:val="center"/>
              <w:rPr>
                <w:color w:val="auto"/>
                <w:sz w:val="22"/>
                <w:szCs w:val="22"/>
              </w:rPr>
            </w:pPr>
            <w:r>
              <w:rPr>
                <w:color w:val="auto"/>
                <w:sz w:val="22"/>
                <w:szCs w:val="22"/>
              </w:rPr>
              <w:t>0.5588</w:t>
            </w:r>
          </w:p>
        </w:tc>
        <w:tc>
          <w:tcPr>
            <w:tcW w:w="1213" w:type="dxa"/>
            <w:shd w:val="clear" w:color="auto" w:fill="auto"/>
          </w:tcPr>
          <w:p w14:paraId="0647D35C">
            <w:pPr>
              <w:pStyle w:val="26"/>
              <w:jc w:val="center"/>
              <w:rPr>
                <w:color w:val="auto"/>
                <w:sz w:val="22"/>
                <w:szCs w:val="22"/>
              </w:rPr>
            </w:pPr>
            <w:r>
              <w:rPr>
                <w:color w:val="auto"/>
                <w:sz w:val="22"/>
                <w:szCs w:val="22"/>
              </w:rPr>
              <w:t>0.0091</w:t>
            </w:r>
          </w:p>
        </w:tc>
        <w:tc>
          <w:tcPr>
            <w:tcW w:w="1213" w:type="dxa"/>
            <w:shd w:val="clear" w:color="auto" w:fill="auto"/>
          </w:tcPr>
          <w:p w14:paraId="29E92B61">
            <w:pPr>
              <w:pStyle w:val="26"/>
              <w:jc w:val="center"/>
              <w:rPr>
                <w:color w:val="auto"/>
                <w:sz w:val="22"/>
                <w:szCs w:val="22"/>
              </w:rPr>
            </w:pPr>
            <w:r>
              <w:rPr>
                <w:color w:val="auto"/>
                <w:sz w:val="22"/>
                <w:szCs w:val="22"/>
              </w:rPr>
              <w:t>0.7727</w:t>
            </w:r>
          </w:p>
        </w:tc>
        <w:tc>
          <w:tcPr>
            <w:tcW w:w="1213" w:type="dxa"/>
            <w:shd w:val="clear" w:color="auto" w:fill="auto"/>
          </w:tcPr>
          <w:p w14:paraId="2116D06E">
            <w:pPr>
              <w:pStyle w:val="26"/>
              <w:jc w:val="center"/>
              <w:rPr>
                <w:color w:val="auto"/>
                <w:sz w:val="22"/>
                <w:szCs w:val="22"/>
              </w:rPr>
            </w:pPr>
            <w:r>
              <w:rPr>
                <w:color w:val="auto"/>
                <w:sz w:val="22"/>
                <w:szCs w:val="22"/>
              </w:rPr>
              <w:t>0.1066</w:t>
            </w:r>
          </w:p>
        </w:tc>
      </w:tr>
      <w:tr w14:paraId="2A039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38" w:type="dxa"/>
            <w:shd w:val="clear" w:color="auto" w:fill="auto"/>
          </w:tcPr>
          <w:p w14:paraId="4C3CC556">
            <w:pPr>
              <w:pStyle w:val="26"/>
              <w:jc w:val="center"/>
              <w:rPr>
                <w:color w:val="auto"/>
                <w:sz w:val="22"/>
                <w:szCs w:val="22"/>
              </w:rPr>
            </w:pPr>
            <w:r>
              <w:rPr>
                <w:color w:val="auto"/>
                <w:sz w:val="22"/>
                <w:szCs w:val="22"/>
              </w:rPr>
              <w:t>Ⅲ</w:t>
            </w:r>
          </w:p>
        </w:tc>
        <w:tc>
          <w:tcPr>
            <w:tcW w:w="720" w:type="dxa"/>
            <w:shd w:val="clear" w:color="auto" w:fill="auto"/>
          </w:tcPr>
          <w:p w14:paraId="50F013FB">
            <w:pPr>
              <w:pStyle w:val="26"/>
              <w:jc w:val="center"/>
              <w:rPr>
                <w:color w:val="auto"/>
                <w:sz w:val="22"/>
                <w:szCs w:val="22"/>
              </w:rPr>
            </w:pPr>
            <w:r>
              <w:rPr>
                <w:color w:val="auto"/>
                <w:sz w:val="22"/>
                <w:szCs w:val="22"/>
              </w:rPr>
              <w:t>2024</w:t>
            </w:r>
          </w:p>
        </w:tc>
        <w:tc>
          <w:tcPr>
            <w:tcW w:w="990" w:type="dxa"/>
            <w:shd w:val="clear" w:color="auto" w:fill="auto"/>
          </w:tcPr>
          <w:p w14:paraId="1F491D8C">
            <w:pPr>
              <w:pStyle w:val="26"/>
              <w:jc w:val="center"/>
              <w:rPr>
                <w:color w:val="auto"/>
                <w:sz w:val="22"/>
                <w:szCs w:val="22"/>
              </w:rPr>
            </w:pPr>
            <w:r>
              <w:rPr>
                <w:color w:val="auto"/>
                <w:sz w:val="22"/>
                <w:szCs w:val="22"/>
              </w:rPr>
              <w:t>0.3779</w:t>
            </w:r>
          </w:p>
        </w:tc>
        <w:tc>
          <w:tcPr>
            <w:tcW w:w="1890" w:type="dxa"/>
            <w:shd w:val="clear" w:color="auto" w:fill="auto"/>
          </w:tcPr>
          <w:p w14:paraId="65C1144E">
            <w:pPr>
              <w:pStyle w:val="26"/>
              <w:jc w:val="center"/>
              <w:rPr>
                <w:color w:val="auto"/>
                <w:sz w:val="22"/>
                <w:szCs w:val="22"/>
              </w:rPr>
            </w:pPr>
            <w:r>
              <w:rPr>
                <w:color w:val="auto"/>
                <w:sz w:val="22"/>
                <w:szCs w:val="22"/>
              </w:rPr>
              <w:t>0.5596</w:t>
            </w:r>
          </w:p>
        </w:tc>
        <w:tc>
          <w:tcPr>
            <w:tcW w:w="1727" w:type="dxa"/>
            <w:shd w:val="clear" w:color="auto" w:fill="auto"/>
          </w:tcPr>
          <w:p w14:paraId="0B9DF77A">
            <w:pPr>
              <w:pStyle w:val="26"/>
              <w:jc w:val="center"/>
              <w:rPr>
                <w:color w:val="auto"/>
                <w:sz w:val="22"/>
                <w:szCs w:val="22"/>
              </w:rPr>
            </w:pPr>
            <w:r>
              <w:rPr>
                <w:color w:val="auto"/>
                <w:sz w:val="22"/>
                <w:szCs w:val="22"/>
              </w:rPr>
              <w:t>0.5707</w:t>
            </w:r>
          </w:p>
        </w:tc>
        <w:tc>
          <w:tcPr>
            <w:tcW w:w="1213" w:type="dxa"/>
            <w:shd w:val="clear" w:color="auto" w:fill="auto"/>
          </w:tcPr>
          <w:p w14:paraId="6AEE3019">
            <w:pPr>
              <w:pStyle w:val="26"/>
              <w:jc w:val="center"/>
              <w:rPr>
                <w:color w:val="auto"/>
                <w:sz w:val="22"/>
                <w:szCs w:val="22"/>
              </w:rPr>
            </w:pPr>
            <w:r>
              <w:rPr>
                <w:color w:val="auto"/>
                <w:sz w:val="22"/>
                <w:szCs w:val="22"/>
              </w:rPr>
              <w:t>0.0112</w:t>
            </w:r>
          </w:p>
        </w:tc>
        <w:tc>
          <w:tcPr>
            <w:tcW w:w="1213" w:type="dxa"/>
            <w:shd w:val="clear" w:color="auto" w:fill="auto"/>
          </w:tcPr>
          <w:p w14:paraId="48072356">
            <w:pPr>
              <w:pStyle w:val="26"/>
              <w:jc w:val="center"/>
              <w:rPr>
                <w:color w:val="auto"/>
                <w:sz w:val="22"/>
                <w:szCs w:val="22"/>
              </w:rPr>
            </w:pPr>
            <w:r>
              <w:rPr>
                <w:color w:val="auto"/>
                <w:sz w:val="22"/>
                <w:szCs w:val="22"/>
              </w:rPr>
              <w:t>0.7835</w:t>
            </w:r>
          </w:p>
        </w:tc>
        <w:tc>
          <w:tcPr>
            <w:tcW w:w="1213" w:type="dxa"/>
            <w:shd w:val="clear" w:color="auto" w:fill="auto"/>
          </w:tcPr>
          <w:p w14:paraId="1756297A">
            <w:pPr>
              <w:pStyle w:val="26"/>
              <w:jc w:val="center"/>
              <w:rPr>
                <w:color w:val="auto"/>
                <w:sz w:val="22"/>
                <w:szCs w:val="22"/>
              </w:rPr>
            </w:pPr>
            <w:r>
              <w:rPr>
                <w:color w:val="auto"/>
                <w:sz w:val="22"/>
                <w:szCs w:val="22"/>
              </w:rPr>
              <w:t>0.1088</w:t>
            </w:r>
          </w:p>
        </w:tc>
      </w:tr>
      <w:tr w14:paraId="097BF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38" w:type="dxa"/>
            <w:shd w:val="clear" w:color="auto" w:fill="auto"/>
          </w:tcPr>
          <w:p w14:paraId="4209637C">
            <w:pPr>
              <w:pStyle w:val="26"/>
              <w:jc w:val="center"/>
              <w:rPr>
                <w:color w:val="auto"/>
                <w:sz w:val="22"/>
                <w:szCs w:val="22"/>
              </w:rPr>
            </w:pPr>
            <w:r>
              <w:rPr>
                <w:color w:val="auto"/>
                <w:sz w:val="22"/>
                <w:szCs w:val="22"/>
              </w:rPr>
              <w:t>Ⅳ</w:t>
            </w:r>
          </w:p>
        </w:tc>
        <w:tc>
          <w:tcPr>
            <w:tcW w:w="720" w:type="dxa"/>
            <w:shd w:val="clear" w:color="auto" w:fill="auto"/>
          </w:tcPr>
          <w:p w14:paraId="171B7618">
            <w:pPr>
              <w:pStyle w:val="26"/>
              <w:jc w:val="center"/>
              <w:rPr>
                <w:color w:val="auto"/>
                <w:sz w:val="22"/>
                <w:szCs w:val="22"/>
              </w:rPr>
            </w:pPr>
            <w:r>
              <w:rPr>
                <w:color w:val="auto"/>
                <w:sz w:val="22"/>
                <w:szCs w:val="22"/>
              </w:rPr>
              <w:t>2022</w:t>
            </w:r>
          </w:p>
        </w:tc>
        <w:tc>
          <w:tcPr>
            <w:tcW w:w="990" w:type="dxa"/>
            <w:shd w:val="clear" w:color="auto" w:fill="auto"/>
          </w:tcPr>
          <w:p w14:paraId="17696516">
            <w:pPr>
              <w:pStyle w:val="26"/>
              <w:jc w:val="center"/>
              <w:rPr>
                <w:color w:val="auto"/>
                <w:sz w:val="22"/>
                <w:szCs w:val="22"/>
              </w:rPr>
            </w:pPr>
            <w:r>
              <w:rPr>
                <w:color w:val="auto"/>
                <w:sz w:val="22"/>
                <w:szCs w:val="22"/>
              </w:rPr>
              <w:t>0.6057</w:t>
            </w:r>
          </w:p>
        </w:tc>
        <w:tc>
          <w:tcPr>
            <w:tcW w:w="1890" w:type="dxa"/>
            <w:shd w:val="clear" w:color="auto" w:fill="auto"/>
          </w:tcPr>
          <w:p w14:paraId="7E7E4030">
            <w:pPr>
              <w:pStyle w:val="26"/>
              <w:jc w:val="center"/>
              <w:rPr>
                <w:color w:val="auto"/>
                <w:sz w:val="22"/>
                <w:szCs w:val="22"/>
              </w:rPr>
            </w:pPr>
            <w:r>
              <w:rPr>
                <w:color w:val="auto"/>
                <w:sz w:val="22"/>
                <w:szCs w:val="22"/>
              </w:rPr>
              <w:t>0.6769</w:t>
            </w:r>
          </w:p>
        </w:tc>
        <w:tc>
          <w:tcPr>
            <w:tcW w:w="1727" w:type="dxa"/>
            <w:shd w:val="clear" w:color="auto" w:fill="auto"/>
          </w:tcPr>
          <w:p w14:paraId="7AB92B3B">
            <w:pPr>
              <w:pStyle w:val="26"/>
              <w:jc w:val="center"/>
              <w:rPr>
                <w:color w:val="auto"/>
                <w:sz w:val="22"/>
                <w:szCs w:val="22"/>
              </w:rPr>
            </w:pPr>
            <w:r>
              <w:rPr>
                <w:color w:val="auto"/>
                <w:sz w:val="22"/>
                <w:szCs w:val="22"/>
              </w:rPr>
              <w:t>0.5019</w:t>
            </w:r>
          </w:p>
        </w:tc>
        <w:tc>
          <w:tcPr>
            <w:tcW w:w="1213" w:type="dxa"/>
            <w:shd w:val="clear" w:color="auto" w:fill="auto"/>
          </w:tcPr>
          <w:p w14:paraId="3B2B439C">
            <w:pPr>
              <w:pStyle w:val="26"/>
              <w:jc w:val="center"/>
              <w:rPr>
                <w:color w:val="auto"/>
                <w:sz w:val="22"/>
                <w:szCs w:val="22"/>
              </w:rPr>
            </w:pPr>
            <w:r>
              <w:rPr>
                <w:color w:val="auto"/>
                <w:sz w:val="22"/>
                <w:szCs w:val="22"/>
              </w:rPr>
              <w:t>0.0035</w:t>
            </w:r>
          </w:p>
        </w:tc>
        <w:tc>
          <w:tcPr>
            <w:tcW w:w="1213" w:type="dxa"/>
            <w:shd w:val="clear" w:color="auto" w:fill="auto"/>
          </w:tcPr>
          <w:p w14:paraId="20602249">
            <w:pPr>
              <w:pStyle w:val="26"/>
              <w:jc w:val="center"/>
              <w:rPr>
                <w:color w:val="auto"/>
                <w:sz w:val="22"/>
                <w:szCs w:val="22"/>
              </w:rPr>
            </w:pPr>
            <w:r>
              <w:rPr>
                <w:color w:val="auto"/>
                <w:sz w:val="22"/>
                <w:szCs w:val="22"/>
              </w:rPr>
              <w:t>0.7433</w:t>
            </w:r>
          </w:p>
        </w:tc>
        <w:tc>
          <w:tcPr>
            <w:tcW w:w="1213" w:type="dxa"/>
            <w:shd w:val="clear" w:color="auto" w:fill="auto"/>
          </w:tcPr>
          <w:p w14:paraId="7F8A86EC">
            <w:pPr>
              <w:pStyle w:val="26"/>
              <w:jc w:val="center"/>
              <w:rPr>
                <w:color w:val="auto"/>
                <w:sz w:val="22"/>
                <w:szCs w:val="22"/>
              </w:rPr>
            </w:pPr>
            <w:r>
              <w:rPr>
                <w:color w:val="auto"/>
                <w:sz w:val="22"/>
                <w:szCs w:val="22"/>
              </w:rPr>
              <w:t>0.1235</w:t>
            </w:r>
          </w:p>
        </w:tc>
      </w:tr>
      <w:tr w14:paraId="398BF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38" w:type="dxa"/>
            <w:shd w:val="clear" w:color="auto" w:fill="auto"/>
          </w:tcPr>
          <w:p w14:paraId="74FE0FDB">
            <w:pPr>
              <w:pStyle w:val="26"/>
              <w:jc w:val="center"/>
              <w:rPr>
                <w:color w:val="auto"/>
                <w:sz w:val="22"/>
                <w:szCs w:val="22"/>
              </w:rPr>
            </w:pPr>
            <w:r>
              <w:rPr>
                <w:color w:val="auto"/>
                <w:sz w:val="22"/>
                <w:szCs w:val="22"/>
              </w:rPr>
              <w:t>Ⅳ</w:t>
            </w:r>
          </w:p>
        </w:tc>
        <w:tc>
          <w:tcPr>
            <w:tcW w:w="720" w:type="dxa"/>
            <w:shd w:val="clear" w:color="auto" w:fill="auto"/>
          </w:tcPr>
          <w:p w14:paraId="506053F1">
            <w:pPr>
              <w:pStyle w:val="26"/>
              <w:jc w:val="center"/>
              <w:rPr>
                <w:color w:val="auto"/>
                <w:sz w:val="22"/>
                <w:szCs w:val="22"/>
              </w:rPr>
            </w:pPr>
            <w:r>
              <w:rPr>
                <w:color w:val="auto"/>
                <w:sz w:val="22"/>
                <w:szCs w:val="22"/>
              </w:rPr>
              <w:t>2023</w:t>
            </w:r>
          </w:p>
        </w:tc>
        <w:tc>
          <w:tcPr>
            <w:tcW w:w="990" w:type="dxa"/>
            <w:shd w:val="clear" w:color="auto" w:fill="auto"/>
          </w:tcPr>
          <w:p w14:paraId="671EA7B2">
            <w:pPr>
              <w:pStyle w:val="26"/>
              <w:jc w:val="center"/>
              <w:rPr>
                <w:color w:val="auto"/>
                <w:sz w:val="22"/>
                <w:szCs w:val="22"/>
              </w:rPr>
            </w:pPr>
            <w:r>
              <w:rPr>
                <w:color w:val="auto"/>
                <w:sz w:val="22"/>
                <w:szCs w:val="22"/>
              </w:rPr>
              <w:t>0.5926</w:t>
            </w:r>
          </w:p>
        </w:tc>
        <w:tc>
          <w:tcPr>
            <w:tcW w:w="1890" w:type="dxa"/>
            <w:shd w:val="clear" w:color="auto" w:fill="auto"/>
          </w:tcPr>
          <w:p w14:paraId="57200BAC">
            <w:pPr>
              <w:pStyle w:val="26"/>
              <w:jc w:val="center"/>
              <w:rPr>
                <w:color w:val="auto"/>
                <w:sz w:val="22"/>
                <w:szCs w:val="22"/>
              </w:rPr>
            </w:pPr>
            <w:r>
              <w:rPr>
                <w:color w:val="auto"/>
                <w:sz w:val="22"/>
                <w:szCs w:val="22"/>
              </w:rPr>
              <w:t>0.6493</w:t>
            </w:r>
          </w:p>
        </w:tc>
        <w:tc>
          <w:tcPr>
            <w:tcW w:w="1727" w:type="dxa"/>
            <w:shd w:val="clear" w:color="auto" w:fill="auto"/>
          </w:tcPr>
          <w:p w14:paraId="3335891E">
            <w:pPr>
              <w:pStyle w:val="26"/>
              <w:jc w:val="center"/>
              <w:rPr>
                <w:color w:val="auto"/>
                <w:sz w:val="22"/>
                <w:szCs w:val="22"/>
              </w:rPr>
            </w:pPr>
            <w:r>
              <w:rPr>
                <w:color w:val="auto"/>
                <w:sz w:val="22"/>
                <w:szCs w:val="22"/>
              </w:rPr>
              <w:t>0.4837</w:t>
            </w:r>
          </w:p>
        </w:tc>
        <w:tc>
          <w:tcPr>
            <w:tcW w:w="1213" w:type="dxa"/>
            <w:shd w:val="clear" w:color="auto" w:fill="auto"/>
          </w:tcPr>
          <w:p w14:paraId="25725AA4">
            <w:pPr>
              <w:pStyle w:val="26"/>
              <w:jc w:val="center"/>
              <w:rPr>
                <w:color w:val="auto"/>
                <w:sz w:val="22"/>
                <w:szCs w:val="22"/>
              </w:rPr>
            </w:pPr>
            <w:r>
              <w:rPr>
                <w:color w:val="auto"/>
                <w:sz w:val="22"/>
                <w:szCs w:val="22"/>
              </w:rPr>
              <w:t>0.0041</w:t>
            </w:r>
          </w:p>
        </w:tc>
        <w:tc>
          <w:tcPr>
            <w:tcW w:w="1213" w:type="dxa"/>
            <w:shd w:val="clear" w:color="auto" w:fill="auto"/>
          </w:tcPr>
          <w:p w14:paraId="7E4FD929">
            <w:pPr>
              <w:pStyle w:val="26"/>
              <w:jc w:val="center"/>
              <w:rPr>
                <w:color w:val="auto"/>
                <w:sz w:val="22"/>
                <w:szCs w:val="22"/>
              </w:rPr>
            </w:pPr>
            <w:r>
              <w:rPr>
                <w:color w:val="auto"/>
                <w:sz w:val="22"/>
                <w:szCs w:val="22"/>
              </w:rPr>
              <w:t>0.7750</w:t>
            </w:r>
          </w:p>
        </w:tc>
        <w:tc>
          <w:tcPr>
            <w:tcW w:w="1213" w:type="dxa"/>
            <w:shd w:val="clear" w:color="auto" w:fill="auto"/>
          </w:tcPr>
          <w:p w14:paraId="1D1A7D16">
            <w:pPr>
              <w:pStyle w:val="26"/>
              <w:jc w:val="center"/>
              <w:rPr>
                <w:color w:val="auto"/>
                <w:sz w:val="22"/>
                <w:szCs w:val="22"/>
              </w:rPr>
            </w:pPr>
            <w:r>
              <w:rPr>
                <w:color w:val="auto"/>
                <w:sz w:val="22"/>
                <w:szCs w:val="22"/>
              </w:rPr>
              <w:t>0.1283</w:t>
            </w:r>
          </w:p>
        </w:tc>
      </w:tr>
      <w:tr w14:paraId="491E4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38" w:type="dxa"/>
            <w:shd w:val="clear" w:color="auto" w:fill="auto"/>
          </w:tcPr>
          <w:p w14:paraId="0EFDE4B7">
            <w:pPr>
              <w:pStyle w:val="26"/>
              <w:jc w:val="center"/>
              <w:rPr>
                <w:color w:val="auto"/>
                <w:sz w:val="22"/>
                <w:szCs w:val="22"/>
              </w:rPr>
            </w:pPr>
            <w:r>
              <w:rPr>
                <w:color w:val="auto"/>
                <w:sz w:val="22"/>
                <w:szCs w:val="22"/>
              </w:rPr>
              <w:t>Ⅳ</w:t>
            </w:r>
          </w:p>
        </w:tc>
        <w:tc>
          <w:tcPr>
            <w:tcW w:w="720" w:type="dxa"/>
            <w:shd w:val="clear" w:color="auto" w:fill="auto"/>
          </w:tcPr>
          <w:p w14:paraId="4FBD3E5B">
            <w:pPr>
              <w:pStyle w:val="26"/>
              <w:jc w:val="center"/>
              <w:rPr>
                <w:color w:val="auto"/>
                <w:sz w:val="22"/>
                <w:szCs w:val="22"/>
              </w:rPr>
            </w:pPr>
            <w:r>
              <w:rPr>
                <w:color w:val="auto"/>
                <w:sz w:val="22"/>
                <w:szCs w:val="22"/>
              </w:rPr>
              <w:t>2024</w:t>
            </w:r>
          </w:p>
        </w:tc>
        <w:tc>
          <w:tcPr>
            <w:tcW w:w="990" w:type="dxa"/>
            <w:shd w:val="clear" w:color="auto" w:fill="auto"/>
          </w:tcPr>
          <w:p w14:paraId="6BCE4771">
            <w:pPr>
              <w:pStyle w:val="26"/>
              <w:jc w:val="center"/>
              <w:rPr>
                <w:color w:val="auto"/>
                <w:sz w:val="22"/>
                <w:szCs w:val="22"/>
              </w:rPr>
            </w:pPr>
            <w:r>
              <w:rPr>
                <w:color w:val="auto"/>
                <w:sz w:val="22"/>
                <w:szCs w:val="22"/>
              </w:rPr>
              <w:t>0.5387</w:t>
            </w:r>
          </w:p>
        </w:tc>
        <w:tc>
          <w:tcPr>
            <w:tcW w:w="1890" w:type="dxa"/>
            <w:shd w:val="clear" w:color="auto" w:fill="auto"/>
          </w:tcPr>
          <w:p w14:paraId="1D0237E8">
            <w:pPr>
              <w:pStyle w:val="26"/>
              <w:jc w:val="center"/>
              <w:rPr>
                <w:color w:val="auto"/>
                <w:sz w:val="22"/>
                <w:szCs w:val="22"/>
              </w:rPr>
            </w:pPr>
            <w:r>
              <w:rPr>
                <w:color w:val="auto"/>
                <w:sz w:val="22"/>
                <w:szCs w:val="22"/>
              </w:rPr>
              <w:t>0.7252</w:t>
            </w:r>
          </w:p>
        </w:tc>
        <w:tc>
          <w:tcPr>
            <w:tcW w:w="1727" w:type="dxa"/>
            <w:shd w:val="clear" w:color="auto" w:fill="auto"/>
          </w:tcPr>
          <w:p w14:paraId="409B4990">
            <w:pPr>
              <w:pStyle w:val="26"/>
              <w:jc w:val="center"/>
              <w:rPr>
                <w:color w:val="auto"/>
                <w:sz w:val="22"/>
                <w:szCs w:val="22"/>
              </w:rPr>
            </w:pPr>
            <w:r>
              <w:rPr>
                <w:color w:val="auto"/>
                <w:sz w:val="22"/>
                <w:szCs w:val="22"/>
              </w:rPr>
              <w:t>0.4603</w:t>
            </w:r>
          </w:p>
        </w:tc>
        <w:tc>
          <w:tcPr>
            <w:tcW w:w="1213" w:type="dxa"/>
            <w:shd w:val="clear" w:color="auto" w:fill="auto"/>
          </w:tcPr>
          <w:p w14:paraId="367F3F7F">
            <w:pPr>
              <w:pStyle w:val="26"/>
              <w:jc w:val="center"/>
              <w:rPr>
                <w:color w:val="auto"/>
                <w:sz w:val="22"/>
                <w:szCs w:val="22"/>
              </w:rPr>
            </w:pPr>
            <w:r>
              <w:rPr>
                <w:color w:val="auto"/>
                <w:sz w:val="22"/>
                <w:szCs w:val="22"/>
              </w:rPr>
              <w:t>0.0024</w:t>
            </w:r>
          </w:p>
        </w:tc>
        <w:tc>
          <w:tcPr>
            <w:tcW w:w="1213" w:type="dxa"/>
            <w:shd w:val="clear" w:color="auto" w:fill="auto"/>
          </w:tcPr>
          <w:p w14:paraId="2D450338">
            <w:pPr>
              <w:pStyle w:val="26"/>
              <w:jc w:val="center"/>
              <w:rPr>
                <w:color w:val="auto"/>
                <w:sz w:val="22"/>
                <w:szCs w:val="22"/>
              </w:rPr>
            </w:pPr>
            <w:r>
              <w:rPr>
                <w:color w:val="auto"/>
                <w:sz w:val="22"/>
                <w:szCs w:val="22"/>
              </w:rPr>
              <w:t>.8056</w:t>
            </w:r>
          </w:p>
        </w:tc>
        <w:tc>
          <w:tcPr>
            <w:tcW w:w="1213" w:type="dxa"/>
            <w:shd w:val="clear" w:color="auto" w:fill="auto"/>
          </w:tcPr>
          <w:p w14:paraId="38609E05">
            <w:pPr>
              <w:pStyle w:val="26"/>
              <w:jc w:val="center"/>
              <w:rPr>
                <w:color w:val="auto"/>
                <w:sz w:val="22"/>
                <w:szCs w:val="22"/>
              </w:rPr>
            </w:pPr>
            <w:r>
              <w:rPr>
                <w:color w:val="auto"/>
                <w:sz w:val="22"/>
                <w:szCs w:val="22"/>
              </w:rPr>
              <w:t>0.1329</w:t>
            </w:r>
          </w:p>
        </w:tc>
      </w:tr>
      <w:tr w14:paraId="44700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38" w:type="dxa"/>
            <w:shd w:val="clear" w:color="auto" w:fill="auto"/>
          </w:tcPr>
          <w:p w14:paraId="0EB72FA1">
            <w:pPr>
              <w:pStyle w:val="26"/>
              <w:jc w:val="center"/>
              <w:rPr>
                <w:color w:val="auto"/>
                <w:sz w:val="22"/>
                <w:szCs w:val="22"/>
              </w:rPr>
            </w:pPr>
            <w:r>
              <w:rPr>
                <w:color w:val="auto"/>
                <w:sz w:val="22"/>
                <w:szCs w:val="22"/>
              </w:rPr>
              <w:t>Ⅴ</w:t>
            </w:r>
          </w:p>
        </w:tc>
        <w:tc>
          <w:tcPr>
            <w:tcW w:w="720" w:type="dxa"/>
            <w:shd w:val="clear" w:color="auto" w:fill="auto"/>
          </w:tcPr>
          <w:p w14:paraId="28C2DE1E">
            <w:pPr>
              <w:pStyle w:val="26"/>
              <w:jc w:val="center"/>
              <w:rPr>
                <w:color w:val="auto"/>
                <w:sz w:val="22"/>
                <w:szCs w:val="22"/>
              </w:rPr>
            </w:pPr>
            <w:r>
              <w:rPr>
                <w:color w:val="auto"/>
                <w:sz w:val="22"/>
                <w:szCs w:val="22"/>
              </w:rPr>
              <w:t>2022</w:t>
            </w:r>
          </w:p>
        </w:tc>
        <w:tc>
          <w:tcPr>
            <w:tcW w:w="990" w:type="dxa"/>
            <w:shd w:val="clear" w:color="auto" w:fill="auto"/>
          </w:tcPr>
          <w:p w14:paraId="3AC3EB00">
            <w:pPr>
              <w:pStyle w:val="26"/>
              <w:jc w:val="center"/>
              <w:rPr>
                <w:color w:val="auto"/>
                <w:sz w:val="22"/>
                <w:szCs w:val="22"/>
              </w:rPr>
            </w:pPr>
            <w:r>
              <w:rPr>
                <w:color w:val="auto"/>
                <w:sz w:val="22"/>
                <w:szCs w:val="22"/>
              </w:rPr>
              <w:t>0.2736</w:t>
            </w:r>
          </w:p>
        </w:tc>
        <w:tc>
          <w:tcPr>
            <w:tcW w:w="1890" w:type="dxa"/>
            <w:shd w:val="clear" w:color="auto" w:fill="auto"/>
          </w:tcPr>
          <w:p w14:paraId="030BBCE9">
            <w:pPr>
              <w:pStyle w:val="26"/>
              <w:jc w:val="center"/>
              <w:rPr>
                <w:color w:val="auto"/>
                <w:sz w:val="22"/>
                <w:szCs w:val="22"/>
              </w:rPr>
            </w:pPr>
            <w:r>
              <w:rPr>
                <w:color w:val="auto"/>
                <w:sz w:val="22"/>
                <w:szCs w:val="22"/>
              </w:rPr>
              <w:t>0.8949</w:t>
            </w:r>
          </w:p>
        </w:tc>
        <w:tc>
          <w:tcPr>
            <w:tcW w:w="1727" w:type="dxa"/>
            <w:shd w:val="clear" w:color="auto" w:fill="auto"/>
          </w:tcPr>
          <w:p w14:paraId="1398E13B">
            <w:pPr>
              <w:pStyle w:val="26"/>
              <w:jc w:val="center"/>
              <w:rPr>
                <w:color w:val="auto"/>
                <w:sz w:val="22"/>
                <w:szCs w:val="22"/>
              </w:rPr>
            </w:pPr>
            <w:r>
              <w:rPr>
                <w:color w:val="auto"/>
                <w:sz w:val="22"/>
                <w:szCs w:val="22"/>
              </w:rPr>
              <w:t>0.4643</w:t>
            </w:r>
          </w:p>
        </w:tc>
        <w:tc>
          <w:tcPr>
            <w:tcW w:w="1213" w:type="dxa"/>
            <w:shd w:val="clear" w:color="auto" w:fill="auto"/>
          </w:tcPr>
          <w:p w14:paraId="04531726">
            <w:pPr>
              <w:pStyle w:val="26"/>
              <w:jc w:val="center"/>
              <w:rPr>
                <w:color w:val="auto"/>
                <w:sz w:val="22"/>
                <w:szCs w:val="22"/>
              </w:rPr>
            </w:pPr>
            <w:r>
              <w:rPr>
                <w:color w:val="auto"/>
                <w:sz w:val="22"/>
                <w:szCs w:val="22"/>
              </w:rPr>
              <w:t>0.0039</w:t>
            </w:r>
          </w:p>
        </w:tc>
        <w:tc>
          <w:tcPr>
            <w:tcW w:w="1213" w:type="dxa"/>
            <w:shd w:val="clear" w:color="auto" w:fill="auto"/>
          </w:tcPr>
          <w:p w14:paraId="382BD126">
            <w:pPr>
              <w:pStyle w:val="26"/>
              <w:jc w:val="center"/>
              <w:rPr>
                <w:color w:val="auto"/>
                <w:sz w:val="22"/>
                <w:szCs w:val="22"/>
              </w:rPr>
            </w:pPr>
            <w:r>
              <w:rPr>
                <w:color w:val="auto"/>
                <w:sz w:val="22"/>
                <w:szCs w:val="22"/>
              </w:rPr>
              <w:t>0.9440</w:t>
            </w:r>
          </w:p>
        </w:tc>
        <w:tc>
          <w:tcPr>
            <w:tcW w:w="1213" w:type="dxa"/>
            <w:shd w:val="clear" w:color="auto" w:fill="auto"/>
          </w:tcPr>
          <w:p w14:paraId="0D675A8B">
            <w:pPr>
              <w:pStyle w:val="26"/>
              <w:jc w:val="center"/>
              <w:rPr>
                <w:color w:val="auto"/>
                <w:sz w:val="22"/>
                <w:szCs w:val="22"/>
              </w:rPr>
            </w:pPr>
            <w:r>
              <w:rPr>
                <w:color w:val="auto"/>
                <w:sz w:val="22"/>
                <w:szCs w:val="22"/>
              </w:rPr>
              <w:t>0.0473</w:t>
            </w:r>
          </w:p>
        </w:tc>
      </w:tr>
      <w:tr w14:paraId="59D9F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38" w:type="dxa"/>
            <w:tcBorders>
              <w:top w:val="single" w:color="auto" w:sz="4" w:space="0"/>
              <w:left w:val="single" w:color="auto" w:sz="4" w:space="0"/>
              <w:bottom w:val="single" w:color="auto" w:sz="4" w:space="0"/>
              <w:right w:val="single" w:color="auto" w:sz="4" w:space="0"/>
            </w:tcBorders>
            <w:shd w:val="clear" w:color="auto" w:fill="auto"/>
          </w:tcPr>
          <w:p w14:paraId="12D94FA5">
            <w:pPr>
              <w:pStyle w:val="26"/>
              <w:jc w:val="center"/>
              <w:rPr>
                <w:color w:val="auto"/>
                <w:sz w:val="22"/>
                <w:szCs w:val="22"/>
              </w:rPr>
            </w:pPr>
            <w:r>
              <w:rPr>
                <w:color w:val="auto"/>
                <w:sz w:val="22"/>
                <w:szCs w:val="22"/>
              </w:rPr>
              <w:t>Ⅴ</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AA7CD51">
            <w:pPr>
              <w:pStyle w:val="26"/>
              <w:jc w:val="center"/>
              <w:rPr>
                <w:color w:val="auto"/>
                <w:sz w:val="22"/>
                <w:szCs w:val="22"/>
              </w:rPr>
            </w:pPr>
            <w:r>
              <w:rPr>
                <w:color w:val="auto"/>
                <w:sz w:val="22"/>
                <w:szCs w:val="22"/>
              </w:rPr>
              <w:t>2023</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541A62D7">
            <w:pPr>
              <w:pStyle w:val="26"/>
              <w:jc w:val="center"/>
              <w:rPr>
                <w:color w:val="auto"/>
                <w:sz w:val="22"/>
                <w:szCs w:val="22"/>
              </w:rPr>
            </w:pPr>
            <w:r>
              <w:rPr>
                <w:color w:val="auto"/>
                <w:sz w:val="22"/>
                <w:szCs w:val="22"/>
              </w:rPr>
              <w:t>0.2963</w:t>
            </w:r>
          </w:p>
        </w:tc>
        <w:tc>
          <w:tcPr>
            <w:tcW w:w="1890" w:type="dxa"/>
            <w:tcBorders>
              <w:top w:val="single" w:color="auto" w:sz="4" w:space="0"/>
              <w:left w:val="single" w:color="auto" w:sz="4" w:space="0"/>
              <w:bottom w:val="single" w:color="auto" w:sz="4" w:space="0"/>
              <w:right w:val="single" w:color="auto" w:sz="4" w:space="0"/>
            </w:tcBorders>
            <w:shd w:val="clear" w:color="auto" w:fill="auto"/>
          </w:tcPr>
          <w:p w14:paraId="2B8528EC">
            <w:pPr>
              <w:pStyle w:val="26"/>
              <w:jc w:val="center"/>
              <w:rPr>
                <w:color w:val="auto"/>
                <w:sz w:val="22"/>
                <w:szCs w:val="22"/>
              </w:rPr>
            </w:pPr>
            <w:r>
              <w:rPr>
                <w:color w:val="auto"/>
                <w:sz w:val="22"/>
                <w:szCs w:val="22"/>
              </w:rPr>
              <w:t>0.8602</w:t>
            </w:r>
          </w:p>
        </w:tc>
        <w:tc>
          <w:tcPr>
            <w:tcW w:w="1727" w:type="dxa"/>
            <w:tcBorders>
              <w:top w:val="single" w:color="auto" w:sz="4" w:space="0"/>
              <w:left w:val="single" w:color="auto" w:sz="4" w:space="0"/>
              <w:bottom w:val="single" w:color="auto" w:sz="4" w:space="0"/>
              <w:right w:val="single" w:color="auto" w:sz="4" w:space="0"/>
            </w:tcBorders>
            <w:shd w:val="clear" w:color="auto" w:fill="auto"/>
          </w:tcPr>
          <w:p w14:paraId="6D141DEB">
            <w:pPr>
              <w:pStyle w:val="26"/>
              <w:jc w:val="center"/>
              <w:rPr>
                <w:color w:val="auto"/>
                <w:sz w:val="22"/>
                <w:szCs w:val="22"/>
              </w:rPr>
            </w:pPr>
            <w:r>
              <w:rPr>
                <w:color w:val="auto"/>
                <w:sz w:val="22"/>
                <w:szCs w:val="22"/>
              </w:rPr>
              <w:t>0.4901</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2D04D105">
            <w:pPr>
              <w:pStyle w:val="26"/>
              <w:jc w:val="center"/>
              <w:rPr>
                <w:color w:val="auto"/>
                <w:sz w:val="22"/>
                <w:szCs w:val="22"/>
              </w:rPr>
            </w:pPr>
            <w:r>
              <w:rPr>
                <w:color w:val="auto"/>
                <w:sz w:val="22"/>
                <w:szCs w:val="22"/>
              </w:rPr>
              <w:t>0.0061</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1C2C27CA">
            <w:pPr>
              <w:pStyle w:val="26"/>
              <w:jc w:val="center"/>
              <w:rPr>
                <w:color w:val="auto"/>
                <w:sz w:val="22"/>
                <w:szCs w:val="22"/>
              </w:rPr>
            </w:pPr>
            <w:r>
              <w:rPr>
                <w:color w:val="auto"/>
                <w:sz w:val="22"/>
                <w:szCs w:val="22"/>
              </w:rPr>
              <w:t>0.9181</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760770DA">
            <w:pPr>
              <w:pStyle w:val="26"/>
              <w:jc w:val="center"/>
              <w:rPr>
                <w:color w:val="auto"/>
                <w:sz w:val="22"/>
                <w:szCs w:val="22"/>
              </w:rPr>
            </w:pPr>
            <w:r>
              <w:rPr>
                <w:color w:val="auto"/>
                <w:sz w:val="22"/>
                <w:szCs w:val="22"/>
              </w:rPr>
              <w:t>0.0427</w:t>
            </w:r>
          </w:p>
        </w:tc>
      </w:tr>
      <w:tr w14:paraId="49C5D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38" w:type="dxa"/>
            <w:tcBorders>
              <w:top w:val="single" w:color="auto" w:sz="4" w:space="0"/>
              <w:left w:val="single" w:color="auto" w:sz="4" w:space="0"/>
              <w:bottom w:val="single" w:color="auto" w:sz="4" w:space="0"/>
              <w:right w:val="single" w:color="auto" w:sz="4" w:space="0"/>
            </w:tcBorders>
            <w:shd w:val="clear" w:color="auto" w:fill="auto"/>
          </w:tcPr>
          <w:p w14:paraId="7526E434">
            <w:pPr>
              <w:pStyle w:val="26"/>
              <w:jc w:val="center"/>
              <w:rPr>
                <w:color w:val="auto"/>
                <w:sz w:val="22"/>
                <w:szCs w:val="22"/>
              </w:rPr>
            </w:pPr>
            <w:r>
              <w:rPr>
                <w:color w:val="auto"/>
                <w:sz w:val="22"/>
                <w:szCs w:val="22"/>
              </w:rPr>
              <w:t>Ⅴ</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4291BE40">
            <w:pPr>
              <w:pStyle w:val="26"/>
              <w:jc w:val="center"/>
              <w:rPr>
                <w:color w:val="auto"/>
                <w:sz w:val="22"/>
                <w:szCs w:val="22"/>
              </w:rPr>
            </w:pPr>
            <w:r>
              <w:rPr>
                <w:color w:val="auto"/>
                <w:sz w:val="22"/>
                <w:szCs w:val="22"/>
              </w:rPr>
              <w:t>2024</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679AD77C">
            <w:pPr>
              <w:pStyle w:val="26"/>
              <w:jc w:val="center"/>
              <w:rPr>
                <w:color w:val="auto"/>
                <w:sz w:val="22"/>
                <w:szCs w:val="22"/>
              </w:rPr>
            </w:pPr>
            <w:r>
              <w:rPr>
                <w:color w:val="auto"/>
                <w:sz w:val="22"/>
                <w:szCs w:val="22"/>
              </w:rPr>
              <w:t>0.2705</w:t>
            </w:r>
          </w:p>
        </w:tc>
        <w:tc>
          <w:tcPr>
            <w:tcW w:w="1890" w:type="dxa"/>
            <w:tcBorders>
              <w:top w:val="single" w:color="auto" w:sz="4" w:space="0"/>
              <w:left w:val="single" w:color="auto" w:sz="4" w:space="0"/>
              <w:bottom w:val="single" w:color="auto" w:sz="4" w:space="0"/>
              <w:right w:val="single" w:color="auto" w:sz="4" w:space="0"/>
            </w:tcBorders>
            <w:shd w:val="clear" w:color="auto" w:fill="auto"/>
          </w:tcPr>
          <w:p w14:paraId="37252EEB">
            <w:pPr>
              <w:pStyle w:val="26"/>
              <w:jc w:val="center"/>
              <w:rPr>
                <w:color w:val="auto"/>
                <w:sz w:val="22"/>
                <w:szCs w:val="22"/>
              </w:rPr>
            </w:pPr>
            <w:r>
              <w:rPr>
                <w:color w:val="auto"/>
                <w:sz w:val="22"/>
                <w:szCs w:val="22"/>
              </w:rPr>
              <w:t>0.8327</w:t>
            </w:r>
          </w:p>
        </w:tc>
        <w:tc>
          <w:tcPr>
            <w:tcW w:w="1727" w:type="dxa"/>
            <w:tcBorders>
              <w:top w:val="single" w:color="auto" w:sz="4" w:space="0"/>
              <w:left w:val="single" w:color="auto" w:sz="4" w:space="0"/>
              <w:bottom w:val="single" w:color="auto" w:sz="4" w:space="0"/>
              <w:right w:val="single" w:color="auto" w:sz="4" w:space="0"/>
            </w:tcBorders>
            <w:shd w:val="clear" w:color="auto" w:fill="auto"/>
          </w:tcPr>
          <w:p w14:paraId="212D7748">
            <w:pPr>
              <w:pStyle w:val="26"/>
              <w:jc w:val="center"/>
              <w:rPr>
                <w:color w:val="auto"/>
                <w:sz w:val="22"/>
                <w:szCs w:val="22"/>
              </w:rPr>
            </w:pPr>
            <w:r>
              <w:rPr>
                <w:color w:val="auto"/>
                <w:sz w:val="22"/>
                <w:szCs w:val="22"/>
              </w:rPr>
              <w:t>0.4825</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131FF55B">
            <w:pPr>
              <w:pStyle w:val="26"/>
              <w:jc w:val="center"/>
              <w:rPr>
                <w:color w:val="auto"/>
                <w:sz w:val="22"/>
                <w:szCs w:val="22"/>
              </w:rPr>
            </w:pPr>
            <w:r>
              <w:rPr>
                <w:color w:val="auto"/>
                <w:sz w:val="22"/>
                <w:szCs w:val="22"/>
              </w:rPr>
              <w:t>0.0062</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71774E37">
            <w:pPr>
              <w:pStyle w:val="26"/>
              <w:jc w:val="center"/>
              <w:rPr>
                <w:color w:val="auto"/>
                <w:sz w:val="22"/>
                <w:szCs w:val="22"/>
              </w:rPr>
            </w:pPr>
            <w:r>
              <w:rPr>
                <w:color w:val="auto"/>
                <w:sz w:val="22"/>
                <w:szCs w:val="22"/>
              </w:rPr>
              <w:t>0.8937</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626846EA">
            <w:pPr>
              <w:pStyle w:val="26"/>
              <w:jc w:val="center"/>
              <w:rPr>
                <w:color w:val="auto"/>
                <w:sz w:val="22"/>
                <w:szCs w:val="22"/>
              </w:rPr>
            </w:pPr>
            <w:r>
              <w:rPr>
                <w:color w:val="auto"/>
                <w:sz w:val="22"/>
                <w:szCs w:val="22"/>
              </w:rPr>
              <w:t>0.0425</w:t>
            </w:r>
          </w:p>
        </w:tc>
      </w:tr>
      <w:tr w14:paraId="561F8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38" w:type="dxa"/>
            <w:tcBorders>
              <w:top w:val="single" w:color="auto" w:sz="4" w:space="0"/>
              <w:left w:val="single" w:color="auto" w:sz="4" w:space="0"/>
              <w:bottom w:val="single" w:color="auto" w:sz="4" w:space="0"/>
              <w:right w:val="single" w:color="auto" w:sz="4" w:space="0"/>
            </w:tcBorders>
            <w:shd w:val="clear" w:color="auto" w:fill="auto"/>
          </w:tcPr>
          <w:p w14:paraId="6F0BB1B9">
            <w:pPr>
              <w:pStyle w:val="26"/>
              <w:jc w:val="center"/>
              <w:rPr>
                <w:color w:val="auto"/>
                <w:sz w:val="22"/>
                <w:szCs w:val="22"/>
              </w:rPr>
            </w:pPr>
            <w:r>
              <w:rPr>
                <w:color w:val="auto"/>
                <w:sz w:val="22"/>
                <w:szCs w:val="22"/>
              </w:rPr>
              <w:t>Ⅵ</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24C6475">
            <w:pPr>
              <w:pStyle w:val="26"/>
              <w:jc w:val="center"/>
              <w:rPr>
                <w:color w:val="auto"/>
                <w:sz w:val="22"/>
                <w:szCs w:val="22"/>
              </w:rPr>
            </w:pPr>
            <w:r>
              <w:rPr>
                <w:color w:val="auto"/>
                <w:sz w:val="22"/>
                <w:szCs w:val="22"/>
              </w:rPr>
              <w:t>2022</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12A07DED">
            <w:pPr>
              <w:pStyle w:val="26"/>
              <w:jc w:val="center"/>
              <w:rPr>
                <w:color w:val="auto"/>
                <w:sz w:val="22"/>
                <w:szCs w:val="22"/>
              </w:rPr>
            </w:pPr>
            <w:r>
              <w:rPr>
                <w:color w:val="auto"/>
                <w:sz w:val="22"/>
                <w:szCs w:val="22"/>
              </w:rPr>
              <w:t>0.1404</w:t>
            </w:r>
          </w:p>
        </w:tc>
        <w:tc>
          <w:tcPr>
            <w:tcW w:w="1890" w:type="dxa"/>
            <w:tcBorders>
              <w:top w:val="single" w:color="auto" w:sz="4" w:space="0"/>
              <w:left w:val="single" w:color="auto" w:sz="4" w:space="0"/>
              <w:bottom w:val="single" w:color="auto" w:sz="4" w:space="0"/>
              <w:right w:val="single" w:color="auto" w:sz="4" w:space="0"/>
            </w:tcBorders>
            <w:shd w:val="clear" w:color="auto" w:fill="auto"/>
          </w:tcPr>
          <w:p w14:paraId="4DBA8268">
            <w:pPr>
              <w:pStyle w:val="26"/>
              <w:jc w:val="center"/>
              <w:rPr>
                <w:color w:val="auto"/>
                <w:sz w:val="22"/>
                <w:szCs w:val="22"/>
              </w:rPr>
            </w:pPr>
            <w:r>
              <w:rPr>
                <w:color w:val="auto"/>
                <w:sz w:val="22"/>
                <w:szCs w:val="22"/>
              </w:rPr>
              <w:t>0.4068</w:t>
            </w:r>
          </w:p>
        </w:tc>
        <w:tc>
          <w:tcPr>
            <w:tcW w:w="1727" w:type="dxa"/>
            <w:tcBorders>
              <w:top w:val="single" w:color="auto" w:sz="4" w:space="0"/>
              <w:left w:val="single" w:color="auto" w:sz="4" w:space="0"/>
              <w:bottom w:val="single" w:color="auto" w:sz="4" w:space="0"/>
              <w:right w:val="single" w:color="auto" w:sz="4" w:space="0"/>
            </w:tcBorders>
            <w:shd w:val="clear" w:color="auto" w:fill="auto"/>
          </w:tcPr>
          <w:p w14:paraId="0685B3B0">
            <w:pPr>
              <w:pStyle w:val="26"/>
              <w:jc w:val="center"/>
              <w:rPr>
                <w:color w:val="auto"/>
                <w:sz w:val="22"/>
                <w:szCs w:val="22"/>
              </w:rPr>
            </w:pPr>
            <w:r>
              <w:rPr>
                <w:color w:val="auto"/>
                <w:sz w:val="22"/>
                <w:szCs w:val="22"/>
              </w:rPr>
              <w:t>-2.0165</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671795DA">
            <w:pPr>
              <w:pStyle w:val="26"/>
              <w:jc w:val="center"/>
              <w:rPr>
                <w:color w:val="auto"/>
                <w:sz w:val="22"/>
                <w:szCs w:val="22"/>
              </w:rPr>
            </w:pPr>
            <w:r>
              <w:rPr>
                <w:color w:val="auto"/>
                <w:sz w:val="22"/>
                <w:szCs w:val="22"/>
              </w:rPr>
              <w:t>-0.0041</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27132CF9">
            <w:pPr>
              <w:pStyle w:val="26"/>
              <w:jc w:val="center"/>
              <w:rPr>
                <w:color w:val="auto"/>
                <w:sz w:val="22"/>
                <w:szCs w:val="22"/>
              </w:rPr>
            </w:pPr>
            <w:r>
              <w:rPr>
                <w:color w:val="auto"/>
                <w:sz w:val="22"/>
                <w:szCs w:val="22"/>
              </w:rPr>
              <w:t>0.4885</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00DB2F03">
            <w:pPr>
              <w:pStyle w:val="26"/>
              <w:jc w:val="center"/>
              <w:rPr>
                <w:color w:val="auto"/>
                <w:sz w:val="22"/>
                <w:szCs w:val="22"/>
              </w:rPr>
            </w:pPr>
            <w:r>
              <w:rPr>
                <w:color w:val="auto"/>
                <w:sz w:val="22"/>
                <w:szCs w:val="22"/>
              </w:rPr>
              <w:t>-1.0741</w:t>
            </w:r>
          </w:p>
        </w:tc>
      </w:tr>
      <w:tr w14:paraId="735BA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38" w:type="dxa"/>
            <w:tcBorders>
              <w:top w:val="single" w:color="auto" w:sz="4" w:space="0"/>
              <w:left w:val="single" w:color="auto" w:sz="4" w:space="0"/>
              <w:bottom w:val="single" w:color="auto" w:sz="4" w:space="0"/>
              <w:right w:val="single" w:color="auto" w:sz="4" w:space="0"/>
            </w:tcBorders>
            <w:shd w:val="clear" w:color="auto" w:fill="auto"/>
          </w:tcPr>
          <w:p w14:paraId="32192597">
            <w:pPr>
              <w:pStyle w:val="26"/>
              <w:jc w:val="center"/>
              <w:rPr>
                <w:color w:val="auto"/>
                <w:sz w:val="22"/>
                <w:szCs w:val="22"/>
              </w:rPr>
            </w:pPr>
            <w:r>
              <w:rPr>
                <w:color w:val="auto"/>
                <w:sz w:val="22"/>
                <w:szCs w:val="22"/>
              </w:rPr>
              <w:t>Ⅵ</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35EB81C">
            <w:pPr>
              <w:pStyle w:val="26"/>
              <w:jc w:val="center"/>
              <w:rPr>
                <w:color w:val="auto"/>
                <w:sz w:val="22"/>
                <w:szCs w:val="22"/>
              </w:rPr>
            </w:pPr>
            <w:r>
              <w:rPr>
                <w:color w:val="auto"/>
                <w:sz w:val="22"/>
                <w:szCs w:val="22"/>
              </w:rPr>
              <w:t>2023</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2842D667">
            <w:pPr>
              <w:pStyle w:val="26"/>
              <w:jc w:val="center"/>
              <w:rPr>
                <w:color w:val="auto"/>
                <w:sz w:val="22"/>
                <w:szCs w:val="22"/>
              </w:rPr>
            </w:pPr>
            <w:r>
              <w:rPr>
                <w:color w:val="auto"/>
                <w:sz w:val="22"/>
                <w:szCs w:val="22"/>
              </w:rPr>
              <w:t>-0.0045</w:t>
            </w:r>
          </w:p>
        </w:tc>
        <w:tc>
          <w:tcPr>
            <w:tcW w:w="1890" w:type="dxa"/>
            <w:tcBorders>
              <w:top w:val="single" w:color="auto" w:sz="4" w:space="0"/>
              <w:left w:val="single" w:color="auto" w:sz="4" w:space="0"/>
              <w:bottom w:val="single" w:color="auto" w:sz="4" w:space="0"/>
              <w:right w:val="single" w:color="auto" w:sz="4" w:space="0"/>
            </w:tcBorders>
            <w:shd w:val="clear" w:color="auto" w:fill="auto"/>
          </w:tcPr>
          <w:p w14:paraId="6B1EA719">
            <w:pPr>
              <w:pStyle w:val="26"/>
              <w:jc w:val="center"/>
              <w:rPr>
                <w:color w:val="auto"/>
                <w:sz w:val="22"/>
                <w:szCs w:val="22"/>
              </w:rPr>
            </w:pPr>
            <w:r>
              <w:rPr>
                <w:color w:val="auto"/>
                <w:sz w:val="22"/>
                <w:szCs w:val="22"/>
              </w:rPr>
              <w:t>0.4068</w:t>
            </w:r>
          </w:p>
        </w:tc>
        <w:tc>
          <w:tcPr>
            <w:tcW w:w="1727" w:type="dxa"/>
            <w:tcBorders>
              <w:top w:val="single" w:color="auto" w:sz="4" w:space="0"/>
              <w:left w:val="single" w:color="auto" w:sz="4" w:space="0"/>
              <w:bottom w:val="single" w:color="auto" w:sz="4" w:space="0"/>
              <w:right w:val="single" w:color="auto" w:sz="4" w:space="0"/>
            </w:tcBorders>
            <w:shd w:val="clear" w:color="auto" w:fill="auto"/>
          </w:tcPr>
          <w:p w14:paraId="6E7C3518">
            <w:pPr>
              <w:pStyle w:val="26"/>
              <w:jc w:val="center"/>
              <w:rPr>
                <w:color w:val="auto"/>
                <w:sz w:val="22"/>
                <w:szCs w:val="22"/>
              </w:rPr>
            </w:pPr>
            <w:r>
              <w:rPr>
                <w:color w:val="auto"/>
                <w:sz w:val="22"/>
                <w:szCs w:val="22"/>
              </w:rPr>
              <w:t>-5.0165</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017BB346">
            <w:pPr>
              <w:pStyle w:val="26"/>
              <w:jc w:val="center"/>
              <w:rPr>
                <w:color w:val="auto"/>
                <w:sz w:val="22"/>
                <w:szCs w:val="22"/>
              </w:rPr>
            </w:pPr>
            <w:r>
              <w:rPr>
                <w:color w:val="auto"/>
                <w:sz w:val="22"/>
                <w:szCs w:val="22"/>
              </w:rPr>
              <w:t>0.0017</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7EC34F0A">
            <w:pPr>
              <w:pStyle w:val="26"/>
              <w:jc w:val="center"/>
              <w:rPr>
                <w:color w:val="auto"/>
                <w:sz w:val="22"/>
                <w:szCs w:val="22"/>
              </w:rPr>
            </w:pPr>
            <w:r>
              <w:rPr>
                <w:color w:val="auto"/>
                <w:sz w:val="22"/>
                <w:szCs w:val="22"/>
              </w:rPr>
              <w:t>0.5079</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62B06517">
            <w:pPr>
              <w:pStyle w:val="26"/>
              <w:jc w:val="center"/>
              <w:rPr>
                <w:color w:val="auto"/>
                <w:sz w:val="22"/>
                <w:szCs w:val="22"/>
              </w:rPr>
            </w:pPr>
            <w:r>
              <w:rPr>
                <w:color w:val="auto"/>
                <w:sz w:val="22"/>
                <w:szCs w:val="22"/>
              </w:rPr>
              <w:t>-1.1830</w:t>
            </w:r>
          </w:p>
        </w:tc>
      </w:tr>
      <w:tr w14:paraId="71E48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38" w:type="dxa"/>
            <w:tcBorders>
              <w:top w:val="single" w:color="auto" w:sz="4" w:space="0"/>
              <w:left w:val="single" w:color="auto" w:sz="4" w:space="0"/>
              <w:bottom w:val="single" w:color="auto" w:sz="4" w:space="0"/>
              <w:right w:val="single" w:color="auto" w:sz="4" w:space="0"/>
            </w:tcBorders>
            <w:shd w:val="clear" w:color="auto" w:fill="auto"/>
          </w:tcPr>
          <w:p w14:paraId="5DA1994F">
            <w:pPr>
              <w:pStyle w:val="26"/>
              <w:jc w:val="center"/>
              <w:rPr>
                <w:color w:val="auto"/>
                <w:sz w:val="22"/>
                <w:szCs w:val="22"/>
              </w:rPr>
            </w:pPr>
            <w:r>
              <w:rPr>
                <w:color w:val="auto"/>
                <w:sz w:val="22"/>
                <w:szCs w:val="22"/>
              </w:rPr>
              <w:t>Ⅵ</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26FF616E">
            <w:pPr>
              <w:pStyle w:val="26"/>
              <w:jc w:val="center"/>
              <w:rPr>
                <w:color w:val="auto"/>
                <w:sz w:val="22"/>
                <w:szCs w:val="22"/>
              </w:rPr>
            </w:pPr>
            <w:r>
              <w:rPr>
                <w:color w:val="auto"/>
                <w:sz w:val="22"/>
                <w:szCs w:val="22"/>
              </w:rPr>
              <w:t>2024</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7A45FECF">
            <w:pPr>
              <w:pStyle w:val="26"/>
              <w:jc w:val="center"/>
              <w:rPr>
                <w:color w:val="auto"/>
                <w:sz w:val="22"/>
                <w:szCs w:val="22"/>
              </w:rPr>
            </w:pPr>
            <w:r>
              <w:rPr>
                <w:color w:val="auto"/>
                <w:sz w:val="22"/>
                <w:szCs w:val="22"/>
              </w:rPr>
              <w:t>-0.2622</w:t>
            </w:r>
          </w:p>
        </w:tc>
        <w:tc>
          <w:tcPr>
            <w:tcW w:w="1890" w:type="dxa"/>
            <w:tcBorders>
              <w:top w:val="single" w:color="auto" w:sz="4" w:space="0"/>
              <w:left w:val="single" w:color="auto" w:sz="4" w:space="0"/>
              <w:bottom w:val="single" w:color="auto" w:sz="4" w:space="0"/>
              <w:right w:val="single" w:color="auto" w:sz="4" w:space="0"/>
            </w:tcBorders>
            <w:shd w:val="clear" w:color="auto" w:fill="auto"/>
          </w:tcPr>
          <w:p w14:paraId="1456325D">
            <w:pPr>
              <w:pStyle w:val="26"/>
              <w:jc w:val="center"/>
              <w:rPr>
                <w:color w:val="auto"/>
                <w:sz w:val="22"/>
                <w:szCs w:val="22"/>
              </w:rPr>
            </w:pPr>
            <w:r>
              <w:rPr>
                <w:color w:val="auto"/>
                <w:sz w:val="22"/>
                <w:szCs w:val="22"/>
              </w:rPr>
              <w:t>3.9674</w:t>
            </w:r>
          </w:p>
        </w:tc>
        <w:tc>
          <w:tcPr>
            <w:tcW w:w="1727" w:type="dxa"/>
            <w:tcBorders>
              <w:top w:val="single" w:color="auto" w:sz="4" w:space="0"/>
              <w:left w:val="single" w:color="auto" w:sz="4" w:space="0"/>
              <w:bottom w:val="single" w:color="auto" w:sz="4" w:space="0"/>
              <w:right w:val="single" w:color="auto" w:sz="4" w:space="0"/>
            </w:tcBorders>
            <w:shd w:val="clear" w:color="auto" w:fill="auto"/>
          </w:tcPr>
          <w:p w14:paraId="74B209F2">
            <w:pPr>
              <w:pStyle w:val="26"/>
              <w:jc w:val="center"/>
              <w:rPr>
                <w:color w:val="auto"/>
                <w:sz w:val="22"/>
                <w:szCs w:val="22"/>
              </w:rPr>
            </w:pPr>
            <w:r>
              <w:rPr>
                <w:color w:val="auto"/>
                <w:sz w:val="22"/>
                <w:szCs w:val="22"/>
              </w:rPr>
              <w:t>21.3941</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4DC097DC">
            <w:pPr>
              <w:pStyle w:val="26"/>
              <w:jc w:val="center"/>
              <w:rPr>
                <w:color w:val="auto"/>
                <w:sz w:val="22"/>
                <w:szCs w:val="22"/>
              </w:rPr>
            </w:pPr>
            <w:r>
              <w:rPr>
                <w:color w:val="auto"/>
                <w:sz w:val="22"/>
                <w:szCs w:val="22"/>
              </w:rPr>
              <w:t>-0.0013</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22A1E466">
            <w:pPr>
              <w:pStyle w:val="26"/>
              <w:jc w:val="center"/>
              <w:rPr>
                <w:color w:val="auto"/>
                <w:sz w:val="22"/>
                <w:szCs w:val="22"/>
              </w:rPr>
            </w:pPr>
            <w:r>
              <w:rPr>
                <w:color w:val="auto"/>
                <w:sz w:val="22"/>
                <w:szCs w:val="22"/>
              </w:rPr>
              <w:t>0.5147</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39F1B9BE">
            <w:pPr>
              <w:pStyle w:val="26"/>
              <w:jc w:val="center"/>
              <w:rPr>
                <w:color w:val="auto"/>
                <w:sz w:val="22"/>
                <w:szCs w:val="22"/>
              </w:rPr>
            </w:pPr>
            <w:r>
              <w:rPr>
                <w:color w:val="auto"/>
                <w:sz w:val="22"/>
                <w:szCs w:val="22"/>
              </w:rPr>
              <w:t>-1.2684</w:t>
            </w:r>
          </w:p>
        </w:tc>
      </w:tr>
      <w:tr w14:paraId="30955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38" w:type="dxa"/>
            <w:tcBorders>
              <w:top w:val="single" w:color="auto" w:sz="4" w:space="0"/>
              <w:left w:val="single" w:color="auto" w:sz="4" w:space="0"/>
              <w:bottom w:val="single" w:color="auto" w:sz="4" w:space="0"/>
              <w:right w:val="single" w:color="auto" w:sz="4" w:space="0"/>
            </w:tcBorders>
            <w:shd w:val="clear" w:color="auto" w:fill="auto"/>
          </w:tcPr>
          <w:p w14:paraId="27CBEC14">
            <w:pPr>
              <w:pStyle w:val="26"/>
              <w:jc w:val="center"/>
              <w:rPr>
                <w:color w:val="auto"/>
                <w:sz w:val="22"/>
                <w:szCs w:val="22"/>
              </w:rPr>
            </w:pPr>
            <w:r>
              <w:rPr>
                <w:color w:val="auto"/>
                <w:sz w:val="22"/>
                <w:szCs w:val="22"/>
              </w:rPr>
              <w:t>Ⅶ</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00E822B">
            <w:pPr>
              <w:pStyle w:val="26"/>
              <w:jc w:val="center"/>
              <w:rPr>
                <w:color w:val="auto"/>
                <w:sz w:val="22"/>
                <w:szCs w:val="22"/>
              </w:rPr>
            </w:pPr>
            <w:r>
              <w:rPr>
                <w:color w:val="auto"/>
                <w:sz w:val="22"/>
                <w:szCs w:val="22"/>
              </w:rPr>
              <w:t>2022</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54E11EB5">
            <w:pPr>
              <w:pStyle w:val="26"/>
              <w:jc w:val="center"/>
              <w:rPr>
                <w:color w:val="auto"/>
                <w:sz w:val="22"/>
                <w:szCs w:val="22"/>
              </w:rPr>
            </w:pPr>
            <w:r>
              <w:rPr>
                <w:color w:val="auto"/>
                <w:sz w:val="22"/>
                <w:szCs w:val="22"/>
              </w:rPr>
              <w:t>0.2525</w:t>
            </w:r>
          </w:p>
        </w:tc>
        <w:tc>
          <w:tcPr>
            <w:tcW w:w="1890" w:type="dxa"/>
            <w:tcBorders>
              <w:top w:val="single" w:color="auto" w:sz="4" w:space="0"/>
              <w:left w:val="single" w:color="auto" w:sz="4" w:space="0"/>
              <w:bottom w:val="single" w:color="auto" w:sz="4" w:space="0"/>
              <w:right w:val="single" w:color="auto" w:sz="4" w:space="0"/>
            </w:tcBorders>
            <w:shd w:val="clear" w:color="auto" w:fill="auto"/>
          </w:tcPr>
          <w:p w14:paraId="3CBCD4CD">
            <w:pPr>
              <w:pStyle w:val="26"/>
              <w:jc w:val="center"/>
              <w:rPr>
                <w:color w:val="auto"/>
                <w:sz w:val="22"/>
                <w:szCs w:val="22"/>
              </w:rPr>
            </w:pPr>
            <w:r>
              <w:rPr>
                <w:color w:val="auto"/>
                <w:sz w:val="22"/>
                <w:szCs w:val="22"/>
              </w:rPr>
              <w:t>0.4938</w:t>
            </w:r>
          </w:p>
        </w:tc>
        <w:tc>
          <w:tcPr>
            <w:tcW w:w="1727" w:type="dxa"/>
            <w:tcBorders>
              <w:top w:val="single" w:color="auto" w:sz="4" w:space="0"/>
              <w:left w:val="single" w:color="auto" w:sz="4" w:space="0"/>
              <w:bottom w:val="single" w:color="auto" w:sz="4" w:space="0"/>
              <w:right w:val="single" w:color="auto" w:sz="4" w:space="0"/>
            </w:tcBorders>
            <w:shd w:val="clear" w:color="auto" w:fill="auto"/>
          </w:tcPr>
          <w:p w14:paraId="71168170">
            <w:pPr>
              <w:pStyle w:val="26"/>
              <w:jc w:val="center"/>
              <w:rPr>
                <w:color w:val="auto"/>
                <w:sz w:val="22"/>
                <w:szCs w:val="22"/>
              </w:rPr>
            </w:pPr>
            <w:r>
              <w:rPr>
                <w:color w:val="auto"/>
                <w:sz w:val="22"/>
                <w:szCs w:val="22"/>
              </w:rPr>
              <w:t>0.5425</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1352FF60">
            <w:pPr>
              <w:pStyle w:val="26"/>
              <w:jc w:val="center"/>
              <w:rPr>
                <w:color w:val="auto"/>
                <w:sz w:val="22"/>
                <w:szCs w:val="22"/>
              </w:rPr>
            </w:pPr>
            <w:r>
              <w:rPr>
                <w:color w:val="auto"/>
                <w:sz w:val="22"/>
                <w:szCs w:val="22"/>
              </w:rPr>
              <w:t>0.0040</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683D2D9F">
            <w:pPr>
              <w:pStyle w:val="26"/>
              <w:jc w:val="center"/>
              <w:rPr>
                <w:color w:val="auto"/>
                <w:sz w:val="22"/>
                <w:szCs w:val="22"/>
              </w:rPr>
            </w:pPr>
            <w:r>
              <w:rPr>
                <w:color w:val="auto"/>
                <w:sz w:val="22"/>
                <w:szCs w:val="22"/>
              </w:rPr>
              <w:t>0.8919</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767D22F2">
            <w:pPr>
              <w:pStyle w:val="26"/>
              <w:jc w:val="center"/>
              <w:rPr>
                <w:color w:val="auto"/>
                <w:sz w:val="22"/>
                <w:szCs w:val="22"/>
              </w:rPr>
            </w:pPr>
            <w:r>
              <w:rPr>
                <w:color w:val="auto"/>
                <w:sz w:val="22"/>
                <w:szCs w:val="22"/>
              </w:rPr>
              <w:t>0.1248</w:t>
            </w:r>
          </w:p>
        </w:tc>
      </w:tr>
      <w:tr w14:paraId="308F7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38" w:type="dxa"/>
            <w:tcBorders>
              <w:top w:val="single" w:color="auto" w:sz="4" w:space="0"/>
              <w:left w:val="single" w:color="auto" w:sz="4" w:space="0"/>
              <w:bottom w:val="single" w:color="auto" w:sz="4" w:space="0"/>
              <w:right w:val="single" w:color="auto" w:sz="4" w:space="0"/>
            </w:tcBorders>
            <w:shd w:val="clear" w:color="auto" w:fill="auto"/>
          </w:tcPr>
          <w:p w14:paraId="362514F5">
            <w:pPr>
              <w:pStyle w:val="26"/>
              <w:jc w:val="center"/>
              <w:rPr>
                <w:color w:val="auto"/>
                <w:sz w:val="22"/>
                <w:szCs w:val="22"/>
              </w:rPr>
            </w:pPr>
            <w:r>
              <w:rPr>
                <w:color w:val="auto"/>
                <w:sz w:val="22"/>
                <w:szCs w:val="22"/>
              </w:rPr>
              <w:t>Ⅶ</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6E16E0B1">
            <w:pPr>
              <w:pStyle w:val="26"/>
              <w:jc w:val="center"/>
              <w:rPr>
                <w:color w:val="auto"/>
                <w:sz w:val="22"/>
                <w:szCs w:val="22"/>
              </w:rPr>
            </w:pPr>
            <w:r>
              <w:rPr>
                <w:color w:val="auto"/>
                <w:sz w:val="22"/>
                <w:szCs w:val="22"/>
              </w:rPr>
              <w:t>2023</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63931AED">
            <w:pPr>
              <w:pStyle w:val="26"/>
              <w:jc w:val="center"/>
              <w:rPr>
                <w:color w:val="auto"/>
                <w:sz w:val="22"/>
                <w:szCs w:val="22"/>
              </w:rPr>
            </w:pPr>
            <w:r>
              <w:rPr>
                <w:color w:val="auto"/>
                <w:sz w:val="22"/>
                <w:szCs w:val="22"/>
              </w:rPr>
              <w:t>0.3131</w:t>
            </w:r>
          </w:p>
        </w:tc>
        <w:tc>
          <w:tcPr>
            <w:tcW w:w="1890" w:type="dxa"/>
            <w:tcBorders>
              <w:top w:val="single" w:color="auto" w:sz="4" w:space="0"/>
              <w:left w:val="single" w:color="auto" w:sz="4" w:space="0"/>
              <w:bottom w:val="single" w:color="auto" w:sz="4" w:space="0"/>
              <w:right w:val="single" w:color="auto" w:sz="4" w:space="0"/>
            </w:tcBorders>
            <w:shd w:val="clear" w:color="auto" w:fill="auto"/>
          </w:tcPr>
          <w:p w14:paraId="34F768F7">
            <w:pPr>
              <w:pStyle w:val="26"/>
              <w:jc w:val="center"/>
              <w:rPr>
                <w:color w:val="auto"/>
                <w:sz w:val="22"/>
                <w:szCs w:val="22"/>
              </w:rPr>
            </w:pPr>
            <w:r>
              <w:rPr>
                <w:color w:val="auto"/>
                <w:sz w:val="22"/>
                <w:szCs w:val="22"/>
              </w:rPr>
              <w:t>0.5595</w:t>
            </w:r>
          </w:p>
        </w:tc>
        <w:tc>
          <w:tcPr>
            <w:tcW w:w="1727" w:type="dxa"/>
            <w:tcBorders>
              <w:top w:val="single" w:color="auto" w:sz="4" w:space="0"/>
              <w:left w:val="single" w:color="auto" w:sz="4" w:space="0"/>
              <w:bottom w:val="single" w:color="auto" w:sz="4" w:space="0"/>
              <w:right w:val="single" w:color="auto" w:sz="4" w:space="0"/>
            </w:tcBorders>
            <w:shd w:val="clear" w:color="auto" w:fill="auto"/>
          </w:tcPr>
          <w:p w14:paraId="44ABA663">
            <w:pPr>
              <w:pStyle w:val="26"/>
              <w:jc w:val="center"/>
              <w:rPr>
                <w:color w:val="auto"/>
                <w:sz w:val="22"/>
                <w:szCs w:val="22"/>
              </w:rPr>
            </w:pPr>
            <w:r>
              <w:rPr>
                <w:color w:val="auto"/>
                <w:sz w:val="22"/>
                <w:szCs w:val="22"/>
              </w:rPr>
              <w:t>0.5246</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4BDF4DED">
            <w:pPr>
              <w:pStyle w:val="26"/>
              <w:jc w:val="center"/>
              <w:rPr>
                <w:color w:val="auto"/>
                <w:sz w:val="22"/>
                <w:szCs w:val="22"/>
              </w:rPr>
            </w:pPr>
            <w:r>
              <w:rPr>
                <w:color w:val="auto"/>
                <w:sz w:val="22"/>
                <w:szCs w:val="22"/>
              </w:rPr>
              <w:t>0.0057</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37FB19A7">
            <w:pPr>
              <w:pStyle w:val="26"/>
              <w:jc w:val="center"/>
              <w:rPr>
                <w:color w:val="auto"/>
                <w:sz w:val="22"/>
                <w:szCs w:val="22"/>
              </w:rPr>
            </w:pPr>
            <w:r>
              <w:rPr>
                <w:color w:val="auto"/>
                <w:sz w:val="22"/>
                <w:szCs w:val="22"/>
              </w:rPr>
              <w:t>0.8807</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38D760F8">
            <w:pPr>
              <w:pStyle w:val="26"/>
              <w:jc w:val="center"/>
              <w:rPr>
                <w:color w:val="auto"/>
                <w:sz w:val="22"/>
                <w:szCs w:val="22"/>
              </w:rPr>
            </w:pPr>
            <w:r>
              <w:rPr>
                <w:color w:val="auto"/>
                <w:sz w:val="22"/>
                <w:szCs w:val="22"/>
              </w:rPr>
              <w:t>0.1220</w:t>
            </w:r>
          </w:p>
        </w:tc>
      </w:tr>
      <w:tr w14:paraId="5D16A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38" w:type="dxa"/>
            <w:tcBorders>
              <w:top w:val="single" w:color="auto" w:sz="4" w:space="0"/>
              <w:left w:val="single" w:color="auto" w:sz="4" w:space="0"/>
              <w:bottom w:val="single" w:color="auto" w:sz="4" w:space="0"/>
              <w:right w:val="single" w:color="auto" w:sz="4" w:space="0"/>
            </w:tcBorders>
            <w:shd w:val="clear" w:color="auto" w:fill="auto"/>
          </w:tcPr>
          <w:p w14:paraId="5E5497B9">
            <w:pPr>
              <w:pStyle w:val="26"/>
              <w:jc w:val="center"/>
              <w:rPr>
                <w:color w:val="auto"/>
                <w:sz w:val="22"/>
                <w:szCs w:val="22"/>
              </w:rPr>
            </w:pPr>
            <w:r>
              <w:rPr>
                <w:color w:val="auto"/>
                <w:sz w:val="22"/>
                <w:szCs w:val="22"/>
              </w:rPr>
              <w:t>Ⅶ</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D90DC57">
            <w:pPr>
              <w:pStyle w:val="26"/>
              <w:jc w:val="center"/>
              <w:rPr>
                <w:color w:val="auto"/>
                <w:sz w:val="22"/>
                <w:szCs w:val="22"/>
              </w:rPr>
            </w:pPr>
            <w:r>
              <w:rPr>
                <w:color w:val="auto"/>
                <w:sz w:val="22"/>
                <w:szCs w:val="22"/>
              </w:rPr>
              <w:t>2024</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6D511F09">
            <w:pPr>
              <w:pStyle w:val="26"/>
              <w:jc w:val="center"/>
              <w:rPr>
                <w:color w:val="auto"/>
                <w:sz w:val="22"/>
                <w:szCs w:val="22"/>
              </w:rPr>
            </w:pPr>
            <w:r>
              <w:rPr>
                <w:color w:val="auto"/>
                <w:sz w:val="22"/>
                <w:szCs w:val="22"/>
              </w:rPr>
              <w:t>0.2825</w:t>
            </w:r>
          </w:p>
        </w:tc>
        <w:tc>
          <w:tcPr>
            <w:tcW w:w="1890" w:type="dxa"/>
            <w:tcBorders>
              <w:top w:val="single" w:color="auto" w:sz="4" w:space="0"/>
              <w:left w:val="single" w:color="auto" w:sz="4" w:space="0"/>
              <w:bottom w:val="single" w:color="auto" w:sz="4" w:space="0"/>
              <w:right w:val="single" w:color="auto" w:sz="4" w:space="0"/>
            </w:tcBorders>
            <w:shd w:val="clear" w:color="auto" w:fill="auto"/>
          </w:tcPr>
          <w:p w14:paraId="30A84EB0">
            <w:pPr>
              <w:pStyle w:val="26"/>
              <w:jc w:val="center"/>
              <w:rPr>
                <w:color w:val="auto"/>
                <w:sz w:val="22"/>
                <w:szCs w:val="22"/>
              </w:rPr>
            </w:pPr>
            <w:r>
              <w:rPr>
                <w:color w:val="auto"/>
                <w:sz w:val="22"/>
                <w:szCs w:val="22"/>
              </w:rPr>
              <w:t>0.4885</w:t>
            </w:r>
          </w:p>
        </w:tc>
        <w:tc>
          <w:tcPr>
            <w:tcW w:w="1727" w:type="dxa"/>
            <w:tcBorders>
              <w:top w:val="single" w:color="auto" w:sz="4" w:space="0"/>
              <w:left w:val="single" w:color="auto" w:sz="4" w:space="0"/>
              <w:bottom w:val="single" w:color="auto" w:sz="4" w:space="0"/>
              <w:right w:val="single" w:color="auto" w:sz="4" w:space="0"/>
            </w:tcBorders>
            <w:shd w:val="clear" w:color="auto" w:fill="auto"/>
          </w:tcPr>
          <w:p w14:paraId="38C75E57">
            <w:pPr>
              <w:pStyle w:val="26"/>
              <w:jc w:val="center"/>
              <w:rPr>
                <w:color w:val="auto"/>
                <w:sz w:val="22"/>
                <w:szCs w:val="22"/>
              </w:rPr>
            </w:pPr>
            <w:r>
              <w:rPr>
                <w:color w:val="auto"/>
                <w:sz w:val="22"/>
                <w:szCs w:val="22"/>
              </w:rPr>
              <w:t>0.5027</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4A418F16">
            <w:pPr>
              <w:pStyle w:val="26"/>
              <w:jc w:val="center"/>
              <w:rPr>
                <w:color w:val="auto"/>
                <w:sz w:val="22"/>
                <w:szCs w:val="22"/>
              </w:rPr>
            </w:pPr>
            <w:r>
              <w:rPr>
                <w:color w:val="auto"/>
                <w:sz w:val="22"/>
                <w:szCs w:val="22"/>
              </w:rPr>
              <w:t>0.0056</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460F4AED">
            <w:pPr>
              <w:pStyle w:val="26"/>
              <w:jc w:val="center"/>
              <w:rPr>
                <w:color w:val="auto"/>
                <w:sz w:val="22"/>
                <w:szCs w:val="22"/>
              </w:rPr>
            </w:pPr>
            <w:r>
              <w:rPr>
                <w:color w:val="auto"/>
                <w:sz w:val="22"/>
                <w:szCs w:val="22"/>
              </w:rPr>
              <w:t>0.8376</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1AF32474">
            <w:pPr>
              <w:pStyle w:val="26"/>
              <w:jc w:val="center"/>
              <w:rPr>
                <w:color w:val="auto"/>
                <w:sz w:val="22"/>
                <w:szCs w:val="22"/>
              </w:rPr>
            </w:pPr>
            <w:r>
              <w:rPr>
                <w:color w:val="auto"/>
                <w:sz w:val="22"/>
                <w:szCs w:val="22"/>
              </w:rPr>
              <w:t>0.1056</w:t>
            </w:r>
          </w:p>
        </w:tc>
      </w:tr>
      <w:tr w14:paraId="7ED66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38" w:type="dxa"/>
            <w:tcBorders>
              <w:top w:val="single" w:color="auto" w:sz="4" w:space="0"/>
              <w:left w:val="single" w:color="auto" w:sz="4" w:space="0"/>
              <w:bottom w:val="single" w:color="auto" w:sz="4" w:space="0"/>
              <w:right w:val="single" w:color="auto" w:sz="4" w:space="0"/>
            </w:tcBorders>
            <w:shd w:val="clear" w:color="auto" w:fill="auto"/>
          </w:tcPr>
          <w:p w14:paraId="15520DC4">
            <w:pPr>
              <w:pStyle w:val="26"/>
              <w:jc w:val="center"/>
              <w:rPr>
                <w:color w:val="auto"/>
                <w:sz w:val="22"/>
                <w:szCs w:val="22"/>
              </w:rPr>
            </w:pPr>
            <w:r>
              <w:rPr>
                <w:color w:val="auto"/>
                <w:sz w:val="22"/>
                <w:szCs w:val="22"/>
              </w:rPr>
              <w:t>Ⅷ</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C6EE30B">
            <w:pPr>
              <w:pStyle w:val="26"/>
              <w:jc w:val="center"/>
              <w:rPr>
                <w:color w:val="auto"/>
                <w:sz w:val="22"/>
                <w:szCs w:val="22"/>
              </w:rPr>
            </w:pPr>
            <w:r>
              <w:rPr>
                <w:color w:val="auto"/>
                <w:sz w:val="22"/>
                <w:szCs w:val="22"/>
              </w:rPr>
              <w:t>2022</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45E72447">
            <w:pPr>
              <w:pStyle w:val="26"/>
              <w:jc w:val="center"/>
              <w:rPr>
                <w:color w:val="auto"/>
                <w:sz w:val="22"/>
                <w:szCs w:val="22"/>
              </w:rPr>
            </w:pPr>
            <w:r>
              <w:rPr>
                <w:color w:val="auto"/>
                <w:sz w:val="22"/>
                <w:szCs w:val="22"/>
              </w:rPr>
              <w:t>0.4347</w:t>
            </w:r>
          </w:p>
        </w:tc>
        <w:tc>
          <w:tcPr>
            <w:tcW w:w="1890" w:type="dxa"/>
            <w:tcBorders>
              <w:top w:val="single" w:color="auto" w:sz="4" w:space="0"/>
              <w:left w:val="single" w:color="auto" w:sz="4" w:space="0"/>
              <w:bottom w:val="single" w:color="auto" w:sz="4" w:space="0"/>
              <w:right w:val="single" w:color="auto" w:sz="4" w:space="0"/>
            </w:tcBorders>
            <w:shd w:val="clear" w:color="auto" w:fill="auto"/>
          </w:tcPr>
          <w:p w14:paraId="3E5A3608">
            <w:pPr>
              <w:pStyle w:val="26"/>
              <w:jc w:val="center"/>
              <w:rPr>
                <w:color w:val="auto"/>
                <w:sz w:val="22"/>
                <w:szCs w:val="22"/>
              </w:rPr>
            </w:pPr>
            <w:r>
              <w:rPr>
                <w:color w:val="auto"/>
                <w:sz w:val="22"/>
                <w:szCs w:val="22"/>
              </w:rPr>
              <w:t>0.7621</w:t>
            </w:r>
          </w:p>
        </w:tc>
        <w:tc>
          <w:tcPr>
            <w:tcW w:w="1727" w:type="dxa"/>
            <w:tcBorders>
              <w:top w:val="single" w:color="auto" w:sz="4" w:space="0"/>
              <w:left w:val="single" w:color="auto" w:sz="4" w:space="0"/>
              <w:bottom w:val="single" w:color="auto" w:sz="4" w:space="0"/>
              <w:right w:val="single" w:color="auto" w:sz="4" w:space="0"/>
            </w:tcBorders>
            <w:shd w:val="clear" w:color="auto" w:fill="auto"/>
          </w:tcPr>
          <w:p w14:paraId="139CAECA">
            <w:pPr>
              <w:pStyle w:val="26"/>
              <w:jc w:val="center"/>
              <w:rPr>
                <w:color w:val="auto"/>
                <w:sz w:val="22"/>
                <w:szCs w:val="22"/>
              </w:rPr>
            </w:pPr>
            <w:r>
              <w:rPr>
                <w:color w:val="auto"/>
                <w:sz w:val="22"/>
                <w:szCs w:val="22"/>
              </w:rPr>
              <w:t>0.5917</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536B7079">
            <w:pPr>
              <w:pStyle w:val="26"/>
              <w:jc w:val="center"/>
              <w:rPr>
                <w:color w:val="auto"/>
                <w:sz w:val="22"/>
                <w:szCs w:val="22"/>
              </w:rPr>
            </w:pPr>
            <w:r>
              <w:rPr>
                <w:color w:val="auto"/>
                <w:sz w:val="22"/>
                <w:szCs w:val="22"/>
              </w:rPr>
              <w:t>0.0066</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733D4308">
            <w:pPr>
              <w:pStyle w:val="26"/>
              <w:jc w:val="center"/>
              <w:rPr>
                <w:color w:val="auto"/>
                <w:sz w:val="22"/>
                <w:szCs w:val="22"/>
              </w:rPr>
            </w:pPr>
            <w:r>
              <w:rPr>
                <w:color w:val="auto"/>
                <w:sz w:val="22"/>
                <w:szCs w:val="22"/>
              </w:rPr>
              <w:t>0.8925</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1976CF41">
            <w:pPr>
              <w:pStyle w:val="26"/>
              <w:jc w:val="center"/>
              <w:rPr>
                <w:color w:val="auto"/>
                <w:sz w:val="22"/>
                <w:szCs w:val="22"/>
              </w:rPr>
            </w:pPr>
            <w:r>
              <w:rPr>
                <w:color w:val="auto"/>
                <w:sz w:val="22"/>
                <w:szCs w:val="22"/>
              </w:rPr>
              <w:t>0.0814</w:t>
            </w:r>
          </w:p>
        </w:tc>
      </w:tr>
      <w:tr w14:paraId="11FAD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38" w:type="dxa"/>
            <w:tcBorders>
              <w:top w:val="single" w:color="auto" w:sz="4" w:space="0"/>
              <w:left w:val="single" w:color="auto" w:sz="4" w:space="0"/>
              <w:bottom w:val="single" w:color="auto" w:sz="4" w:space="0"/>
              <w:right w:val="single" w:color="auto" w:sz="4" w:space="0"/>
            </w:tcBorders>
            <w:shd w:val="clear" w:color="auto" w:fill="auto"/>
          </w:tcPr>
          <w:p w14:paraId="503F8F88">
            <w:pPr>
              <w:pStyle w:val="26"/>
              <w:jc w:val="center"/>
              <w:rPr>
                <w:color w:val="auto"/>
                <w:sz w:val="22"/>
                <w:szCs w:val="22"/>
              </w:rPr>
            </w:pPr>
            <w:r>
              <w:rPr>
                <w:color w:val="auto"/>
                <w:sz w:val="22"/>
                <w:szCs w:val="22"/>
              </w:rPr>
              <w:t>Ⅷ</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7F36002F">
            <w:pPr>
              <w:pStyle w:val="26"/>
              <w:jc w:val="center"/>
              <w:rPr>
                <w:color w:val="auto"/>
                <w:sz w:val="22"/>
                <w:szCs w:val="22"/>
              </w:rPr>
            </w:pPr>
            <w:r>
              <w:rPr>
                <w:color w:val="auto"/>
                <w:sz w:val="22"/>
                <w:szCs w:val="22"/>
              </w:rPr>
              <w:t>2023</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72BE2C11">
            <w:pPr>
              <w:pStyle w:val="26"/>
              <w:jc w:val="center"/>
              <w:rPr>
                <w:color w:val="auto"/>
                <w:sz w:val="22"/>
                <w:szCs w:val="22"/>
              </w:rPr>
            </w:pPr>
            <w:r>
              <w:rPr>
                <w:color w:val="auto"/>
                <w:sz w:val="22"/>
                <w:szCs w:val="22"/>
              </w:rPr>
              <w:t>0.4290</w:t>
            </w:r>
          </w:p>
        </w:tc>
        <w:tc>
          <w:tcPr>
            <w:tcW w:w="1890" w:type="dxa"/>
            <w:tcBorders>
              <w:top w:val="single" w:color="auto" w:sz="4" w:space="0"/>
              <w:left w:val="single" w:color="auto" w:sz="4" w:space="0"/>
              <w:bottom w:val="single" w:color="auto" w:sz="4" w:space="0"/>
              <w:right w:val="single" w:color="auto" w:sz="4" w:space="0"/>
            </w:tcBorders>
            <w:shd w:val="clear" w:color="auto" w:fill="auto"/>
          </w:tcPr>
          <w:p w14:paraId="6AF130F6">
            <w:pPr>
              <w:pStyle w:val="26"/>
              <w:jc w:val="center"/>
              <w:rPr>
                <w:color w:val="auto"/>
                <w:sz w:val="22"/>
                <w:szCs w:val="22"/>
              </w:rPr>
            </w:pPr>
            <w:r>
              <w:rPr>
                <w:color w:val="auto"/>
                <w:sz w:val="22"/>
                <w:szCs w:val="22"/>
              </w:rPr>
              <w:t>0.7312</w:t>
            </w:r>
          </w:p>
        </w:tc>
        <w:tc>
          <w:tcPr>
            <w:tcW w:w="1727" w:type="dxa"/>
            <w:tcBorders>
              <w:top w:val="single" w:color="auto" w:sz="4" w:space="0"/>
              <w:left w:val="single" w:color="auto" w:sz="4" w:space="0"/>
              <w:bottom w:val="single" w:color="auto" w:sz="4" w:space="0"/>
              <w:right w:val="single" w:color="auto" w:sz="4" w:space="0"/>
            </w:tcBorders>
            <w:shd w:val="clear" w:color="auto" w:fill="auto"/>
          </w:tcPr>
          <w:p w14:paraId="4D7C170D">
            <w:pPr>
              <w:pStyle w:val="26"/>
              <w:jc w:val="center"/>
              <w:rPr>
                <w:color w:val="auto"/>
                <w:sz w:val="22"/>
                <w:szCs w:val="22"/>
              </w:rPr>
            </w:pPr>
            <w:r>
              <w:rPr>
                <w:color w:val="auto"/>
                <w:sz w:val="22"/>
                <w:szCs w:val="22"/>
              </w:rPr>
              <w:t>0.5682</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4481C748">
            <w:pPr>
              <w:pStyle w:val="26"/>
              <w:jc w:val="center"/>
              <w:rPr>
                <w:color w:val="auto"/>
                <w:sz w:val="22"/>
                <w:szCs w:val="22"/>
              </w:rPr>
            </w:pPr>
            <w:r>
              <w:rPr>
                <w:color w:val="auto"/>
                <w:sz w:val="22"/>
                <w:szCs w:val="22"/>
              </w:rPr>
              <w:t>0.0095</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43DBA157">
            <w:pPr>
              <w:pStyle w:val="26"/>
              <w:jc w:val="center"/>
              <w:rPr>
                <w:color w:val="auto"/>
                <w:sz w:val="22"/>
                <w:szCs w:val="22"/>
              </w:rPr>
            </w:pPr>
            <w:r>
              <w:rPr>
                <w:color w:val="auto"/>
                <w:sz w:val="22"/>
                <w:szCs w:val="22"/>
              </w:rPr>
              <w:t>0.8727</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3200AA8E">
            <w:pPr>
              <w:pStyle w:val="26"/>
              <w:jc w:val="center"/>
              <w:rPr>
                <w:color w:val="auto"/>
                <w:sz w:val="22"/>
                <w:szCs w:val="22"/>
              </w:rPr>
            </w:pPr>
            <w:r>
              <w:rPr>
                <w:color w:val="auto"/>
                <w:sz w:val="22"/>
                <w:szCs w:val="22"/>
              </w:rPr>
              <w:t>0.0674</w:t>
            </w:r>
          </w:p>
        </w:tc>
      </w:tr>
      <w:tr w14:paraId="0AF4E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38" w:type="dxa"/>
            <w:tcBorders>
              <w:top w:val="single" w:color="auto" w:sz="4" w:space="0"/>
              <w:left w:val="single" w:color="auto" w:sz="4" w:space="0"/>
              <w:bottom w:val="single" w:color="auto" w:sz="4" w:space="0"/>
              <w:right w:val="single" w:color="auto" w:sz="4" w:space="0"/>
            </w:tcBorders>
            <w:shd w:val="clear" w:color="auto" w:fill="auto"/>
          </w:tcPr>
          <w:p w14:paraId="360D87CC">
            <w:pPr>
              <w:pStyle w:val="26"/>
              <w:jc w:val="center"/>
              <w:rPr>
                <w:color w:val="auto"/>
                <w:sz w:val="22"/>
                <w:szCs w:val="22"/>
              </w:rPr>
            </w:pPr>
            <w:r>
              <w:rPr>
                <w:color w:val="auto"/>
                <w:sz w:val="22"/>
                <w:szCs w:val="22"/>
              </w:rPr>
              <w:t>Ⅷ</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4329BEE">
            <w:pPr>
              <w:pStyle w:val="26"/>
              <w:jc w:val="center"/>
              <w:rPr>
                <w:color w:val="auto"/>
                <w:sz w:val="22"/>
                <w:szCs w:val="22"/>
              </w:rPr>
            </w:pPr>
            <w:r>
              <w:rPr>
                <w:color w:val="auto"/>
                <w:sz w:val="22"/>
                <w:szCs w:val="22"/>
              </w:rPr>
              <w:t>2024</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7739CC02">
            <w:pPr>
              <w:pStyle w:val="26"/>
              <w:jc w:val="center"/>
              <w:rPr>
                <w:color w:val="auto"/>
                <w:sz w:val="22"/>
                <w:szCs w:val="22"/>
              </w:rPr>
            </w:pPr>
            <w:r>
              <w:rPr>
                <w:color w:val="auto"/>
                <w:sz w:val="22"/>
                <w:szCs w:val="22"/>
              </w:rPr>
              <w:t>0.3563</w:t>
            </w:r>
          </w:p>
        </w:tc>
        <w:tc>
          <w:tcPr>
            <w:tcW w:w="1890" w:type="dxa"/>
            <w:tcBorders>
              <w:top w:val="single" w:color="auto" w:sz="4" w:space="0"/>
              <w:left w:val="single" w:color="auto" w:sz="4" w:space="0"/>
              <w:bottom w:val="single" w:color="auto" w:sz="4" w:space="0"/>
              <w:right w:val="single" w:color="auto" w:sz="4" w:space="0"/>
            </w:tcBorders>
            <w:shd w:val="clear" w:color="auto" w:fill="auto"/>
          </w:tcPr>
          <w:p w14:paraId="0BB91F81">
            <w:pPr>
              <w:pStyle w:val="26"/>
              <w:jc w:val="center"/>
              <w:rPr>
                <w:color w:val="auto"/>
                <w:sz w:val="22"/>
                <w:szCs w:val="22"/>
              </w:rPr>
            </w:pPr>
            <w:r>
              <w:rPr>
                <w:color w:val="auto"/>
                <w:sz w:val="22"/>
                <w:szCs w:val="22"/>
              </w:rPr>
              <w:t>0.7312</w:t>
            </w:r>
          </w:p>
        </w:tc>
        <w:tc>
          <w:tcPr>
            <w:tcW w:w="1727" w:type="dxa"/>
            <w:tcBorders>
              <w:top w:val="single" w:color="auto" w:sz="4" w:space="0"/>
              <w:left w:val="single" w:color="auto" w:sz="4" w:space="0"/>
              <w:bottom w:val="single" w:color="auto" w:sz="4" w:space="0"/>
              <w:right w:val="single" w:color="auto" w:sz="4" w:space="0"/>
            </w:tcBorders>
            <w:shd w:val="clear" w:color="auto" w:fill="auto"/>
          </w:tcPr>
          <w:p w14:paraId="22A40205">
            <w:pPr>
              <w:pStyle w:val="26"/>
              <w:jc w:val="center"/>
              <w:rPr>
                <w:color w:val="auto"/>
                <w:sz w:val="22"/>
                <w:szCs w:val="22"/>
              </w:rPr>
            </w:pPr>
            <w:r>
              <w:rPr>
                <w:color w:val="auto"/>
                <w:sz w:val="22"/>
                <w:szCs w:val="22"/>
              </w:rPr>
              <w:t>0.5318</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39591106">
            <w:pPr>
              <w:pStyle w:val="26"/>
              <w:jc w:val="center"/>
              <w:rPr>
                <w:color w:val="auto"/>
                <w:sz w:val="22"/>
                <w:szCs w:val="22"/>
              </w:rPr>
            </w:pPr>
            <w:r>
              <w:rPr>
                <w:color w:val="auto"/>
                <w:sz w:val="22"/>
                <w:szCs w:val="22"/>
              </w:rPr>
              <w:t>0.0075</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0E9123D9">
            <w:pPr>
              <w:pStyle w:val="26"/>
              <w:jc w:val="center"/>
              <w:rPr>
                <w:color w:val="auto"/>
                <w:sz w:val="22"/>
                <w:szCs w:val="22"/>
              </w:rPr>
            </w:pPr>
            <w:r>
              <w:rPr>
                <w:color w:val="auto"/>
                <w:sz w:val="22"/>
                <w:szCs w:val="22"/>
              </w:rPr>
              <w:t>0.8517</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5D891FBE">
            <w:pPr>
              <w:pStyle w:val="26"/>
              <w:jc w:val="center"/>
              <w:rPr>
                <w:color w:val="auto"/>
                <w:sz w:val="22"/>
                <w:szCs w:val="22"/>
              </w:rPr>
            </w:pPr>
            <w:r>
              <w:rPr>
                <w:color w:val="auto"/>
                <w:sz w:val="22"/>
                <w:szCs w:val="22"/>
              </w:rPr>
              <w:t>0.0660</w:t>
            </w:r>
          </w:p>
        </w:tc>
      </w:tr>
      <w:tr w14:paraId="2A5E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38" w:type="dxa"/>
            <w:tcBorders>
              <w:top w:val="single" w:color="auto" w:sz="4" w:space="0"/>
              <w:left w:val="single" w:color="auto" w:sz="4" w:space="0"/>
              <w:bottom w:val="single" w:color="auto" w:sz="4" w:space="0"/>
              <w:right w:val="single" w:color="auto" w:sz="4" w:space="0"/>
            </w:tcBorders>
            <w:shd w:val="clear" w:color="auto" w:fill="auto"/>
          </w:tcPr>
          <w:p w14:paraId="4B0E44C8">
            <w:pPr>
              <w:pStyle w:val="26"/>
              <w:jc w:val="center"/>
              <w:rPr>
                <w:color w:val="auto"/>
                <w:sz w:val="22"/>
                <w:szCs w:val="22"/>
              </w:rPr>
            </w:pPr>
            <w:r>
              <w:rPr>
                <w:color w:val="auto"/>
                <w:sz w:val="22"/>
                <w:szCs w:val="22"/>
              </w:rPr>
              <w:t>Ⅸ</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2174DB4">
            <w:pPr>
              <w:pStyle w:val="26"/>
              <w:jc w:val="center"/>
              <w:rPr>
                <w:color w:val="auto"/>
                <w:sz w:val="22"/>
                <w:szCs w:val="22"/>
              </w:rPr>
            </w:pPr>
            <w:r>
              <w:rPr>
                <w:color w:val="auto"/>
                <w:sz w:val="22"/>
                <w:szCs w:val="22"/>
              </w:rPr>
              <w:t>2022</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11854EBE">
            <w:pPr>
              <w:pStyle w:val="26"/>
              <w:jc w:val="center"/>
              <w:rPr>
                <w:color w:val="auto"/>
                <w:sz w:val="22"/>
                <w:szCs w:val="22"/>
              </w:rPr>
            </w:pPr>
            <w:r>
              <w:rPr>
                <w:color w:val="auto"/>
                <w:sz w:val="22"/>
                <w:szCs w:val="22"/>
              </w:rPr>
              <w:t>0.2474</w:t>
            </w:r>
          </w:p>
        </w:tc>
        <w:tc>
          <w:tcPr>
            <w:tcW w:w="1890" w:type="dxa"/>
            <w:tcBorders>
              <w:top w:val="single" w:color="auto" w:sz="4" w:space="0"/>
              <w:left w:val="single" w:color="auto" w:sz="4" w:space="0"/>
              <w:bottom w:val="single" w:color="auto" w:sz="4" w:space="0"/>
              <w:right w:val="single" w:color="auto" w:sz="4" w:space="0"/>
            </w:tcBorders>
            <w:shd w:val="clear" w:color="auto" w:fill="auto"/>
          </w:tcPr>
          <w:p w14:paraId="220FC05B">
            <w:pPr>
              <w:pStyle w:val="26"/>
              <w:jc w:val="center"/>
              <w:rPr>
                <w:color w:val="auto"/>
                <w:sz w:val="22"/>
                <w:szCs w:val="22"/>
              </w:rPr>
            </w:pPr>
            <w:r>
              <w:rPr>
                <w:color w:val="auto"/>
                <w:sz w:val="22"/>
                <w:szCs w:val="22"/>
              </w:rPr>
              <w:t>0.3311</w:t>
            </w:r>
          </w:p>
        </w:tc>
        <w:tc>
          <w:tcPr>
            <w:tcW w:w="1727" w:type="dxa"/>
            <w:tcBorders>
              <w:top w:val="single" w:color="auto" w:sz="4" w:space="0"/>
              <w:left w:val="single" w:color="auto" w:sz="4" w:space="0"/>
              <w:bottom w:val="single" w:color="auto" w:sz="4" w:space="0"/>
              <w:right w:val="single" w:color="auto" w:sz="4" w:space="0"/>
            </w:tcBorders>
            <w:shd w:val="clear" w:color="auto" w:fill="auto"/>
          </w:tcPr>
          <w:p w14:paraId="0508B864">
            <w:pPr>
              <w:pStyle w:val="26"/>
              <w:jc w:val="center"/>
              <w:rPr>
                <w:color w:val="auto"/>
                <w:sz w:val="22"/>
                <w:szCs w:val="22"/>
              </w:rPr>
            </w:pPr>
            <w:r>
              <w:rPr>
                <w:color w:val="auto"/>
                <w:sz w:val="22"/>
                <w:szCs w:val="22"/>
              </w:rPr>
              <w:t>0.6693</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4D0AC6AB">
            <w:pPr>
              <w:pStyle w:val="26"/>
              <w:jc w:val="center"/>
              <w:rPr>
                <w:color w:val="auto"/>
                <w:sz w:val="22"/>
                <w:szCs w:val="22"/>
              </w:rPr>
            </w:pPr>
            <w:r>
              <w:rPr>
                <w:color w:val="auto"/>
                <w:sz w:val="22"/>
                <w:szCs w:val="22"/>
              </w:rPr>
              <w:t>0.0111</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284B7F97">
            <w:pPr>
              <w:pStyle w:val="26"/>
              <w:jc w:val="center"/>
              <w:rPr>
                <w:color w:val="auto"/>
                <w:sz w:val="22"/>
                <w:szCs w:val="22"/>
              </w:rPr>
            </w:pPr>
            <w:r>
              <w:rPr>
                <w:color w:val="auto"/>
                <w:sz w:val="22"/>
                <w:szCs w:val="22"/>
              </w:rPr>
              <w:t>0.8684</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7B89FDF7">
            <w:pPr>
              <w:pStyle w:val="26"/>
              <w:jc w:val="center"/>
              <w:rPr>
                <w:color w:val="auto"/>
                <w:sz w:val="22"/>
                <w:szCs w:val="22"/>
              </w:rPr>
            </w:pPr>
            <w:r>
              <w:rPr>
                <w:color w:val="auto"/>
                <w:sz w:val="22"/>
                <w:szCs w:val="22"/>
              </w:rPr>
              <w:t>0.1401</w:t>
            </w:r>
          </w:p>
        </w:tc>
      </w:tr>
      <w:tr w14:paraId="3FFCA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38" w:type="dxa"/>
            <w:tcBorders>
              <w:top w:val="single" w:color="auto" w:sz="4" w:space="0"/>
              <w:left w:val="single" w:color="auto" w:sz="4" w:space="0"/>
              <w:bottom w:val="single" w:color="auto" w:sz="4" w:space="0"/>
              <w:right w:val="single" w:color="auto" w:sz="4" w:space="0"/>
            </w:tcBorders>
            <w:shd w:val="clear" w:color="auto" w:fill="auto"/>
          </w:tcPr>
          <w:p w14:paraId="3EC22CE6">
            <w:pPr>
              <w:pStyle w:val="26"/>
              <w:jc w:val="center"/>
              <w:rPr>
                <w:color w:val="auto"/>
                <w:sz w:val="22"/>
                <w:szCs w:val="22"/>
              </w:rPr>
            </w:pPr>
            <w:r>
              <w:rPr>
                <w:color w:val="auto"/>
                <w:sz w:val="22"/>
                <w:szCs w:val="22"/>
              </w:rPr>
              <w:t>Ⅸ</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3D0B7E5F">
            <w:pPr>
              <w:pStyle w:val="26"/>
              <w:jc w:val="center"/>
              <w:rPr>
                <w:color w:val="auto"/>
                <w:sz w:val="22"/>
                <w:szCs w:val="22"/>
              </w:rPr>
            </w:pPr>
            <w:r>
              <w:rPr>
                <w:color w:val="auto"/>
                <w:sz w:val="22"/>
                <w:szCs w:val="22"/>
              </w:rPr>
              <w:t>2023</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42C5462C">
            <w:pPr>
              <w:pStyle w:val="26"/>
              <w:jc w:val="center"/>
              <w:rPr>
                <w:color w:val="auto"/>
                <w:sz w:val="22"/>
                <w:szCs w:val="22"/>
              </w:rPr>
            </w:pPr>
            <w:r>
              <w:rPr>
                <w:color w:val="auto"/>
                <w:sz w:val="22"/>
                <w:szCs w:val="22"/>
              </w:rPr>
              <w:t>0.2305</w:t>
            </w:r>
          </w:p>
        </w:tc>
        <w:tc>
          <w:tcPr>
            <w:tcW w:w="1890" w:type="dxa"/>
            <w:tcBorders>
              <w:top w:val="single" w:color="auto" w:sz="4" w:space="0"/>
              <w:left w:val="single" w:color="auto" w:sz="4" w:space="0"/>
              <w:bottom w:val="single" w:color="auto" w:sz="4" w:space="0"/>
              <w:right w:val="single" w:color="auto" w:sz="4" w:space="0"/>
            </w:tcBorders>
            <w:shd w:val="clear" w:color="auto" w:fill="auto"/>
          </w:tcPr>
          <w:p w14:paraId="67D6423B">
            <w:pPr>
              <w:pStyle w:val="26"/>
              <w:jc w:val="center"/>
              <w:rPr>
                <w:color w:val="auto"/>
                <w:sz w:val="22"/>
                <w:szCs w:val="22"/>
              </w:rPr>
            </w:pPr>
            <w:r>
              <w:rPr>
                <w:color w:val="auto"/>
                <w:sz w:val="22"/>
                <w:szCs w:val="22"/>
              </w:rPr>
              <w:t>0.2930</w:t>
            </w:r>
          </w:p>
        </w:tc>
        <w:tc>
          <w:tcPr>
            <w:tcW w:w="1727" w:type="dxa"/>
            <w:tcBorders>
              <w:top w:val="single" w:color="auto" w:sz="4" w:space="0"/>
              <w:left w:val="single" w:color="auto" w:sz="4" w:space="0"/>
              <w:bottom w:val="single" w:color="auto" w:sz="4" w:space="0"/>
              <w:right w:val="single" w:color="auto" w:sz="4" w:space="0"/>
            </w:tcBorders>
            <w:shd w:val="clear" w:color="auto" w:fill="auto"/>
          </w:tcPr>
          <w:p w14:paraId="1D3ED18D">
            <w:pPr>
              <w:pStyle w:val="26"/>
              <w:jc w:val="center"/>
              <w:rPr>
                <w:color w:val="auto"/>
                <w:sz w:val="22"/>
                <w:szCs w:val="22"/>
              </w:rPr>
            </w:pPr>
            <w:r>
              <w:rPr>
                <w:color w:val="auto"/>
                <w:sz w:val="22"/>
                <w:szCs w:val="22"/>
              </w:rPr>
              <w:t>0.6537</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5EF15E68">
            <w:pPr>
              <w:pStyle w:val="26"/>
              <w:jc w:val="center"/>
              <w:rPr>
                <w:color w:val="auto"/>
                <w:sz w:val="22"/>
                <w:szCs w:val="22"/>
              </w:rPr>
            </w:pPr>
            <w:r>
              <w:rPr>
                <w:color w:val="auto"/>
                <w:sz w:val="22"/>
                <w:szCs w:val="22"/>
              </w:rPr>
              <w:t>0.0143</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41C42FB0">
            <w:pPr>
              <w:pStyle w:val="26"/>
              <w:jc w:val="center"/>
              <w:rPr>
                <w:color w:val="auto"/>
                <w:sz w:val="22"/>
                <w:szCs w:val="22"/>
              </w:rPr>
            </w:pPr>
            <w:r>
              <w:rPr>
                <w:color w:val="auto"/>
                <w:sz w:val="22"/>
                <w:szCs w:val="22"/>
              </w:rPr>
              <w:t>0.8617</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1F9719CF">
            <w:pPr>
              <w:pStyle w:val="26"/>
              <w:jc w:val="center"/>
              <w:rPr>
                <w:color w:val="auto"/>
                <w:sz w:val="22"/>
                <w:szCs w:val="22"/>
              </w:rPr>
            </w:pPr>
            <w:r>
              <w:rPr>
                <w:color w:val="auto"/>
                <w:sz w:val="22"/>
                <w:szCs w:val="22"/>
              </w:rPr>
              <w:t>0.1111</w:t>
            </w:r>
          </w:p>
        </w:tc>
      </w:tr>
      <w:tr w14:paraId="017FF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38" w:type="dxa"/>
            <w:tcBorders>
              <w:top w:val="single" w:color="auto" w:sz="4" w:space="0"/>
              <w:left w:val="single" w:color="auto" w:sz="4" w:space="0"/>
              <w:bottom w:val="single" w:color="auto" w:sz="4" w:space="0"/>
              <w:right w:val="single" w:color="auto" w:sz="4" w:space="0"/>
            </w:tcBorders>
            <w:shd w:val="clear" w:color="auto" w:fill="auto"/>
          </w:tcPr>
          <w:p w14:paraId="3845BE54">
            <w:pPr>
              <w:pStyle w:val="26"/>
              <w:jc w:val="center"/>
              <w:rPr>
                <w:color w:val="auto"/>
                <w:sz w:val="22"/>
                <w:szCs w:val="22"/>
              </w:rPr>
            </w:pPr>
            <w:r>
              <w:rPr>
                <w:color w:val="auto"/>
                <w:sz w:val="22"/>
                <w:szCs w:val="22"/>
              </w:rPr>
              <w:t>Ⅸ</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E278687">
            <w:pPr>
              <w:pStyle w:val="26"/>
              <w:jc w:val="center"/>
              <w:rPr>
                <w:color w:val="auto"/>
                <w:sz w:val="22"/>
                <w:szCs w:val="22"/>
              </w:rPr>
            </w:pPr>
            <w:r>
              <w:rPr>
                <w:color w:val="auto"/>
                <w:sz w:val="22"/>
                <w:szCs w:val="22"/>
              </w:rPr>
              <w:t>2024</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58F3C486">
            <w:pPr>
              <w:pStyle w:val="26"/>
              <w:jc w:val="center"/>
              <w:rPr>
                <w:color w:val="auto"/>
                <w:sz w:val="22"/>
                <w:szCs w:val="22"/>
              </w:rPr>
            </w:pPr>
            <w:r>
              <w:rPr>
                <w:color w:val="auto"/>
                <w:sz w:val="22"/>
                <w:szCs w:val="22"/>
              </w:rPr>
              <w:t>0.2161</w:t>
            </w:r>
          </w:p>
        </w:tc>
        <w:tc>
          <w:tcPr>
            <w:tcW w:w="1890" w:type="dxa"/>
            <w:tcBorders>
              <w:top w:val="single" w:color="auto" w:sz="4" w:space="0"/>
              <w:left w:val="single" w:color="auto" w:sz="4" w:space="0"/>
              <w:bottom w:val="single" w:color="auto" w:sz="4" w:space="0"/>
              <w:right w:val="single" w:color="auto" w:sz="4" w:space="0"/>
            </w:tcBorders>
            <w:shd w:val="clear" w:color="auto" w:fill="auto"/>
          </w:tcPr>
          <w:p w14:paraId="273B8440">
            <w:pPr>
              <w:pStyle w:val="26"/>
              <w:jc w:val="center"/>
              <w:rPr>
                <w:color w:val="auto"/>
                <w:sz w:val="22"/>
                <w:szCs w:val="22"/>
              </w:rPr>
            </w:pPr>
            <w:r>
              <w:rPr>
                <w:color w:val="auto"/>
                <w:sz w:val="22"/>
                <w:szCs w:val="22"/>
              </w:rPr>
              <w:t>0.3515</w:t>
            </w:r>
          </w:p>
        </w:tc>
        <w:tc>
          <w:tcPr>
            <w:tcW w:w="1727" w:type="dxa"/>
            <w:tcBorders>
              <w:top w:val="single" w:color="auto" w:sz="4" w:space="0"/>
              <w:left w:val="single" w:color="auto" w:sz="4" w:space="0"/>
              <w:bottom w:val="single" w:color="auto" w:sz="4" w:space="0"/>
              <w:right w:val="single" w:color="auto" w:sz="4" w:space="0"/>
            </w:tcBorders>
            <w:shd w:val="clear" w:color="auto" w:fill="auto"/>
          </w:tcPr>
          <w:p w14:paraId="5CB4C900">
            <w:pPr>
              <w:pStyle w:val="26"/>
              <w:jc w:val="center"/>
              <w:rPr>
                <w:color w:val="auto"/>
                <w:sz w:val="22"/>
                <w:szCs w:val="22"/>
              </w:rPr>
            </w:pPr>
            <w:r>
              <w:rPr>
                <w:color w:val="auto"/>
                <w:sz w:val="22"/>
                <w:szCs w:val="22"/>
              </w:rPr>
              <w:t>0.6612</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7BB6C1CD">
            <w:pPr>
              <w:pStyle w:val="26"/>
              <w:jc w:val="center"/>
              <w:rPr>
                <w:color w:val="auto"/>
                <w:sz w:val="22"/>
                <w:szCs w:val="22"/>
              </w:rPr>
            </w:pPr>
            <w:r>
              <w:rPr>
                <w:color w:val="auto"/>
                <w:sz w:val="22"/>
                <w:szCs w:val="22"/>
              </w:rPr>
              <w:t>0.0134</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58BDEB9D">
            <w:pPr>
              <w:pStyle w:val="26"/>
              <w:jc w:val="center"/>
              <w:rPr>
                <w:color w:val="auto"/>
                <w:sz w:val="22"/>
                <w:szCs w:val="22"/>
              </w:rPr>
            </w:pPr>
            <w:r>
              <w:rPr>
                <w:color w:val="auto"/>
                <w:sz w:val="22"/>
                <w:szCs w:val="22"/>
              </w:rPr>
              <w:t>0.8450</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516EDB1D">
            <w:pPr>
              <w:pStyle w:val="26"/>
              <w:jc w:val="center"/>
              <w:rPr>
                <w:color w:val="auto"/>
                <w:sz w:val="22"/>
                <w:szCs w:val="22"/>
              </w:rPr>
            </w:pPr>
            <w:r>
              <w:rPr>
                <w:color w:val="auto"/>
                <w:sz w:val="22"/>
                <w:szCs w:val="22"/>
              </w:rPr>
              <w:t>0.1058</w:t>
            </w:r>
          </w:p>
        </w:tc>
      </w:tr>
      <w:tr w14:paraId="4EDE4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38" w:type="dxa"/>
            <w:tcBorders>
              <w:top w:val="single" w:color="auto" w:sz="4" w:space="0"/>
              <w:left w:val="single" w:color="auto" w:sz="4" w:space="0"/>
              <w:bottom w:val="single" w:color="auto" w:sz="4" w:space="0"/>
              <w:right w:val="single" w:color="auto" w:sz="4" w:space="0"/>
            </w:tcBorders>
            <w:shd w:val="clear" w:color="auto" w:fill="auto"/>
          </w:tcPr>
          <w:p w14:paraId="4CAE7B18">
            <w:pPr>
              <w:pStyle w:val="26"/>
              <w:jc w:val="center"/>
              <w:rPr>
                <w:color w:val="auto"/>
                <w:sz w:val="22"/>
                <w:szCs w:val="22"/>
              </w:rPr>
            </w:pPr>
            <w:r>
              <w:rPr>
                <w:color w:val="auto"/>
                <w:sz w:val="22"/>
                <w:szCs w:val="22"/>
              </w:rPr>
              <w:t>Ⅹ</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5252FA8E">
            <w:pPr>
              <w:pStyle w:val="26"/>
              <w:jc w:val="center"/>
              <w:rPr>
                <w:color w:val="auto"/>
                <w:sz w:val="22"/>
                <w:szCs w:val="22"/>
              </w:rPr>
            </w:pPr>
            <w:r>
              <w:rPr>
                <w:color w:val="auto"/>
                <w:sz w:val="22"/>
                <w:szCs w:val="22"/>
              </w:rPr>
              <w:t>2022</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13B41F99">
            <w:pPr>
              <w:pStyle w:val="26"/>
              <w:jc w:val="center"/>
              <w:rPr>
                <w:color w:val="auto"/>
                <w:sz w:val="22"/>
                <w:szCs w:val="22"/>
              </w:rPr>
            </w:pPr>
            <w:r>
              <w:rPr>
                <w:color w:val="auto"/>
                <w:sz w:val="22"/>
                <w:szCs w:val="22"/>
              </w:rPr>
              <w:t>0.3737</w:t>
            </w:r>
          </w:p>
        </w:tc>
        <w:tc>
          <w:tcPr>
            <w:tcW w:w="1890" w:type="dxa"/>
            <w:tcBorders>
              <w:top w:val="single" w:color="auto" w:sz="4" w:space="0"/>
              <w:left w:val="single" w:color="auto" w:sz="4" w:space="0"/>
              <w:bottom w:val="single" w:color="auto" w:sz="4" w:space="0"/>
              <w:right w:val="single" w:color="auto" w:sz="4" w:space="0"/>
            </w:tcBorders>
            <w:shd w:val="clear" w:color="auto" w:fill="auto"/>
          </w:tcPr>
          <w:p w14:paraId="2D2D1653">
            <w:pPr>
              <w:pStyle w:val="26"/>
              <w:jc w:val="center"/>
              <w:rPr>
                <w:color w:val="auto"/>
                <w:sz w:val="22"/>
                <w:szCs w:val="22"/>
              </w:rPr>
            </w:pPr>
            <w:r>
              <w:rPr>
                <w:color w:val="auto"/>
                <w:sz w:val="22"/>
                <w:szCs w:val="22"/>
              </w:rPr>
              <w:t>0.6972</w:t>
            </w:r>
          </w:p>
        </w:tc>
        <w:tc>
          <w:tcPr>
            <w:tcW w:w="1727" w:type="dxa"/>
            <w:tcBorders>
              <w:top w:val="single" w:color="auto" w:sz="4" w:space="0"/>
              <w:left w:val="single" w:color="auto" w:sz="4" w:space="0"/>
              <w:bottom w:val="single" w:color="auto" w:sz="4" w:space="0"/>
              <w:right w:val="single" w:color="auto" w:sz="4" w:space="0"/>
            </w:tcBorders>
            <w:shd w:val="clear" w:color="auto" w:fill="auto"/>
          </w:tcPr>
          <w:p w14:paraId="52C6A2F2">
            <w:pPr>
              <w:pStyle w:val="26"/>
              <w:jc w:val="center"/>
              <w:rPr>
                <w:color w:val="auto"/>
                <w:sz w:val="22"/>
                <w:szCs w:val="22"/>
              </w:rPr>
            </w:pPr>
            <w:r>
              <w:rPr>
                <w:color w:val="auto"/>
                <w:sz w:val="22"/>
                <w:szCs w:val="22"/>
              </w:rPr>
              <w:t>0.4983</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76AE7E26">
            <w:pPr>
              <w:pStyle w:val="26"/>
              <w:jc w:val="center"/>
              <w:rPr>
                <w:color w:val="auto"/>
                <w:sz w:val="22"/>
                <w:szCs w:val="22"/>
              </w:rPr>
            </w:pPr>
            <w:r>
              <w:rPr>
                <w:color w:val="auto"/>
                <w:sz w:val="22"/>
                <w:szCs w:val="22"/>
              </w:rPr>
              <w:t>0.0040</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25C268AC">
            <w:pPr>
              <w:pStyle w:val="26"/>
              <w:jc w:val="center"/>
              <w:rPr>
                <w:color w:val="auto"/>
                <w:sz w:val="22"/>
                <w:szCs w:val="22"/>
              </w:rPr>
            </w:pPr>
            <w:r>
              <w:rPr>
                <w:color w:val="auto"/>
                <w:sz w:val="22"/>
                <w:szCs w:val="22"/>
              </w:rPr>
              <w:t>0.8058</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0766F6CB">
            <w:pPr>
              <w:pStyle w:val="26"/>
              <w:jc w:val="center"/>
              <w:rPr>
                <w:color w:val="auto"/>
                <w:sz w:val="22"/>
                <w:szCs w:val="22"/>
              </w:rPr>
            </w:pPr>
            <w:r>
              <w:rPr>
                <w:color w:val="auto"/>
                <w:sz w:val="22"/>
                <w:szCs w:val="22"/>
              </w:rPr>
              <w:t>0.1045</w:t>
            </w:r>
          </w:p>
        </w:tc>
      </w:tr>
      <w:tr w14:paraId="21484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38" w:type="dxa"/>
            <w:tcBorders>
              <w:top w:val="single" w:color="auto" w:sz="4" w:space="0"/>
              <w:left w:val="single" w:color="auto" w:sz="4" w:space="0"/>
              <w:bottom w:val="single" w:color="auto" w:sz="4" w:space="0"/>
              <w:right w:val="single" w:color="auto" w:sz="4" w:space="0"/>
            </w:tcBorders>
            <w:shd w:val="clear" w:color="auto" w:fill="auto"/>
          </w:tcPr>
          <w:p w14:paraId="7DB30020">
            <w:pPr>
              <w:pStyle w:val="26"/>
              <w:jc w:val="center"/>
              <w:rPr>
                <w:color w:val="auto"/>
                <w:sz w:val="22"/>
                <w:szCs w:val="22"/>
              </w:rPr>
            </w:pPr>
            <w:r>
              <w:rPr>
                <w:color w:val="auto"/>
                <w:sz w:val="22"/>
                <w:szCs w:val="22"/>
              </w:rPr>
              <w:t>Ⅹ</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6ED59AEA">
            <w:pPr>
              <w:pStyle w:val="26"/>
              <w:jc w:val="center"/>
              <w:rPr>
                <w:color w:val="auto"/>
                <w:sz w:val="22"/>
                <w:szCs w:val="22"/>
              </w:rPr>
            </w:pPr>
            <w:r>
              <w:rPr>
                <w:color w:val="auto"/>
                <w:sz w:val="22"/>
                <w:szCs w:val="22"/>
              </w:rPr>
              <w:t>2023</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60266361">
            <w:pPr>
              <w:pStyle w:val="26"/>
              <w:jc w:val="center"/>
              <w:rPr>
                <w:color w:val="auto"/>
                <w:sz w:val="22"/>
                <w:szCs w:val="22"/>
              </w:rPr>
            </w:pPr>
            <w:r>
              <w:rPr>
                <w:color w:val="auto"/>
                <w:sz w:val="22"/>
                <w:szCs w:val="22"/>
              </w:rPr>
              <w:t>0.3522</w:t>
            </w:r>
          </w:p>
        </w:tc>
        <w:tc>
          <w:tcPr>
            <w:tcW w:w="1890" w:type="dxa"/>
            <w:tcBorders>
              <w:top w:val="single" w:color="auto" w:sz="4" w:space="0"/>
              <w:left w:val="single" w:color="auto" w:sz="4" w:space="0"/>
              <w:bottom w:val="single" w:color="auto" w:sz="4" w:space="0"/>
              <w:right w:val="single" w:color="auto" w:sz="4" w:space="0"/>
            </w:tcBorders>
            <w:shd w:val="clear" w:color="auto" w:fill="auto"/>
          </w:tcPr>
          <w:p w14:paraId="58673413">
            <w:pPr>
              <w:pStyle w:val="26"/>
              <w:jc w:val="center"/>
              <w:rPr>
                <w:color w:val="auto"/>
                <w:sz w:val="22"/>
                <w:szCs w:val="22"/>
              </w:rPr>
            </w:pPr>
            <w:r>
              <w:rPr>
                <w:color w:val="auto"/>
                <w:sz w:val="22"/>
                <w:szCs w:val="22"/>
              </w:rPr>
              <w:t>0.6662</w:t>
            </w:r>
          </w:p>
        </w:tc>
        <w:tc>
          <w:tcPr>
            <w:tcW w:w="1727" w:type="dxa"/>
            <w:tcBorders>
              <w:top w:val="single" w:color="auto" w:sz="4" w:space="0"/>
              <w:left w:val="single" w:color="auto" w:sz="4" w:space="0"/>
              <w:bottom w:val="single" w:color="auto" w:sz="4" w:space="0"/>
              <w:right w:val="single" w:color="auto" w:sz="4" w:space="0"/>
            </w:tcBorders>
            <w:shd w:val="clear" w:color="auto" w:fill="auto"/>
          </w:tcPr>
          <w:p w14:paraId="024C5B15">
            <w:pPr>
              <w:pStyle w:val="26"/>
              <w:jc w:val="center"/>
              <w:rPr>
                <w:color w:val="auto"/>
                <w:sz w:val="22"/>
                <w:szCs w:val="22"/>
              </w:rPr>
            </w:pPr>
            <w:r>
              <w:rPr>
                <w:color w:val="auto"/>
                <w:sz w:val="22"/>
                <w:szCs w:val="22"/>
              </w:rPr>
              <w:t>0.4844</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3520975E">
            <w:pPr>
              <w:pStyle w:val="26"/>
              <w:jc w:val="center"/>
              <w:rPr>
                <w:color w:val="auto"/>
                <w:sz w:val="22"/>
                <w:szCs w:val="22"/>
              </w:rPr>
            </w:pPr>
            <w:r>
              <w:rPr>
                <w:color w:val="auto"/>
                <w:sz w:val="22"/>
                <w:szCs w:val="22"/>
              </w:rPr>
              <w:t>0.0060</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6AB87479">
            <w:pPr>
              <w:pStyle w:val="26"/>
              <w:jc w:val="center"/>
              <w:rPr>
                <w:color w:val="auto"/>
                <w:sz w:val="22"/>
                <w:szCs w:val="22"/>
              </w:rPr>
            </w:pPr>
            <w:r>
              <w:rPr>
                <w:color w:val="auto"/>
                <w:sz w:val="22"/>
                <w:szCs w:val="22"/>
              </w:rPr>
              <w:t>0.7522</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38D9A758">
            <w:pPr>
              <w:pStyle w:val="26"/>
              <w:jc w:val="center"/>
              <w:rPr>
                <w:color w:val="auto"/>
                <w:sz w:val="22"/>
                <w:szCs w:val="22"/>
              </w:rPr>
            </w:pPr>
            <w:r>
              <w:rPr>
                <w:color w:val="auto"/>
                <w:sz w:val="22"/>
                <w:szCs w:val="22"/>
              </w:rPr>
              <w:t>0.0839</w:t>
            </w:r>
          </w:p>
        </w:tc>
      </w:tr>
      <w:tr w14:paraId="54EB8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38" w:type="dxa"/>
            <w:tcBorders>
              <w:top w:val="single" w:color="auto" w:sz="4" w:space="0"/>
              <w:left w:val="single" w:color="auto" w:sz="4" w:space="0"/>
              <w:bottom w:val="single" w:color="auto" w:sz="4" w:space="0"/>
              <w:right w:val="single" w:color="auto" w:sz="4" w:space="0"/>
            </w:tcBorders>
            <w:shd w:val="clear" w:color="auto" w:fill="auto"/>
          </w:tcPr>
          <w:p w14:paraId="51A35F2C">
            <w:pPr>
              <w:pStyle w:val="26"/>
              <w:jc w:val="center"/>
              <w:rPr>
                <w:color w:val="auto"/>
                <w:sz w:val="22"/>
                <w:szCs w:val="22"/>
              </w:rPr>
            </w:pPr>
            <w:r>
              <w:rPr>
                <w:color w:val="auto"/>
                <w:sz w:val="22"/>
                <w:szCs w:val="22"/>
              </w:rPr>
              <w:t>Ⅹ</w:t>
            </w:r>
          </w:p>
        </w:tc>
        <w:tc>
          <w:tcPr>
            <w:tcW w:w="720" w:type="dxa"/>
            <w:tcBorders>
              <w:top w:val="single" w:color="auto" w:sz="4" w:space="0"/>
              <w:left w:val="single" w:color="auto" w:sz="4" w:space="0"/>
              <w:bottom w:val="single" w:color="auto" w:sz="4" w:space="0"/>
              <w:right w:val="single" w:color="auto" w:sz="4" w:space="0"/>
            </w:tcBorders>
            <w:shd w:val="clear" w:color="auto" w:fill="auto"/>
          </w:tcPr>
          <w:p w14:paraId="0B038E2C">
            <w:pPr>
              <w:pStyle w:val="26"/>
              <w:jc w:val="center"/>
              <w:rPr>
                <w:color w:val="auto"/>
                <w:sz w:val="22"/>
                <w:szCs w:val="22"/>
              </w:rPr>
            </w:pPr>
            <w:r>
              <w:rPr>
                <w:color w:val="auto"/>
                <w:sz w:val="22"/>
                <w:szCs w:val="22"/>
              </w:rPr>
              <w:t>2024</w:t>
            </w:r>
          </w:p>
        </w:tc>
        <w:tc>
          <w:tcPr>
            <w:tcW w:w="990" w:type="dxa"/>
            <w:tcBorders>
              <w:top w:val="single" w:color="auto" w:sz="4" w:space="0"/>
              <w:left w:val="single" w:color="auto" w:sz="4" w:space="0"/>
              <w:bottom w:val="single" w:color="auto" w:sz="4" w:space="0"/>
              <w:right w:val="single" w:color="auto" w:sz="4" w:space="0"/>
            </w:tcBorders>
            <w:shd w:val="clear" w:color="auto" w:fill="auto"/>
          </w:tcPr>
          <w:p w14:paraId="374FF4A7">
            <w:pPr>
              <w:pStyle w:val="26"/>
              <w:jc w:val="center"/>
              <w:rPr>
                <w:color w:val="auto"/>
                <w:sz w:val="22"/>
                <w:szCs w:val="22"/>
              </w:rPr>
            </w:pPr>
            <w:r>
              <w:rPr>
                <w:color w:val="auto"/>
                <w:sz w:val="22"/>
                <w:szCs w:val="22"/>
              </w:rPr>
              <w:t>0.3403</w:t>
            </w:r>
          </w:p>
        </w:tc>
        <w:tc>
          <w:tcPr>
            <w:tcW w:w="1890" w:type="dxa"/>
            <w:tcBorders>
              <w:top w:val="single" w:color="auto" w:sz="4" w:space="0"/>
              <w:left w:val="single" w:color="auto" w:sz="4" w:space="0"/>
              <w:bottom w:val="single" w:color="auto" w:sz="4" w:space="0"/>
              <w:right w:val="single" w:color="auto" w:sz="4" w:space="0"/>
            </w:tcBorders>
            <w:shd w:val="clear" w:color="auto" w:fill="auto"/>
          </w:tcPr>
          <w:p w14:paraId="427175AE">
            <w:pPr>
              <w:pStyle w:val="26"/>
              <w:jc w:val="center"/>
              <w:rPr>
                <w:color w:val="auto"/>
                <w:sz w:val="22"/>
                <w:szCs w:val="22"/>
              </w:rPr>
            </w:pPr>
            <w:r>
              <w:rPr>
                <w:color w:val="auto"/>
                <w:sz w:val="22"/>
                <w:szCs w:val="22"/>
              </w:rPr>
              <w:t>0.6734</w:t>
            </w:r>
          </w:p>
        </w:tc>
        <w:tc>
          <w:tcPr>
            <w:tcW w:w="1727" w:type="dxa"/>
            <w:tcBorders>
              <w:top w:val="single" w:color="auto" w:sz="4" w:space="0"/>
              <w:left w:val="single" w:color="auto" w:sz="4" w:space="0"/>
              <w:bottom w:val="single" w:color="auto" w:sz="4" w:space="0"/>
              <w:right w:val="single" w:color="auto" w:sz="4" w:space="0"/>
            </w:tcBorders>
            <w:shd w:val="clear" w:color="auto" w:fill="auto"/>
          </w:tcPr>
          <w:p w14:paraId="490E76D0">
            <w:pPr>
              <w:pStyle w:val="26"/>
              <w:jc w:val="center"/>
              <w:rPr>
                <w:color w:val="auto"/>
                <w:sz w:val="22"/>
                <w:szCs w:val="22"/>
              </w:rPr>
            </w:pPr>
            <w:r>
              <w:rPr>
                <w:color w:val="auto"/>
                <w:sz w:val="22"/>
                <w:szCs w:val="22"/>
              </w:rPr>
              <w:t>0.5289</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4CC5F175">
            <w:pPr>
              <w:pStyle w:val="26"/>
              <w:jc w:val="center"/>
              <w:rPr>
                <w:color w:val="auto"/>
                <w:sz w:val="22"/>
                <w:szCs w:val="22"/>
              </w:rPr>
            </w:pPr>
            <w:r>
              <w:rPr>
                <w:color w:val="auto"/>
                <w:sz w:val="22"/>
                <w:szCs w:val="22"/>
              </w:rPr>
              <w:t>0.0058</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0AAB9EC7">
            <w:pPr>
              <w:pStyle w:val="26"/>
              <w:jc w:val="center"/>
              <w:rPr>
                <w:color w:val="auto"/>
                <w:sz w:val="22"/>
                <w:szCs w:val="22"/>
              </w:rPr>
            </w:pPr>
            <w:r>
              <w:rPr>
                <w:color w:val="auto"/>
                <w:sz w:val="22"/>
                <w:szCs w:val="22"/>
              </w:rPr>
              <w:t>0.7728</w:t>
            </w:r>
          </w:p>
        </w:tc>
        <w:tc>
          <w:tcPr>
            <w:tcW w:w="1213" w:type="dxa"/>
            <w:tcBorders>
              <w:top w:val="single" w:color="auto" w:sz="4" w:space="0"/>
              <w:left w:val="single" w:color="auto" w:sz="4" w:space="0"/>
              <w:bottom w:val="single" w:color="auto" w:sz="4" w:space="0"/>
              <w:right w:val="single" w:color="auto" w:sz="4" w:space="0"/>
            </w:tcBorders>
            <w:shd w:val="clear" w:color="auto" w:fill="auto"/>
          </w:tcPr>
          <w:p w14:paraId="25CF89BB">
            <w:pPr>
              <w:pStyle w:val="26"/>
              <w:keepNext/>
              <w:jc w:val="center"/>
              <w:rPr>
                <w:color w:val="auto"/>
                <w:sz w:val="22"/>
                <w:szCs w:val="22"/>
              </w:rPr>
            </w:pPr>
            <w:r>
              <w:rPr>
                <w:color w:val="auto"/>
                <w:sz w:val="22"/>
                <w:szCs w:val="22"/>
              </w:rPr>
              <w:t>0.0795</w:t>
            </w:r>
          </w:p>
        </w:tc>
      </w:tr>
    </w:tbl>
    <w:p w14:paraId="32680EC1">
      <w:pPr>
        <w:pStyle w:val="11"/>
      </w:pPr>
      <w:bookmarkStart w:id="102" w:name="_Toc223265617"/>
      <w:bookmarkStart w:id="103" w:name="_Toc223267053"/>
      <w:r>
        <w:t xml:space="preserve">Table </w:t>
      </w:r>
      <w:r>
        <w:fldChar w:fldCharType="begin"/>
      </w:r>
      <w:r>
        <w:instrText xml:space="preserve"> SEQ Table \* ARABIC </w:instrText>
      </w:r>
      <w:r>
        <w:fldChar w:fldCharType="separate"/>
      </w:r>
      <w:r>
        <w:t>8</w:t>
      </w:r>
      <w:r>
        <w:fldChar w:fldCharType="end"/>
      </w:r>
      <w:r>
        <w:t>: Raw data</w:t>
      </w:r>
      <w:bookmarkEnd w:id="102"/>
      <w:bookmarkEnd w:id="103"/>
    </w:p>
    <w:p w14:paraId="507049EF">
      <w:pPr>
        <w:pStyle w:val="26"/>
        <w:pageBreakBefore/>
        <w:jc w:val="center"/>
        <w:rPr>
          <w:sz w:val="23"/>
          <w:szCs w:val="23"/>
        </w:rPr>
      </w:pPr>
      <w:r>
        <w:rPr>
          <w:b/>
          <w:bCs/>
          <w:sz w:val="26"/>
          <w:szCs w:val="26"/>
        </w:rPr>
        <w:t>Important ratios for all the selected bank</w:t>
      </w:r>
      <w:r>
        <w:rPr>
          <w:b/>
          <w:bCs/>
          <w:sz w:val="26"/>
          <w:szCs w:val="26"/>
        </w:rPr>
        <w:br w:type="textWrapping"/>
      </w:r>
    </w:p>
    <w:tbl>
      <w:tblPr>
        <w:tblStyle w:val="9"/>
        <w:tblW w:w="9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8"/>
        <w:gridCol w:w="1080"/>
        <w:gridCol w:w="1260"/>
        <w:gridCol w:w="1710"/>
        <w:gridCol w:w="990"/>
        <w:gridCol w:w="1723"/>
      </w:tblGrid>
      <w:tr w14:paraId="2A3E1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2808" w:type="dxa"/>
          </w:tcPr>
          <w:p w14:paraId="3B36CE7D">
            <w:pPr>
              <w:pStyle w:val="26"/>
              <w:jc w:val="both"/>
              <w:rPr>
                <w:b/>
                <w:sz w:val="23"/>
                <w:szCs w:val="23"/>
              </w:rPr>
            </w:pPr>
            <w:r>
              <w:rPr>
                <w:b/>
                <w:sz w:val="23"/>
                <w:szCs w:val="23"/>
              </w:rPr>
              <w:t>Bank Code</w:t>
            </w:r>
          </w:p>
        </w:tc>
        <w:tc>
          <w:tcPr>
            <w:tcW w:w="1080" w:type="dxa"/>
          </w:tcPr>
          <w:p w14:paraId="358B0911">
            <w:pPr>
              <w:pStyle w:val="26"/>
              <w:jc w:val="center"/>
              <w:rPr>
                <w:b/>
                <w:sz w:val="23"/>
                <w:szCs w:val="23"/>
              </w:rPr>
            </w:pPr>
            <w:r>
              <w:rPr>
                <w:b/>
                <w:sz w:val="23"/>
                <w:szCs w:val="23"/>
              </w:rPr>
              <w:t>NIM</w:t>
            </w:r>
          </w:p>
        </w:tc>
        <w:tc>
          <w:tcPr>
            <w:tcW w:w="1260" w:type="dxa"/>
          </w:tcPr>
          <w:p w14:paraId="547ED5BB">
            <w:pPr>
              <w:pStyle w:val="26"/>
              <w:jc w:val="center"/>
              <w:rPr>
                <w:b/>
                <w:sz w:val="23"/>
                <w:szCs w:val="23"/>
              </w:rPr>
            </w:pPr>
            <w:r>
              <w:rPr>
                <w:b/>
                <w:sz w:val="23"/>
                <w:szCs w:val="23"/>
              </w:rPr>
              <w:t>Liquidity Ratio</w:t>
            </w:r>
          </w:p>
        </w:tc>
        <w:tc>
          <w:tcPr>
            <w:tcW w:w="1710" w:type="dxa"/>
          </w:tcPr>
          <w:p w14:paraId="3F3978EC">
            <w:pPr>
              <w:pStyle w:val="26"/>
              <w:jc w:val="center"/>
              <w:rPr>
                <w:b/>
                <w:sz w:val="23"/>
                <w:szCs w:val="23"/>
              </w:rPr>
            </w:pPr>
            <w:r>
              <w:rPr>
                <w:b/>
                <w:sz w:val="20"/>
                <w:szCs w:val="23"/>
              </w:rPr>
              <w:t>Non-Performing Loan</w:t>
            </w:r>
          </w:p>
        </w:tc>
        <w:tc>
          <w:tcPr>
            <w:tcW w:w="990" w:type="dxa"/>
          </w:tcPr>
          <w:p w14:paraId="562FEB14">
            <w:pPr>
              <w:pStyle w:val="26"/>
              <w:jc w:val="center"/>
              <w:rPr>
                <w:b/>
                <w:sz w:val="23"/>
                <w:szCs w:val="23"/>
              </w:rPr>
            </w:pPr>
            <w:r>
              <w:rPr>
                <w:b/>
                <w:sz w:val="23"/>
                <w:szCs w:val="23"/>
              </w:rPr>
              <w:t>EQR</w:t>
            </w:r>
          </w:p>
        </w:tc>
        <w:tc>
          <w:tcPr>
            <w:tcW w:w="1723" w:type="dxa"/>
          </w:tcPr>
          <w:p w14:paraId="3F88A3DF">
            <w:pPr>
              <w:pStyle w:val="26"/>
              <w:jc w:val="center"/>
              <w:rPr>
                <w:b/>
                <w:sz w:val="23"/>
                <w:szCs w:val="23"/>
              </w:rPr>
            </w:pPr>
            <w:r>
              <w:rPr>
                <w:b/>
                <w:sz w:val="23"/>
                <w:szCs w:val="23"/>
              </w:rPr>
              <w:t>Islamic(I)/Conventional(N)</w:t>
            </w:r>
          </w:p>
        </w:tc>
      </w:tr>
      <w:tr w14:paraId="2F927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2808" w:type="dxa"/>
          </w:tcPr>
          <w:p w14:paraId="057FCA24">
            <w:pPr>
              <w:pStyle w:val="26"/>
              <w:jc w:val="center"/>
              <w:rPr>
                <w:color w:val="auto"/>
                <w:sz w:val="23"/>
                <w:szCs w:val="23"/>
              </w:rPr>
            </w:pPr>
            <w:r>
              <w:rPr>
                <w:color w:val="auto"/>
                <w:sz w:val="23"/>
                <w:szCs w:val="23"/>
              </w:rPr>
              <w:t xml:space="preserve">IFIC BANK PLC </w:t>
            </w:r>
          </w:p>
        </w:tc>
        <w:tc>
          <w:tcPr>
            <w:tcW w:w="1080" w:type="dxa"/>
          </w:tcPr>
          <w:p w14:paraId="590F7AE5">
            <w:pPr>
              <w:pStyle w:val="26"/>
              <w:jc w:val="center"/>
              <w:rPr>
                <w:color w:val="auto"/>
                <w:sz w:val="23"/>
                <w:szCs w:val="23"/>
              </w:rPr>
            </w:pPr>
            <w:r>
              <w:rPr>
                <w:color w:val="auto"/>
                <w:sz w:val="23"/>
                <w:szCs w:val="23"/>
              </w:rPr>
              <w:t>2.84%</w:t>
            </w:r>
          </w:p>
        </w:tc>
        <w:tc>
          <w:tcPr>
            <w:tcW w:w="1260" w:type="dxa"/>
          </w:tcPr>
          <w:p w14:paraId="52C0A49D">
            <w:pPr>
              <w:pStyle w:val="26"/>
              <w:jc w:val="center"/>
              <w:rPr>
                <w:color w:val="auto"/>
                <w:sz w:val="23"/>
                <w:szCs w:val="23"/>
              </w:rPr>
            </w:pPr>
            <w:r>
              <w:rPr>
                <w:color w:val="auto"/>
                <w:sz w:val="23"/>
                <w:szCs w:val="23"/>
              </w:rPr>
              <w:t>38.96%</w:t>
            </w:r>
          </w:p>
        </w:tc>
        <w:tc>
          <w:tcPr>
            <w:tcW w:w="1710" w:type="dxa"/>
          </w:tcPr>
          <w:p w14:paraId="2F8A807C">
            <w:pPr>
              <w:pStyle w:val="26"/>
              <w:jc w:val="center"/>
              <w:rPr>
                <w:color w:val="auto"/>
                <w:sz w:val="23"/>
                <w:szCs w:val="23"/>
              </w:rPr>
            </w:pPr>
            <w:r>
              <w:rPr>
                <w:color w:val="auto"/>
                <w:sz w:val="23"/>
                <w:szCs w:val="23"/>
              </w:rPr>
              <w:t>2.79%</w:t>
            </w:r>
          </w:p>
        </w:tc>
        <w:tc>
          <w:tcPr>
            <w:tcW w:w="990" w:type="dxa"/>
          </w:tcPr>
          <w:p w14:paraId="2E886731">
            <w:pPr>
              <w:pStyle w:val="26"/>
              <w:jc w:val="center"/>
              <w:rPr>
                <w:color w:val="auto"/>
                <w:sz w:val="23"/>
                <w:szCs w:val="23"/>
              </w:rPr>
            </w:pPr>
            <w:r>
              <w:rPr>
                <w:color w:val="auto"/>
                <w:sz w:val="23"/>
                <w:szCs w:val="23"/>
              </w:rPr>
              <w:t>7.85%</w:t>
            </w:r>
          </w:p>
        </w:tc>
        <w:tc>
          <w:tcPr>
            <w:tcW w:w="1723" w:type="dxa"/>
          </w:tcPr>
          <w:p w14:paraId="47FA4638">
            <w:pPr>
              <w:pStyle w:val="26"/>
              <w:jc w:val="center"/>
              <w:rPr>
                <w:color w:val="auto"/>
                <w:sz w:val="23"/>
                <w:szCs w:val="23"/>
              </w:rPr>
            </w:pPr>
            <w:r>
              <w:rPr>
                <w:color w:val="auto"/>
                <w:sz w:val="23"/>
                <w:szCs w:val="23"/>
              </w:rPr>
              <w:t>N</w:t>
            </w:r>
          </w:p>
        </w:tc>
      </w:tr>
      <w:tr w14:paraId="6349D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2808" w:type="dxa"/>
          </w:tcPr>
          <w:p w14:paraId="19C0815A">
            <w:pPr>
              <w:pStyle w:val="26"/>
              <w:jc w:val="center"/>
              <w:rPr>
                <w:color w:val="auto"/>
                <w:sz w:val="23"/>
                <w:szCs w:val="23"/>
              </w:rPr>
            </w:pPr>
            <w:r>
              <w:rPr>
                <w:color w:val="auto"/>
                <w:sz w:val="23"/>
                <w:szCs w:val="23"/>
              </w:rPr>
              <w:t>ISLAMI BANK BANGLADESH PLC</w:t>
            </w:r>
          </w:p>
        </w:tc>
        <w:tc>
          <w:tcPr>
            <w:tcW w:w="1080" w:type="dxa"/>
          </w:tcPr>
          <w:p w14:paraId="6AB63350">
            <w:pPr>
              <w:pStyle w:val="26"/>
              <w:jc w:val="center"/>
              <w:rPr>
                <w:color w:val="auto"/>
                <w:sz w:val="23"/>
                <w:szCs w:val="23"/>
              </w:rPr>
            </w:pPr>
            <w:r>
              <w:rPr>
                <w:color w:val="auto"/>
                <w:sz w:val="23"/>
                <w:szCs w:val="23"/>
              </w:rPr>
              <w:t>4.44%</w:t>
            </w:r>
          </w:p>
        </w:tc>
        <w:tc>
          <w:tcPr>
            <w:tcW w:w="1260" w:type="dxa"/>
          </w:tcPr>
          <w:p w14:paraId="7F281B04">
            <w:pPr>
              <w:pStyle w:val="26"/>
              <w:jc w:val="center"/>
              <w:rPr>
                <w:color w:val="auto"/>
                <w:sz w:val="23"/>
                <w:szCs w:val="23"/>
              </w:rPr>
            </w:pPr>
            <w:r>
              <w:rPr>
                <w:color w:val="auto"/>
                <w:sz w:val="23"/>
                <w:szCs w:val="23"/>
              </w:rPr>
              <w:t>150.63%</w:t>
            </w:r>
          </w:p>
        </w:tc>
        <w:tc>
          <w:tcPr>
            <w:tcW w:w="1710" w:type="dxa"/>
          </w:tcPr>
          <w:p w14:paraId="7394E8EB">
            <w:pPr>
              <w:pStyle w:val="26"/>
              <w:jc w:val="center"/>
              <w:rPr>
                <w:color w:val="auto"/>
                <w:sz w:val="23"/>
                <w:szCs w:val="23"/>
              </w:rPr>
            </w:pPr>
            <w:r>
              <w:rPr>
                <w:color w:val="auto"/>
                <w:sz w:val="23"/>
                <w:szCs w:val="23"/>
              </w:rPr>
              <w:t>7.41%</w:t>
            </w:r>
          </w:p>
        </w:tc>
        <w:tc>
          <w:tcPr>
            <w:tcW w:w="990" w:type="dxa"/>
          </w:tcPr>
          <w:p w14:paraId="16099431">
            <w:pPr>
              <w:pStyle w:val="26"/>
              <w:jc w:val="center"/>
              <w:rPr>
                <w:color w:val="auto"/>
                <w:sz w:val="23"/>
                <w:szCs w:val="23"/>
              </w:rPr>
            </w:pPr>
            <w:r>
              <w:rPr>
                <w:color w:val="auto"/>
                <w:sz w:val="23"/>
                <w:szCs w:val="23"/>
              </w:rPr>
              <w:t>5.13%</w:t>
            </w:r>
          </w:p>
        </w:tc>
        <w:tc>
          <w:tcPr>
            <w:tcW w:w="1723" w:type="dxa"/>
          </w:tcPr>
          <w:p w14:paraId="0E36E9FE">
            <w:pPr>
              <w:pStyle w:val="26"/>
              <w:jc w:val="center"/>
              <w:rPr>
                <w:color w:val="auto"/>
                <w:sz w:val="23"/>
                <w:szCs w:val="23"/>
              </w:rPr>
            </w:pPr>
            <w:r>
              <w:rPr>
                <w:color w:val="auto"/>
                <w:sz w:val="23"/>
                <w:szCs w:val="23"/>
              </w:rPr>
              <w:t>I</w:t>
            </w:r>
          </w:p>
        </w:tc>
      </w:tr>
      <w:tr w14:paraId="7F740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2808" w:type="dxa"/>
          </w:tcPr>
          <w:p w14:paraId="74D0AF9F">
            <w:pPr>
              <w:pStyle w:val="26"/>
              <w:jc w:val="center"/>
              <w:rPr>
                <w:color w:val="auto"/>
                <w:sz w:val="23"/>
                <w:szCs w:val="23"/>
              </w:rPr>
            </w:pPr>
            <w:r>
              <w:rPr>
                <w:color w:val="auto"/>
                <w:sz w:val="23"/>
                <w:szCs w:val="23"/>
              </w:rPr>
              <w:t>SOUTHEAST BANK PLC</w:t>
            </w:r>
          </w:p>
        </w:tc>
        <w:tc>
          <w:tcPr>
            <w:tcW w:w="1080" w:type="dxa"/>
          </w:tcPr>
          <w:p w14:paraId="553F308E">
            <w:pPr>
              <w:pStyle w:val="26"/>
              <w:jc w:val="center"/>
              <w:rPr>
                <w:color w:val="auto"/>
                <w:sz w:val="23"/>
                <w:szCs w:val="23"/>
              </w:rPr>
            </w:pPr>
            <w:r>
              <w:rPr>
                <w:color w:val="auto"/>
                <w:sz w:val="23"/>
                <w:szCs w:val="23"/>
              </w:rPr>
              <w:t>0.75%</w:t>
            </w:r>
          </w:p>
        </w:tc>
        <w:tc>
          <w:tcPr>
            <w:tcW w:w="1260" w:type="dxa"/>
          </w:tcPr>
          <w:p w14:paraId="5A9FD935">
            <w:pPr>
              <w:pStyle w:val="26"/>
              <w:jc w:val="center"/>
              <w:rPr>
                <w:color w:val="auto"/>
                <w:sz w:val="23"/>
                <w:szCs w:val="23"/>
              </w:rPr>
            </w:pPr>
            <w:r>
              <w:rPr>
                <w:color w:val="auto"/>
                <w:sz w:val="23"/>
                <w:szCs w:val="23"/>
              </w:rPr>
              <w:t>41.01%</w:t>
            </w:r>
          </w:p>
        </w:tc>
        <w:tc>
          <w:tcPr>
            <w:tcW w:w="1710" w:type="dxa"/>
          </w:tcPr>
          <w:p w14:paraId="54D231F3">
            <w:pPr>
              <w:pStyle w:val="26"/>
              <w:jc w:val="center"/>
              <w:rPr>
                <w:color w:val="auto"/>
                <w:sz w:val="23"/>
                <w:szCs w:val="23"/>
              </w:rPr>
            </w:pPr>
            <w:r>
              <w:rPr>
                <w:color w:val="auto"/>
                <w:sz w:val="23"/>
                <w:szCs w:val="23"/>
              </w:rPr>
              <w:t>31.35%</w:t>
            </w:r>
          </w:p>
        </w:tc>
        <w:tc>
          <w:tcPr>
            <w:tcW w:w="990" w:type="dxa"/>
          </w:tcPr>
          <w:p w14:paraId="556B9B6F">
            <w:pPr>
              <w:pStyle w:val="26"/>
              <w:jc w:val="center"/>
              <w:rPr>
                <w:color w:val="auto"/>
                <w:sz w:val="23"/>
                <w:szCs w:val="23"/>
              </w:rPr>
            </w:pPr>
            <w:r>
              <w:rPr>
                <w:color w:val="auto"/>
                <w:sz w:val="23"/>
                <w:szCs w:val="23"/>
              </w:rPr>
              <w:t>7.02%</w:t>
            </w:r>
          </w:p>
        </w:tc>
        <w:tc>
          <w:tcPr>
            <w:tcW w:w="1723" w:type="dxa"/>
          </w:tcPr>
          <w:p w14:paraId="4B503367">
            <w:pPr>
              <w:pStyle w:val="26"/>
              <w:jc w:val="center"/>
              <w:rPr>
                <w:color w:val="auto"/>
                <w:sz w:val="23"/>
                <w:szCs w:val="23"/>
              </w:rPr>
            </w:pPr>
            <w:r>
              <w:rPr>
                <w:color w:val="auto"/>
                <w:sz w:val="23"/>
                <w:szCs w:val="23"/>
              </w:rPr>
              <w:t>N</w:t>
            </w:r>
          </w:p>
        </w:tc>
      </w:tr>
      <w:tr w14:paraId="3FBBE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2808" w:type="dxa"/>
          </w:tcPr>
          <w:p w14:paraId="7B05EED4">
            <w:pPr>
              <w:pStyle w:val="26"/>
              <w:jc w:val="center"/>
              <w:rPr>
                <w:color w:val="auto"/>
                <w:sz w:val="23"/>
                <w:szCs w:val="23"/>
              </w:rPr>
            </w:pPr>
            <w:r>
              <w:rPr>
                <w:color w:val="auto"/>
                <w:sz w:val="23"/>
                <w:szCs w:val="23"/>
              </w:rPr>
              <w:t>FIRST SECURITY ISLAMI BANK PLC</w:t>
            </w:r>
          </w:p>
        </w:tc>
        <w:tc>
          <w:tcPr>
            <w:tcW w:w="1080" w:type="dxa"/>
          </w:tcPr>
          <w:p w14:paraId="5A93ECFA">
            <w:pPr>
              <w:pStyle w:val="26"/>
              <w:spacing w:line="360" w:lineRule="auto"/>
              <w:jc w:val="center"/>
              <w:rPr>
                <w:color w:val="auto"/>
                <w:sz w:val="23"/>
                <w:szCs w:val="23"/>
              </w:rPr>
            </w:pPr>
            <w:r>
              <w:rPr>
                <w:color w:val="auto"/>
                <w:sz w:val="23"/>
                <w:szCs w:val="23"/>
              </w:rPr>
              <w:t>3.66%</w:t>
            </w:r>
          </w:p>
        </w:tc>
        <w:tc>
          <w:tcPr>
            <w:tcW w:w="1260" w:type="dxa"/>
          </w:tcPr>
          <w:p w14:paraId="7888DDB2">
            <w:pPr>
              <w:pStyle w:val="26"/>
              <w:jc w:val="center"/>
              <w:rPr>
                <w:color w:val="auto"/>
                <w:sz w:val="23"/>
                <w:szCs w:val="23"/>
              </w:rPr>
            </w:pPr>
            <w:r>
              <w:rPr>
                <w:color w:val="auto"/>
                <w:sz w:val="23"/>
                <w:szCs w:val="23"/>
              </w:rPr>
              <w:t>128.74%</w:t>
            </w:r>
          </w:p>
        </w:tc>
        <w:tc>
          <w:tcPr>
            <w:tcW w:w="1710" w:type="dxa"/>
          </w:tcPr>
          <w:p w14:paraId="15A1BD92">
            <w:pPr>
              <w:pStyle w:val="26"/>
              <w:jc w:val="center"/>
              <w:rPr>
                <w:color w:val="auto"/>
                <w:sz w:val="23"/>
                <w:szCs w:val="23"/>
              </w:rPr>
            </w:pPr>
            <w:r>
              <w:rPr>
                <w:color w:val="auto"/>
                <w:sz w:val="23"/>
                <w:szCs w:val="23"/>
              </w:rPr>
              <w:t>3.03%</w:t>
            </w:r>
          </w:p>
        </w:tc>
        <w:tc>
          <w:tcPr>
            <w:tcW w:w="990" w:type="dxa"/>
          </w:tcPr>
          <w:p w14:paraId="6A01D8F5">
            <w:pPr>
              <w:pStyle w:val="26"/>
              <w:jc w:val="center"/>
              <w:rPr>
                <w:color w:val="auto"/>
                <w:sz w:val="23"/>
                <w:szCs w:val="23"/>
              </w:rPr>
            </w:pPr>
            <w:r>
              <w:rPr>
                <w:color w:val="auto"/>
                <w:sz w:val="23"/>
                <w:szCs w:val="23"/>
              </w:rPr>
              <w:t>3.57%</w:t>
            </w:r>
          </w:p>
        </w:tc>
        <w:tc>
          <w:tcPr>
            <w:tcW w:w="1723" w:type="dxa"/>
          </w:tcPr>
          <w:p w14:paraId="303826D7">
            <w:pPr>
              <w:pStyle w:val="26"/>
              <w:jc w:val="center"/>
              <w:rPr>
                <w:color w:val="auto"/>
                <w:sz w:val="23"/>
                <w:szCs w:val="23"/>
              </w:rPr>
            </w:pPr>
            <w:r>
              <w:rPr>
                <w:color w:val="auto"/>
                <w:sz w:val="23"/>
                <w:szCs w:val="23"/>
              </w:rPr>
              <w:t>I</w:t>
            </w:r>
          </w:p>
        </w:tc>
      </w:tr>
      <w:tr w14:paraId="1AF32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2808" w:type="dxa"/>
          </w:tcPr>
          <w:p w14:paraId="3AF92E3F">
            <w:pPr>
              <w:pStyle w:val="26"/>
              <w:jc w:val="center"/>
              <w:rPr>
                <w:color w:val="auto"/>
                <w:sz w:val="23"/>
                <w:szCs w:val="23"/>
              </w:rPr>
            </w:pPr>
            <w:r>
              <w:rPr>
                <w:color w:val="auto"/>
                <w:sz w:val="23"/>
                <w:szCs w:val="23"/>
              </w:rPr>
              <w:t>MUTUAL TRUST BANK PLC</w:t>
            </w:r>
          </w:p>
        </w:tc>
        <w:tc>
          <w:tcPr>
            <w:tcW w:w="1080" w:type="dxa"/>
          </w:tcPr>
          <w:p w14:paraId="02D5E3B4">
            <w:pPr>
              <w:pStyle w:val="26"/>
              <w:jc w:val="center"/>
              <w:rPr>
                <w:color w:val="auto"/>
                <w:sz w:val="23"/>
                <w:szCs w:val="23"/>
              </w:rPr>
            </w:pPr>
            <w:r>
              <w:rPr>
                <w:color w:val="auto"/>
                <w:sz w:val="23"/>
                <w:szCs w:val="23"/>
              </w:rPr>
              <w:t>4.16%</w:t>
            </w:r>
          </w:p>
        </w:tc>
        <w:tc>
          <w:tcPr>
            <w:tcW w:w="1260" w:type="dxa"/>
          </w:tcPr>
          <w:p w14:paraId="308358F7">
            <w:pPr>
              <w:pStyle w:val="26"/>
              <w:jc w:val="center"/>
              <w:rPr>
                <w:color w:val="auto"/>
                <w:sz w:val="23"/>
                <w:szCs w:val="23"/>
              </w:rPr>
            </w:pPr>
            <w:r>
              <w:rPr>
                <w:color w:val="auto"/>
                <w:sz w:val="23"/>
                <w:szCs w:val="23"/>
              </w:rPr>
              <w:t>46.01%</w:t>
            </w:r>
          </w:p>
        </w:tc>
        <w:tc>
          <w:tcPr>
            <w:tcW w:w="1710" w:type="dxa"/>
          </w:tcPr>
          <w:p w14:paraId="4769D290">
            <w:pPr>
              <w:pStyle w:val="26"/>
              <w:jc w:val="center"/>
              <w:rPr>
                <w:color w:val="auto"/>
                <w:sz w:val="23"/>
                <w:szCs w:val="23"/>
              </w:rPr>
            </w:pPr>
            <w:r>
              <w:rPr>
                <w:color w:val="auto"/>
                <w:sz w:val="23"/>
                <w:szCs w:val="23"/>
              </w:rPr>
              <w:t>4.33%</w:t>
            </w:r>
          </w:p>
        </w:tc>
        <w:tc>
          <w:tcPr>
            <w:tcW w:w="990" w:type="dxa"/>
          </w:tcPr>
          <w:p w14:paraId="728E590E">
            <w:pPr>
              <w:pStyle w:val="26"/>
              <w:jc w:val="center"/>
              <w:rPr>
                <w:color w:val="auto"/>
                <w:sz w:val="23"/>
                <w:szCs w:val="23"/>
              </w:rPr>
            </w:pPr>
            <w:r>
              <w:rPr>
                <w:color w:val="auto"/>
                <w:sz w:val="23"/>
                <w:szCs w:val="23"/>
              </w:rPr>
              <w:t>6.06%</w:t>
            </w:r>
          </w:p>
        </w:tc>
        <w:tc>
          <w:tcPr>
            <w:tcW w:w="1723" w:type="dxa"/>
          </w:tcPr>
          <w:p w14:paraId="6ECB01B7">
            <w:pPr>
              <w:pStyle w:val="26"/>
              <w:jc w:val="center"/>
              <w:rPr>
                <w:color w:val="auto"/>
                <w:sz w:val="23"/>
                <w:szCs w:val="23"/>
              </w:rPr>
            </w:pPr>
            <w:r>
              <w:rPr>
                <w:color w:val="auto"/>
                <w:sz w:val="23"/>
                <w:szCs w:val="23"/>
              </w:rPr>
              <w:t>N</w:t>
            </w:r>
          </w:p>
        </w:tc>
      </w:tr>
      <w:tr w14:paraId="3FF1F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2808" w:type="dxa"/>
          </w:tcPr>
          <w:p w14:paraId="7A79A804">
            <w:pPr>
              <w:pStyle w:val="26"/>
              <w:jc w:val="center"/>
              <w:rPr>
                <w:color w:val="auto"/>
                <w:sz w:val="23"/>
                <w:szCs w:val="23"/>
              </w:rPr>
            </w:pPr>
            <w:r>
              <w:rPr>
                <w:color w:val="auto"/>
                <w:sz w:val="23"/>
                <w:szCs w:val="23"/>
              </w:rPr>
              <w:t>EXIM BANK PLC</w:t>
            </w:r>
          </w:p>
        </w:tc>
        <w:tc>
          <w:tcPr>
            <w:tcW w:w="1080" w:type="dxa"/>
          </w:tcPr>
          <w:p w14:paraId="1A56141C">
            <w:pPr>
              <w:pStyle w:val="26"/>
              <w:jc w:val="center"/>
              <w:rPr>
                <w:color w:val="auto"/>
                <w:sz w:val="23"/>
                <w:szCs w:val="23"/>
              </w:rPr>
            </w:pPr>
            <w:r>
              <w:rPr>
                <w:color w:val="auto"/>
                <w:sz w:val="23"/>
                <w:szCs w:val="23"/>
              </w:rPr>
              <w:t>3.99%</w:t>
            </w:r>
          </w:p>
        </w:tc>
        <w:tc>
          <w:tcPr>
            <w:tcW w:w="1260" w:type="dxa"/>
          </w:tcPr>
          <w:p w14:paraId="6915FC73">
            <w:pPr>
              <w:pStyle w:val="26"/>
              <w:jc w:val="center"/>
              <w:rPr>
                <w:color w:val="auto"/>
                <w:sz w:val="23"/>
                <w:szCs w:val="23"/>
              </w:rPr>
            </w:pPr>
            <w:r>
              <w:rPr>
                <w:color w:val="auto"/>
                <w:sz w:val="23"/>
                <w:szCs w:val="23"/>
              </w:rPr>
              <w:t>104.35%</w:t>
            </w:r>
          </w:p>
        </w:tc>
        <w:tc>
          <w:tcPr>
            <w:tcW w:w="1710" w:type="dxa"/>
          </w:tcPr>
          <w:p w14:paraId="35E60217">
            <w:pPr>
              <w:pStyle w:val="26"/>
              <w:jc w:val="center"/>
              <w:rPr>
                <w:color w:val="auto"/>
                <w:sz w:val="23"/>
                <w:szCs w:val="23"/>
              </w:rPr>
            </w:pPr>
            <w:r>
              <w:rPr>
                <w:color w:val="auto"/>
                <w:sz w:val="23"/>
                <w:szCs w:val="23"/>
              </w:rPr>
              <w:t>3.56%</w:t>
            </w:r>
          </w:p>
        </w:tc>
        <w:tc>
          <w:tcPr>
            <w:tcW w:w="990" w:type="dxa"/>
          </w:tcPr>
          <w:p w14:paraId="2F4D1BFD">
            <w:pPr>
              <w:pStyle w:val="26"/>
              <w:jc w:val="center"/>
              <w:rPr>
                <w:color w:val="auto"/>
                <w:sz w:val="23"/>
                <w:szCs w:val="23"/>
              </w:rPr>
            </w:pPr>
            <w:r>
              <w:rPr>
                <w:color w:val="auto"/>
                <w:sz w:val="23"/>
                <w:szCs w:val="23"/>
              </w:rPr>
              <w:t>5.50%</w:t>
            </w:r>
          </w:p>
        </w:tc>
        <w:tc>
          <w:tcPr>
            <w:tcW w:w="1723" w:type="dxa"/>
          </w:tcPr>
          <w:p w14:paraId="0580C8D9">
            <w:pPr>
              <w:pStyle w:val="26"/>
              <w:jc w:val="center"/>
              <w:rPr>
                <w:color w:val="auto"/>
                <w:sz w:val="23"/>
                <w:szCs w:val="23"/>
              </w:rPr>
            </w:pPr>
            <w:r>
              <w:rPr>
                <w:color w:val="auto"/>
                <w:sz w:val="23"/>
                <w:szCs w:val="23"/>
              </w:rPr>
              <w:t>I</w:t>
            </w:r>
          </w:p>
        </w:tc>
      </w:tr>
      <w:tr w14:paraId="1C6AA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2808" w:type="dxa"/>
          </w:tcPr>
          <w:p w14:paraId="2E875F13">
            <w:pPr>
              <w:pStyle w:val="26"/>
              <w:jc w:val="center"/>
              <w:rPr>
                <w:color w:val="auto"/>
                <w:sz w:val="23"/>
                <w:szCs w:val="23"/>
              </w:rPr>
            </w:pPr>
            <w:r>
              <w:rPr>
                <w:color w:val="auto"/>
                <w:sz w:val="23"/>
                <w:szCs w:val="23"/>
              </w:rPr>
              <w:t>JAMUNA BANK PLC</w:t>
            </w:r>
          </w:p>
        </w:tc>
        <w:tc>
          <w:tcPr>
            <w:tcW w:w="1080" w:type="dxa"/>
          </w:tcPr>
          <w:p w14:paraId="02000895">
            <w:pPr>
              <w:pStyle w:val="26"/>
              <w:jc w:val="center"/>
              <w:rPr>
                <w:color w:val="auto"/>
                <w:sz w:val="23"/>
                <w:szCs w:val="23"/>
              </w:rPr>
            </w:pPr>
            <w:r>
              <w:rPr>
                <w:color w:val="auto"/>
                <w:sz w:val="23"/>
                <w:szCs w:val="23"/>
              </w:rPr>
              <w:t>2.35%</w:t>
            </w:r>
          </w:p>
        </w:tc>
        <w:tc>
          <w:tcPr>
            <w:tcW w:w="1260" w:type="dxa"/>
          </w:tcPr>
          <w:p w14:paraId="70910C78">
            <w:pPr>
              <w:pStyle w:val="26"/>
              <w:jc w:val="center"/>
              <w:rPr>
                <w:color w:val="auto"/>
                <w:sz w:val="23"/>
                <w:szCs w:val="23"/>
              </w:rPr>
            </w:pPr>
            <w:r>
              <w:rPr>
                <w:color w:val="auto"/>
                <w:sz w:val="23"/>
                <w:szCs w:val="23"/>
              </w:rPr>
              <w:t>46.56%</w:t>
            </w:r>
          </w:p>
        </w:tc>
        <w:tc>
          <w:tcPr>
            <w:tcW w:w="1710" w:type="dxa"/>
          </w:tcPr>
          <w:p w14:paraId="4C37956D">
            <w:pPr>
              <w:pStyle w:val="26"/>
              <w:jc w:val="center"/>
              <w:rPr>
                <w:color w:val="auto"/>
                <w:sz w:val="23"/>
                <w:szCs w:val="23"/>
              </w:rPr>
            </w:pPr>
            <w:r>
              <w:rPr>
                <w:color w:val="auto"/>
                <w:sz w:val="23"/>
                <w:szCs w:val="23"/>
              </w:rPr>
              <w:t>5.08%</w:t>
            </w:r>
          </w:p>
        </w:tc>
        <w:tc>
          <w:tcPr>
            <w:tcW w:w="990" w:type="dxa"/>
          </w:tcPr>
          <w:p w14:paraId="40FEF417">
            <w:pPr>
              <w:pStyle w:val="26"/>
              <w:jc w:val="center"/>
              <w:rPr>
                <w:color w:val="auto"/>
                <w:sz w:val="23"/>
                <w:szCs w:val="23"/>
              </w:rPr>
            </w:pPr>
            <w:r>
              <w:rPr>
                <w:color w:val="auto"/>
                <w:sz w:val="23"/>
                <w:szCs w:val="23"/>
              </w:rPr>
              <w:t>7.36%</w:t>
            </w:r>
          </w:p>
        </w:tc>
        <w:tc>
          <w:tcPr>
            <w:tcW w:w="1723" w:type="dxa"/>
          </w:tcPr>
          <w:p w14:paraId="4D95CCE7">
            <w:pPr>
              <w:pStyle w:val="26"/>
              <w:jc w:val="center"/>
              <w:rPr>
                <w:color w:val="auto"/>
                <w:sz w:val="23"/>
                <w:szCs w:val="23"/>
              </w:rPr>
            </w:pPr>
            <w:r>
              <w:rPr>
                <w:color w:val="auto"/>
                <w:sz w:val="23"/>
                <w:szCs w:val="23"/>
              </w:rPr>
              <w:t>N</w:t>
            </w:r>
          </w:p>
        </w:tc>
      </w:tr>
      <w:tr w14:paraId="122C2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2808" w:type="dxa"/>
          </w:tcPr>
          <w:p w14:paraId="1C496A38">
            <w:pPr>
              <w:pStyle w:val="26"/>
              <w:jc w:val="center"/>
              <w:rPr>
                <w:color w:val="auto"/>
                <w:sz w:val="23"/>
                <w:szCs w:val="23"/>
              </w:rPr>
            </w:pPr>
            <w:r>
              <w:rPr>
                <w:color w:val="auto"/>
                <w:sz w:val="23"/>
                <w:szCs w:val="23"/>
              </w:rPr>
              <w:t>AL-ARAFAH ISLAMI BANK PLC</w:t>
            </w:r>
          </w:p>
        </w:tc>
        <w:tc>
          <w:tcPr>
            <w:tcW w:w="1080" w:type="dxa"/>
          </w:tcPr>
          <w:p w14:paraId="2314924E">
            <w:pPr>
              <w:pStyle w:val="26"/>
              <w:jc w:val="center"/>
              <w:rPr>
                <w:color w:val="auto"/>
                <w:sz w:val="23"/>
                <w:szCs w:val="23"/>
              </w:rPr>
            </w:pPr>
            <w:r>
              <w:rPr>
                <w:color w:val="auto"/>
                <w:sz w:val="23"/>
                <w:szCs w:val="23"/>
              </w:rPr>
              <w:t>4.14%</w:t>
            </w:r>
          </w:p>
        </w:tc>
        <w:tc>
          <w:tcPr>
            <w:tcW w:w="1260" w:type="dxa"/>
          </w:tcPr>
          <w:p w14:paraId="316844D7">
            <w:pPr>
              <w:pStyle w:val="26"/>
              <w:jc w:val="center"/>
              <w:rPr>
                <w:color w:val="auto"/>
                <w:sz w:val="23"/>
                <w:szCs w:val="23"/>
              </w:rPr>
            </w:pPr>
            <w:r>
              <w:rPr>
                <w:color w:val="auto"/>
                <w:sz w:val="23"/>
                <w:szCs w:val="23"/>
              </w:rPr>
              <w:t>155.90%</w:t>
            </w:r>
          </w:p>
        </w:tc>
        <w:tc>
          <w:tcPr>
            <w:tcW w:w="1710" w:type="dxa"/>
          </w:tcPr>
          <w:p w14:paraId="629EFAD0">
            <w:pPr>
              <w:pStyle w:val="26"/>
              <w:jc w:val="center"/>
              <w:rPr>
                <w:color w:val="auto"/>
                <w:sz w:val="23"/>
                <w:szCs w:val="23"/>
              </w:rPr>
            </w:pPr>
            <w:r>
              <w:rPr>
                <w:color w:val="auto"/>
                <w:sz w:val="23"/>
                <w:szCs w:val="23"/>
              </w:rPr>
              <w:t>4.15%</w:t>
            </w:r>
          </w:p>
        </w:tc>
        <w:tc>
          <w:tcPr>
            <w:tcW w:w="990" w:type="dxa"/>
          </w:tcPr>
          <w:p w14:paraId="08369696">
            <w:pPr>
              <w:pStyle w:val="26"/>
              <w:jc w:val="center"/>
              <w:rPr>
                <w:color w:val="auto"/>
                <w:sz w:val="23"/>
                <w:szCs w:val="23"/>
              </w:rPr>
            </w:pPr>
            <w:r>
              <w:rPr>
                <w:color w:val="auto"/>
                <w:sz w:val="23"/>
                <w:szCs w:val="23"/>
              </w:rPr>
              <w:t>6.48%</w:t>
            </w:r>
          </w:p>
        </w:tc>
        <w:tc>
          <w:tcPr>
            <w:tcW w:w="1723" w:type="dxa"/>
          </w:tcPr>
          <w:p w14:paraId="420569AE">
            <w:pPr>
              <w:pStyle w:val="26"/>
              <w:jc w:val="center"/>
              <w:rPr>
                <w:color w:val="auto"/>
                <w:sz w:val="23"/>
                <w:szCs w:val="23"/>
              </w:rPr>
            </w:pPr>
          </w:p>
        </w:tc>
      </w:tr>
      <w:tr w14:paraId="1BCFC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2808" w:type="dxa"/>
          </w:tcPr>
          <w:p w14:paraId="043798A8">
            <w:pPr>
              <w:pStyle w:val="26"/>
              <w:jc w:val="center"/>
              <w:rPr>
                <w:color w:val="auto"/>
                <w:sz w:val="23"/>
                <w:szCs w:val="23"/>
              </w:rPr>
            </w:pPr>
            <w:r>
              <w:rPr>
                <w:color w:val="auto"/>
              </w:rPr>
              <w:t>NCC BANK PLC</w:t>
            </w:r>
          </w:p>
        </w:tc>
        <w:tc>
          <w:tcPr>
            <w:tcW w:w="1080" w:type="dxa"/>
          </w:tcPr>
          <w:p w14:paraId="551550CC">
            <w:pPr>
              <w:pStyle w:val="26"/>
              <w:jc w:val="center"/>
              <w:rPr>
                <w:color w:val="auto"/>
                <w:sz w:val="23"/>
                <w:szCs w:val="23"/>
              </w:rPr>
            </w:pPr>
            <w:r>
              <w:rPr>
                <w:color w:val="auto"/>
                <w:sz w:val="23"/>
                <w:szCs w:val="23"/>
              </w:rPr>
              <w:t>4.22%</w:t>
            </w:r>
          </w:p>
        </w:tc>
        <w:tc>
          <w:tcPr>
            <w:tcW w:w="1260" w:type="dxa"/>
          </w:tcPr>
          <w:p w14:paraId="57DB8AEB">
            <w:pPr>
              <w:pStyle w:val="26"/>
              <w:jc w:val="center"/>
              <w:rPr>
                <w:color w:val="auto"/>
                <w:sz w:val="23"/>
                <w:szCs w:val="23"/>
              </w:rPr>
            </w:pPr>
            <w:r>
              <w:rPr>
                <w:color w:val="auto"/>
                <w:sz w:val="23"/>
                <w:szCs w:val="23"/>
              </w:rPr>
              <w:t>28.75%</w:t>
            </w:r>
          </w:p>
        </w:tc>
        <w:tc>
          <w:tcPr>
            <w:tcW w:w="1710" w:type="dxa"/>
          </w:tcPr>
          <w:p w14:paraId="096A0470">
            <w:pPr>
              <w:pStyle w:val="26"/>
              <w:jc w:val="center"/>
              <w:rPr>
                <w:color w:val="auto"/>
                <w:sz w:val="23"/>
                <w:szCs w:val="23"/>
              </w:rPr>
            </w:pPr>
            <w:r>
              <w:rPr>
                <w:color w:val="auto"/>
                <w:sz w:val="23"/>
                <w:szCs w:val="23"/>
              </w:rPr>
              <w:t>4.84%</w:t>
            </w:r>
          </w:p>
        </w:tc>
        <w:tc>
          <w:tcPr>
            <w:tcW w:w="990" w:type="dxa"/>
          </w:tcPr>
          <w:p w14:paraId="5A906724">
            <w:pPr>
              <w:pStyle w:val="26"/>
              <w:jc w:val="center"/>
              <w:rPr>
                <w:color w:val="auto"/>
                <w:sz w:val="23"/>
                <w:szCs w:val="23"/>
              </w:rPr>
            </w:pPr>
            <w:r>
              <w:rPr>
                <w:color w:val="auto"/>
                <w:sz w:val="23"/>
                <w:szCs w:val="23"/>
              </w:rPr>
              <w:t>7.76%</w:t>
            </w:r>
          </w:p>
        </w:tc>
        <w:tc>
          <w:tcPr>
            <w:tcW w:w="1723" w:type="dxa"/>
          </w:tcPr>
          <w:p w14:paraId="094C1B1A">
            <w:pPr>
              <w:pStyle w:val="26"/>
              <w:jc w:val="center"/>
              <w:rPr>
                <w:color w:val="auto"/>
                <w:sz w:val="23"/>
                <w:szCs w:val="23"/>
              </w:rPr>
            </w:pPr>
            <w:r>
              <w:rPr>
                <w:color w:val="auto"/>
                <w:sz w:val="23"/>
                <w:szCs w:val="23"/>
              </w:rPr>
              <w:t>N</w:t>
            </w:r>
          </w:p>
        </w:tc>
      </w:tr>
      <w:tr w14:paraId="645ED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2808" w:type="dxa"/>
          </w:tcPr>
          <w:p w14:paraId="4262DB88">
            <w:pPr>
              <w:pStyle w:val="26"/>
              <w:jc w:val="center"/>
              <w:rPr>
                <w:color w:val="auto"/>
                <w:sz w:val="23"/>
                <w:szCs w:val="23"/>
              </w:rPr>
            </w:pPr>
            <w:r>
              <w:rPr>
                <w:color w:val="auto"/>
              </w:rPr>
              <w:t>ICB ISLAMI BANK PLC</w:t>
            </w:r>
          </w:p>
        </w:tc>
        <w:tc>
          <w:tcPr>
            <w:tcW w:w="1080" w:type="dxa"/>
          </w:tcPr>
          <w:p w14:paraId="18729F08">
            <w:pPr>
              <w:pStyle w:val="26"/>
              <w:jc w:val="center"/>
              <w:rPr>
                <w:color w:val="auto"/>
                <w:sz w:val="23"/>
                <w:szCs w:val="23"/>
              </w:rPr>
            </w:pPr>
            <w:r>
              <w:rPr>
                <w:color w:val="auto"/>
                <w:sz w:val="23"/>
                <w:szCs w:val="23"/>
              </w:rPr>
              <w:t>4.44%</w:t>
            </w:r>
          </w:p>
        </w:tc>
        <w:tc>
          <w:tcPr>
            <w:tcW w:w="1260" w:type="dxa"/>
          </w:tcPr>
          <w:p w14:paraId="616BF861">
            <w:pPr>
              <w:pStyle w:val="26"/>
              <w:jc w:val="center"/>
              <w:rPr>
                <w:color w:val="auto"/>
                <w:sz w:val="23"/>
                <w:szCs w:val="23"/>
              </w:rPr>
            </w:pPr>
            <w:r>
              <w:rPr>
                <w:color w:val="auto"/>
                <w:sz w:val="23"/>
                <w:szCs w:val="23"/>
              </w:rPr>
              <w:t>150.63%</w:t>
            </w:r>
          </w:p>
        </w:tc>
        <w:tc>
          <w:tcPr>
            <w:tcW w:w="1710" w:type="dxa"/>
          </w:tcPr>
          <w:p w14:paraId="362C4D49">
            <w:pPr>
              <w:pStyle w:val="26"/>
              <w:jc w:val="center"/>
              <w:rPr>
                <w:color w:val="auto"/>
                <w:sz w:val="23"/>
                <w:szCs w:val="23"/>
              </w:rPr>
            </w:pPr>
            <w:r>
              <w:rPr>
                <w:color w:val="auto"/>
                <w:sz w:val="23"/>
                <w:szCs w:val="23"/>
              </w:rPr>
              <w:t>7.41%</w:t>
            </w:r>
          </w:p>
        </w:tc>
        <w:tc>
          <w:tcPr>
            <w:tcW w:w="990" w:type="dxa"/>
          </w:tcPr>
          <w:p w14:paraId="3976289B">
            <w:pPr>
              <w:pStyle w:val="26"/>
              <w:jc w:val="center"/>
              <w:rPr>
                <w:color w:val="auto"/>
                <w:sz w:val="23"/>
                <w:szCs w:val="23"/>
              </w:rPr>
            </w:pPr>
            <w:r>
              <w:rPr>
                <w:color w:val="auto"/>
                <w:sz w:val="23"/>
                <w:szCs w:val="23"/>
              </w:rPr>
              <w:t>5.13%</w:t>
            </w:r>
          </w:p>
        </w:tc>
        <w:tc>
          <w:tcPr>
            <w:tcW w:w="1723" w:type="dxa"/>
          </w:tcPr>
          <w:p w14:paraId="5E28D750">
            <w:pPr>
              <w:pStyle w:val="26"/>
              <w:keepNext/>
              <w:jc w:val="center"/>
              <w:rPr>
                <w:color w:val="auto"/>
                <w:sz w:val="23"/>
                <w:szCs w:val="23"/>
              </w:rPr>
            </w:pPr>
            <w:r>
              <w:rPr>
                <w:color w:val="auto"/>
                <w:sz w:val="23"/>
                <w:szCs w:val="23"/>
              </w:rPr>
              <w:t>I</w:t>
            </w:r>
          </w:p>
        </w:tc>
      </w:tr>
    </w:tbl>
    <w:p w14:paraId="469BF5AD">
      <w:pPr>
        <w:pStyle w:val="11"/>
      </w:pPr>
      <w:bookmarkStart w:id="104" w:name="_Toc223267054"/>
      <w:bookmarkStart w:id="105" w:name="_Toc223265618"/>
      <w:r>
        <w:t xml:space="preserve">Table </w:t>
      </w:r>
      <w:r>
        <w:fldChar w:fldCharType="begin"/>
      </w:r>
      <w:r>
        <w:instrText xml:space="preserve"> SEQ Table \* ARABIC </w:instrText>
      </w:r>
      <w:r>
        <w:fldChar w:fldCharType="separate"/>
      </w:r>
      <w:r>
        <w:t>9</w:t>
      </w:r>
      <w:r>
        <w:fldChar w:fldCharType="end"/>
      </w:r>
      <w:r>
        <w:t>: Rations of the entire selected bank</w:t>
      </w:r>
      <w:bookmarkEnd w:id="104"/>
      <w:bookmarkEnd w:id="105"/>
    </w:p>
    <w:p w14:paraId="1709032A">
      <w:pPr>
        <w:pStyle w:val="16"/>
        <w:jc w:val="both"/>
      </w:pPr>
    </w:p>
    <w:sectPr>
      <w:footerReference r:id="rId6" w:type="default"/>
      <w:pgSz w:w="12240" w:h="15840"/>
      <w:pgMar w:top="1440" w:right="1440" w:bottom="1440" w:left="1440" w:header="720" w:footer="720" w:gutter="0"/>
      <w:pgNumType w:start="1"/>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956601"/>
      <w:docPartObj>
        <w:docPartGallery w:val="AutoText"/>
      </w:docPartObj>
    </w:sdtPr>
    <w:sdtContent>
      <w:p w14:paraId="444F8599">
        <w:pPr>
          <w:pStyle w:val="13"/>
          <w:jc w:val="right"/>
        </w:pPr>
        <w:r>
          <w:fldChar w:fldCharType="begin"/>
        </w:r>
        <w:r>
          <w:instrText xml:space="preserve"> PAGE   \* MERGEFORMAT </w:instrText>
        </w:r>
        <w:r>
          <w:fldChar w:fldCharType="separate"/>
        </w:r>
        <w:r>
          <w:t>viii</w:t>
        </w:r>
        <w:r>
          <w:fldChar w:fldCharType="end"/>
        </w:r>
      </w:p>
    </w:sdtContent>
  </w:sdt>
  <w:p w14:paraId="1D4CB8E7">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B2134">
    <w:pPr>
      <w:pStyle w:val="13"/>
      <w:jc w:val="right"/>
    </w:pPr>
    <w:r>
      <w:fldChar w:fldCharType="begin"/>
    </w:r>
    <w:r>
      <w:instrText xml:space="preserve"> PAGE   \* MERGEFORMAT </w:instrText>
    </w:r>
    <w:r>
      <w:fldChar w:fldCharType="separate"/>
    </w:r>
    <w:r>
      <w:t>1</w:t>
    </w:r>
    <w:r>
      <w:fldChar w:fldCharType="end"/>
    </w:r>
  </w:p>
  <w:p w14:paraId="2809AB17">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781917"/>
    <w:multiLevelType w:val="multilevel"/>
    <w:tmpl w:val="0878191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14064C84"/>
    <w:multiLevelType w:val="multilevel"/>
    <w:tmpl w:val="14064C84"/>
    <w:lvl w:ilvl="0" w:tentative="0">
      <w:start w:val="1"/>
      <w:numFmt w:val="bullet"/>
      <w:lvlText w:val=""/>
      <w:lvlJc w:val="left"/>
      <w:pPr>
        <w:ind w:left="360" w:hanging="360"/>
      </w:pPr>
      <w:rPr>
        <w:rFonts w:hint="default" w:ascii="Wingdings" w:hAnsi="Wingdings"/>
      </w:rPr>
    </w:lvl>
    <w:lvl w:ilvl="1" w:tentative="0">
      <w:start w:val="1"/>
      <w:numFmt w:val="bullet"/>
      <w:lvlText w:val=""/>
      <w:lvlJc w:val="left"/>
      <w:pPr>
        <w:ind w:left="720" w:hanging="360"/>
      </w:pPr>
      <w:rPr>
        <w:rFonts w:hint="default" w:ascii="Wingdings" w:hAnsi="Wingdings"/>
      </w:rPr>
    </w:lvl>
    <w:lvl w:ilvl="2" w:tentative="0">
      <w:start w:val="1"/>
      <w:numFmt w:val="bullet"/>
      <w:lvlText w:val=""/>
      <w:lvlJc w:val="left"/>
      <w:pPr>
        <w:ind w:left="1080" w:hanging="360"/>
      </w:pPr>
      <w:rPr>
        <w:rFonts w:hint="default" w:ascii="Wingdings" w:hAnsi="Wingdings"/>
      </w:rPr>
    </w:lvl>
    <w:lvl w:ilvl="3" w:tentative="0">
      <w:start w:val="1"/>
      <w:numFmt w:val="bullet"/>
      <w:lvlText w:val=""/>
      <w:lvlJc w:val="left"/>
      <w:pPr>
        <w:ind w:left="1440" w:hanging="360"/>
      </w:pPr>
      <w:rPr>
        <w:rFonts w:hint="default" w:ascii="Symbol" w:hAnsi="Symbol"/>
      </w:rPr>
    </w:lvl>
    <w:lvl w:ilvl="4" w:tentative="0">
      <w:start w:val="1"/>
      <w:numFmt w:val="bullet"/>
      <w:lvlText w:val=""/>
      <w:lvlJc w:val="left"/>
      <w:pPr>
        <w:ind w:left="1800" w:hanging="360"/>
      </w:pPr>
      <w:rPr>
        <w:rFonts w:hint="default" w:ascii="Symbol" w:hAnsi="Symbol"/>
      </w:rPr>
    </w:lvl>
    <w:lvl w:ilvl="5" w:tentative="0">
      <w:start w:val="1"/>
      <w:numFmt w:val="bullet"/>
      <w:lvlText w:val=""/>
      <w:lvlJc w:val="left"/>
      <w:pPr>
        <w:ind w:left="2160" w:hanging="360"/>
      </w:pPr>
      <w:rPr>
        <w:rFonts w:hint="default" w:ascii="Wingdings" w:hAnsi="Wingdings"/>
      </w:rPr>
    </w:lvl>
    <w:lvl w:ilvl="6" w:tentative="0">
      <w:start w:val="1"/>
      <w:numFmt w:val="bullet"/>
      <w:lvlText w:val=""/>
      <w:lvlJc w:val="left"/>
      <w:pPr>
        <w:ind w:left="2520" w:hanging="360"/>
      </w:pPr>
      <w:rPr>
        <w:rFonts w:hint="default" w:ascii="Wingdings" w:hAnsi="Wingdings"/>
      </w:rPr>
    </w:lvl>
    <w:lvl w:ilvl="7" w:tentative="0">
      <w:start w:val="1"/>
      <w:numFmt w:val="bullet"/>
      <w:lvlText w:val=""/>
      <w:lvlJc w:val="left"/>
      <w:pPr>
        <w:ind w:left="2880" w:hanging="360"/>
      </w:pPr>
      <w:rPr>
        <w:rFonts w:hint="default" w:ascii="Symbol" w:hAnsi="Symbol"/>
      </w:rPr>
    </w:lvl>
    <w:lvl w:ilvl="8" w:tentative="0">
      <w:start w:val="1"/>
      <w:numFmt w:val="bullet"/>
      <w:lvlText w:val=""/>
      <w:lvlJc w:val="left"/>
      <w:pPr>
        <w:ind w:left="3240" w:hanging="360"/>
      </w:pPr>
      <w:rPr>
        <w:rFonts w:hint="default" w:ascii="Symbol" w:hAnsi="Symbol"/>
      </w:rPr>
    </w:lvl>
  </w:abstractNum>
  <w:abstractNum w:abstractNumId="2">
    <w:nsid w:val="25001811"/>
    <w:multiLevelType w:val="multilevel"/>
    <w:tmpl w:val="2500181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267D4072"/>
    <w:multiLevelType w:val="multilevel"/>
    <w:tmpl w:val="267D407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2BE11223"/>
    <w:multiLevelType w:val="multilevel"/>
    <w:tmpl w:val="2BE1122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3924621F"/>
    <w:multiLevelType w:val="multilevel"/>
    <w:tmpl w:val="3924621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3B643E54"/>
    <w:multiLevelType w:val="multilevel"/>
    <w:tmpl w:val="3B643E5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4500620A"/>
    <w:multiLevelType w:val="multilevel"/>
    <w:tmpl w:val="4500620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48F942A4"/>
    <w:multiLevelType w:val="multilevel"/>
    <w:tmpl w:val="48F942A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6E4D589D"/>
    <w:multiLevelType w:val="multilevel"/>
    <w:tmpl w:val="6E4D589D"/>
    <w:lvl w:ilvl="0" w:tentative="0">
      <w:start w:val="1"/>
      <w:numFmt w:val="bullet"/>
      <w:lvlText w:val=""/>
      <w:lvlJc w:val="left"/>
      <w:pPr>
        <w:ind w:left="360" w:hanging="360"/>
      </w:pPr>
      <w:rPr>
        <w:rFonts w:hint="default" w:ascii="Wingdings" w:hAnsi="Wingdings"/>
      </w:rPr>
    </w:lvl>
    <w:lvl w:ilvl="1" w:tentative="0">
      <w:start w:val="1"/>
      <w:numFmt w:val="bullet"/>
      <w:lvlText w:val=""/>
      <w:lvlJc w:val="left"/>
      <w:pPr>
        <w:ind w:left="720" w:hanging="360"/>
      </w:pPr>
      <w:rPr>
        <w:rFonts w:hint="default" w:ascii="Wingdings" w:hAnsi="Wingdings"/>
      </w:rPr>
    </w:lvl>
    <w:lvl w:ilvl="2" w:tentative="0">
      <w:start w:val="1"/>
      <w:numFmt w:val="bullet"/>
      <w:lvlText w:val=""/>
      <w:lvlJc w:val="left"/>
      <w:pPr>
        <w:ind w:left="1080" w:hanging="360"/>
      </w:pPr>
      <w:rPr>
        <w:rFonts w:hint="default" w:ascii="Wingdings" w:hAnsi="Wingdings"/>
      </w:rPr>
    </w:lvl>
    <w:lvl w:ilvl="3" w:tentative="0">
      <w:start w:val="1"/>
      <w:numFmt w:val="bullet"/>
      <w:lvlText w:val=""/>
      <w:lvlJc w:val="left"/>
      <w:pPr>
        <w:ind w:left="1440" w:hanging="360"/>
      </w:pPr>
      <w:rPr>
        <w:rFonts w:hint="default" w:ascii="Symbol" w:hAnsi="Symbol"/>
      </w:rPr>
    </w:lvl>
    <w:lvl w:ilvl="4" w:tentative="0">
      <w:start w:val="1"/>
      <w:numFmt w:val="bullet"/>
      <w:lvlText w:val=""/>
      <w:lvlJc w:val="left"/>
      <w:pPr>
        <w:ind w:left="1800" w:hanging="360"/>
      </w:pPr>
      <w:rPr>
        <w:rFonts w:hint="default" w:ascii="Symbol" w:hAnsi="Symbol"/>
      </w:rPr>
    </w:lvl>
    <w:lvl w:ilvl="5" w:tentative="0">
      <w:start w:val="1"/>
      <w:numFmt w:val="bullet"/>
      <w:lvlText w:val=""/>
      <w:lvlJc w:val="left"/>
      <w:pPr>
        <w:ind w:left="2160" w:hanging="360"/>
      </w:pPr>
      <w:rPr>
        <w:rFonts w:hint="default" w:ascii="Wingdings" w:hAnsi="Wingdings"/>
      </w:rPr>
    </w:lvl>
    <w:lvl w:ilvl="6" w:tentative="0">
      <w:start w:val="1"/>
      <w:numFmt w:val="bullet"/>
      <w:lvlText w:val=""/>
      <w:lvlJc w:val="left"/>
      <w:pPr>
        <w:ind w:left="2520" w:hanging="360"/>
      </w:pPr>
      <w:rPr>
        <w:rFonts w:hint="default" w:ascii="Wingdings" w:hAnsi="Wingdings"/>
      </w:rPr>
    </w:lvl>
    <w:lvl w:ilvl="7" w:tentative="0">
      <w:start w:val="1"/>
      <w:numFmt w:val="bullet"/>
      <w:lvlText w:val=""/>
      <w:lvlJc w:val="left"/>
      <w:pPr>
        <w:ind w:left="2880" w:hanging="360"/>
      </w:pPr>
      <w:rPr>
        <w:rFonts w:hint="default" w:ascii="Symbol" w:hAnsi="Symbol"/>
      </w:rPr>
    </w:lvl>
    <w:lvl w:ilvl="8" w:tentative="0">
      <w:start w:val="1"/>
      <w:numFmt w:val="bullet"/>
      <w:lvlText w:val=""/>
      <w:lvlJc w:val="left"/>
      <w:pPr>
        <w:ind w:left="3240" w:hanging="360"/>
      </w:pPr>
      <w:rPr>
        <w:rFonts w:hint="default" w:ascii="Symbol" w:hAnsi="Symbol"/>
      </w:rPr>
    </w:lvl>
  </w:abstractNum>
  <w:abstractNum w:abstractNumId="10">
    <w:nsid w:val="6ED122EC"/>
    <w:multiLevelType w:val="multilevel"/>
    <w:tmpl w:val="6ED122E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71D546E8"/>
    <w:multiLevelType w:val="multilevel"/>
    <w:tmpl w:val="71D546E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
    <w:nsid w:val="71E957C6"/>
    <w:multiLevelType w:val="multilevel"/>
    <w:tmpl w:val="71E957C6"/>
    <w:lvl w:ilvl="0" w:tentative="0">
      <w:start w:val="1"/>
      <w:numFmt w:val="bullet"/>
      <w:pStyle w:val="45"/>
      <w:lvlText w:val=""/>
      <w:lvlJc w:val="left"/>
      <w:pPr>
        <w:ind w:left="360" w:hanging="360"/>
      </w:pPr>
      <w:rPr>
        <w:rFonts w:hint="default" w:ascii="Symbol" w:hAnsi="Symbol"/>
      </w:rPr>
    </w:lvl>
    <w:lvl w:ilvl="1" w:tentative="0">
      <w:start w:val="1"/>
      <w:numFmt w:val="bullet"/>
      <w:lvlText w:val=""/>
      <w:lvlJc w:val="left"/>
      <w:pPr>
        <w:ind w:left="720" w:hanging="360"/>
      </w:pPr>
      <w:rPr>
        <w:rFonts w:hint="default" w:ascii="Wingdings" w:hAnsi="Wingdings"/>
      </w:rPr>
    </w:lvl>
    <w:lvl w:ilvl="2" w:tentative="0">
      <w:start w:val="1"/>
      <w:numFmt w:val="bullet"/>
      <w:lvlText w:val=""/>
      <w:lvlJc w:val="left"/>
      <w:pPr>
        <w:ind w:left="1080" w:hanging="360"/>
      </w:pPr>
      <w:rPr>
        <w:rFonts w:hint="default" w:ascii="Wingdings" w:hAnsi="Wingdings"/>
      </w:rPr>
    </w:lvl>
    <w:lvl w:ilvl="3" w:tentative="0">
      <w:start w:val="1"/>
      <w:numFmt w:val="bullet"/>
      <w:lvlText w:val=""/>
      <w:lvlJc w:val="left"/>
      <w:pPr>
        <w:ind w:left="1440" w:hanging="360"/>
      </w:pPr>
      <w:rPr>
        <w:rFonts w:hint="default" w:ascii="Symbol" w:hAnsi="Symbol"/>
      </w:rPr>
    </w:lvl>
    <w:lvl w:ilvl="4" w:tentative="0">
      <w:start w:val="1"/>
      <w:numFmt w:val="bullet"/>
      <w:lvlText w:val=""/>
      <w:lvlJc w:val="left"/>
      <w:pPr>
        <w:ind w:left="1800" w:hanging="360"/>
      </w:pPr>
      <w:rPr>
        <w:rFonts w:hint="default" w:ascii="Symbol" w:hAnsi="Symbol"/>
      </w:rPr>
    </w:lvl>
    <w:lvl w:ilvl="5" w:tentative="0">
      <w:start w:val="1"/>
      <w:numFmt w:val="bullet"/>
      <w:lvlText w:val=""/>
      <w:lvlJc w:val="left"/>
      <w:pPr>
        <w:ind w:left="2160" w:hanging="360"/>
      </w:pPr>
      <w:rPr>
        <w:rFonts w:hint="default" w:ascii="Wingdings" w:hAnsi="Wingdings"/>
      </w:rPr>
    </w:lvl>
    <w:lvl w:ilvl="6" w:tentative="0">
      <w:start w:val="1"/>
      <w:numFmt w:val="bullet"/>
      <w:lvlText w:val=""/>
      <w:lvlJc w:val="left"/>
      <w:pPr>
        <w:ind w:left="2520" w:hanging="360"/>
      </w:pPr>
      <w:rPr>
        <w:rFonts w:hint="default" w:ascii="Wingdings" w:hAnsi="Wingdings"/>
      </w:rPr>
    </w:lvl>
    <w:lvl w:ilvl="7" w:tentative="0">
      <w:start w:val="1"/>
      <w:numFmt w:val="bullet"/>
      <w:lvlText w:val=""/>
      <w:lvlJc w:val="left"/>
      <w:pPr>
        <w:ind w:left="2880" w:hanging="360"/>
      </w:pPr>
      <w:rPr>
        <w:rFonts w:hint="default" w:ascii="Symbol" w:hAnsi="Symbol"/>
      </w:rPr>
    </w:lvl>
    <w:lvl w:ilvl="8" w:tentative="0">
      <w:start w:val="1"/>
      <w:numFmt w:val="bullet"/>
      <w:lvlText w:val=""/>
      <w:lvlJc w:val="left"/>
      <w:pPr>
        <w:ind w:left="3240" w:hanging="360"/>
      </w:pPr>
      <w:rPr>
        <w:rFonts w:hint="default" w:ascii="Symbol" w:hAnsi="Symbol"/>
      </w:rPr>
    </w:lvl>
  </w:abstractNum>
  <w:num w:numId="1">
    <w:abstractNumId w:val="12"/>
  </w:num>
  <w:num w:numId="2">
    <w:abstractNumId w:val="8"/>
  </w:num>
  <w:num w:numId="3">
    <w:abstractNumId w:val="0"/>
  </w:num>
  <w:num w:numId="4">
    <w:abstractNumId w:val="3"/>
  </w:num>
  <w:num w:numId="5">
    <w:abstractNumId w:val="6"/>
  </w:num>
  <w:num w:numId="6">
    <w:abstractNumId w:val="4"/>
  </w:num>
  <w:num w:numId="7">
    <w:abstractNumId w:val="7"/>
  </w:num>
  <w:num w:numId="8">
    <w:abstractNumId w:val="10"/>
  </w:num>
  <w:num w:numId="9">
    <w:abstractNumId w:val="11"/>
  </w:num>
  <w:num w:numId="10">
    <w:abstractNumId w:val="2"/>
  </w:num>
  <w:num w:numId="11">
    <w:abstractNumId w:val="1"/>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1F0"/>
    <w:rsid w:val="00012341"/>
    <w:rsid w:val="000954C5"/>
    <w:rsid w:val="000C02B3"/>
    <w:rsid w:val="000C5F67"/>
    <w:rsid w:val="000C7320"/>
    <w:rsid w:val="000D7779"/>
    <w:rsid w:val="00120C27"/>
    <w:rsid w:val="00123B40"/>
    <w:rsid w:val="001300FF"/>
    <w:rsid w:val="001339D3"/>
    <w:rsid w:val="001459D8"/>
    <w:rsid w:val="001472BE"/>
    <w:rsid w:val="001A0728"/>
    <w:rsid w:val="001C3183"/>
    <w:rsid w:val="001F4D07"/>
    <w:rsid w:val="00205C59"/>
    <w:rsid w:val="00257836"/>
    <w:rsid w:val="002C131B"/>
    <w:rsid w:val="002E6BDC"/>
    <w:rsid w:val="003506FA"/>
    <w:rsid w:val="00364DA0"/>
    <w:rsid w:val="0037586D"/>
    <w:rsid w:val="00385465"/>
    <w:rsid w:val="003A57A6"/>
    <w:rsid w:val="003B7977"/>
    <w:rsid w:val="003D02F7"/>
    <w:rsid w:val="003D06A1"/>
    <w:rsid w:val="003F2D10"/>
    <w:rsid w:val="00443413"/>
    <w:rsid w:val="00444244"/>
    <w:rsid w:val="004A1146"/>
    <w:rsid w:val="004A2CE3"/>
    <w:rsid w:val="004A4998"/>
    <w:rsid w:val="004A6A98"/>
    <w:rsid w:val="004B71F0"/>
    <w:rsid w:val="004E053D"/>
    <w:rsid w:val="004F66F0"/>
    <w:rsid w:val="005720E3"/>
    <w:rsid w:val="00573427"/>
    <w:rsid w:val="005A41AC"/>
    <w:rsid w:val="005B51D6"/>
    <w:rsid w:val="005E7FD3"/>
    <w:rsid w:val="006018D8"/>
    <w:rsid w:val="00601959"/>
    <w:rsid w:val="00623830"/>
    <w:rsid w:val="006A3EB1"/>
    <w:rsid w:val="006B3FC6"/>
    <w:rsid w:val="006C6822"/>
    <w:rsid w:val="006E76BB"/>
    <w:rsid w:val="006F649A"/>
    <w:rsid w:val="0070248C"/>
    <w:rsid w:val="00717877"/>
    <w:rsid w:val="0072132D"/>
    <w:rsid w:val="007227A6"/>
    <w:rsid w:val="00724160"/>
    <w:rsid w:val="007335EF"/>
    <w:rsid w:val="00736E05"/>
    <w:rsid w:val="007452EF"/>
    <w:rsid w:val="00783534"/>
    <w:rsid w:val="007C35D6"/>
    <w:rsid w:val="007D33B1"/>
    <w:rsid w:val="00853CBB"/>
    <w:rsid w:val="008A69EB"/>
    <w:rsid w:val="008D79C6"/>
    <w:rsid w:val="008E22A5"/>
    <w:rsid w:val="008E2E0C"/>
    <w:rsid w:val="00915BAF"/>
    <w:rsid w:val="009174BE"/>
    <w:rsid w:val="0092011B"/>
    <w:rsid w:val="00935E39"/>
    <w:rsid w:val="00965EBC"/>
    <w:rsid w:val="009A3923"/>
    <w:rsid w:val="009A75A2"/>
    <w:rsid w:val="009B5C5A"/>
    <w:rsid w:val="009C641F"/>
    <w:rsid w:val="009F289D"/>
    <w:rsid w:val="00A64789"/>
    <w:rsid w:val="00A70399"/>
    <w:rsid w:val="00A812D4"/>
    <w:rsid w:val="00A82A89"/>
    <w:rsid w:val="00A865FC"/>
    <w:rsid w:val="00AB643C"/>
    <w:rsid w:val="00AC224D"/>
    <w:rsid w:val="00B1733E"/>
    <w:rsid w:val="00B52879"/>
    <w:rsid w:val="00B553BC"/>
    <w:rsid w:val="00B84CF0"/>
    <w:rsid w:val="00B929CA"/>
    <w:rsid w:val="00BB5F22"/>
    <w:rsid w:val="00BC4E2E"/>
    <w:rsid w:val="00BC66E1"/>
    <w:rsid w:val="00BF49C0"/>
    <w:rsid w:val="00C532F4"/>
    <w:rsid w:val="00CA4256"/>
    <w:rsid w:val="00CC0E49"/>
    <w:rsid w:val="00D149E0"/>
    <w:rsid w:val="00D2370C"/>
    <w:rsid w:val="00D33F51"/>
    <w:rsid w:val="00D624A0"/>
    <w:rsid w:val="00D77143"/>
    <w:rsid w:val="00D81388"/>
    <w:rsid w:val="00DE115D"/>
    <w:rsid w:val="00E121E5"/>
    <w:rsid w:val="00E275C2"/>
    <w:rsid w:val="00EA13AD"/>
    <w:rsid w:val="00EB28CB"/>
    <w:rsid w:val="00ED271C"/>
    <w:rsid w:val="00ED2ABA"/>
    <w:rsid w:val="00EE7C79"/>
    <w:rsid w:val="00EF6ACC"/>
    <w:rsid w:val="00F01A32"/>
    <w:rsid w:val="00F07F93"/>
    <w:rsid w:val="00F33E10"/>
    <w:rsid w:val="00FA5022"/>
    <w:rsid w:val="00FA6BA3"/>
    <w:rsid w:val="00FB28FF"/>
    <w:rsid w:val="00FD6A32"/>
    <w:rsid w:val="00FD6B83"/>
    <w:rsid w:val="00FF2AA8"/>
    <w:rsid w:val="3F1C6698"/>
    <w:rsid w:val="749936A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25"/>
    <w:autoRedefine/>
    <w:qFormat/>
    <w:uiPriority w:val="9"/>
    <w:pPr>
      <w:keepNext/>
      <w:keepLines/>
      <w:spacing w:before="480" w:after="0"/>
      <w:outlineLvl w:val="0"/>
    </w:pPr>
    <w:rPr>
      <w:rFonts w:ascii="Times New Roman" w:hAnsi="Times New Roman" w:cs="Times New Roman" w:eastAsiaTheme="majorEastAsia"/>
      <w:bCs/>
      <w:color w:val="366091" w:themeColor="accent1" w:themeShade="BF"/>
      <w:sz w:val="44"/>
      <w:szCs w:val="28"/>
      <w:u w:val="single"/>
    </w:rPr>
  </w:style>
  <w:style w:type="paragraph" w:styleId="3">
    <w:name w:val="heading 2"/>
    <w:basedOn w:val="1"/>
    <w:next w:val="1"/>
    <w:link w:val="28"/>
    <w:autoRedefine/>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u w:val="single"/>
    </w:rPr>
  </w:style>
  <w:style w:type="paragraph" w:styleId="4">
    <w:name w:val="heading 3"/>
    <w:basedOn w:val="1"/>
    <w:next w:val="1"/>
    <w:link w:val="29"/>
    <w:unhideWhenUsed/>
    <w:qFormat/>
    <w:uiPriority w:val="9"/>
    <w:pPr>
      <w:keepNext/>
      <w:keepLines/>
      <w:spacing w:before="200" w:after="0"/>
      <w:outlineLvl w:val="2"/>
    </w:pPr>
    <w:rPr>
      <w:rFonts w:asciiTheme="majorHAnsi" w:hAnsiTheme="majorHAnsi" w:eastAsiaTheme="majorEastAsia" w:cstheme="majorBidi"/>
      <w:b/>
      <w:bCs/>
      <w:color w:val="4F81BD" w:themeColor="accent1"/>
    </w:rPr>
  </w:style>
  <w:style w:type="paragraph" w:styleId="5">
    <w:name w:val="heading 4"/>
    <w:basedOn w:val="1"/>
    <w:next w:val="1"/>
    <w:link w:val="30"/>
    <w:unhideWhenUsed/>
    <w:qFormat/>
    <w:uiPriority w:val="9"/>
    <w:pPr>
      <w:keepNext/>
      <w:keepLines/>
      <w:spacing w:before="200" w:after="0"/>
      <w:outlineLvl w:val="3"/>
    </w:pPr>
    <w:rPr>
      <w:rFonts w:asciiTheme="majorHAnsi" w:hAnsiTheme="majorHAnsi" w:eastAsiaTheme="majorEastAsia" w:cstheme="majorBidi"/>
      <w:b/>
      <w:bCs/>
      <w:i/>
      <w:iCs/>
      <w:color w:val="4F81BD" w:themeColor="accent1"/>
    </w:rPr>
  </w:style>
  <w:style w:type="paragraph" w:styleId="6">
    <w:name w:val="heading 5"/>
    <w:basedOn w:val="1"/>
    <w:next w:val="1"/>
    <w:link w:val="31"/>
    <w:unhideWhenUsed/>
    <w:qFormat/>
    <w:uiPriority w:val="9"/>
    <w:pPr>
      <w:keepNext/>
      <w:keepLines/>
      <w:spacing w:before="200" w:after="0"/>
      <w:outlineLvl w:val="4"/>
    </w:pPr>
    <w:rPr>
      <w:rFonts w:asciiTheme="majorHAnsi" w:hAnsiTheme="majorHAnsi" w:eastAsiaTheme="majorEastAsia" w:cstheme="majorBidi"/>
      <w:color w:val="243F61" w:themeColor="accent1" w:themeShade="7F"/>
    </w:rPr>
  </w:style>
  <w:style w:type="paragraph" w:styleId="7">
    <w:name w:val="heading 6"/>
    <w:basedOn w:val="1"/>
    <w:next w:val="1"/>
    <w:link w:val="32"/>
    <w:unhideWhenUsed/>
    <w:qFormat/>
    <w:uiPriority w:val="9"/>
    <w:pPr>
      <w:keepNext/>
      <w:keepLines/>
      <w:spacing w:before="200" w:after="0"/>
      <w:outlineLvl w:val="5"/>
    </w:pPr>
    <w:rPr>
      <w:rFonts w:asciiTheme="majorHAnsi" w:hAnsiTheme="majorHAnsi" w:eastAsiaTheme="majorEastAsia" w:cstheme="majorBidi"/>
      <w:i/>
      <w:iCs/>
      <w:color w:val="243F61" w:themeColor="accent1" w:themeShade="7F"/>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27"/>
    <w:semiHidden/>
    <w:unhideWhenUsed/>
    <w:uiPriority w:val="99"/>
    <w:pPr>
      <w:spacing w:after="0" w:line="240" w:lineRule="auto"/>
    </w:pPr>
    <w:rPr>
      <w:rFonts w:ascii="Tahoma" w:hAnsi="Tahoma" w:cs="Tahoma"/>
      <w:sz w:val="16"/>
      <w:szCs w:val="16"/>
    </w:rPr>
  </w:style>
  <w:style w:type="paragraph" w:styleId="11">
    <w:name w:val="caption"/>
    <w:basedOn w:val="1"/>
    <w:next w:val="1"/>
    <w:unhideWhenUsed/>
    <w:qFormat/>
    <w:uiPriority w:val="35"/>
    <w:pPr>
      <w:spacing w:line="240" w:lineRule="auto"/>
    </w:pPr>
    <w:rPr>
      <w:rFonts w:ascii="Times New Roman" w:hAnsi="Times New Roman"/>
      <w:bCs/>
      <w:i/>
      <w:sz w:val="20"/>
      <w:szCs w:val="18"/>
    </w:rPr>
  </w:style>
  <w:style w:type="character" w:styleId="12">
    <w:name w:val="Emphasis"/>
    <w:basedOn w:val="8"/>
    <w:qFormat/>
    <w:uiPriority w:val="20"/>
    <w:rPr>
      <w:i/>
      <w:iCs/>
    </w:rPr>
  </w:style>
  <w:style w:type="paragraph" w:styleId="13">
    <w:name w:val="footer"/>
    <w:basedOn w:val="1"/>
    <w:link w:val="43"/>
    <w:unhideWhenUsed/>
    <w:uiPriority w:val="99"/>
    <w:pPr>
      <w:tabs>
        <w:tab w:val="center" w:pos="4680"/>
        <w:tab w:val="right" w:pos="9360"/>
      </w:tabs>
      <w:spacing w:after="0" w:line="240" w:lineRule="auto"/>
    </w:pPr>
  </w:style>
  <w:style w:type="paragraph" w:styleId="14">
    <w:name w:val="header"/>
    <w:basedOn w:val="1"/>
    <w:link w:val="42"/>
    <w:semiHidden/>
    <w:unhideWhenUsed/>
    <w:uiPriority w:val="99"/>
    <w:pPr>
      <w:tabs>
        <w:tab w:val="center" w:pos="4680"/>
        <w:tab w:val="right" w:pos="9360"/>
      </w:tabs>
      <w:spacing w:after="0" w:line="240" w:lineRule="auto"/>
    </w:pPr>
  </w:style>
  <w:style w:type="character" w:styleId="15">
    <w:name w:val="Hyperlink"/>
    <w:basedOn w:val="8"/>
    <w:unhideWhenUsed/>
    <w:qFormat/>
    <w:uiPriority w:val="99"/>
    <w:rPr>
      <w:color w:val="0000FF" w:themeColor="hyperlink"/>
      <w:u w:val="single"/>
    </w:rPr>
  </w:style>
  <w:style w:type="paragraph" w:styleId="16">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7">
    <w:name w:val="Strong"/>
    <w:basedOn w:val="8"/>
    <w:qFormat/>
    <w:uiPriority w:val="22"/>
    <w:rPr>
      <w:b/>
      <w:bCs/>
    </w:rPr>
  </w:style>
  <w:style w:type="paragraph" w:styleId="18">
    <w:name w:val="Subtitle"/>
    <w:basedOn w:val="1"/>
    <w:next w:val="1"/>
    <w:link w:val="41"/>
    <w:qFormat/>
    <w:uiPriority w:val="11"/>
    <w:rPr>
      <w:rFonts w:asciiTheme="majorHAnsi" w:hAnsiTheme="majorHAnsi" w:eastAsiaTheme="majorEastAsia" w:cstheme="majorBidi"/>
      <w:i/>
      <w:iCs/>
      <w:color w:val="4F81BD" w:themeColor="accent1"/>
      <w:spacing w:val="15"/>
      <w:sz w:val="24"/>
      <w:szCs w:val="24"/>
    </w:rPr>
  </w:style>
  <w:style w:type="table" w:styleId="19">
    <w:name w:val="Table Grid"/>
    <w:basedOn w:val="9"/>
    <w:unhideWhenUsed/>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20">
    <w:name w:val="table of figures"/>
    <w:basedOn w:val="1"/>
    <w:next w:val="1"/>
    <w:unhideWhenUsed/>
    <w:qFormat/>
    <w:uiPriority w:val="99"/>
    <w:pPr>
      <w:spacing w:after="0"/>
    </w:pPr>
  </w:style>
  <w:style w:type="paragraph" w:styleId="21">
    <w:name w:val="Title"/>
    <w:basedOn w:val="1"/>
    <w:next w:val="1"/>
    <w:link w:val="33"/>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paragraph" w:styleId="22">
    <w:name w:val="toc 1"/>
    <w:basedOn w:val="1"/>
    <w:next w:val="1"/>
    <w:autoRedefine/>
    <w:unhideWhenUsed/>
    <w:qFormat/>
    <w:uiPriority w:val="39"/>
    <w:pPr>
      <w:spacing w:after="100"/>
    </w:pPr>
  </w:style>
  <w:style w:type="paragraph" w:styleId="23">
    <w:name w:val="toc 2"/>
    <w:basedOn w:val="1"/>
    <w:next w:val="1"/>
    <w:autoRedefine/>
    <w:unhideWhenUsed/>
    <w:uiPriority w:val="39"/>
    <w:pPr>
      <w:spacing w:after="100"/>
      <w:ind w:left="220"/>
    </w:pPr>
  </w:style>
  <w:style w:type="paragraph" w:styleId="24">
    <w:name w:val="toc 3"/>
    <w:basedOn w:val="1"/>
    <w:next w:val="1"/>
    <w:autoRedefine/>
    <w:unhideWhenUsed/>
    <w:qFormat/>
    <w:uiPriority w:val="39"/>
    <w:pPr>
      <w:spacing w:after="100"/>
      <w:ind w:left="440"/>
    </w:pPr>
  </w:style>
  <w:style w:type="character" w:customStyle="1" w:styleId="25">
    <w:name w:val="Heading 1 Char"/>
    <w:basedOn w:val="8"/>
    <w:link w:val="2"/>
    <w:qFormat/>
    <w:uiPriority w:val="9"/>
    <w:rPr>
      <w:rFonts w:ascii="Times New Roman" w:hAnsi="Times New Roman" w:cs="Times New Roman" w:eastAsiaTheme="majorEastAsia"/>
      <w:bCs/>
      <w:color w:val="366091" w:themeColor="accent1" w:themeShade="BF"/>
      <w:sz w:val="44"/>
      <w:szCs w:val="28"/>
      <w:u w:val="single"/>
    </w:rPr>
  </w:style>
  <w:style w:type="paragraph" w:customStyle="1" w:styleId="26">
    <w:name w:val="Defaul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en-US" w:eastAsia="en-US" w:bidi="ar-SA"/>
    </w:rPr>
  </w:style>
  <w:style w:type="character" w:customStyle="1" w:styleId="27">
    <w:name w:val="Balloon Text Char"/>
    <w:basedOn w:val="8"/>
    <w:link w:val="10"/>
    <w:semiHidden/>
    <w:uiPriority w:val="99"/>
    <w:rPr>
      <w:rFonts w:ascii="Tahoma" w:hAnsi="Tahoma" w:cs="Tahoma"/>
      <w:sz w:val="16"/>
      <w:szCs w:val="16"/>
    </w:rPr>
  </w:style>
  <w:style w:type="character" w:customStyle="1" w:styleId="28">
    <w:name w:val="Heading 2 Char"/>
    <w:basedOn w:val="8"/>
    <w:link w:val="3"/>
    <w:qFormat/>
    <w:uiPriority w:val="9"/>
    <w:rPr>
      <w:rFonts w:asciiTheme="majorHAnsi" w:hAnsiTheme="majorHAnsi" w:eastAsiaTheme="majorEastAsia" w:cstheme="majorBidi"/>
      <w:b/>
      <w:bCs/>
      <w:color w:val="4F81BD" w:themeColor="accent1"/>
      <w:sz w:val="26"/>
      <w:szCs w:val="26"/>
      <w:u w:val="single"/>
    </w:rPr>
  </w:style>
  <w:style w:type="character" w:customStyle="1" w:styleId="29">
    <w:name w:val="Heading 3 Char"/>
    <w:basedOn w:val="8"/>
    <w:link w:val="4"/>
    <w:qFormat/>
    <w:uiPriority w:val="9"/>
    <w:rPr>
      <w:rFonts w:asciiTheme="majorHAnsi" w:hAnsiTheme="majorHAnsi" w:eastAsiaTheme="majorEastAsia" w:cstheme="majorBidi"/>
      <w:b/>
      <w:bCs/>
      <w:color w:val="4F81BD" w:themeColor="accent1"/>
    </w:rPr>
  </w:style>
  <w:style w:type="character" w:customStyle="1" w:styleId="30">
    <w:name w:val="Heading 4 Char"/>
    <w:basedOn w:val="8"/>
    <w:link w:val="5"/>
    <w:uiPriority w:val="9"/>
    <w:rPr>
      <w:rFonts w:asciiTheme="majorHAnsi" w:hAnsiTheme="majorHAnsi" w:eastAsiaTheme="majorEastAsia" w:cstheme="majorBidi"/>
      <w:b/>
      <w:bCs/>
      <w:i/>
      <w:iCs/>
      <w:color w:val="4F81BD" w:themeColor="accent1"/>
    </w:rPr>
  </w:style>
  <w:style w:type="character" w:customStyle="1" w:styleId="31">
    <w:name w:val="Heading 5 Char"/>
    <w:basedOn w:val="8"/>
    <w:link w:val="6"/>
    <w:qFormat/>
    <w:uiPriority w:val="9"/>
    <w:rPr>
      <w:rFonts w:asciiTheme="majorHAnsi" w:hAnsiTheme="majorHAnsi" w:eastAsiaTheme="majorEastAsia" w:cstheme="majorBidi"/>
      <w:color w:val="243F61" w:themeColor="accent1" w:themeShade="7F"/>
    </w:rPr>
  </w:style>
  <w:style w:type="character" w:customStyle="1" w:styleId="32">
    <w:name w:val="Heading 6 Char"/>
    <w:basedOn w:val="8"/>
    <w:link w:val="7"/>
    <w:qFormat/>
    <w:uiPriority w:val="9"/>
    <w:rPr>
      <w:rFonts w:asciiTheme="majorHAnsi" w:hAnsiTheme="majorHAnsi" w:eastAsiaTheme="majorEastAsia" w:cstheme="majorBidi"/>
      <w:i/>
      <w:iCs/>
      <w:color w:val="243F61" w:themeColor="accent1" w:themeShade="7F"/>
    </w:rPr>
  </w:style>
  <w:style w:type="character" w:customStyle="1" w:styleId="33">
    <w:name w:val="Title Char"/>
    <w:basedOn w:val="8"/>
    <w:link w:val="21"/>
    <w:qFormat/>
    <w:uiPriority w:val="10"/>
    <w:rPr>
      <w:rFonts w:asciiTheme="majorHAnsi" w:hAnsiTheme="majorHAnsi" w:eastAsiaTheme="majorEastAsia" w:cstheme="majorBidi"/>
      <w:color w:val="17365D" w:themeColor="text2" w:themeShade="BF"/>
      <w:spacing w:val="5"/>
      <w:kern w:val="28"/>
      <w:sz w:val="52"/>
      <w:szCs w:val="52"/>
    </w:rPr>
  </w:style>
  <w:style w:type="character" w:customStyle="1" w:styleId="34">
    <w:name w:val="katex-mathml"/>
    <w:basedOn w:val="8"/>
    <w:qFormat/>
    <w:uiPriority w:val="0"/>
  </w:style>
  <w:style w:type="character" w:customStyle="1" w:styleId="35">
    <w:name w:val="mord"/>
    <w:basedOn w:val="8"/>
    <w:qFormat/>
    <w:uiPriority w:val="0"/>
  </w:style>
  <w:style w:type="character" w:customStyle="1" w:styleId="36">
    <w:name w:val="mrel"/>
    <w:basedOn w:val="8"/>
    <w:qFormat/>
    <w:uiPriority w:val="0"/>
  </w:style>
  <w:style w:type="character" w:customStyle="1" w:styleId="37">
    <w:name w:val="mbin"/>
    <w:basedOn w:val="8"/>
    <w:uiPriority w:val="0"/>
  </w:style>
  <w:style w:type="character" w:customStyle="1" w:styleId="38">
    <w:name w:val="vlist-s"/>
    <w:basedOn w:val="8"/>
    <w:qFormat/>
    <w:uiPriority w:val="0"/>
  </w:style>
  <w:style w:type="character" w:customStyle="1" w:styleId="39">
    <w:name w:val="mpunct"/>
    <w:basedOn w:val="8"/>
    <w:uiPriority w:val="0"/>
  </w:style>
  <w:style w:type="character" w:customStyle="1" w:styleId="40">
    <w:name w:val="whitespace-normal"/>
    <w:basedOn w:val="8"/>
    <w:qFormat/>
    <w:uiPriority w:val="0"/>
  </w:style>
  <w:style w:type="character" w:customStyle="1" w:styleId="41">
    <w:name w:val="Subtitle Char"/>
    <w:basedOn w:val="8"/>
    <w:link w:val="18"/>
    <w:qFormat/>
    <w:uiPriority w:val="11"/>
    <w:rPr>
      <w:rFonts w:asciiTheme="majorHAnsi" w:hAnsiTheme="majorHAnsi" w:eastAsiaTheme="majorEastAsia" w:cstheme="majorBidi"/>
      <w:i/>
      <w:iCs/>
      <w:color w:val="4F81BD" w:themeColor="accent1"/>
      <w:spacing w:val="15"/>
      <w:sz w:val="24"/>
      <w:szCs w:val="24"/>
    </w:rPr>
  </w:style>
  <w:style w:type="character" w:customStyle="1" w:styleId="42">
    <w:name w:val="Header Char"/>
    <w:basedOn w:val="8"/>
    <w:link w:val="14"/>
    <w:semiHidden/>
    <w:uiPriority w:val="99"/>
  </w:style>
  <w:style w:type="character" w:customStyle="1" w:styleId="43">
    <w:name w:val="Footer Char"/>
    <w:basedOn w:val="8"/>
    <w:link w:val="13"/>
    <w:uiPriority w:val="99"/>
  </w:style>
  <w:style w:type="paragraph" w:customStyle="1" w:styleId="44">
    <w:name w:val="TOC Heading"/>
    <w:basedOn w:val="2"/>
    <w:next w:val="1"/>
    <w:unhideWhenUsed/>
    <w:qFormat/>
    <w:uiPriority w:val="39"/>
    <w:pPr>
      <w:outlineLvl w:val="9"/>
    </w:pPr>
  </w:style>
  <w:style w:type="paragraph" w:styleId="45">
    <w:name w:val="List Paragraph"/>
    <w:basedOn w:val="1"/>
    <w:autoRedefine/>
    <w:qFormat/>
    <w:uiPriority w:val="34"/>
    <w:pPr>
      <w:numPr>
        <w:ilvl w:val="0"/>
        <w:numId w:val="1"/>
      </w:numPr>
      <w:spacing w:line="240" w:lineRule="auto"/>
      <w:contextualSpacing/>
      <w:jc w:val="both"/>
    </w:pPr>
    <w:rPr>
      <w:rFonts w:ascii="Times New Roman" w:hAnsi="Times New Roman" w:cs="Times New Roman"/>
      <w:sz w:val="28"/>
    </w:rPr>
  </w:style>
  <w:style w:type="paragraph" w:customStyle="1" w:styleId="46">
    <w:name w:val="Bibliography"/>
    <w:basedOn w:val="1"/>
    <w:next w:val="1"/>
    <w:unhideWhenUsed/>
    <w:uiPriority w:val="37"/>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emf"/><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Ric252</b:Tag>
    <b:SourceType>Book</b:SourceType>
    <b:Guid>{AF5128D5-DE2E-4AD4-81D6-F0765185DAB2}</b:Guid>
    <b:LCID>0</b:LCID>
    <b:Author>
      <b:Author>
        <b:NameList>
          <b:Person>
            <b:Last>Richard G. Schroeder</b:Last>
            <b:First>Myrtle</b:First>
            <b:Middle>W. Clark, Jack M. Cathey</b:Middle>
          </b:Person>
        </b:NameList>
      </b:Author>
    </b:Author>
    <b:Title>Financial Accounting Theory and Analysis: Text and Cases, 50th Anniversary</b:Title>
    <b:Year>2025</b:Year>
    <b:City>Hoboken, New Jersey (US)</b:City>
    <b:Publisher>John Wiley &amp; Sons Inc.</b:Publisher>
    <b:RefOrder>1</b:RefOrder>
  </b:Source>
  <b:Source>
    <b:Tag>Poo22</b:Tag>
    <b:SourceType>JournalArticle</b:SourceType>
    <b:Guid>{D8D46C6D-3104-4DAF-B912-8A05906CEDBF}</b:Guid>
    <b:LCID>0</b:LCID>
    <b:Author>
      <b:Author>
        <b:NameList>
          <b:Person>
            <b:Last>Pooja Nagpal</b:Last>
            <b:First>Yagnam</b:First>
            <b:Middle>Nagesh,Umamaheswari</b:Middle>
          </b:Person>
        </b:NameList>
      </b:Author>
    </b:Author>
    <b:Title>Corporate Governance Practices &amp; Financial Statement Analysis in Rwanda -A Case Study of Bank of Rwanda of the Creative Commons Attribution License</b:Title>
    <b:JournalName>International Journal of Trend in Scientific Research and Development (IJTSRD)</b:JournalName>
    <b:Year>2022</b:Year>
    <b:Pages>1821-1829</b:Pages>
    <b:RefOrder>2</b:RefOrder>
  </b:Source>
  <b:Source>
    <b:Tag>DrR23</b:Tag>
    <b:SourceType>JournalArticle</b:SourceType>
    <b:Guid>{F075F027-0876-4C32-B870-74C1465B6FC4}</b:Guid>
    <b:LCID>0</b:LCID>
    <b:Author>
      <b:Author>
        <b:NameList>
          <b:Person>
            <b:Last>Barman</b:Last>
            <b:First>Dr.</b:First>
            <b:Middle>Rajesh Deb</b:Middle>
          </b:Person>
        </b:NameList>
      </b:Author>
    </b:Author>
    <b:Title>FINANCIAL STATEMENTS: A TOOLS TO EVALUATE BUSINESS</b:Title>
    <b:JournalName>orcid logo</b:JournalName>
    <b:Year>2023</b:Year>
    <b:Pages>819-835</b:Pages>
    <b:RefOrder>3</b:RefOrder>
  </b:Source>
  <b:Source>
    <b:Tag>Min15</b:Tag>
    <b:SourceType>JournalArticle</b:SourceType>
    <b:Guid>{3FCF94D0-A8B7-466A-B8EE-D154DDEEC9E2}</b:Guid>
    <b:LCID>0</b:LCID>
    <b:Author>
      <b:Author>
        <b:NameList>
          <b:Person>
            <b:Last>Min Cao</b:Last>
            <b:First>Roman</b:First>
            <b:Middle>Chychyla,Trevor Stewart</b:Middle>
          </b:Person>
        </b:NameList>
      </b:Author>
    </b:Author>
    <b:Title>Big Data Analytics in Financial Statement Audits</b:Title>
    <b:JournalName>Accounting Horizons</b:JournalName>
    <b:Year>2015</b:Year>
    <b:Pages>423-429</b:Pages>
    <b:RefOrder>4</b:RefOrder>
  </b:Source>
  <b:Source>
    <b:Tag>Olu24</b:Tag>
    <b:SourceType>JournalArticle</b:SourceType>
    <b:Guid>{99B9DFD0-760E-4AF2-B957-7391C4C8B83C}</b:Guid>
    <b:LCID>0</b:LCID>
    <b:Author>
      <b:Author>
        <b:NameList>
          <b:Person>
            <b:Last>Olubusayo Mesioye</b:Last>
            <b:First>Isiaka</b:First>
            <b:Middle>Bakare</b:Middle>
          </b:Person>
        </b:NameList>
      </b:Author>
    </b:Author>
    <b:Title>Evaluating Financial Reporting Quality: Metrics, Challenges, and Impact on Decision-Making</b:Title>
    <b:JournalName>International Journal of Research Publication and Reviews 5(10</b:JournalName>
    <b:Year>2024</b:Year>
    <b:Pages>1144-1156</b:Pages>
    <b:RefOrder>5</b:RefOrder>
  </b:Source>
  <b:Source>
    <b:Tag>Hel21</b:Tag>
    <b:SourceType>JournalArticle</b:SourceType>
    <b:Guid>{F3FE20D1-106E-4443-AFAB-A18CD6A8CF33}</b:Guid>
    <b:LCID>0</b:LCID>
    <b:Author>
      <b:Author>
        <b:NameList>
          <b:Person>
            <b:Last>Helda Aslim Safitry</b:Last>
            <b:First>Dwi</b:First>
            <b:Middle>Iga Luhsasi,Carolina Lita Permatasari</b:Middle>
          </b:Person>
        </b:NameList>
      </b:Author>
    </b:Author>
    <b:Title>ANALYSIS OF FINANCIAL STATEMENT IN ASSESSING THE FINANCIAL PERFORMANCE OF LOCAL GOVERNMENT</b:Title>
    <b:JournalName>Jurnal Riset Akuntansi Kontemporer 13(2)</b:JournalName>
    <b:Year>2021</b:Year>
    <b:Pages>65-71</b:Pages>
    <b:RefOrder>6</b:RefOrder>
  </b:Source>
  <b:Source>
    <b:Tag>Lyn23</b:Tag>
    <b:SourceType>Book</b:SourceType>
    <b:Guid>{5A8C5EDC-E65E-47A0-91C9-D4781FC3EA35}</b:Guid>
    <b:LCID>0</b:LCID>
    <b:Author>
      <b:Author>
        <b:NameList>
          <b:Person>
            <b:Last>Lyn M. Fraser</b:Last>
            <b:First>Aileen</b:First>
            <b:Middle>Ormiston</b:Middle>
          </b:Person>
        </b:NameList>
      </b:Author>
    </b:Author>
    <b:Title>Understanding Financial Statements</b:Title>
    <b:Year>2023</b:Year>
    <b:City>New York</b:City>
    <b:Publisher>Pearson</b:Publisher>
    <b:RefOrder>7</b:RefOrder>
  </b:Source>
  <b:Source>
    <b:Tag>Pal20</b:Tag>
    <b:SourceType>JournalArticle</b:SourceType>
    <b:Guid>{374B2F6F-A4BD-4C1E-A91E-EEA2CAD945D3}</b:Guid>
    <b:LCID>0</b:LCID>
    <b:Author>
      <b:Author>
        <b:NameList>
          <b:Person>
            <b:Last>Palepu</b:Last>
            <b:First>K.</b:First>
            <b:Middle>G., Healy, P. M., Wright, S., Bradbury, M., &amp; Coulton, J.</b:Middle>
          </b:Person>
        </b:NameList>
      </b:Author>
    </b:Author>
    <b:Title>Business Analysis and Valuation: Using Financial Statements</b:Title>
    <b:Year>2020</b:Year>
    <b:JournalName>Technology and Investment,Vol.14 No.1</b:JournalName>
    <b:RefOrder>8</b:RefOrder>
  </b:Source>
  <b:Source>
    <b:Tag>Tho20</b:Tag>
    <b:SourceType>Book</b:SourceType>
    <b:Guid>{BEFB5AA7-EC59-4236-A71E-C7459B7ADC5F}</b:Guid>
    <b:LCID>0</b:LCID>
    <b:Author>
      <b:Author>
        <b:NameList>
          <b:Person>
            <b:Last>Robinson</b:Last>
            <b:First>Thomas</b:First>
            <b:Middle>R.</b:Middle>
          </b:Person>
          <b:Person>
            <b:Last>Henry</b:Last>
            <b:First>Elaine</b:First>
          </b:Person>
        </b:NameList>
      </b:Author>
    </b:Author>
    <b:Title>International financial statement analysis</b:Title>
    <b:Year>2020</b:Year>
    <b:Publisher>John Wiley &amp; Sons.</b:Publisher>
    <b:RefOrder>9</b:RefOrder>
  </b:Source>
  <b:Source>
    <b:Tag>Rai22</b:Tag>
    <b:SourceType>JournalArticle</b:SourceType>
    <b:Guid>{DCA4E1EB-8DE5-49C9-8ADC-B57DA75D14C4}</b:Guid>
    <b:LCID>0</b:LCID>
    <b:Author>
      <b:Author>
        <b:NameList>
          <b:Person>
            <b:Last>Raihan Noval Akbar</b:Last>
            <b:First>Adam</b:First>
            <b:Middle>Zakaria,Rida Prihatni</b:Middle>
          </b:Person>
        </b:NameList>
      </b:Author>
    </b:Author>
    <b:Title>FINANCIAL STATEMENT ANALYSIS OF FRAUD WITH HEXAGON THEORY FRAUD APPROACH</b:Title>
    <b:Year>2022</b:Year>
    <b:Publisher>137-161</b:Publisher>
    <b:JournalName>Jurnal Akuntansi, Perpajakan dan Auditing, 3(1)</b:JournalName>
    <b:Pages>137-161</b:Pages>
    <b:RefOrder>11</b:RefOrder>
  </b:Source>
  <b:Source>
    <b:Tag>Nur16</b:Tag>
    <b:SourceType>JournalArticle</b:SourceType>
    <b:Guid>{218CAC49-DD91-4ABC-8A90-010E8B194174}</b:Guid>
    <b:LCID>0</b:LCID>
    <b:Author>
      <b:Author>
        <b:NameList>
          <b:Person>
            <b:Last>Nurzaimahl</b:Last>
            <b:First>Rasdianto</b:First>
          </b:Person>
          <b:Person>
            <b:Last>Mudas</b:Last>
            <b:First>Iskandar</b:First>
          </b:Person>
        </b:NameList>
      </b:Author>
    </b:Author>
    <b:Title>The skills and understanding of rural enterprise management of the preparation of financial statements using Financial Accounting Standards (IFRs) financial statement on the Entities Without Public Accountability (ETAP) framework on the implementation of </b:Title>
    <b:JournalName>International Journal of applied business and Economic reserch</b:JournalName>
    <b:Year>2016</b:Year>
    <b:RefOrder>10</b:RefOrder>
  </b:Source>
  <b:Source>
    <b:Tag>Mer20</b:Tag>
    <b:SourceType>JournalArticle</b:SourceType>
    <b:Guid>{71C07A5B-694D-40AF-9DD6-9BA97181D810}</b:Guid>
    <b:LCID>0</b:LCID>
    <b:Author>
      <b:Author>
        <b:NameList>
          <b:Person>
            <b:Last>Mery Sutrisna</b:Last>
            <b:First>Nadirsyah</b:First>
            <b:Middle>Nadirsyah</b:Middle>
          </b:Person>
          <b:Person>
            <b:Last>Indayani</b:Last>
            <b:First>Indayani</b:First>
          </b:Person>
        </b:NameList>
      </b:Author>
    </b:Author>
    <b:Title>The Effect of Human Resource Competence, Utilization of Information Technology, Internal Control Systems, and Application of Government Accounting Standards on The Quality of Financial Reporting (Study on South Aceh Government SKPK)</b:Title>
    <b:JournalName>International Journal of Business Economics and Social Development</b:JournalName>
    <b:Year>2020</b:Year>
    <b:Pages>4-10</b:Pages>
    <b:RefOrder>12</b:RefOrder>
  </b:Source>
  <b:Source>
    <b:Tag>Hen19</b:Tag>
    <b:SourceType>JournalArticle</b:SourceType>
    <b:Guid>{B41D9FAE-FDB6-4917-AB73-9E7711F5F8F0}</b:Guid>
    <b:LCID>0</b:LCID>
    <b:Author>
      <b:Author>
        <b:NameList>
          <b:Person>
            <b:Last>Quesada-Pineda</b:Last>
            <b:First>Henry</b:First>
          </b:Person>
        </b:NameList>
      </b:Author>
    </b:Author>
    <b:Title>Analysis of financial statements using ratios.</b:Title>
    <b:Year>2019</b:Year>
    <b:RefOrder>13</b:RefOrder>
  </b:Source>
  <b:Source>
    <b:Tag>Rif21</b:Tag>
    <b:SourceType>JournalArticle</b:SourceType>
    <b:Guid>{34D6F74F-C9EF-4621-89B0-75D72E634C7B}</b:Guid>
    <b:LCID>0</b:LCID>
    <b:Author>
      <b:Author>
        <b:NameList>
          <b:Person>
            <b:Last>Rif'atul Fitriyah</b:Last>
            <b:First>Santi</b:First>
            <b:Middle>Novita</b:Middle>
          </b:Person>
        </b:NameList>
      </b:Author>
    </b:Author>
    <b:Title>FRAUD PENTAGON THEORY FOR DETECTING FINANCIAL STATEMENT FRAUDULENT</b:Title>
    <b:JournalName>Jurnal Riset Akuntansi Kontemporer,13(1)</b:JournalName>
    <b:Year>2021</b:Year>
    <b:Pages>20-25</b:Pages>
    <b:RefOrder>14</b:RefOrder>
  </b:Source>
  <b:Source>
    <b:Tag>RDa19</b:Tag>
    <b:SourceType>JournalArticle</b:SourceType>
    <b:Guid>{F32FB52D-EA14-4A86-8CC3-C27A0E21264E}</b:Guid>
    <b:LCID>0</b:LCID>
    <b:Author>
      <b:Author>
        <b:NameList>
          <b:Person>
            <b:Last>R. Daniel Eka Prasetya Antawirya</b:Last>
            <b:First>I</b:First>
            <b:Middle>Gusti Ayu Made Dwija Putri</b:Middle>
          </b:Person>
          <b:Person>
            <b:Last>I Gde Ary Wirajaya</b:Last>
            <b:First>I</b:First>
            <b:Middle>Gusti Ngurah Agung Suaryana</b:Middle>
          </b:Person>
        </b:NameList>
      </b:Author>
    </b:Author>
    <b:Title>Application of fraud pentagon in detecting financial statement fraud</b:Title>
    <b:JournalName>International Research Journal of Management IT and Social Sciences 6(5)</b:JournalName>
    <b:Year>2019</b:Year>
    <b:Pages>73-80</b:Pages>
    <b:RefOrder>15</b:RefOrder>
  </b:Source>
  <b:Source>
    <b:Tag>Abo20</b:Tag>
    <b:SourceType>JournalArticle</b:SourceType>
    <b:Guid>{856AE52E-9627-4C1F-9E2A-A7C722D09323}</b:Guid>
    <b:LCID>0</b:LCID>
    <b:Author>
      <b:Author>
        <b:NameList>
          <b:Person>
            <b:Last>؛</b:Last>
            <b:First>Abolfathi،</b:First>
            <b:Middle>Ehsan ؛ Taebi، Peyman</b:Middle>
          </b:Person>
        </b:NameList>
      </b:Author>
    </b:Author>
    <b:Title>Modern Analysis of Financial Statements: Pharmaceutical companies in Iran. </b:Title>
    <b:JournalName>Journal of management and accounting studies</b:JournalName>
    <b:Year>2020</b:Year>
    <b:Pages>19-23</b:Pages>
    <b:RefOrder>31</b:RefOrder>
  </b:Source>
  <b:Source>
    <b:Tag>Abo16</b:Tag>
    <b:SourceType>JournalArticle</b:SourceType>
    <b:Guid>{3E17DE44-A65B-46B7-94F1-0037135620CA}</b:Guid>
    <b:LCID>0</b:LCID>
    <b:Author>
      <b:Author>
        <b:NameList>
          <b:Person>
            <b:Last>Abolfathi</b:Last>
            <b:First>Ehsan</b:First>
          </b:Person>
          <b:Person>
            <b:Last>Taebi</b:Last>
            <b:First>Peyman</b:First>
          </b:Person>
        </b:NameList>
      </b:Author>
    </b:Author>
    <b:Title>Modern Analysis of Financial Statements: Pharmaceutical companies in Iran</b:Title>
    <b:JournalName>Journal of Management and Accounting Studies</b:JournalName>
    <b:Year>2016</b:Year>
    <b:Pages>19-23</b:Pages>
    <b:RefOrder>16</b:RefOrder>
  </b:Source>
  <b:Source>
    <b:Tag>Rat20</b:Tag>
    <b:SourceType>JournalArticle</b:SourceType>
    <b:Guid>{AA841097-55AD-4DEA-8A63-FC1BAD07E84E}</b:Guid>
    <b:LCID>0</b:LCID>
    <b:Author>
      <b:Author>
        <b:NameList>
          <b:Person>
            <b:Last>Ratmi Dewi</b:Last>
            <b:First>Jan</b:First>
            <b:Middle>Hoesada</b:Middle>
          </b:Person>
        </b:NameList>
      </b:Author>
    </b:Author>
    <b:Title>The Effect Of Government Accounting Standards, Internal ControlSystems, Competence Of Human Resources, And Use OfInformation Technology On Quality Of Financial Statements</b:Title>
    <b:JournalName>International Journal of Innovative Research and Advanced Studies (IJIRAS)</b:JournalName>
    <b:Year>2020</b:Year>
    <b:Pages>4-10</b:Pages>
    <b:RefOrder>17</b:RefOrder>
  </b:Source>
  <b:Source>
    <b:Tag>Mim19</b:Tag>
    <b:SourceType>JournalArticle</b:SourceType>
    <b:Guid>{7A6E534D-FE03-4B18-9EF5-CED0D49B5358}</b:Guid>
    <b:LCID>0</b:LCID>
    <b:Author>
      <b:Author>
        <b:NameList>
          <b:Person>
            <b:Last>Patel</b:Last>
            <b:First>Mimansha</b:First>
            <b:Middle>Patel &amp; Nitin</b:Middle>
          </b:Person>
        </b:NameList>
      </b:Author>
    </b:Author>
    <b:Title>Exploring Research Methodology: Review Article</b:Title>
    <b:JournalName>International Journal of Research and Review, 6(3)</b:JournalName>
    <b:Year>2019</b:Year>
    <b:Pages>48-55</b:Pages>
    <b:RefOrder>18</b:RefOrder>
  </b:Source>
  <b:Source>
    <b:Tag>Moh16</b:Tag>
    <b:SourceType>JournalArticle</b:SourceType>
    <b:Guid>{ADC1D14D-2846-4DA0-8197-1C3F1120CFDF}</b:Guid>
    <b:LCID>0</b:LCID>
    <b:Author>
      <b:Author>
        <b:NameList>
          <b:Person>
            <b:Last>Mohamed Al Kilani</b:Last>
            <b:First>Volodymyr</b:First>
            <b:Middle>Kobziev</b:Middle>
          </b:Person>
        </b:NameList>
      </b:Author>
    </b:Author>
    <b:Title>An Overview of Research Methodology in Information System (IS)</b:Title>
    <b:JournalName>International Journal of Research &amp; Review</b:JournalName>
    <b:Year>2016</b:Year>
    <b:Pages>137-161</b:Pages>
    <b:RefOrder>19</b:RefOrder>
  </b:Source>
  <b:Source>
    <b:Tag>DrB22</b:Tag>
    <b:SourceType>Book</b:SourceType>
    <b:Guid>{52A14DA3-3A63-4A2F-BB8B-902709AB637B}</b:Guid>
    <b:LCID>0</b:LCID>
    <b:Author>
      <b:Author>
        <b:NameList>
          <b:Person>
            <b:Last>Dr. B.N. Gupta</b:Last>
            <b:First>,</b:First>
            <b:Middle>Nitin Gupta</b:Middle>
          </b:Person>
        </b:NameList>
      </b:Author>
    </b:Author>
    <b:Title>Research Methodology</b:Title>
    <b:Year>2022</b:Year>
    <b:City>Laipat Kunj, Agra, Uttar Pradesh.</b:City>
    <b:Publisher>SBPD Publications</b:Publisher>
    <b:RefOrder>20</b:RefOrder>
  </b:Source>
  <b:Source>
    <b:Tag>Han19</b:Tag>
    <b:SourceType>JournalArticle</b:SourceType>
    <b:Guid>{8D1F5472-3A84-4C38-A7B7-3C59BC609C87}</b:Guid>
    <b:LCID>0</b:LCID>
    <b:Author>
      <b:Author>
        <b:NameList>
          <b:Person>
            <b:Last>Snyder</b:Last>
            <b:First>Hannah</b:First>
          </b:Person>
        </b:NameList>
      </b:Author>
    </b:Author>
    <b:Title>Literature review as a research methodology: An overview and guidelines</b:Title>
    <b:Year>2019</b:Year>
    <b:JournalName>Journal of Business Research</b:JournalName>
    <b:Pages>333-339</b:Pages>
    <b:RefOrder>21</b:RefOrder>
  </b:Source>
  <b:Source>
    <b:Tag>Ahm25</b:Tag>
    <b:SourceType>ConferenceProceedings</b:SourceType>
    <b:Guid>{847CF60D-26BB-44D1-9D94-6C47451D1920}</b:Guid>
    <b:LCID>0</b:LCID>
    <b:Author>
      <b:Author>
        <b:NameList>
          <b:Person>
            <b:Last>Ahmed</b:Last>
            <b:First>Mahmood</b:First>
          </b:Person>
        </b:NameList>
      </b:Author>
    </b:Author>
    <b:Title>50 Years of Islamic Banking in Bangladesh (1974-2025): A Study on Operational Conflicts</b:Title>
    <b:Year>2025</b:Year>
    <b:Publisher> ResearchGate's conference paper</b:Publisher>
    <b:RefOrder>23</b:RefOrder>
  </b:Source>
  <b:Source>
    <b:Tag>MdL16</b:Tag>
    <b:SourceType>JournalArticle</b:SourceType>
    <b:Guid>{4E0E6269-98F2-4EAC-86F8-9BBFED4656ED}</b:Guid>
    <b:LCID>0</b:LCID>
    <b:Author>
      <b:Author>
        <b:NameList>
          <b:Person>
            <b:Last>Md Lutfor Rahman</b:Last>
            <b:First>Sm</b:First>
            <b:Middle>Hasanul Banna</b:Middle>
          </b:Person>
        </b:NameList>
      </b:Author>
    </b:Author>
    <b:Title>Liquidity Risk Management: A Comparative Study between Conventional and Islamic Banks in Bangladesh</b:Title>
    <b:Year>2016</b:Year>
    <b:JournalName>Journal of Business and Technology (Dhaka) 10(2)</b:JournalName>
    <b:RefOrder>24</b:RefOrder>
  </b:Source>
  <b:Source>
    <b:Tag>Rah15</b:Tag>
    <b:SourceType>JournalArticle</b:SourceType>
    <b:Guid>{060D493E-936F-4BFC-AE96-3B8B5C871DA4}</b:Guid>
    <b:LCID>0</b:LCID>
    <b:Author>
      <b:Author>
        <b:NameList>
          <b:Person>
            <b:Last>Rahman</b:Last>
            <b:First>M.</b:First>
            <b:Middle>M., Rahman, M. A., &amp; Azad, M. A. K.</b:Middle>
          </b:Person>
        </b:NameList>
      </b:Author>
    </b:Author>
    <b:Title>Rahman, M. M., Rahman, M. A., &amp; Azad, M. A. K. (2015). Risk management practices in Islamic and conventional banks of Bangladesh: A comparative analysis. </b:Title>
    <b:JournalName>Asian Social Science, 11(18)</b:JournalName>
    <b:Year>2015</b:Year>
    <b:Pages>153</b:Pages>
    <b:RefOrder>25</b:RefOrder>
  </b:Source>
  <b:Source>
    <b:Tag>SMo15</b:Tag>
    <b:SourceType>JournalArticle</b:SourceType>
    <b:Guid>{3A4173AA-6DA0-47AA-8E17-1D70F2F494AE}</b:Guid>
    <b:LCID>0</b:LCID>
    <b:Author>
      <b:Author>
        <b:NameList>
          <b:Person>
            <b:Last>Moudud-Ul-Huq</b:Last>
            <b:First>S.</b:First>
          </b:Person>
        </b:NameList>
      </b:Author>
    </b:Author>
    <b:Title>Corporate governance practices in Bangladesh: A comparative analysis between conventional banks and Islamic banks.</b:Title>
    <b:Year>2015</b:Year>
    <b:RefOrder>26</b:RefOrder>
  </b:Source>
  <b:Source>
    <b:Tag>Son20</b:Tag>
    <b:SourceType>JournalArticle</b:SourceType>
    <b:Guid>{1187EB4E-55A5-4C9A-AFE7-FE0C3915C5FF}</b:Guid>
    <b:LCID>0</b:LCID>
    <b:Author>
      <b:Author>
        <b:NameList>
          <b:Person>
            <b:Last>Sonia Rezina</b:Last>
            <b:First>Nusrat</b:First>
            <b:Middle>Jahan</b:Middle>
          </b:Person>
          <b:Person>
            <b:Last>Shaimom Rubaiyat</b:Last>
            <b:First>Chowdhury</b:First>
          </b:Person>
        </b:NameList>
      </b:Author>
    </b:Author>
    <b:Title>Non-Performing Loan in Bangladesh: A Comparative Study on the Islamic Banks and Conventional Banks</b:Title>
    <b:JournalName>Indian Journal of Finance and Banking 4(1)</b:JournalName>
    <b:Year>2020</b:Year>
    <b:Pages>76-83</b:Pages>
    <b:RefOrder>27</b:RefOrder>
  </b:Source>
  <b:Source>
    <b:Tag>Nom15</b:Tag>
    <b:SourceType>JournalArticle</b:SourceType>
    <b:Guid>{49CD9D6B-B750-4F3D-A57D-B2F970F0E407}</b:Guid>
    <b:LCID>0</b:LCID>
    <b:Author>
      <b:Author>
        <b:NameList>
          <b:Person>
            <b:Last>Noman</b:Last>
            <b:First>A.</b:First>
            <b:Middle>H. M., Pervin, S., Chowdhury, N. J., Hossain, M. A., &amp; Banna, H.</b:Middle>
          </b:Person>
        </b:NameList>
      </b:Author>
    </b:Author>
    <b:Title>Comparative Performance Analysis between Conventional and Islamic Banks in Bangladesh- An Application of Binary Logistic Regression</b:Title>
    <b:JournalName>Asian Social Science, 11(21)</b:JournalName>
    <b:Year>2015</b:Year>
    <b:Pages>248</b:Pages>
    <b:RefOrder>28</b:RefOrder>
  </b:Source>
  <b:Source>
    <b:Tag>Isl15</b:Tag>
    <b:SourceType>JournalArticle</b:SourceType>
    <b:Guid>{99E832DF-5CC4-49E4-8696-97B30167B0BE}</b:Guid>
    <b:LCID>0</b:LCID>
    <b:Author>
      <b:Author>
        <b:NameList>
          <b:Person>
            <b:Last>Ashrafuzzaman</b:Last>
            <b:First>Islam</b:First>
            <b:Middle>&amp;</b:Middle>
          </b:Person>
        </b:NameList>
      </b:Author>
    </b:Author>
    <b:Title>A comparative study on selected Islamic and Conventional Banks in Bangladesh.</b:Title>
    <b:JournalName>Asian Business Review</b:JournalName>
    <b:Year>2015</b:Year>
    <b:Pages>151-160</b:Pages>
    <b:RefOrder>32</b:RefOrder>
  </b:Source>
  <b:Source>
    <b:Tag>Isl16</b:Tag>
    <b:SourceType>JournalArticle</b:SourceType>
    <b:Guid>{C0199FC2-076D-41EA-B3E0-87B51CA5AA66}</b:Guid>
    <b:LCID>0</b:LCID>
    <b:Author>
      <b:Author>
        <b:NameList>
          <b:Person>
            <b:Last>Ashrafuzzaman</b:Last>
            <b:First>Islam</b:First>
            <b:Middle>&amp;</b:Middle>
          </b:Person>
        </b:NameList>
      </b:Author>
    </b:Author>
    <b:Title>A Comparative Study of Islamic and Conventional Banking in Bangladesh: Camel Analysis</b:Title>
    <b:JournalName>Journal of Business and Technology (Dhaka)</b:JournalName>
    <b:Year>2016</b:Year>
    <b:Pages>74-91</b:Pages>
    <b:RefOrder>33</b:RefOrder>
  </b:Source>
  <b:Source>
    <b:Tag>Isl151</b:Tag>
    <b:SourceType>JournalArticle</b:SourceType>
    <b:Guid>{DC2A832C-31F8-4FE8-99F7-6DA8ADAE0B37}</b:Guid>
    <b:LCID>0</b:LCID>
    <b:Author>
      <b:Author>
        <b:NameList>
          <b:Person>
            <b:Last>Ashrafuzzaman</b:Last>
            <b:First>Islam</b:First>
            <b:Middle>&amp;</b:Middle>
          </b:Person>
        </b:NameList>
      </b:Author>
    </b:Author>
    <b:Title>A Comparative Study of Islamic and Conventional Banking in Bangladesh: Camel Analysis </b:Title>
    <b:JournalName>Journal of Business and Technology (Dhaka)</b:JournalName>
    <b:Year>2015</b:Year>
    <b:Pages>74-91</b:Pages>
    <b:RefOrder>29</b:RefOrder>
  </b:Source>
  <b:Source>
    <b:Tag>Abd25</b:Tag>
    <b:SourceType>JournalArticle</b:SourceType>
    <b:Guid>{C89B7C7A-680B-46F9-87AB-18822626E346}</b:Guid>
    <b:LCID>0</b:LCID>
    <b:Author>
      <b:Author>
        <b:NameList>
          <b:Person>
            <b:Last>Meero</b:Last>
            <b:First>Abdelrhman</b:First>
          </b:Person>
        </b:NameList>
      </b:Author>
    </b:Author>
    <b:Title>Islamic vs. Conventional Banking in the Age of FinTech and AI: Evolving Business Models, Efficiency, and Stability (2020–2024)</b:Title>
    <b:JournalName>International Journal of Financial Studies (IJFS) 13(3)</b:JournalName>
    <b:Year>2025</b:Year>
    <b:Pages>148</b:Pages>
    <b:RefOrder>30</b:RefOrder>
  </b:Source>
  <b:Source>
    <b:Tag>Tan23</b:Tag>
    <b:SourceType>JournalArticle</b:SourceType>
    <b:Guid>{0AC13D58-9998-4EE2-AEA9-DEBF04E79CEF}</b:Guid>
    <b:LCID>0</b:LCID>
    <b:Author>
      <b:Author>
        <b:NameList>
          <b:Person>
            <b:Last>Haque</b:Last>
            <b:First>Tanzina</b:First>
          </b:Person>
        </b:NameList>
      </b:Author>
    </b:Author>
    <b:Title>Profitability Analysis of Commercial Banks:Evidence from Bangladesh</b:Title>
    <b:JournalName>International Journal for Multidisciplinary Research</b:JournalName>
    <b:Year>2023</b:Year>
    <b:Pages>1-23</b:Pages>
    <b:RefOrder>22</b:RefOrder>
  </b:Source>
</b:Sources>
</file>

<file path=customXml/itemProps1.xml><?xml version="1.0" encoding="utf-8"?>
<ds:datastoreItem xmlns:ds="http://schemas.openxmlformats.org/officeDocument/2006/customXml" ds:itemID="{A858E0D5-F65A-4D90-BA5F-CE7A300F676B}">
  <ds:schemaRefs/>
</ds:datastoreItem>
</file>

<file path=docProps/app.xml><?xml version="1.0" encoding="utf-8"?>
<Properties xmlns="http://schemas.openxmlformats.org/officeDocument/2006/extended-properties" xmlns:vt="http://schemas.openxmlformats.org/officeDocument/2006/docPropsVTypes">
  <Template>Normal.dotm</Template>
  <Pages>41</Pages>
  <Words>9851</Words>
  <Characters>56156</Characters>
  <Lines>467</Lines>
  <Paragraphs>131</Paragraphs>
  <TotalTime>2</TotalTime>
  <ScaleCrop>false</ScaleCrop>
  <LinksUpToDate>false</LinksUpToDate>
  <CharactersWithSpaces>65876</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2026-03-01T10:37:00Z</dcterms:created>
  <dc:creator>user</dc:creator>
  <cp:lastModifiedBy>jbs</cp:lastModifiedBy>
  <cp:lastPrinted>2026-03-01T10:35:00Z</cp:lastPrinted>
  <dcterms:modified xsi:type="dcterms:W3CDTF">2026-04-04T06:54:18Z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24C8989AFBDF4D85A9E66F42B4869BD0_13</vt:lpwstr>
  </property>
</Properties>
</file>