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charts/chart20.xml" ContentType="application/vnd.openxmlformats-officedocument.drawingml.chart+xml"/>
  <Override PartName="/word/theme/themeOverride20.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color w:val="4F81BD" w:themeColor="accent1"/>
        </w:rPr>
        <w:id w:val="619121878"/>
        <w:docPartObj>
          <w:docPartGallery w:val="Cover Pages"/>
          <w:docPartUnique/>
        </w:docPartObj>
      </w:sdtPr>
      <w:sdtEndPr>
        <w:rPr>
          <w:rFonts w:eastAsiaTheme="minorHAnsi"/>
          <w:b/>
          <w:bCs/>
          <w:color w:val="auto"/>
          <w:sz w:val="24"/>
          <w:szCs w:val="24"/>
        </w:rPr>
      </w:sdtEndPr>
      <w:sdtContent>
        <w:p w:rsidR="008E6134" w:rsidRPr="00F502C3" w:rsidRDefault="008E6134" w:rsidP="002D4DDF">
          <w:pPr>
            <w:pStyle w:val="NoSpacing"/>
            <w:spacing w:before="1540" w:after="240"/>
            <w:jc w:val="center"/>
            <w:rPr>
              <w:rFonts w:ascii="Times New Roman" w:hAnsi="Times New Roman" w:cs="Times New Roman"/>
              <w:color w:val="4F81BD" w:themeColor="accent1"/>
            </w:rPr>
          </w:pPr>
          <w:r w:rsidRPr="00F502C3">
            <w:rPr>
              <w:rFonts w:ascii="Times New Roman" w:hAnsi="Times New Roman" w:cs="Times New Roman"/>
              <w:noProof/>
              <w:color w:val="4F81BD" w:themeColor="accent1"/>
            </w:rPr>
            <w:drawing>
              <wp:inline distT="0" distB="0" distL="0" distR="0" wp14:anchorId="5874F802" wp14:editId="1A5B3DE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F81BD"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8E6134" w:rsidRPr="00F502C3" w:rsidRDefault="008E6134" w:rsidP="002D4DDF">
              <w:pPr>
                <w:pStyle w:val="NoSpacing"/>
                <w:pBdr>
                  <w:top w:val="single" w:sz="6" w:space="6" w:color="4F81BD" w:themeColor="accent1"/>
                  <w:bottom w:val="single" w:sz="6" w:space="6" w:color="4F81BD" w:themeColor="accent1"/>
                </w:pBdr>
                <w:spacing w:after="240"/>
                <w:jc w:val="center"/>
                <w:rPr>
                  <w:rFonts w:ascii="Times New Roman" w:eastAsiaTheme="majorEastAsia" w:hAnsi="Times New Roman" w:cs="Times New Roman"/>
                  <w:caps/>
                  <w:color w:val="4F81BD" w:themeColor="accent1"/>
                  <w:sz w:val="80"/>
                  <w:szCs w:val="80"/>
                </w:rPr>
              </w:pPr>
              <w:r w:rsidRPr="00F502C3">
                <w:rPr>
                  <w:rFonts w:ascii="Times New Roman" w:eastAsiaTheme="majorEastAsia" w:hAnsi="Times New Roman" w:cs="Times New Roman"/>
                  <w:caps/>
                  <w:color w:val="4F81BD" w:themeColor="accent1"/>
                  <w:sz w:val="72"/>
                  <w:szCs w:val="72"/>
                </w:rPr>
                <w:t>Project Report</w:t>
              </w:r>
            </w:p>
          </w:sdtContent>
        </w:sdt>
        <w:sdt>
          <w:sdtPr>
            <w:rPr>
              <w:rFonts w:ascii="Times New Roman" w:hAnsi="Times New Roman" w:cs="Times New Roman"/>
              <w:color w:val="4F81BD"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727755" w:rsidRPr="002D4DDF" w:rsidRDefault="00DD4D31" w:rsidP="002D4DDF">
              <w:pPr>
                <w:pStyle w:val="NoSpacing"/>
                <w:jc w:val="center"/>
                <w:rPr>
                  <w:rFonts w:ascii="Times New Roman" w:hAnsi="Times New Roman" w:cs="Times New Roman"/>
                  <w:color w:val="4F81BD" w:themeColor="accent1"/>
                  <w:sz w:val="28"/>
                  <w:szCs w:val="28"/>
                </w:rPr>
              </w:pPr>
              <w:r>
                <w:rPr>
                  <w:rFonts w:ascii="Times New Roman" w:hAnsi="Times New Roman" w:cs="Times New Roman"/>
                  <w:color w:val="4F81BD" w:themeColor="accent1"/>
                  <w:sz w:val="28"/>
                  <w:szCs w:val="28"/>
                </w:rPr>
                <w:t xml:space="preserve">Performance </w:t>
              </w:r>
              <w:r w:rsidR="002D4DDF">
                <w:rPr>
                  <w:rFonts w:ascii="Times New Roman" w:hAnsi="Times New Roman" w:cs="Times New Roman"/>
                  <w:color w:val="4F81BD" w:themeColor="accent1"/>
                  <w:sz w:val="28"/>
                  <w:szCs w:val="28"/>
                </w:rPr>
                <w:t>Measurement of Banking Industry: Evidence from DSE listed Banks</w:t>
              </w:r>
            </w:p>
          </w:sdtContent>
        </w:sdt>
      </w:sdtContent>
    </w:sdt>
    <w:p w:rsidR="00727755" w:rsidRPr="00F502C3" w:rsidRDefault="00727755" w:rsidP="00B854E9">
      <w:pPr>
        <w:pStyle w:val="NoSpacing"/>
        <w:spacing w:before="480" w:line="360" w:lineRule="auto"/>
        <w:jc w:val="center"/>
        <w:rPr>
          <w:rFonts w:ascii="Times New Roman" w:hAnsi="Times New Roman" w:cs="Times New Roman"/>
          <w:b/>
          <w:bCs/>
          <w:sz w:val="28"/>
          <w:szCs w:val="28"/>
        </w:rPr>
      </w:pPr>
      <w:r w:rsidRPr="00F502C3">
        <w:rPr>
          <w:rFonts w:ascii="Times New Roman" w:hAnsi="Times New Roman" w:cs="Times New Roman"/>
          <w:b/>
          <w:bCs/>
          <w:sz w:val="28"/>
          <w:szCs w:val="28"/>
        </w:rPr>
        <w:t>Submitted to</w:t>
      </w:r>
    </w:p>
    <w:p w:rsidR="00727755" w:rsidRPr="00F502C3" w:rsidRDefault="00727755" w:rsidP="00B854E9">
      <w:pPr>
        <w:spacing w:line="360" w:lineRule="auto"/>
        <w:jc w:val="center"/>
        <w:rPr>
          <w:rFonts w:ascii="Times New Roman" w:hAnsi="Times New Roman" w:cs="Times New Roman"/>
          <w:bCs/>
          <w:sz w:val="24"/>
          <w:szCs w:val="24"/>
        </w:rPr>
      </w:pPr>
      <w:proofErr w:type="spellStart"/>
      <w:r w:rsidRPr="00F502C3">
        <w:rPr>
          <w:rFonts w:ascii="Times New Roman" w:hAnsi="Times New Roman" w:cs="Times New Roman"/>
          <w:bCs/>
          <w:sz w:val="24"/>
          <w:szCs w:val="24"/>
        </w:rPr>
        <w:t>Mofijul</w:t>
      </w:r>
      <w:proofErr w:type="spellEnd"/>
      <w:r w:rsidRPr="00F502C3">
        <w:rPr>
          <w:rFonts w:ascii="Times New Roman" w:hAnsi="Times New Roman" w:cs="Times New Roman"/>
          <w:bCs/>
          <w:sz w:val="24"/>
          <w:szCs w:val="24"/>
        </w:rPr>
        <w:t xml:space="preserve"> </w:t>
      </w:r>
      <w:proofErr w:type="spellStart"/>
      <w:r w:rsidRPr="00F502C3">
        <w:rPr>
          <w:rFonts w:ascii="Times New Roman" w:hAnsi="Times New Roman" w:cs="Times New Roman"/>
          <w:bCs/>
          <w:sz w:val="24"/>
          <w:szCs w:val="24"/>
        </w:rPr>
        <w:t>Hoq</w:t>
      </w:r>
      <w:proofErr w:type="spellEnd"/>
      <w:r w:rsidRPr="00F502C3">
        <w:rPr>
          <w:rFonts w:ascii="Times New Roman" w:hAnsi="Times New Roman" w:cs="Times New Roman"/>
          <w:bCs/>
          <w:sz w:val="24"/>
          <w:szCs w:val="24"/>
        </w:rPr>
        <w:t xml:space="preserve"> </w:t>
      </w:r>
      <w:proofErr w:type="spellStart"/>
      <w:r w:rsidRPr="00F502C3">
        <w:rPr>
          <w:rFonts w:ascii="Times New Roman" w:hAnsi="Times New Roman" w:cs="Times New Roman"/>
          <w:bCs/>
          <w:sz w:val="24"/>
          <w:szCs w:val="24"/>
        </w:rPr>
        <w:t>Masum</w:t>
      </w:r>
      <w:proofErr w:type="spellEnd"/>
    </w:p>
    <w:p w:rsidR="00727755" w:rsidRPr="00F502C3" w:rsidRDefault="00727755" w:rsidP="00B854E9">
      <w:pPr>
        <w:spacing w:line="360" w:lineRule="auto"/>
        <w:jc w:val="center"/>
        <w:rPr>
          <w:rFonts w:ascii="Times New Roman" w:hAnsi="Times New Roman" w:cs="Times New Roman"/>
          <w:bCs/>
          <w:sz w:val="24"/>
          <w:szCs w:val="24"/>
        </w:rPr>
      </w:pPr>
      <w:r w:rsidRPr="00F502C3">
        <w:rPr>
          <w:rFonts w:ascii="Times New Roman" w:hAnsi="Times New Roman" w:cs="Times New Roman"/>
          <w:bCs/>
          <w:sz w:val="24"/>
          <w:szCs w:val="24"/>
        </w:rPr>
        <w:t>Assistant professor</w:t>
      </w:r>
    </w:p>
    <w:p w:rsidR="00727755" w:rsidRPr="00F502C3" w:rsidRDefault="00727755" w:rsidP="00B854E9">
      <w:pPr>
        <w:spacing w:line="360" w:lineRule="auto"/>
        <w:jc w:val="center"/>
        <w:rPr>
          <w:rFonts w:ascii="Times New Roman" w:hAnsi="Times New Roman" w:cs="Times New Roman"/>
          <w:bCs/>
          <w:sz w:val="24"/>
          <w:szCs w:val="24"/>
        </w:rPr>
      </w:pPr>
      <w:r w:rsidRPr="00F502C3">
        <w:rPr>
          <w:rFonts w:ascii="Times New Roman" w:hAnsi="Times New Roman" w:cs="Times New Roman"/>
          <w:bCs/>
          <w:sz w:val="24"/>
          <w:szCs w:val="24"/>
        </w:rPr>
        <w:t>School of Business &amp; Economics</w:t>
      </w:r>
    </w:p>
    <w:p w:rsidR="00727755" w:rsidRPr="00F502C3" w:rsidRDefault="00727755" w:rsidP="00B854E9">
      <w:pPr>
        <w:spacing w:line="360" w:lineRule="auto"/>
        <w:jc w:val="center"/>
        <w:rPr>
          <w:rFonts w:ascii="Times New Roman" w:hAnsi="Times New Roman" w:cs="Times New Roman"/>
          <w:bCs/>
          <w:sz w:val="24"/>
          <w:szCs w:val="24"/>
        </w:rPr>
      </w:pPr>
      <w:r w:rsidRPr="00F502C3">
        <w:rPr>
          <w:rFonts w:ascii="Times New Roman" w:hAnsi="Times New Roman" w:cs="Times New Roman"/>
          <w:bCs/>
          <w:sz w:val="24"/>
          <w:szCs w:val="24"/>
        </w:rPr>
        <w:t>United International University</w:t>
      </w:r>
    </w:p>
    <w:p w:rsidR="00727755" w:rsidRPr="00F502C3" w:rsidRDefault="00727755" w:rsidP="00B854E9">
      <w:pPr>
        <w:spacing w:line="360" w:lineRule="auto"/>
        <w:jc w:val="center"/>
        <w:rPr>
          <w:rFonts w:ascii="Times New Roman" w:hAnsi="Times New Roman" w:cs="Times New Roman"/>
          <w:b/>
          <w:bCs/>
          <w:sz w:val="24"/>
          <w:szCs w:val="24"/>
        </w:rPr>
      </w:pPr>
      <w:r w:rsidRPr="00F502C3">
        <w:rPr>
          <w:rFonts w:ascii="Times New Roman" w:hAnsi="Times New Roman" w:cs="Times New Roman"/>
          <w:b/>
          <w:bCs/>
          <w:sz w:val="24"/>
          <w:szCs w:val="24"/>
        </w:rPr>
        <w:t>Submitted BY</w:t>
      </w:r>
    </w:p>
    <w:p w:rsidR="00727755" w:rsidRPr="00F502C3" w:rsidRDefault="00727755" w:rsidP="00B854E9">
      <w:pPr>
        <w:spacing w:line="360" w:lineRule="auto"/>
        <w:jc w:val="center"/>
        <w:rPr>
          <w:rFonts w:ascii="Times New Roman" w:hAnsi="Times New Roman" w:cs="Times New Roman"/>
          <w:bCs/>
          <w:sz w:val="24"/>
          <w:szCs w:val="24"/>
        </w:rPr>
      </w:pPr>
      <w:proofErr w:type="spellStart"/>
      <w:r w:rsidRPr="00F502C3">
        <w:rPr>
          <w:rFonts w:ascii="Times New Roman" w:hAnsi="Times New Roman" w:cs="Times New Roman"/>
          <w:bCs/>
          <w:sz w:val="24"/>
          <w:szCs w:val="24"/>
        </w:rPr>
        <w:t>Mahedi</w:t>
      </w:r>
      <w:proofErr w:type="spellEnd"/>
      <w:r w:rsidRPr="00F502C3">
        <w:rPr>
          <w:rFonts w:ascii="Times New Roman" w:hAnsi="Times New Roman" w:cs="Times New Roman"/>
          <w:bCs/>
          <w:sz w:val="24"/>
          <w:szCs w:val="24"/>
        </w:rPr>
        <w:t xml:space="preserve"> </w:t>
      </w:r>
      <w:proofErr w:type="spellStart"/>
      <w:r w:rsidRPr="00F502C3">
        <w:rPr>
          <w:rFonts w:ascii="Times New Roman" w:hAnsi="Times New Roman" w:cs="Times New Roman"/>
          <w:bCs/>
          <w:sz w:val="24"/>
          <w:szCs w:val="24"/>
        </w:rPr>
        <w:t>Hasan</w:t>
      </w:r>
      <w:proofErr w:type="spellEnd"/>
    </w:p>
    <w:p w:rsidR="00727755" w:rsidRPr="00F502C3" w:rsidRDefault="00727755" w:rsidP="00B854E9">
      <w:pPr>
        <w:spacing w:line="360" w:lineRule="auto"/>
        <w:jc w:val="center"/>
        <w:rPr>
          <w:rFonts w:ascii="Times New Roman" w:hAnsi="Times New Roman" w:cs="Times New Roman"/>
          <w:bCs/>
          <w:sz w:val="24"/>
          <w:szCs w:val="24"/>
        </w:rPr>
      </w:pPr>
      <w:r w:rsidRPr="00F502C3">
        <w:rPr>
          <w:rFonts w:ascii="Times New Roman" w:hAnsi="Times New Roman" w:cs="Times New Roman"/>
          <w:bCs/>
          <w:sz w:val="24"/>
          <w:szCs w:val="24"/>
        </w:rPr>
        <w:t>Id: 114151028</w:t>
      </w:r>
    </w:p>
    <w:p w:rsidR="00727755" w:rsidRPr="00F502C3" w:rsidRDefault="00727755" w:rsidP="00B854E9">
      <w:pPr>
        <w:spacing w:line="360" w:lineRule="auto"/>
        <w:jc w:val="center"/>
        <w:rPr>
          <w:rFonts w:ascii="Times New Roman" w:hAnsi="Times New Roman" w:cs="Times New Roman"/>
          <w:bCs/>
          <w:sz w:val="24"/>
          <w:szCs w:val="24"/>
        </w:rPr>
      </w:pPr>
      <w:r w:rsidRPr="00F502C3">
        <w:rPr>
          <w:rFonts w:ascii="Times New Roman" w:hAnsi="Times New Roman" w:cs="Times New Roman"/>
          <w:bCs/>
          <w:sz w:val="24"/>
          <w:szCs w:val="24"/>
        </w:rPr>
        <w:t>United International University</w:t>
      </w:r>
    </w:p>
    <w:p w:rsidR="00DC156D" w:rsidRPr="00F502C3" w:rsidRDefault="00DC156D" w:rsidP="00B854E9">
      <w:pPr>
        <w:tabs>
          <w:tab w:val="left" w:pos="3090"/>
        </w:tabs>
        <w:spacing w:line="360" w:lineRule="auto"/>
        <w:jc w:val="center"/>
        <w:rPr>
          <w:rFonts w:ascii="Times New Roman" w:hAnsi="Times New Roman" w:cs="Times New Roman"/>
          <w:b/>
          <w:bCs/>
          <w:color w:val="4F81BD" w:themeColor="accent1"/>
          <w:sz w:val="24"/>
          <w:szCs w:val="24"/>
        </w:rPr>
      </w:pPr>
    </w:p>
    <w:p w:rsidR="00D73A47" w:rsidRPr="00F502C3" w:rsidRDefault="001B0978" w:rsidP="00B854E9">
      <w:pPr>
        <w:tabs>
          <w:tab w:val="left" w:pos="3090"/>
        </w:tabs>
        <w:spacing w:line="360" w:lineRule="auto"/>
        <w:jc w:val="center"/>
        <w:rPr>
          <w:rFonts w:ascii="Times New Roman" w:hAnsi="Times New Roman" w:cs="Times New Roman"/>
          <w:b/>
          <w:bCs/>
          <w:sz w:val="24"/>
          <w:szCs w:val="24"/>
        </w:rPr>
      </w:pPr>
      <w:r w:rsidRPr="00F502C3">
        <w:rPr>
          <w:rFonts w:ascii="Times New Roman" w:hAnsi="Times New Roman" w:cs="Times New Roman"/>
          <w:b/>
          <w:bCs/>
          <w:color w:val="4F81BD" w:themeColor="accent1"/>
          <w:sz w:val="24"/>
          <w:szCs w:val="24"/>
        </w:rPr>
        <w:t xml:space="preserve">Date Of submission: </w:t>
      </w:r>
      <w:r w:rsidR="00094C7E">
        <w:rPr>
          <w:rFonts w:ascii="Times New Roman" w:hAnsi="Times New Roman" w:cs="Times New Roman"/>
          <w:b/>
          <w:bCs/>
          <w:color w:val="4F81BD" w:themeColor="accent1"/>
          <w:sz w:val="24"/>
          <w:szCs w:val="24"/>
        </w:rPr>
        <w:t>5</w:t>
      </w:r>
      <w:r w:rsidR="00094C7E" w:rsidRPr="00094C7E">
        <w:rPr>
          <w:rFonts w:ascii="Times New Roman" w:hAnsi="Times New Roman" w:cs="Times New Roman"/>
          <w:b/>
          <w:bCs/>
          <w:color w:val="4F81BD" w:themeColor="accent1"/>
          <w:sz w:val="24"/>
          <w:szCs w:val="24"/>
          <w:vertAlign w:val="superscript"/>
        </w:rPr>
        <w:t>th</w:t>
      </w:r>
      <w:r w:rsidR="00094C7E">
        <w:rPr>
          <w:rFonts w:ascii="Times New Roman" w:hAnsi="Times New Roman" w:cs="Times New Roman"/>
          <w:b/>
          <w:bCs/>
          <w:color w:val="4F81BD" w:themeColor="accent1"/>
          <w:sz w:val="24"/>
          <w:szCs w:val="24"/>
        </w:rPr>
        <w:t xml:space="preserve"> </w:t>
      </w:r>
      <w:proofErr w:type="gramStart"/>
      <w:r w:rsidR="00094C7E">
        <w:rPr>
          <w:rFonts w:ascii="Times New Roman" w:hAnsi="Times New Roman" w:cs="Times New Roman"/>
          <w:b/>
          <w:bCs/>
          <w:color w:val="4F81BD" w:themeColor="accent1"/>
          <w:sz w:val="24"/>
          <w:szCs w:val="24"/>
        </w:rPr>
        <w:t xml:space="preserve">September </w:t>
      </w:r>
      <w:r w:rsidRPr="00F502C3">
        <w:rPr>
          <w:rFonts w:ascii="Times New Roman" w:hAnsi="Times New Roman" w:cs="Times New Roman"/>
          <w:b/>
          <w:bCs/>
          <w:color w:val="4F81BD" w:themeColor="accent1"/>
          <w:sz w:val="24"/>
          <w:szCs w:val="24"/>
        </w:rPr>
        <w:t xml:space="preserve"> 2019</w:t>
      </w:r>
      <w:proofErr w:type="gramEnd"/>
    </w:p>
    <w:p w:rsidR="00193DA0" w:rsidRPr="00F502C3" w:rsidRDefault="00193DA0" w:rsidP="00DD4D31">
      <w:pPr>
        <w:spacing w:line="360" w:lineRule="auto"/>
        <w:jc w:val="both"/>
        <w:rPr>
          <w:rFonts w:ascii="Times New Roman" w:hAnsi="Times New Roman" w:cs="Times New Roman"/>
          <w:b/>
          <w:bCs/>
          <w:sz w:val="28"/>
          <w:szCs w:val="28"/>
        </w:rPr>
        <w:sectPr w:rsidR="00193DA0" w:rsidRPr="00F502C3" w:rsidSect="008E6134">
          <w:headerReference w:type="default" r:id="rId10"/>
          <w:footerReference w:type="default" r:id="rId11"/>
          <w:pgSz w:w="12240" w:h="15840"/>
          <w:pgMar w:top="1440" w:right="1440" w:bottom="1440" w:left="1440" w:header="720" w:footer="720" w:gutter="0"/>
          <w:pgNumType w:fmt="lowerRoman" w:start="0"/>
          <w:cols w:space="720"/>
          <w:titlePg/>
          <w:docGrid w:linePitch="360"/>
        </w:sectPr>
      </w:pPr>
    </w:p>
    <w:p w:rsidR="00D73A47" w:rsidRPr="00F502C3" w:rsidRDefault="00D73A47" w:rsidP="00DD4D31">
      <w:pPr>
        <w:spacing w:line="360" w:lineRule="auto"/>
        <w:jc w:val="both"/>
        <w:rPr>
          <w:rFonts w:ascii="Times New Roman" w:hAnsi="Times New Roman" w:cs="Times New Roman"/>
          <w:b/>
          <w:bCs/>
          <w:sz w:val="28"/>
          <w:szCs w:val="28"/>
        </w:rPr>
      </w:pPr>
    </w:p>
    <w:p w:rsidR="00193DA0" w:rsidRPr="00F502C3" w:rsidRDefault="00193DA0" w:rsidP="00DD4D31">
      <w:pPr>
        <w:tabs>
          <w:tab w:val="center" w:pos="4680"/>
        </w:tabs>
        <w:spacing w:line="360" w:lineRule="auto"/>
        <w:ind w:firstLine="720"/>
        <w:jc w:val="both"/>
        <w:rPr>
          <w:rFonts w:ascii="Times New Roman" w:hAnsi="Times New Roman" w:cs="Times New Roman"/>
          <w:b/>
          <w:bCs/>
          <w:sz w:val="28"/>
          <w:szCs w:val="28"/>
        </w:rPr>
      </w:pPr>
    </w:p>
    <w:p w:rsidR="00F33A4A" w:rsidRPr="00F502C3" w:rsidRDefault="00193DA0" w:rsidP="00DD4D31">
      <w:pPr>
        <w:tabs>
          <w:tab w:val="left" w:pos="3405"/>
          <w:tab w:val="center" w:pos="4680"/>
        </w:tabs>
        <w:spacing w:line="360" w:lineRule="auto"/>
        <w:jc w:val="both"/>
        <w:rPr>
          <w:rFonts w:ascii="Times New Roman" w:hAnsi="Times New Roman" w:cs="Times New Roman"/>
          <w:b/>
          <w:bCs/>
          <w:sz w:val="28"/>
          <w:szCs w:val="28"/>
        </w:rPr>
      </w:pPr>
      <w:r w:rsidRPr="00F502C3">
        <w:rPr>
          <w:rFonts w:ascii="Times New Roman" w:hAnsi="Times New Roman" w:cs="Times New Roman"/>
          <w:b/>
          <w:bCs/>
          <w:sz w:val="28"/>
          <w:szCs w:val="28"/>
        </w:rPr>
        <w:tab/>
      </w:r>
      <w:r w:rsidR="00F33A4A" w:rsidRPr="00F502C3">
        <w:rPr>
          <w:rFonts w:ascii="Times New Roman" w:hAnsi="Times New Roman" w:cs="Times New Roman"/>
          <w:b/>
          <w:bCs/>
          <w:sz w:val="28"/>
          <w:szCs w:val="28"/>
        </w:rPr>
        <w:t>Acknowledgement</w:t>
      </w:r>
    </w:p>
    <w:p w:rsidR="00DC156D" w:rsidRPr="00F502C3" w:rsidRDefault="00086C68"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It’s my huge</w:t>
      </w:r>
      <w:r w:rsidR="00F33A4A" w:rsidRPr="00F502C3">
        <w:rPr>
          <w:rFonts w:ascii="Times New Roman" w:hAnsi="Times New Roman" w:cs="Times New Roman"/>
          <w:sz w:val="24"/>
          <w:szCs w:val="24"/>
        </w:rPr>
        <w:t xml:space="preserve"> </w:t>
      </w:r>
      <w:r w:rsidRPr="00F502C3">
        <w:rPr>
          <w:rFonts w:ascii="Times New Roman" w:hAnsi="Times New Roman" w:cs="Times New Roman"/>
          <w:sz w:val="24"/>
          <w:szCs w:val="24"/>
        </w:rPr>
        <w:t xml:space="preserve">pleasure to complete </w:t>
      </w:r>
      <w:r w:rsidR="00F33A4A" w:rsidRPr="00F502C3">
        <w:rPr>
          <w:rFonts w:ascii="Times New Roman" w:hAnsi="Times New Roman" w:cs="Times New Roman"/>
          <w:sz w:val="24"/>
          <w:szCs w:val="24"/>
        </w:rPr>
        <w:t>this study in due time by grace of almighty Allah. I am grateful to those people who help me a lot during the preparation of my project re</w:t>
      </w:r>
      <w:r w:rsidRPr="00F502C3">
        <w:rPr>
          <w:rFonts w:ascii="Times New Roman" w:hAnsi="Times New Roman" w:cs="Times New Roman"/>
          <w:sz w:val="24"/>
          <w:szCs w:val="24"/>
        </w:rPr>
        <w:t>port. I wish Express my immense</w:t>
      </w:r>
      <w:r w:rsidR="00F33A4A" w:rsidRPr="00F502C3">
        <w:rPr>
          <w:rFonts w:ascii="Times New Roman" w:hAnsi="Times New Roman" w:cs="Times New Roman"/>
          <w:sz w:val="24"/>
          <w:szCs w:val="24"/>
        </w:rPr>
        <w:t xml:space="preserve"> sense of gratitude to my course teacher ‘ </w:t>
      </w:r>
      <w:proofErr w:type="spellStart"/>
      <w:r w:rsidR="00F33A4A" w:rsidRPr="00F502C3">
        <w:rPr>
          <w:rFonts w:ascii="Times New Roman" w:hAnsi="Times New Roman" w:cs="Times New Roman"/>
          <w:sz w:val="24"/>
          <w:szCs w:val="24"/>
        </w:rPr>
        <w:t>Mofijul</w:t>
      </w:r>
      <w:proofErr w:type="spellEnd"/>
      <w:r w:rsidR="00F33A4A" w:rsidRPr="00F502C3">
        <w:rPr>
          <w:rFonts w:ascii="Times New Roman" w:hAnsi="Times New Roman" w:cs="Times New Roman"/>
          <w:sz w:val="24"/>
          <w:szCs w:val="24"/>
        </w:rPr>
        <w:t xml:space="preserve"> </w:t>
      </w:r>
      <w:proofErr w:type="spellStart"/>
      <w:r w:rsidR="00F33A4A" w:rsidRPr="00F502C3">
        <w:rPr>
          <w:rFonts w:ascii="Times New Roman" w:hAnsi="Times New Roman" w:cs="Times New Roman"/>
          <w:sz w:val="24"/>
          <w:szCs w:val="24"/>
        </w:rPr>
        <w:t>Hoq</w:t>
      </w:r>
      <w:proofErr w:type="spellEnd"/>
      <w:r w:rsidR="00F33A4A" w:rsidRPr="00F502C3">
        <w:rPr>
          <w:rFonts w:ascii="Times New Roman" w:hAnsi="Times New Roman" w:cs="Times New Roman"/>
          <w:sz w:val="24"/>
          <w:szCs w:val="24"/>
        </w:rPr>
        <w:t xml:space="preserve"> </w:t>
      </w:r>
      <w:proofErr w:type="spellStart"/>
      <w:r w:rsidR="00F33A4A" w:rsidRPr="00F502C3">
        <w:rPr>
          <w:rFonts w:ascii="Times New Roman" w:hAnsi="Times New Roman" w:cs="Times New Roman"/>
          <w:sz w:val="24"/>
          <w:szCs w:val="24"/>
        </w:rPr>
        <w:t>Masum</w:t>
      </w:r>
      <w:proofErr w:type="spellEnd"/>
      <w:r w:rsidR="00F33A4A" w:rsidRPr="00F502C3">
        <w:rPr>
          <w:rFonts w:ascii="Times New Roman" w:hAnsi="Times New Roman" w:cs="Times New Roman"/>
          <w:sz w:val="24"/>
          <w:szCs w:val="24"/>
        </w:rPr>
        <w:t xml:space="preserve"> ‘ sc</w:t>
      </w:r>
      <w:r w:rsidRPr="00F502C3">
        <w:rPr>
          <w:rFonts w:ascii="Times New Roman" w:hAnsi="Times New Roman" w:cs="Times New Roman"/>
          <w:sz w:val="24"/>
          <w:szCs w:val="24"/>
        </w:rPr>
        <w:t xml:space="preserve">hool of business and economics, </w:t>
      </w:r>
      <w:r w:rsidR="00F33A4A" w:rsidRPr="00F502C3">
        <w:rPr>
          <w:rFonts w:ascii="Times New Roman" w:hAnsi="Times New Roman" w:cs="Times New Roman"/>
          <w:sz w:val="24"/>
          <w:szCs w:val="24"/>
        </w:rPr>
        <w:t>United International University</w:t>
      </w:r>
      <w:r w:rsidRPr="00F502C3">
        <w:rPr>
          <w:rFonts w:ascii="Times New Roman" w:hAnsi="Times New Roman" w:cs="Times New Roman"/>
          <w:sz w:val="24"/>
          <w:szCs w:val="24"/>
        </w:rPr>
        <w:t>,</w:t>
      </w:r>
      <w:r w:rsidR="00F33A4A" w:rsidRPr="00F502C3">
        <w:rPr>
          <w:rFonts w:ascii="Times New Roman" w:hAnsi="Times New Roman" w:cs="Times New Roman"/>
          <w:sz w:val="24"/>
          <w:szCs w:val="24"/>
        </w:rPr>
        <w:t xml:space="preserve"> inspiration, guide ,Valuable</w:t>
      </w:r>
      <w:r w:rsidRPr="00F502C3">
        <w:rPr>
          <w:rFonts w:ascii="Times New Roman" w:hAnsi="Times New Roman" w:cs="Times New Roman"/>
          <w:sz w:val="24"/>
          <w:szCs w:val="24"/>
        </w:rPr>
        <w:t xml:space="preserve"> suggestion, systematic advice and glowing</w:t>
      </w:r>
      <w:r w:rsidR="00F33A4A" w:rsidRPr="00F502C3">
        <w:rPr>
          <w:rFonts w:ascii="Times New Roman" w:hAnsi="Times New Roman" w:cs="Times New Roman"/>
          <w:sz w:val="24"/>
          <w:szCs w:val="24"/>
        </w:rPr>
        <w:t xml:space="preserve"> encouragement made throughout the</w:t>
      </w:r>
      <w:r w:rsidR="00DC156D" w:rsidRPr="00F502C3">
        <w:rPr>
          <w:rFonts w:ascii="Times New Roman" w:hAnsi="Times New Roman" w:cs="Times New Roman"/>
          <w:sz w:val="24"/>
          <w:szCs w:val="24"/>
        </w:rPr>
        <w:t xml:space="preserve"> course of study work. </w:t>
      </w:r>
      <w:r w:rsidRPr="00F502C3">
        <w:rPr>
          <w:rFonts w:ascii="Times New Roman" w:hAnsi="Times New Roman" w:cs="Times New Roman"/>
          <w:sz w:val="24"/>
          <w:szCs w:val="24"/>
        </w:rPr>
        <w:t xml:space="preserve"> I like to favor</w:t>
      </w:r>
      <w:r w:rsidR="00F33A4A" w:rsidRPr="00F502C3">
        <w:rPr>
          <w:rFonts w:ascii="Times New Roman" w:hAnsi="Times New Roman" w:cs="Times New Roman"/>
          <w:sz w:val="24"/>
          <w:szCs w:val="24"/>
        </w:rPr>
        <w:t xml:space="preserve"> the opportuni</w:t>
      </w:r>
      <w:r w:rsidRPr="00F502C3">
        <w:rPr>
          <w:rFonts w:ascii="Times New Roman" w:hAnsi="Times New Roman" w:cs="Times New Roman"/>
          <w:sz w:val="24"/>
          <w:szCs w:val="24"/>
        </w:rPr>
        <w:t>ty to express my deep</w:t>
      </w:r>
      <w:r w:rsidR="000830E2" w:rsidRPr="00F502C3">
        <w:rPr>
          <w:rFonts w:ascii="Times New Roman" w:hAnsi="Times New Roman" w:cs="Times New Roman"/>
          <w:sz w:val="24"/>
          <w:szCs w:val="24"/>
        </w:rPr>
        <w:t xml:space="preserve"> thanks</w:t>
      </w:r>
      <w:r w:rsidRPr="00F502C3">
        <w:rPr>
          <w:rFonts w:ascii="Times New Roman" w:hAnsi="Times New Roman" w:cs="Times New Roman"/>
          <w:sz w:val="24"/>
          <w:szCs w:val="24"/>
        </w:rPr>
        <w:t xml:space="preserve"> </w:t>
      </w:r>
      <w:r w:rsidR="00F33A4A" w:rsidRPr="00F502C3">
        <w:rPr>
          <w:rFonts w:ascii="Times New Roman" w:hAnsi="Times New Roman" w:cs="Times New Roman"/>
          <w:sz w:val="24"/>
          <w:szCs w:val="24"/>
        </w:rPr>
        <w:t>and regards to all listed Dhaka Stock Exchange Bank for making available information on online.</w:t>
      </w:r>
    </w:p>
    <w:p w:rsidR="00DC156D" w:rsidRPr="00F502C3" w:rsidRDefault="00DC156D"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Finally, this report would not have been</w:t>
      </w:r>
      <w:r w:rsidR="000830E2" w:rsidRPr="00F502C3">
        <w:rPr>
          <w:rFonts w:ascii="Times New Roman" w:hAnsi="Times New Roman" w:cs="Times New Roman"/>
          <w:sz w:val="24"/>
          <w:szCs w:val="24"/>
        </w:rPr>
        <w:t xml:space="preserve"> possible without the induction</w:t>
      </w:r>
      <w:r w:rsidRPr="00F502C3">
        <w:rPr>
          <w:rFonts w:ascii="Times New Roman" w:hAnsi="Times New Roman" w:cs="Times New Roman"/>
          <w:sz w:val="24"/>
          <w:szCs w:val="24"/>
        </w:rPr>
        <w:t xml:space="preserve"> and contribution of my parents who has support</w:t>
      </w:r>
      <w:r w:rsidR="000830E2" w:rsidRPr="00F502C3">
        <w:rPr>
          <w:rFonts w:ascii="Times New Roman" w:hAnsi="Times New Roman" w:cs="Times New Roman"/>
          <w:sz w:val="24"/>
          <w:szCs w:val="24"/>
        </w:rPr>
        <w:t>ed me financially to work on this</w:t>
      </w:r>
      <w:r w:rsidRPr="00F502C3">
        <w:rPr>
          <w:rFonts w:ascii="Times New Roman" w:hAnsi="Times New Roman" w:cs="Times New Roman"/>
          <w:sz w:val="24"/>
          <w:szCs w:val="24"/>
        </w:rPr>
        <w:t xml:space="preserve"> project. I express my sincere gratitude to all of them who help me</w:t>
      </w:r>
      <w:r w:rsidR="000830E2" w:rsidRPr="00F502C3">
        <w:rPr>
          <w:rFonts w:ascii="Times New Roman" w:hAnsi="Times New Roman" w:cs="Times New Roman"/>
          <w:sz w:val="24"/>
          <w:szCs w:val="24"/>
        </w:rPr>
        <w:t xml:space="preserve"> and proper guidance</w:t>
      </w:r>
      <w:r w:rsidRPr="00F502C3">
        <w:rPr>
          <w:rFonts w:ascii="Times New Roman" w:hAnsi="Times New Roman" w:cs="Times New Roman"/>
          <w:sz w:val="24"/>
          <w:szCs w:val="24"/>
        </w:rPr>
        <w:t xml:space="preserve"> to c</w:t>
      </w:r>
      <w:r w:rsidR="000830E2" w:rsidRPr="00F502C3">
        <w:rPr>
          <w:rFonts w:ascii="Times New Roman" w:hAnsi="Times New Roman" w:cs="Times New Roman"/>
          <w:sz w:val="24"/>
          <w:szCs w:val="24"/>
        </w:rPr>
        <w:t xml:space="preserve">ollect the information and also help me to complete the project. </w:t>
      </w:r>
      <w:r w:rsidRPr="00F502C3">
        <w:rPr>
          <w:rFonts w:ascii="Times New Roman" w:hAnsi="Times New Roman" w:cs="Times New Roman"/>
          <w:sz w:val="24"/>
          <w:szCs w:val="24"/>
        </w:rPr>
        <w:t>Their valuable contribution</w:t>
      </w:r>
      <w:r w:rsidR="000830E2" w:rsidRPr="00F502C3">
        <w:rPr>
          <w:rFonts w:ascii="Times New Roman" w:hAnsi="Times New Roman" w:cs="Times New Roman"/>
          <w:sz w:val="24"/>
          <w:szCs w:val="24"/>
        </w:rPr>
        <w:t xml:space="preserve"> and sincerity</w:t>
      </w:r>
      <w:r w:rsidRPr="00F502C3">
        <w:rPr>
          <w:rFonts w:ascii="Times New Roman" w:hAnsi="Times New Roman" w:cs="Times New Roman"/>
          <w:sz w:val="24"/>
          <w:szCs w:val="24"/>
        </w:rPr>
        <w:t xml:space="preserve"> is what made this term paper possible.</w:t>
      </w:r>
    </w:p>
    <w:p w:rsidR="00DC156D" w:rsidRPr="00F502C3" w:rsidRDefault="00DC156D" w:rsidP="00DD4D31">
      <w:pPr>
        <w:spacing w:line="360" w:lineRule="auto"/>
        <w:jc w:val="both"/>
        <w:rPr>
          <w:rFonts w:ascii="Times New Roman" w:hAnsi="Times New Roman" w:cs="Times New Roman"/>
          <w:sz w:val="24"/>
          <w:szCs w:val="24"/>
        </w:rPr>
      </w:pPr>
    </w:p>
    <w:p w:rsidR="00DC156D" w:rsidRPr="00F502C3" w:rsidRDefault="00DC156D" w:rsidP="00DD4D31">
      <w:pPr>
        <w:spacing w:line="360" w:lineRule="auto"/>
        <w:jc w:val="both"/>
        <w:rPr>
          <w:rFonts w:ascii="Times New Roman" w:hAnsi="Times New Roman" w:cs="Times New Roman"/>
          <w:sz w:val="24"/>
          <w:szCs w:val="24"/>
        </w:rPr>
      </w:pPr>
    </w:p>
    <w:p w:rsidR="00306EA7" w:rsidRPr="00F502C3" w:rsidRDefault="00306EA7" w:rsidP="00DD4D31">
      <w:pPr>
        <w:tabs>
          <w:tab w:val="left" w:pos="3660"/>
        </w:tabs>
        <w:spacing w:line="360" w:lineRule="auto"/>
        <w:jc w:val="both"/>
        <w:rPr>
          <w:rFonts w:ascii="Times New Roman" w:hAnsi="Times New Roman" w:cs="Times New Roman"/>
          <w:sz w:val="24"/>
          <w:szCs w:val="24"/>
        </w:rPr>
      </w:pPr>
    </w:p>
    <w:p w:rsidR="00F33A4A" w:rsidRPr="00F502C3" w:rsidRDefault="00306EA7"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ab/>
      </w:r>
    </w:p>
    <w:p w:rsidR="00F33A4A" w:rsidRPr="00F502C3" w:rsidRDefault="00F33A4A" w:rsidP="00DD4D31">
      <w:pPr>
        <w:spacing w:line="360" w:lineRule="auto"/>
        <w:jc w:val="both"/>
        <w:rPr>
          <w:rFonts w:ascii="Times New Roman" w:hAnsi="Times New Roman" w:cs="Times New Roman"/>
          <w:sz w:val="24"/>
          <w:szCs w:val="24"/>
        </w:rPr>
      </w:pPr>
    </w:p>
    <w:p w:rsidR="00F33A4A" w:rsidRPr="00F502C3" w:rsidRDefault="00F33A4A" w:rsidP="00DD4D31">
      <w:pPr>
        <w:spacing w:line="360" w:lineRule="auto"/>
        <w:jc w:val="both"/>
        <w:rPr>
          <w:rFonts w:ascii="Times New Roman" w:hAnsi="Times New Roman" w:cs="Times New Roman"/>
          <w:sz w:val="24"/>
          <w:szCs w:val="24"/>
        </w:rPr>
      </w:pPr>
    </w:p>
    <w:p w:rsidR="00F33A4A" w:rsidRPr="00F502C3" w:rsidRDefault="00F33A4A" w:rsidP="00DD4D31">
      <w:pPr>
        <w:spacing w:line="360" w:lineRule="auto"/>
        <w:jc w:val="both"/>
        <w:rPr>
          <w:rFonts w:ascii="Times New Roman" w:hAnsi="Times New Roman" w:cs="Times New Roman"/>
          <w:sz w:val="24"/>
          <w:szCs w:val="24"/>
        </w:rPr>
      </w:pPr>
    </w:p>
    <w:p w:rsidR="00F33A4A" w:rsidRPr="00F502C3" w:rsidRDefault="00F33A4A" w:rsidP="00DD4D31">
      <w:pPr>
        <w:spacing w:line="360" w:lineRule="auto"/>
        <w:jc w:val="both"/>
        <w:rPr>
          <w:rFonts w:ascii="Times New Roman" w:hAnsi="Times New Roman" w:cs="Times New Roman"/>
          <w:sz w:val="24"/>
          <w:szCs w:val="24"/>
        </w:rPr>
      </w:pPr>
    </w:p>
    <w:p w:rsidR="00306EA7" w:rsidRPr="00F502C3" w:rsidRDefault="00306EA7" w:rsidP="000427D4">
      <w:pPr>
        <w:spacing w:line="360" w:lineRule="auto"/>
        <w:jc w:val="center"/>
        <w:rPr>
          <w:rFonts w:ascii="Times New Roman" w:hAnsi="Times New Roman" w:cs="Times New Roman"/>
          <w:b/>
          <w:bCs/>
          <w:sz w:val="28"/>
          <w:szCs w:val="28"/>
        </w:rPr>
      </w:pPr>
      <w:r w:rsidRPr="00F502C3">
        <w:rPr>
          <w:rFonts w:ascii="Times New Roman" w:hAnsi="Times New Roman" w:cs="Times New Roman"/>
          <w:b/>
          <w:bCs/>
          <w:sz w:val="28"/>
          <w:szCs w:val="28"/>
        </w:rPr>
        <w:t>Letter of Transmittal</w:t>
      </w:r>
    </w:p>
    <w:p w:rsidR="00306EA7" w:rsidRPr="00F502C3" w:rsidRDefault="00306EA7" w:rsidP="00DD4D31">
      <w:pPr>
        <w:spacing w:line="360" w:lineRule="auto"/>
        <w:jc w:val="both"/>
        <w:rPr>
          <w:rFonts w:ascii="Times New Roman" w:hAnsi="Times New Roman" w:cs="Times New Roman"/>
          <w:b/>
          <w:bCs/>
          <w:sz w:val="24"/>
          <w:szCs w:val="24"/>
        </w:rPr>
      </w:pPr>
    </w:p>
    <w:p w:rsidR="00306EA7" w:rsidRPr="00F502C3" w:rsidRDefault="00306EA7" w:rsidP="00DD4D31">
      <w:pPr>
        <w:spacing w:line="360" w:lineRule="auto"/>
        <w:jc w:val="both"/>
        <w:rPr>
          <w:rFonts w:ascii="Times New Roman" w:hAnsi="Times New Roman" w:cs="Times New Roman"/>
          <w:sz w:val="24"/>
          <w:szCs w:val="24"/>
        </w:rPr>
      </w:pPr>
      <w:bookmarkStart w:id="0" w:name="_Hlk17012510"/>
      <w:proofErr w:type="spellStart"/>
      <w:r w:rsidRPr="00F502C3">
        <w:rPr>
          <w:rFonts w:ascii="Times New Roman" w:hAnsi="Times New Roman" w:cs="Times New Roman"/>
          <w:sz w:val="24"/>
          <w:szCs w:val="24"/>
        </w:rPr>
        <w:t>Mofijul</w:t>
      </w:r>
      <w:proofErr w:type="spellEnd"/>
      <w:r w:rsidRPr="00F502C3">
        <w:rPr>
          <w:rFonts w:ascii="Times New Roman" w:hAnsi="Times New Roman" w:cs="Times New Roman"/>
          <w:sz w:val="24"/>
          <w:szCs w:val="24"/>
        </w:rPr>
        <w:t xml:space="preserve"> </w:t>
      </w:r>
      <w:proofErr w:type="spellStart"/>
      <w:r w:rsidRPr="00F502C3">
        <w:rPr>
          <w:rFonts w:ascii="Times New Roman" w:hAnsi="Times New Roman" w:cs="Times New Roman"/>
          <w:sz w:val="24"/>
          <w:szCs w:val="24"/>
        </w:rPr>
        <w:t>Hoq</w:t>
      </w:r>
      <w:proofErr w:type="spellEnd"/>
      <w:r w:rsidRPr="00F502C3">
        <w:rPr>
          <w:rFonts w:ascii="Times New Roman" w:hAnsi="Times New Roman" w:cs="Times New Roman"/>
          <w:sz w:val="24"/>
          <w:szCs w:val="24"/>
        </w:rPr>
        <w:t xml:space="preserve"> </w:t>
      </w:r>
      <w:proofErr w:type="spellStart"/>
      <w:r w:rsidRPr="00F502C3">
        <w:rPr>
          <w:rFonts w:ascii="Times New Roman" w:hAnsi="Times New Roman" w:cs="Times New Roman"/>
          <w:sz w:val="24"/>
          <w:szCs w:val="24"/>
        </w:rPr>
        <w:t>Masum</w:t>
      </w:r>
      <w:proofErr w:type="spellEnd"/>
      <w:r w:rsidRPr="00F502C3">
        <w:rPr>
          <w:rFonts w:ascii="Times New Roman" w:hAnsi="Times New Roman" w:cs="Times New Roman"/>
          <w:sz w:val="24"/>
          <w:szCs w:val="24"/>
        </w:rPr>
        <w:t xml:space="preserve"> </w:t>
      </w:r>
    </w:p>
    <w:bookmarkEnd w:id="0"/>
    <w:p w:rsidR="00306EA7" w:rsidRPr="00F502C3" w:rsidRDefault="00306EA7"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Assistant professor</w:t>
      </w:r>
    </w:p>
    <w:p w:rsidR="00306EA7" w:rsidRPr="00F502C3" w:rsidRDefault="00306EA7"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School of Business &amp; Economics</w:t>
      </w:r>
    </w:p>
    <w:p w:rsidR="00306EA7" w:rsidRPr="00F502C3" w:rsidRDefault="00306EA7"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United International University </w:t>
      </w:r>
    </w:p>
    <w:p w:rsidR="00306EA7" w:rsidRPr="00F502C3" w:rsidRDefault="00306EA7"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Subject: </w:t>
      </w:r>
      <w:r w:rsidRPr="00F502C3">
        <w:rPr>
          <w:rFonts w:ascii="Times New Roman" w:hAnsi="Times New Roman" w:cs="Times New Roman"/>
          <w:b/>
          <w:sz w:val="24"/>
          <w:szCs w:val="24"/>
        </w:rPr>
        <w:t>Submission of project report</w:t>
      </w:r>
      <w:r w:rsidR="001B0978" w:rsidRPr="00F502C3">
        <w:rPr>
          <w:rFonts w:ascii="Times New Roman" w:hAnsi="Times New Roman" w:cs="Times New Roman"/>
          <w:b/>
          <w:sz w:val="24"/>
          <w:szCs w:val="24"/>
        </w:rPr>
        <w:t>.</w:t>
      </w:r>
      <w:r w:rsidR="00086C68" w:rsidRPr="00F502C3">
        <w:rPr>
          <w:rFonts w:ascii="Times New Roman" w:hAnsi="Times New Roman" w:cs="Times New Roman"/>
          <w:b/>
          <w:sz w:val="24"/>
          <w:szCs w:val="24"/>
        </w:rPr>
        <w:t xml:space="preserve"> </w:t>
      </w:r>
    </w:p>
    <w:p w:rsidR="00306EA7" w:rsidRPr="00F502C3" w:rsidRDefault="00306EA7"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Dear Sir, </w:t>
      </w:r>
    </w:p>
    <w:p w:rsidR="00306EA7" w:rsidRPr="00F502C3" w:rsidRDefault="00306EA7"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With due respect, I would like to inform you </w:t>
      </w:r>
      <w:r w:rsidR="007A59E6" w:rsidRPr="00F502C3">
        <w:rPr>
          <w:rFonts w:ascii="Times New Roman" w:hAnsi="Times New Roman" w:cs="Times New Roman"/>
          <w:sz w:val="24"/>
          <w:szCs w:val="24"/>
        </w:rPr>
        <w:t>that, it is a great pleasure for</w:t>
      </w:r>
      <w:r w:rsidRPr="00F502C3">
        <w:rPr>
          <w:rFonts w:ascii="Times New Roman" w:hAnsi="Times New Roman" w:cs="Times New Roman"/>
          <w:sz w:val="24"/>
          <w:szCs w:val="24"/>
        </w:rPr>
        <w:t xml:space="preserve"> me to submit the project on “</w:t>
      </w:r>
      <w:r w:rsidR="000B4CE7">
        <w:rPr>
          <w:rFonts w:ascii="Times New Roman" w:hAnsi="Times New Roman" w:cs="Times New Roman"/>
          <w:b/>
          <w:sz w:val="24"/>
          <w:szCs w:val="24"/>
        </w:rPr>
        <w:t>P</w:t>
      </w:r>
      <w:r w:rsidR="00EC408E" w:rsidRPr="00F502C3">
        <w:rPr>
          <w:rFonts w:ascii="Times New Roman" w:hAnsi="Times New Roman" w:cs="Times New Roman"/>
          <w:b/>
          <w:sz w:val="24"/>
          <w:szCs w:val="24"/>
        </w:rPr>
        <w:t>erformance</w:t>
      </w:r>
      <w:r w:rsidR="000B4CE7">
        <w:rPr>
          <w:rFonts w:ascii="Times New Roman" w:hAnsi="Times New Roman" w:cs="Times New Roman"/>
          <w:b/>
          <w:sz w:val="24"/>
          <w:szCs w:val="24"/>
        </w:rPr>
        <w:t xml:space="preserve"> measurement of Banking industry’’ </w:t>
      </w:r>
      <w:r w:rsidR="000B4CE7">
        <w:rPr>
          <w:rFonts w:ascii="Times New Roman" w:hAnsi="Times New Roman" w:cs="Times New Roman"/>
          <w:sz w:val="24"/>
          <w:szCs w:val="24"/>
        </w:rPr>
        <w:t xml:space="preserve">evidence from DSE listed </w:t>
      </w:r>
      <w:r w:rsidR="00066152">
        <w:rPr>
          <w:rFonts w:ascii="Times New Roman" w:hAnsi="Times New Roman" w:cs="Times New Roman"/>
          <w:sz w:val="24"/>
          <w:szCs w:val="24"/>
        </w:rPr>
        <w:t xml:space="preserve">banks </w:t>
      </w:r>
      <w:r w:rsidR="00066152" w:rsidRPr="00F502C3">
        <w:rPr>
          <w:rFonts w:ascii="Times New Roman" w:hAnsi="Times New Roman" w:cs="Times New Roman"/>
          <w:b/>
          <w:sz w:val="24"/>
          <w:szCs w:val="24"/>
        </w:rPr>
        <w:t>as</w:t>
      </w:r>
      <w:r w:rsidRPr="00F502C3">
        <w:rPr>
          <w:rFonts w:ascii="Times New Roman" w:hAnsi="Times New Roman" w:cs="Times New Roman"/>
          <w:sz w:val="24"/>
          <w:szCs w:val="24"/>
        </w:rPr>
        <w:t xml:space="preserve"> requirement for the completion of BBA in AIS program. I have </w:t>
      </w:r>
      <w:r w:rsidR="00884C01" w:rsidRPr="00F502C3">
        <w:rPr>
          <w:rFonts w:ascii="Times New Roman" w:hAnsi="Times New Roman" w:cs="Times New Roman"/>
          <w:sz w:val="24"/>
          <w:szCs w:val="24"/>
        </w:rPr>
        <w:t>tried to make the report a magnificent</w:t>
      </w:r>
      <w:r w:rsidRPr="00F502C3">
        <w:rPr>
          <w:rFonts w:ascii="Times New Roman" w:hAnsi="Times New Roman" w:cs="Times New Roman"/>
          <w:sz w:val="24"/>
          <w:szCs w:val="24"/>
        </w:rPr>
        <w:t xml:space="preserve"> one within the giv</w:t>
      </w:r>
      <w:r w:rsidR="00EC408E" w:rsidRPr="00F502C3">
        <w:rPr>
          <w:rFonts w:ascii="Times New Roman" w:hAnsi="Times New Roman" w:cs="Times New Roman"/>
          <w:sz w:val="24"/>
          <w:szCs w:val="24"/>
        </w:rPr>
        <w:t>en 3 months of time. I cordially</w:t>
      </w:r>
      <w:r w:rsidRPr="00F502C3">
        <w:rPr>
          <w:rFonts w:ascii="Times New Roman" w:hAnsi="Times New Roman" w:cs="Times New Roman"/>
          <w:sz w:val="24"/>
          <w:szCs w:val="24"/>
        </w:rPr>
        <w:t xml:space="preserve"> thank you for your</w:t>
      </w:r>
      <w:r w:rsidR="00EC408E" w:rsidRPr="00F502C3">
        <w:rPr>
          <w:rFonts w:ascii="Times New Roman" w:hAnsi="Times New Roman" w:cs="Times New Roman"/>
          <w:sz w:val="24"/>
          <w:szCs w:val="24"/>
        </w:rPr>
        <w:t xml:space="preserve"> right</w:t>
      </w:r>
      <w:r w:rsidRPr="00F502C3">
        <w:rPr>
          <w:rFonts w:ascii="Times New Roman" w:hAnsi="Times New Roman" w:cs="Times New Roman"/>
          <w:sz w:val="24"/>
          <w:szCs w:val="24"/>
        </w:rPr>
        <w:t xml:space="preserve"> guidance</w:t>
      </w:r>
      <w:r w:rsidR="00EC408E" w:rsidRPr="00F502C3">
        <w:rPr>
          <w:rFonts w:ascii="Times New Roman" w:hAnsi="Times New Roman" w:cs="Times New Roman"/>
          <w:sz w:val="24"/>
          <w:szCs w:val="24"/>
        </w:rPr>
        <w:t xml:space="preserve"> and help</w:t>
      </w:r>
      <w:r w:rsidR="00884C01" w:rsidRPr="00F502C3">
        <w:rPr>
          <w:rFonts w:ascii="Times New Roman" w:hAnsi="Times New Roman" w:cs="Times New Roman"/>
          <w:sz w:val="24"/>
          <w:szCs w:val="24"/>
        </w:rPr>
        <w:t xml:space="preserve"> me</w:t>
      </w:r>
      <w:r w:rsidRPr="00F502C3">
        <w:rPr>
          <w:rFonts w:ascii="Times New Roman" w:hAnsi="Times New Roman" w:cs="Times New Roman"/>
          <w:sz w:val="24"/>
          <w:szCs w:val="24"/>
        </w:rPr>
        <w:t xml:space="preserve"> during the preparation of this report. Without the proper guidance</w:t>
      </w:r>
      <w:r w:rsidR="00EC408E" w:rsidRPr="00F502C3">
        <w:rPr>
          <w:rFonts w:ascii="Times New Roman" w:hAnsi="Times New Roman" w:cs="Times New Roman"/>
          <w:sz w:val="24"/>
          <w:szCs w:val="24"/>
        </w:rPr>
        <w:t xml:space="preserve"> and co-operation</w:t>
      </w:r>
      <w:r w:rsidRPr="00F502C3">
        <w:rPr>
          <w:rFonts w:ascii="Times New Roman" w:hAnsi="Times New Roman" w:cs="Times New Roman"/>
          <w:sz w:val="24"/>
          <w:szCs w:val="24"/>
        </w:rPr>
        <w:t xml:space="preserve"> of you, it wa</w:t>
      </w:r>
      <w:r w:rsidR="00EC408E" w:rsidRPr="00F502C3">
        <w:rPr>
          <w:rFonts w:ascii="Times New Roman" w:hAnsi="Times New Roman" w:cs="Times New Roman"/>
          <w:sz w:val="24"/>
          <w:szCs w:val="24"/>
        </w:rPr>
        <w:t>s not possible for me to complete</w:t>
      </w:r>
      <w:r w:rsidRPr="00F502C3">
        <w:rPr>
          <w:rFonts w:ascii="Times New Roman" w:hAnsi="Times New Roman" w:cs="Times New Roman"/>
          <w:sz w:val="24"/>
          <w:szCs w:val="24"/>
        </w:rPr>
        <w:t xml:space="preserve"> the report</w:t>
      </w:r>
      <w:r w:rsidR="00EC408E" w:rsidRPr="00F502C3">
        <w:rPr>
          <w:rFonts w:ascii="Times New Roman" w:hAnsi="Times New Roman" w:cs="Times New Roman"/>
          <w:sz w:val="24"/>
          <w:szCs w:val="24"/>
        </w:rPr>
        <w:t xml:space="preserve">. And it was very tough to me submit the project paper on time.  </w:t>
      </w:r>
      <w:r w:rsidRPr="00F502C3">
        <w:rPr>
          <w:rFonts w:ascii="Times New Roman" w:hAnsi="Times New Roman" w:cs="Times New Roman"/>
          <w:sz w:val="24"/>
          <w:szCs w:val="24"/>
        </w:rPr>
        <w:t xml:space="preserve"> </w:t>
      </w:r>
    </w:p>
    <w:p w:rsidR="00306EA7" w:rsidRDefault="00306EA7"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I there</w:t>
      </w:r>
      <w:r w:rsidR="00884C01" w:rsidRPr="00F502C3">
        <w:rPr>
          <w:rFonts w:ascii="Times New Roman" w:hAnsi="Times New Roman" w:cs="Times New Roman"/>
          <w:sz w:val="24"/>
          <w:szCs w:val="24"/>
        </w:rPr>
        <w:t>fore, request you to accept my</w:t>
      </w:r>
      <w:r w:rsidRPr="00F502C3">
        <w:rPr>
          <w:rFonts w:ascii="Times New Roman" w:hAnsi="Times New Roman" w:cs="Times New Roman"/>
          <w:sz w:val="24"/>
          <w:szCs w:val="24"/>
        </w:rPr>
        <w:t xml:space="preserve"> report and give me</w:t>
      </w:r>
      <w:r w:rsidR="00086C68" w:rsidRPr="00F502C3">
        <w:rPr>
          <w:rFonts w:ascii="Times New Roman" w:hAnsi="Times New Roman" w:cs="Times New Roman"/>
          <w:sz w:val="24"/>
          <w:szCs w:val="24"/>
        </w:rPr>
        <w:t xml:space="preserve"> a</w:t>
      </w:r>
      <w:r w:rsidRPr="00F502C3">
        <w:rPr>
          <w:rFonts w:ascii="Times New Roman" w:hAnsi="Times New Roman" w:cs="Times New Roman"/>
          <w:sz w:val="24"/>
          <w:szCs w:val="24"/>
        </w:rPr>
        <w:t xml:space="preserve"> </w:t>
      </w:r>
      <w:r w:rsidR="00884C01" w:rsidRPr="00F502C3">
        <w:rPr>
          <w:rFonts w:ascii="Times New Roman" w:hAnsi="Times New Roman" w:cs="Times New Roman"/>
          <w:sz w:val="24"/>
          <w:szCs w:val="24"/>
        </w:rPr>
        <w:t>proper guidance</w:t>
      </w:r>
      <w:r w:rsidR="007F1DFC" w:rsidRPr="00F502C3">
        <w:rPr>
          <w:rFonts w:ascii="Times New Roman" w:hAnsi="Times New Roman" w:cs="Times New Roman"/>
          <w:sz w:val="24"/>
          <w:szCs w:val="24"/>
        </w:rPr>
        <w:t xml:space="preserve"> to work in my </w:t>
      </w:r>
      <w:r w:rsidR="00884C01" w:rsidRPr="00F502C3">
        <w:rPr>
          <w:rFonts w:ascii="Times New Roman" w:hAnsi="Times New Roman" w:cs="Times New Roman"/>
          <w:sz w:val="24"/>
          <w:szCs w:val="24"/>
        </w:rPr>
        <w:t xml:space="preserve">professional life and I </w:t>
      </w:r>
      <w:r w:rsidRPr="00F502C3">
        <w:rPr>
          <w:rFonts w:ascii="Times New Roman" w:hAnsi="Times New Roman" w:cs="Times New Roman"/>
          <w:sz w:val="24"/>
          <w:szCs w:val="24"/>
        </w:rPr>
        <w:t>hope that the mistake, the report may have will be kind excused Lastl</w:t>
      </w:r>
      <w:r w:rsidR="00086C68" w:rsidRPr="00F502C3">
        <w:rPr>
          <w:rFonts w:ascii="Times New Roman" w:hAnsi="Times New Roman" w:cs="Times New Roman"/>
          <w:sz w:val="24"/>
          <w:szCs w:val="24"/>
        </w:rPr>
        <w:t>y, I beg your kind concern</w:t>
      </w:r>
      <w:r w:rsidRPr="00F502C3">
        <w:rPr>
          <w:rFonts w:ascii="Times New Roman" w:hAnsi="Times New Roman" w:cs="Times New Roman"/>
          <w:sz w:val="24"/>
          <w:szCs w:val="24"/>
        </w:rPr>
        <w:t xml:space="preserve"> for evaluating report</w:t>
      </w:r>
    </w:p>
    <w:p w:rsidR="000427D4" w:rsidRDefault="000427D4"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Thank You</w:t>
      </w:r>
    </w:p>
    <w:p w:rsidR="000427D4" w:rsidRDefault="000427D4"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Yours faithfully, </w:t>
      </w:r>
    </w:p>
    <w:p w:rsidR="000427D4" w:rsidRDefault="000427D4" w:rsidP="00DD4D31">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Mahedi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Hasan</w:t>
      </w:r>
      <w:proofErr w:type="spellEnd"/>
    </w:p>
    <w:p w:rsidR="000427D4" w:rsidRDefault="000427D4"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114151028</w:t>
      </w:r>
    </w:p>
    <w:p w:rsidR="00306EA7" w:rsidRPr="00F502C3" w:rsidRDefault="000427D4" w:rsidP="00347657">
      <w:pPr>
        <w:spacing w:line="360" w:lineRule="auto"/>
        <w:jc w:val="both"/>
        <w:rPr>
          <w:rFonts w:ascii="Times New Roman" w:hAnsi="Times New Roman" w:cs="Times New Roman"/>
          <w:sz w:val="24"/>
          <w:szCs w:val="24"/>
        </w:rPr>
      </w:pPr>
      <w:r>
        <w:rPr>
          <w:rFonts w:ascii="Times New Roman" w:hAnsi="Times New Roman" w:cs="Times New Roman"/>
          <w:sz w:val="24"/>
          <w:szCs w:val="24"/>
        </w:rPr>
        <w:t>BBA in AIS</w:t>
      </w:r>
    </w:p>
    <w:p w:rsidR="00123D76" w:rsidRDefault="00123D76" w:rsidP="00DD4D31">
      <w:pPr>
        <w:tabs>
          <w:tab w:val="left" w:pos="1365"/>
          <w:tab w:val="left" w:pos="3660"/>
          <w:tab w:val="center" w:pos="4680"/>
        </w:tabs>
        <w:spacing w:line="360" w:lineRule="auto"/>
        <w:jc w:val="both"/>
        <w:rPr>
          <w:rFonts w:ascii="Times New Roman" w:hAnsi="Times New Roman" w:cs="Times New Roman"/>
          <w:b/>
          <w:sz w:val="28"/>
          <w:szCs w:val="28"/>
        </w:rPr>
      </w:pPr>
    </w:p>
    <w:p w:rsidR="00476824" w:rsidRPr="00F502C3" w:rsidRDefault="00576E1B" w:rsidP="00123D76">
      <w:pPr>
        <w:tabs>
          <w:tab w:val="left" w:pos="1365"/>
          <w:tab w:val="left" w:pos="3660"/>
          <w:tab w:val="center" w:pos="4680"/>
        </w:tabs>
        <w:spacing w:line="360" w:lineRule="auto"/>
        <w:jc w:val="center"/>
        <w:rPr>
          <w:rFonts w:ascii="Times New Roman" w:hAnsi="Times New Roman" w:cs="Times New Roman"/>
          <w:b/>
          <w:sz w:val="28"/>
          <w:szCs w:val="28"/>
        </w:rPr>
      </w:pPr>
      <w:r w:rsidRPr="00F502C3">
        <w:rPr>
          <w:rFonts w:ascii="Times New Roman" w:hAnsi="Times New Roman" w:cs="Times New Roman"/>
          <w:b/>
          <w:sz w:val="28"/>
          <w:szCs w:val="28"/>
        </w:rPr>
        <w:t>Abstract</w:t>
      </w:r>
    </w:p>
    <w:p w:rsidR="00123D76" w:rsidRDefault="00576E1B" w:rsidP="00DD4D31">
      <w:pPr>
        <w:tabs>
          <w:tab w:val="left" w:pos="3660"/>
        </w:tabs>
        <w:spacing w:line="360" w:lineRule="auto"/>
        <w:jc w:val="both"/>
        <w:rPr>
          <w:rFonts w:ascii="Times New Roman" w:hAnsi="Times New Roman" w:cs="Times New Roman"/>
          <w:sz w:val="24"/>
          <w:szCs w:val="24"/>
        </w:rPr>
      </w:pPr>
      <w:bookmarkStart w:id="1" w:name="_GoBack"/>
      <w:r w:rsidRPr="00F502C3">
        <w:rPr>
          <w:rFonts w:ascii="Times New Roman" w:hAnsi="Times New Roman" w:cs="Times New Roman"/>
          <w:sz w:val="24"/>
          <w:szCs w:val="24"/>
        </w:rPr>
        <w:t xml:space="preserve">This Paper has </w:t>
      </w:r>
      <w:r w:rsidR="000B4CE7">
        <w:rPr>
          <w:rFonts w:ascii="Times New Roman" w:hAnsi="Times New Roman" w:cs="Times New Roman"/>
          <w:sz w:val="24"/>
          <w:szCs w:val="24"/>
        </w:rPr>
        <w:t xml:space="preserve">showed the comparative performance assessment of </w:t>
      </w:r>
      <w:r w:rsidRPr="00F502C3">
        <w:rPr>
          <w:rFonts w:ascii="Times New Roman" w:hAnsi="Times New Roman" w:cs="Times New Roman"/>
          <w:sz w:val="24"/>
          <w:szCs w:val="24"/>
        </w:rPr>
        <w:t xml:space="preserve">listed banking Industry in DSE. And analysis Board attributes, board </w:t>
      </w:r>
      <w:r w:rsidR="003B532B">
        <w:rPr>
          <w:rFonts w:ascii="Times New Roman" w:hAnsi="Times New Roman" w:cs="Times New Roman"/>
          <w:sz w:val="24"/>
          <w:szCs w:val="24"/>
        </w:rPr>
        <w:t>Size, ownership. Financial</w:t>
      </w:r>
      <w:r w:rsidR="008302FA" w:rsidRPr="00F502C3">
        <w:rPr>
          <w:rFonts w:ascii="Times New Roman" w:hAnsi="Times New Roman" w:cs="Times New Roman"/>
          <w:sz w:val="24"/>
          <w:szCs w:val="24"/>
        </w:rPr>
        <w:t xml:space="preserve"> ratios have been employ</w:t>
      </w:r>
      <w:r w:rsidR="003B532B">
        <w:rPr>
          <w:rFonts w:ascii="Times New Roman" w:hAnsi="Times New Roman" w:cs="Times New Roman"/>
          <w:sz w:val="24"/>
          <w:szCs w:val="24"/>
        </w:rPr>
        <w:t xml:space="preserve">ed to measure </w:t>
      </w:r>
      <w:r w:rsidR="008302FA" w:rsidRPr="00F502C3">
        <w:rPr>
          <w:rFonts w:ascii="Times New Roman" w:hAnsi="Times New Roman" w:cs="Times New Roman"/>
          <w:sz w:val="24"/>
          <w:szCs w:val="24"/>
        </w:rPr>
        <w:t>the</w:t>
      </w:r>
      <w:r w:rsidR="003B532B">
        <w:rPr>
          <w:rFonts w:ascii="Times New Roman" w:hAnsi="Times New Roman" w:cs="Times New Roman"/>
          <w:sz w:val="24"/>
          <w:szCs w:val="24"/>
        </w:rPr>
        <w:t xml:space="preserve"> Profitability,</w:t>
      </w:r>
      <w:r w:rsidR="008302FA" w:rsidRPr="00F502C3">
        <w:rPr>
          <w:rFonts w:ascii="Times New Roman" w:hAnsi="Times New Roman" w:cs="Times New Roman"/>
          <w:sz w:val="24"/>
          <w:szCs w:val="24"/>
        </w:rPr>
        <w:t xml:space="preserve"> </w:t>
      </w:r>
      <w:r w:rsidR="003B532B">
        <w:rPr>
          <w:rFonts w:ascii="Times New Roman" w:hAnsi="Times New Roman" w:cs="Times New Roman"/>
          <w:sz w:val="24"/>
          <w:szCs w:val="24"/>
        </w:rPr>
        <w:t xml:space="preserve">capital </w:t>
      </w:r>
      <w:r w:rsidR="00066152">
        <w:rPr>
          <w:rFonts w:ascii="Times New Roman" w:hAnsi="Times New Roman" w:cs="Times New Roman"/>
          <w:sz w:val="24"/>
          <w:szCs w:val="24"/>
        </w:rPr>
        <w:t>adequacy, Asset</w:t>
      </w:r>
      <w:r w:rsidR="003B532B">
        <w:rPr>
          <w:rFonts w:ascii="Times New Roman" w:hAnsi="Times New Roman" w:cs="Times New Roman"/>
          <w:sz w:val="24"/>
          <w:szCs w:val="24"/>
        </w:rPr>
        <w:t xml:space="preserve"> situation, </w:t>
      </w:r>
      <w:r w:rsidR="008302FA" w:rsidRPr="00F502C3">
        <w:rPr>
          <w:rFonts w:ascii="Times New Roman" w:hAnsi="Times New Roman" w:cs="Times New Roman"/>
          <w:sz w:val="24"/>
          <w:szCs w:val="24"/>
        </w:rPr>
        <w:t xml:space="preserve">Liability Situation, Liquidity Performance of all listed </w:t>
      </w:r>
      <w:r w:rsidR="00066152" w:rsidRPr="00F502C3">
        <w:rPr>
          <w:rFonts w:ascii="Times New Roman" w:hAnsi="Times New Roman" w:cs="Times New Roman"/>
          <w:sz w:val="24"/>
          <w:szCs w:val="24"/>
        </w:rPr>
        <w:t>Bank. Comparing</w:t>
      </w:r>
      <w:r w:rsidR="000B4CE7">
        <w:rPr>
          <w:rFonts w:ascii="Times New Roman" w:hAnsi="Times New Roman" w:cs="Times New Roman"/>
          <w:sz w:val="24"/>
          <w:szCs w:val="24"/>
        </w:rPr>
        <w:t xml:space="preserve"> this financial ratio, </w:t>
      </w:r>
      <w:r w:rsidR="008302FA" w:rsidRPr="00F502C3">
        <w:rPr>
          <w:rFonts w:ascii="Times New Roman" w:hAnsi="Times New Roman" w:cs="Times New Roman"/>
          <w:sz w:val="24"/>
          <w:szCs w:val="24"/>
        </w:rPr>
        <w:t xml:space="preserve">easily determine which year performance is good or bad. </w:t>
      </w:r>
      <w:r w:rsidR="00212BFB" w:rsidRPr="00F502C3">
        <w:rPr>
          <w:rFonts w:ascii="Times New Roman" w:hAnsi="Times New Roman" w:cs="Times New Roman"/>
          <w:sz w:val="24"/>
          <w:szCs w:val="24"/>
        </w:rPr>
        <w:t xml:space="preserve">That’s why I was found some random ratios. But </w:t>
      </w:r>
      <w:r w:rsidR="00224252" w:rsidRPr="00F502C3">
        <w:rPr>
          <w:rFonts w:ascii="Times New Roman" w:hAnsi="Times New Roman" w:cs="Times New Roman"/>
          <w:sz w:val="24"/>
          <w:szCs w:val="24"/>
        </w:rPr>
        <w:t xml:space="preserve">some ratios are given directly on annual report. </w:t>
      </w:r>
      <w:r w:rsidR="008321A0" w:rsidRPr="00F502C3">
        <w:rPr>
          <w:rFonts w:ascii="Times New Roman" w:hAnsi="Times New Roman" w:cs="Times New Roman"/>
          <w:sz w:val="24"/>
          <w:szCs w:val="24"/>
        </w:rPr>
        <w:t xml:space="preserve">ROI determine Return on Investment. ROI is a versatile and simple. If an investment’s ROI is net positive, it is probably worthwhile. </w:t>
      </w:r>
      <w:r w:rsidR="000427D4" w:rsidRPr="00F502C3">
        <w:rPr>
          <w:rFonts w:ascii="Times New Roman" w:hAnsi="Times New Roman" w:cs="Times New Roman"/>
          <w:sz w:val="24"/>
          <w:szCs w:val="24"/>
        </w:rPr>
        <w:t>So,</w:t>
      </w:r>
      <w:r w:rsidR="00066152">
        <w:rPr>
          <w:rFonts w:ascii="Times New Roman" w:hAnsi="Times New Roman" w:cs="Times New Roman"/>
          <w:sz w:val="24"/>
          <w:szCs w:val="24"/>
        </w:rPr>
        <w:t xml:space="preserve"> </w:t>
      </w:r>
      <w:r w:rsidR="008321A0" w:rsidRPr="00F502C3">
        <w:rPr>
          <w:rFonts w:ascii="Times New Roman" w:hAnsi="Times New Roman" w:cs="Times New Roman"/>
          <w:sz w:val="24"/>
          <w:szCs w:val="24"/>
        </w:rPr>
        <w:t>we can easily</w:t>
      </w:r>
      <w:r w:rsidR="00066152">
        <w:rPr>
          <w:rFonts w:ascii="Times New Roman" w:hAnsi="Times New Roman" w:cs="Times New Roman"/>
          <w:sz w:val="24"/>
          <w:szCs w:val="24"/>
        </w:rPr>
        <w:t xml:space="preserve"> find out and</w:t>
      </w:r>
      <w:r w:rsidR="008321A0" w:rsidRPr="00F502C3">
        <w:rPr>
          <w:rFonts w:ascii="Times New Roman" w:hAnsi="Times New Roman" w:cs="Times New Roman"/>
          <w:sz w:val="24"/>
          <w:szCs w:val="24"/>
        </w:rPr>
        <w:t xml:space="preserve"> determine fro</w:t>
      </w:r>
      <w:r w:rsidR="00066152">
        <w:rPr>
          <w:rFonts w:ascii="Times New Roman" w:hAnsi="Times New Roman" w:cs="Times New Roman"/>
          <w:sz w:val="24"/>
          <w:szCs w:val="24"/>
        </w:rPr>
        <w:t>m</w:t>
      </w:r>
      <w:r w:rsidR="000427D4">
        <w:rPr>
          <w:rFonts w:ascii="Times New Roman" w:hAnsi="Times New Roman" w:cs="Times New Roman"/>
          <w:sz w:val="24"/>
          <w:szCs w:val="24"/>
        </w:rPr>
        <w:t xml:space="preserve"> my</w:t>
      </w:r>
      <w:r w:rsidR="00066152">
        <w:rPr>
          <w:rFonts w:ascii="Times New Roman" w:hAnsi="Times New Roman" w:cs="Times New Roman"/>
          <w:sz w:val="24"/>
          <w:szCs w:val="24"/>
        </w:rPr>
        <w:t xml:space="preserve"> </w:t>
      </w:r>
      <w:r w:rsidR="00E662A0" w:rsidRPr="00F502C3">
        <w:rPr>
          <w:rFonts w:ascii="Times New Roman" w:hAnsi="Times New Roman" w:cs="Times New Roman"/>
          <w:sz w:val="24"/>
          <w:szCs w:val="24"/>
        </w:rPr>
        <w:t>excel</w:t>
      </w:r>
      <w:r w:rsidR="000427D4">
        <w:rPr>
          <w:rFonts w:ascii="Times New Roman" w:hAnsi="Times New Roman" w:cs="Times New Roman"/>
          <w:sz w:val="24"/>
          <w:szCs w:val="24"/>
        </w:rPr>
        <w:t xml:space="preserve"> part</w:t>
      </w:r>
      <w:r w:rsidR="00066152">
        <w:rPr>
          <w:rFonts w:ascii="Times New Roman" w:hAnsi="Times New Roman" w:cs="Times New Roman"/>
          <w:sz w:val="24"/>
          <w:szCs w:val="24"/>
        </w:rPr>
        <w:t xml:space="preserve"> which bank</w:t>
      </w:r>
      <w:r w:rsidR="000427D4">
        <w:rPr>
          <w:rFonts w:ascii="Times New Roman" w:hAnsi="Times New Roman" w:cs="Times New Roman"/>
          <w:sz w:val="24"/>
          <w:szCs w:val="24"/>
        </w:rPr>
        <w:t>s ratio was good.</w:t>
      </w:r>
      <w:r w:rsidR="00E662A0" w:rsidRPr="00F502C3">
        <w:rPr>
          <w:rFonts w:ascii="Times New Roman" w:hAnsi="Times New Roman" w:cs="Times New Roman"/>
          <w:sz w:val="24"/>
          <w:szCs w:val="24"/>
        </w:rPr>
        <w:t xml:space="preserve"> ROE determine return on equity.  The shareholder or others investors on Bank easily can see if they’re getting good return on their money, while a bank can evaluate how efficiently they are utilizing the firm’s equity. </w:t>
      </w:r>
      <w:r w:rsidR="00CB1F44" w:rsidRPr="00F502C3">
        <w:rPr>
          <w:rFonts w:ascii="Times New Roman" w:hAnsi="Times New Roman" w:cs="Times New Roman"/>
          <w:sz w:val="24"/>
          <w:szCs w:val="24"/>
        </w:rPr>
        <w:t>And it must be compared to the historical ROE and industry’s ROE average.</w:t>
      </w:r>
      <w:r w:rsidR="00B25C8D" w:rsidRPr="00F502C3">
        <w:rPr>
          <w:rFonts w:ascii="Times New Roman" w:hAnsi="Times New Roman" w:cs="Times New Roman"/>
          <w:sz w:val="24"/>
          <w:szCs w:val="24"/>
        </w:rPr>
        <w:t xml:space="preserve"> </w:t>
      </w:r>
      <w:r w:rsidR="00CB1F44" w:rsidRPr="00F502C3">
        <w:rPr>
          <w:rFonts w:ascii="Times New Roman" w:hAnsi="Times New Roman" w:cs="Times New Roman"/>
          <w:sz w:val="24"/>
          <w:szCs w:val="24"/>
        </w:rPr>
        <w:t xml:space="preserve">EPS </w:t>
      </w:r>
      <w:r w:rsidR="00B25C8D" w:rsidRPr="00F502C3">
        <w:rPr>
          <w:rFonts w:ascii="Times New Roman" w:hAnsi="Times New Roman" w:cs="Times New Roman"/>
          <w:sz w:val="24"/>
          <w:szCs w:val="24"/>
        </w:rPr>
        <w:t>determine Earning per share. EPS is the portion of the company’s profit that is allocated to every individual share of the stock. ROCE determine profitability and how efficiency its capital is made us. In this report ROI, ROE</w:t>
      </w:r>
      <w:r w:rsidR="00263447" w:rsidRPr="00F502C3">
        <w:rPr>
          <w:rFonts w:ascii="Times New Roman" w:hAnsi="Times New Roman" w:cs="Times New Roman"/>
          <w:sz w:val="24"/>
          <w:szCs w:val="24"/>
        </w:rPr>
        <w:t xml:space="preserve">, EPS, ROCE is a dependent part.  And in this </w:t>
      </w:r>
      <w:r w:rsidR="00066152" w:rsidRPr="00F502C3">
        <w:rPr>
          <w:rFonts w:ascii="Times New Roman" w:hAnsi="Times New Roman" w:cs="Times New Roman"/>
          <w:sz w:val="24"/>
          <w:szCs w:val="24"/>
        </w:rPr>
        <w:t>report,</w:t>
      </w:r>
      <w:r w:rsidR="00263447" w:rsidRPr="00F502C3">
        <w:rPr>
          <w:rFonts w:ascii="Times New Roman" w:hAnsi="Times New Roman" w:cs="Times New Roman"/>
          <w:sz w:val="24"/>
          <w:szCs w:val="24"/>
        </w:rPr>
        <w:t xml:space="preserve"> I showed Board size, Religion, Board Attributes, Ownership Attributes, which is under of Independent variables. Board Attributes </w:t>
      </w:r>
      <w:r w:rsidR="00E37CFA" w:rsidRPr="00F502C3">
        <w:rPr>
          <w:rFonts w:ascii="Times New Roman" w:hAnsi="Times New Roman" w:cs="Times New Roman"/>
          <w:sz w:val="24"/>
          <w:szCs w:val="24"/>
        </w:rPr>
        <w:t>have some parts –Board size, Woman on Board, Foreign member, Family member on board. Ownership Attributes have some parts- Foreign Ownership, Family ownership. Religion part showed which B</w:t>
      </w:r>
      <w:r w:rsidR="00D07095">
        <w:rPr>
          <w:rFonts w:ascii="Times New Roman" w:hAnsi="Times New Roman" w:cs="Times New Roman"/>
          <w:sz w:val="24"/>
          <w:szCs w:val="24"/>
        </w:rPr>
        <w:t xml:space="preserve">ank follow Islamic banking </w:t>
      </w:r>
      <w:r w:rsidR="00476E6D">
        <w:rPr>
          <w:rFonts w:ascii="Times New Roman" w:hAnsi="Times New Roman" w:cs="Times New Roman"/>
          <w:sz w:val="24"/>
          <w:szCs w:val="24"/>
        </w:rPr>
        <w:t>system</w:t>
      </w:r>
      <w:r w:rsidR="00E37CFA" w:rsidRPr="00F502C3">
        <w:rPr>
          <w:rFonts w:ascii="Times New Roman" w:hAnsi="Times New Roman" w:cs="Times New Roman"/>
          <w:sz w:val="24"/>
          <w:szCs w:val="24"/>
        </w:rPr>
        <w:t xml:space="preserve"> and which banking system doesn’t follow Islamic rules. Lever</w:t>
      </w:r>
      <w:r w:rsidR="001F257C" w:rsidRPr="00F502C3">
        <w:rPr>
          <w:rFonts w:ascii="Times New Roman" w:hAnsi="Times New Roman" w:cs="Times New Roman"/>
          <w:sz w:val="24"/>
          <w:szCs w:val="24"/>
        </w:rPr>
        <w:t>age Ratio also part of Independent variables. This leverage ratio expressed Debt/ Total Asset. The debt to asset is commonly used by analyst, investor and creditor</w:t>
      </w:r>
      <w:r w:rsidR="00F61F9E" w:rsidRPr="00F502C3">
        <w:rPr>
          <w:rFonts w:ascii="Times New Roman" w:hAnsi="Times New Roman" w:cs="Times New Roman"/>
          <w:sz w:val="24"/>
          <w:szCs w:val="24"/>
        </w:rPr>
        <w:t xml:space="preserve">s to determine the overall risk of company. </w:t>
      </w:r>
    </w:p>
    <w:bookmarkEnd w:id="1"/>
    <w:p w:rsidR="00E662A0" w:rsidRDefault="000645BA" w:rsidP="00DD4D31">
      <w:pPr>
        <w:tabs>
          <w:tab w:val="left" w:pos="3660"/>
        </w:tabs>
        <w:spacing w:line="360" w:lineRule="auto"/>
        <w:jc w:val="both"/>
        <w:rPr>
          <w:rFonts w:ascii="Times New Roman" w:hAnsi="Times New Roman" w:cs="Times New Roman"/>
          <w:b/>
          <w:sz w:val="24"/>
          <w:szCs w:val="24"/>
        </w:rPr>
      </w:pPr>
      <w:r w:rsidRPr="000645BA">
        <w:rPr>
          <w:rFonts w:ascii="Times New Roman" w:hAnsi="Times New Roman" w:cs="Times New Roman"/>
          <w:b/>
          <w:sz w:val="24"/>
          <w:szCs w:val="24"/>
        </w:rPr>
        <w:t>Key word</w:t>
      </w:r>
    </w:p>
    <w:p w:rsidR="00123D76" w:rsidRPr="00123D76" w:rsidRDefault="00123D76" w:rsidP="00DD4D31">
      <w:pPr>
        <w:tabs>
          <w:tab w:val="left" w:pos="3660"/>
        </w:tabs>
        <w:spacing w:line="360" w:lineRule="auto"/>
        <w:jc w:val="both"/>
        <w:rPr>
          <w:rFonts w:ascii="Times New Roman" w:hAnsi="Times New Roman" w:cs="Times New Roman"/>
          <w:sz w:val="24"/>
          <w:szCs w:val="24"/>
        </w:rPr>
      </w:pPr>
      <w:r>
        <w:rPr>
          <w:rFonts w:ascii="Times New Roman" w:hAnsi="Times New Roman" w:cs="Times New Roman"/>
          <w:sz w:val="24"/>
          <w:szCs w:val="24"/>
        </w:rPr>
        <w:t>Performance</w:t>
      </w:r>
      <w:r w:rsidR="00347657">
        <w:rPr>
          <w:rFonts w:ascii="Times New Roman" w:hAnsi="Times New Roman" w:cs="Times New Roman"/>
          <w:sz w:val="24"/>
          <w:szCs w:val="24"/>
        </w:rPr>
        <w:t xml:space="preserve"> measurement</w:t>
      </w:r>
      <w:r>
        <w:rPr>
          <w:rFonts w:ascii="Times New Roman" w:hAnsi="Times New Roman" w:cs="Times New Roman"/>
          <w:sz w:val="24"/>
          <w:szCs w:val="24"/>
        </w:rPr>
        <w:t xml:space="preserve">, Board </w:t>
      </w:r>
      <w:proofErr w:type="gramStart"/>
      <w:r>
        <w:rPr>
          <w:rFonts w:ascii="Times New Roman" w:hAnsi="Times New Roman" w:cs="Times New Roman"/>
          <w:sz w:val="24"/>
          <w:szCs w:val="24"/>
        </w:rPr>
        <w:t>attributes,</w:t>
      </w:r>
      <w:proofErr w:type="gramEnd"/>
      <w:r>
        <w:rPr>
          <w:rFonts w:ascii="Times New Roman" w:hAnsi="Times New Roman" w:cs="Times New Roman"/>
          <w:sz w:val="24"/>
          <w:szCs w:val="24"/>
        </w:rPr>
        <w:t xml:space="preserve"> </w:t>
      </w:r>
      <w:r w:rsidR="00347657">
        <w:rPr>
          <w:rFonts w:ascii="Times New Roman" w:hAnsi="Times New Roman" w:cs="Times New Roman"/>
          <w:sz w:val="24"/>
          <w:szCs w:val="24"/>
        </w:rPr>
        <w:t>O</w:t>
      </w:r>
      <w:r>
        <w:rPr>
          <w:rFonts w:ascii="Times New Roman" w:hAnsi="Times New Roman" w:cs="Times New Roman"/>
          <w:sz w:val="24"/>
          <w:szCs w:val="24"/>
        </w:rPr>
        <w:t>wnership</w:t>
      </w:r>
      <w:r w:rsidR="00347657">
        <w:rPr>
          <w:rFonts w:ascii="Times New Roman" w:hAnsi="Times New Roman" w:cs="Times New Roman"/>
          <w:sz w:val="24"/>
          <w:szCs w:val="24"/>
        </w:rPr>
        <w:t xml:space="preserve"> attributes.</w:t>
      </w:r>
      <w:r>
        <w:rPr>
          <w:rFonts w:ascii="Times New Roman" w:hAnsi="Times New Roman" w:cs="Times New Roman"/>
          <w:sz w:val="24"/>
          <w:szCs w:val="24"/>
        </w:rPr>
        <w:t xml:space="preserve">  </w:t>
      </w:r>
    </w:p>
    <w:p w:rsidR="00123D76" w:rsidRPr="00123D76" w:rsidRDefault="00123D76" w:rsidP="00DD4D31">
      <w:pPr>
        <w:tabs>
          <w:tab w:val="left" w:pos="3660"/>
        </w:tabs>
        <w:spacing w:line="360" w:lineRule="auto"/>
        <w:jc w:val="both"/>
        <w:rPr>
          <w:rFonts w:ascii="Times New Roman" w:hAnsi="Times New Roman" w:cs="Times New Roman"/>
          <w:sz w:val="24"/>
          <w:szCs w:val="24"/>
        </w:rPr>
      </w:pPr>
    </w:p>
    <w:p w:rsidR="00323FA4" w:rsidRPr="00F502C3" w:rsidRDefault="00323FA4" w:rsidP="00B16445">
      <w:pPr>
        <w:tabs>
          <w:tab w:val="left" w:pos="8339"/>
        </w:tabs>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2"/>
          <w:szCs w:val="22"/>
          <w:lang w:eastAsia="en-US"/>
        </w:rPr>
        <w:id w:val="1899711695"/>
        <w:docPartObj>
          <w:docPartGallery w:val="Table of Contents"/>
          <w:docPartUnique/>
        </w:docPartObj>
      </w:sdtPr>
      <w:sdtEndPr>
        <w:rPr>
          <w:rFonts w:eastAsiaTheme="minorEastAsia"/>
          <w:noProof/>
        </w:rPr>
      </w:sdtEndPr>
      <w:sdtContent>
        <w:p w:rsidR="00323FA4" w:rsidRPr="00F502C3" w:rsidRDefault="00323FA4" w:rsidP="00DD4D31">
          <w:pPr>
            <w:pStyle w:val="TOCHeading"/>
            <w:jc w:val="both"/>
            <w:rPr>
              <w:rFonts w:ascii="Times New Roman" w:hAnsi="Times New Roman" w:cs="Times New Roman"/>
            </w:rPr>
          </w:pPr>
          <w:r w:rsidRPr="00F502C3">
            <w:rPr>
              <w:rFonts w:ascii="Times New Roman" w:hAnsi="Times New Roman" w:cs="Times New Roman"/>
            </w:rPr>
            <w:t>Table of Contents</w:t>
          </w:r>
        </w:p>
        <w:p w:rsidR="00725962" w:rsidRDefault="006D6920">
          <w:pPr>
            <w:pStyle w:val="TOC1"/>
            <w:tabs>
              <w:tab w:val="right" w:leader="dot" w:pos="9350"/>
            </w:tabs>
            <w:rPr>
              <w:noProof/>
            </w:rPr>
          </w:pPr>
          <w:r w:rsidRPr="00F502C3">
            <w:rPr>
              <w:rFonts w:ascii="Times New Roman" w:hAnsi="Times New Roman" w:cs="Times New Roman"/>
            </w:rPr>
            <w:fldChar w:fldCharType="begin"/>
          </w:r>
          <w:r w:rsidR="00323FA4" w:rsidRPr="00F502C3">
            <w:rPr>
              <w:rFonts w:ascii="Times New Roman" w:hAnsi="Times New Roman" w:cs="Times New Roman"/>
            </w:rPr>
            <w:instrText xml:space="preserve"> TOC \o "1-3" \h \z \u </w:instrText>
          </w:r>
          <w:r w:rsidRPr="00F502C3">
            <w:rPr>
              <w:rFonts w:ascii="Times New Roman" w:hAnsi="Times New Roman" w:cs="Times New Roman"/>
            </w:rPr>
            <w:fldChar w:fldCharType="separate"/>
          </w:r>
          <w:hyperlink w:anchor="_Toc18524264" w:history="1">
            <w:r w:rsidR="00725962" w:rsidRPr="002165C7">
              <w:rPr>
                <w:rStyle w:val="Hyperlink"/>
                <w:rFonts w:ascii="Times New Roman" w:hAnsi="Times New Roman" w:cs="Times New Roman"/>
                <w:noProof/>
              </w:rPr>
              <w:t>1. Introductory Part</w:t>
            </w:r>
            <w:r w:rsidR="00725962">
              <w:rPr>
                <w:noProof/>
                <w:webHidden/>
              </w:rPr>
              <w:tab/>
            </w:r>
            <w:r w:rsidR="00725962">
              <w:rPr>
                <w:noProof/>
                <w:webHidden/>
              </w:rPr>
              <w:fldChar w:fldCharType="begin"/>
            </w:r>
            <w:r w:rsidR="00725962">
              <w:rPr>
                <w:noProof/>
                <w:webHidden/>
              </w:rPr>
              <w:instrText xml:space="preserve"> PAGEREF _Toc18524264 \h </w:instrText>
            </w:r>
            <w:r w:rsidR="00725962">
              <w:rPr>
                <w:noProof/>
                <w:webHidden/>
              </w:rPr>
            </w:r>
            <w:r w:rsidR="00725962">
              <w:rPr>
                <w:noProof/>
                <w:webHidden/>
              </w:rPr>
              <w:fldChar w:fldCharType="separate"/>
            </w:r>
            <w:r w:rsidR="00725962">
              <w:rPr>
                <w:noProof/>
                <w:webHidden/>
              </w:rPr>
              <w:t>1</w:t>
            </w:r>
            <w:r w:rsidR="00725962">
              <w:rPr>
                <w:noProof/>
                <w:webHidden/>
              </w:rPr>
              <w:fldChar w:fldCharType="end"/>
            </w:r>
          </w:hyperlink>
        </w:p>
        <w:p w:rsidR="00725962" w:rsidRDefault="00697923">
          <w:pPr>
            <w:pStyle w:val="TOC2"/>
            <w:tabs>
              <w:tab w:val="right" w:leader="dot" w:pos="9350"/>
            </w:tabs>
            <w:rPr>
              <w:noProof/>
              <w:lang w:eastAsia="en-US"/>
            </w:rPr>
          </w:pPr>
          <w:hyperlink w:anchor="_Toc18524265" w:history="1">
            <w:r w:rsidR="00725962" w:rsidRPr="002165C7">
              <w:rPr>
                <w:rStyle w:val="Hyperlink"/>
                <w:rFonts w:ascii="Times New Roman" w:hAnsi="Times New Roman" w:cs="Times New Roman"/>
                <w:noProof/>
              </w:rPr>
              <w:t>1.1 Introduction</w:t>
            </w:r>
            <w:r w:rsidR="00725962">
              <w:rPr>
                <w:noProof/>
                <w:webHidden/>
              </w:rPr>
              <w:tab/>
            </w:r>
            <w:r w:rsidR="00725962">
              <w:rPr>
                <w:noProof/>
                <w:webHidden/>
              </w:rPr>
              <w:fldChar w:fldCharType="begin"/>
            </w:r>
            <w:r w:rsidR="00725962">
              <w:rPr>
                <w:noProof/>
                <w:webHidden/>
              </w:rPr>
              <w:instrText xml:space="preserve"> PAGEREF _Toc18524265 \h </w:instrText>
            </w:r>
            <w:r w:rsidR="00725962">
              <w:rPr>
                <w:noProof/>
                <w:webHidden/>
              </w:rPr>
            </w:r>
            <w:r w:rsidR="00725962">
              <w:rPr>
                <w:noProof/>
                <w:webHidden/>
              </w:rPr>
              <w:fldChar w:fldCharType="separate"/>
            </w:r>
            <w:r w:rsidR="00725962">
              <w:rPr>
                <w:noProof/>
                <w:webHidden/>
              </w:rPr>
              <w:t>1</w:t>
            </w:r>
            <w:r w:rsidR="00725962">
              <w:rPr>
                <w:noProof/>
                <w:webHidden/>
              </w:rPr>
              <w:fldChar w:fldCharType="end"/>
            </w:r>
          </w:hyperlink>
        </w:p>
        <w:p w:rsidR="00725962" w:rsidRDefault="00697923">
          <w:pPr>
            <w:pStyle w:val="TOC2"/>
            <w:tabs>
              <w:tab w:val="right" w:leader="dot" w:pos="9350"/>
            </w:tabs>
            <w:rPr>
              <w:noProof/>
              <w:lang w:eastAsia="en-US"/>
            </w:rPr>
          </w:pPr>
          <w:hyperlink w:anchor="_Toc18524266" w:history="1">
            <w:r w:rsidR="00725962" w:rsidRPr="002165C7">
              <w:rPr>
                <w:rStyle w:val="Hyperlink"/>
                <w:rFonts w:ascii="Times New Roman" w:hAnsi="Times New Roman" w:cs="Times New Roman"/>
                <w:noProof/>
              </w:rPr>
              <w:t>1.2 Rational Of the study</w:t>
            </w:r>
            <w:r w:rsidR="00725962">
              <w:rPr>
                <w:noProof/>
                <w:webHidden/>
              </w:rPr>
              <w:tab/>
            </w:r>
            <w:r w:rsidR="00725962">
              <w:rPr>
                <w:noProof/>
                <w:webHidden/>
              </w:rPr>
              <w:fldChar w:fldCharType="begin"/>
            </w:r>
            <w:r w:rsidR="00725962">
              <w:rPr>
                <w:noProof/>
                <w:webHidden/>
              </w:rPr>
              <w:instrText xml:space="preserve"> PAGEREF _Toc18524266 \h </w:instrText>
            </w:r>
            <w:r w:rsidR="00725962">
              <w:rPr>
                <w:noProof/>
                <w:webHidden/>
              </w:rPr>
            </w:r>
            <w:r w:rsidR="00725962">
              <w:rPr>
                <w:noProof/>
                <w:webHidden/>
              </w:rPr>
              <w:fldChar w:fldCharType="separate"/>
            </w:r>
            <w:r w:rsidR="00725962">
              <w:rPr>
                <w:noProof/>
                <w:webHidden/>
              </w:rPr>
              <w:t>1</w:t>
            </w:r>
            <w:r w:rsidR="00725962">
              <w:rPr>
                <w:noProof/>
                <w:webHidden/>
              </w:rPr>
              <w:fldChar w:fldCharType="end"/>
            </w:r>
          </w:hyperlink>
        </w:p>
        <w:p w:rsidR="00725962" w:rsidRDefault="00697923">
          <w:pPr>
            <w:pStyle w:val="TOC2"/>
            <w:tabs>
              <w:tab w:val="right" w:leader="dot" w:pos="9350"/>
            </w:tabs>
            <w:rPr>
              <w:noProof/>
              <w:lang w:eastAsia="en-US"/>
            </w:rPr>
          </w:pPr>
          <w:hyperlink w:anchor="_Toc18524267" w:history="1">
            <w:r w:rsidR="00725962" w:rsidRPr="002165C7">
              <w:rPr>
                <w:rStyle w:val="Hyperlink"/>
                <w:rFonts w:ascii="Times New Roman" w:hAnsi="Times New Roman" w:cs="Times New Roman"/>
                <w:noProof/>
              </w:rPr>
              <w:t>1.3 Background of The study</w:t>
            </w:r>
            <w:r w:rsidR="00725962">
              <w:rPr>
                <w:noProof/>
                <w:webHidden/>
              </w:rPr>
              <w:tab/>
            </w:r>
            <w:r w:rsidR="00725962">
              <w:rPr>
                <w:noProof/>
                <w:webHidden/>
              </w:rPr>
              <w:fldChar w:fldCharType="begin"/>
            </w:r>
            <w:r w:rsidR="00725962">
              <w:rPr>
                <w:noProof/>
                <w:webHidden/>
              </w:rPr>
              <w:instrText xml:space="preserve"> PAGEREF _Toc18524267 \h </w:instrText>
            </w:r>
            <w:r w:rsidR="00725962">
              <w:rPr>
                <w:noProof/>
                <w:webHidden/>
              </w:rPr>
            </w:r>
            <w:r w:rsidR="00725962">
              <w:rPr>
                <w:noProof/>
                <w:webHidden/>
              </w:rPr>
              <w:fldChar w:fldCharType="separate"/>
            </w:r>
            <w:r w:rsidR="00725962">
              <w:rPr>
                <w:noProof/>
                <w:webHidden/>
              </w:rPr>
              <w:t>2</w:t>
            </w:r>
            <w:r w:rsidR="00725962">
              <w:rPr>
                <w:noProof/>
                <w:webHidden/>
              </w:rPr>
              <w:fldChar w:fldCharType="end"/>
            </w:r>
          </w:hyperlink>
        </w:p>
        <w:p w:rsidR="00725962" w:rsidRDefault="00697923">
          <w:pPr>
            <w:pStyle w:val="TOC2"/>
            <w:tabs>
              <w:tab w:val="right" w:leader="dot" w:pos="9350"/>
            </w:tabs>
            <w:rPr>
              <w:noProof/>
              <w:lang w:eastAsia="en-US"/>
            </w:rPr>
          </w:pPr>
          <w:hyperlink w:anchor="_Toc18524268" w:history="1">
            <w:r w:rsidR="00725962" w:rsidRPr="002165C7">
              <w:rPr>
                <w:rStyle w:val="Hyperlink"/>
                <w:rFonts w:ascii="Times New Roman" w:hAnsi="Times New Roman" w:cs="Times New Roman"/>
                <w:noProof/>
              </w:rPr>
              <w:t>1.4 Limitation of the Study</w:t>
            </w:r>
            <w:r w:rsidR="00725962">
              <w:rPr>
                <w:noProof/>
                <w:webHidden/>
              </w:rPr>
              <w:tab/>
            </w:r>
            <w:r w:rsidR="00725962">
              <w:rPr>
                <w:noProof/>
                <w:webHidden/>
              </w:rPr>
              <w:fldChar w:fldCharType="begin"/>
            </w:r>
            <w:r w:rsidR="00725962">
              <w:rPr>
                <w:noProof/>
                <w:webHidden/>
              </w:rPr>
              <w:instrText xml:space="preserve"> PAGEREF _Toc18524268 \h </w:instrText>
            </w:r>
            <w:r w:rsidR="00725962">
              <w:rPr>
                <w:noProof/>
                <w:webHidden/>
              </w:rPr>
            </w:r>
            <w:r w:rsidR="00725962">
              <w:rPr>
                <w:noProof/>
                <w:webHidden/>
              </w:rPr>
              <w:fldChar w:fldCharType="separate"/>
            </w:r>
            <w:r w:rsidR="00725962">
              <w:rPr>
                <w:noProof/>
                <w:webHidden/>
              </w:rPr>
              <w:t>2</w:t>
            </w:r>
            <w:r w:rsidR="00725962">
              <w:rPr>
                <w:noProof/>
                <w:webHidden/>
              </w:rPr>
              <w:fldChar w:fldCharType="end"/>
            </w:r>
          </w:hyperlink>
        </w:p>
        <w:p w:rsidR="00725962" w:rsidRDefault="00697923">
          <w:pPr>
            <w:pStyle w:val="TOC1"/>
            <w:tabs>
              <w:tab w:val="right" w:leader="dot" w:pos="9350"/>
            </w:tabs>
            <w:rPr>
              <w:noProof/>
            </w:rPr>
          </w:pPr>
          <w:hyperlink w:anchor="_Toc18524269" w:history="1">
            <w:r w:rsidR="00725962" w:rsidRPr="002165C7">
              <w:rPr>
                <w:rStyle w:val="Hyperlink"/>
                <w:rFonts w:ascii="Times New Roman" w:hAnsi="Times New Roman" w:cs="Times New Roman"/>
                <w:noProof/>
              </w:rPr>
              <w:t>2. Objective of the study</w:t>
            </w:r>
            <w:r w:rsidR="00725962">
              <w:rPr>
                <w:noProof/>
                <w:webHidden/>
              </w:rPr>
              <w:tab/>
            </w:r>
            <w:r w:rsidR="00725962">
              <w:rPr>
                <w:noProof/>
                <w:webHidden/>
              </w:rPr>
              <w:fldChar w:fldCharType="begin"/>
            </w:r>
            <w:r w:rsidR="00725962">
              <w:rPr>
                <w:noProof/>
                <w:webHidden/>
              </w:rPr>
              <w:instrText xml:space="preserve"> PAGEREF _Toc18524269 \h </w:instrText>
            </w:r>
            <w:r w:rsidR="00725962">
              <w:rPr>
                <w:noProof/>
                <w:webHidden/>
              </w:rPr>
            </w:r>
            <w:r w:rsidR="00725962">
              <w:rPr>
                <w:noProof/>
                <w:webHidden/>
              </w:rPr>
              <w:fldChar w:fldCharType="separate"/>
            </w:r>
            <w:r w:rsidR="00725962">
              <w:rPr>
                <w:noProof/>
                <w:webHidden/>
              </w:rPr>
              <w:t>3</w:t>
            </w:r>
            <w:r w:rsidR="00725962">
              <w:rPr>
                <w:noProof/>
                <w:webHidden/>
              </w:rPr>
              <w:fldChar w:fldCharType="end"/>
            </w:r>
          </w:hyperlink>
        </w:p>
        <w:p w:rsidR="00725962" w:rsidRDefault="00697923">
          <w:pPr>
            <w:pStyle w:val="TOC2"/>
            <w:tabs>
              <w:tab w:val="right" w:leader="dot" w:pos="9350"/>
            </w:tabs>
            <w:rPr>
              <w:noProof/>
              <w:lang w:eastAsia="en-US"/>
            </w:rPr>
          </w:pPr>
          <w:hyperlink w:anchor="_Toc18524270" w:history="1">
            <w:r w:rsidR="00725962" w:rsidRPr="002165C7">
              <w:rPr>
                <w:rStyle w:val="Hyperlink"/>
                <w:rFonts w:ascii="Times New Roman" w:hAnsi="Times New Roman" w:cs="Times New Roman"/>
                <w:noProof/>
              </w:rPr>
              <w:t>2.1 Broad Objectives</w:t>
            </w:r>
            <w:r w:rsidR="00725962">
              <w:rPr>
                <w:noProof/>
                <w:webHidden/>
              </w:rPr>
              <w:tab/>
            </w:r>
            <w:r w:rsidR="00725962">
              <w:rPr>
                <w:noProof/>
                <w:webHidden/>
              </w:rPr>
              <w:fldChar w:fldCharType="begin"/>
            </w:r>
            <w:r w:rsidR="00725962">
              <w:rPr>
                <w:noProof/>
                <w:webHidden/>
              </w:rPr>
              <w:instrText xml:space="preserve"> PAGEREF _Toc18524270 \h </w:instrText>
            </w:r>
            <w:r w:rsidR="00725962">
              <w:rPr>
                <w:noProof/>
                <w:webHidden/>
              </w:rPr>
            </w:r>
            <w:r w:rsidR="00725962">
              <w:rPr>
                <w:noProof/>
                <w:webHidden/>
              </w:rPr>
              <w:fldChar w:fldCharType="separate"/>
            </w:r>
            <w:r w:rsidR="00725962">
              <w:rPr>
                <w:noProof/>
                <w:webHidden/>
              </w:rPr>
              <w:t>3</w:t>
            </w:r>
            <w:r w:rsidR="00725962">
              <w:rPr>
                <w:noProof/>
                <w:webHidden/>
              </w:rPr>
              <w:fldChar w:fldCharType="end"/>
            </w:r>
          </w:hyperlink>
        </w:p>
        <w:p w:rsidR="00725962" w:rsidRDefault="00697923">
          <w:pPr>
            <w:pStyle w:val="TOC2"/>
            <w:tabs>
              <w:tab w:val="right" w:leader="dot" w:pos="9350"/>
            </w:tabs>
            <w:rPr>
              <w:noProof/>
              <w:lang w:eastAsia="en-US"/>
            </w:rPr>
          </w:pPr>
          <w:hyperlink w:anchor="_Toc18524271" w:history="1">
            <w:r w:rsidR="00725962" w:rsidRPr="002165C7">
              <w:rPr>
                <w:rStyle w:val="Hyperlink"/>
                <w:rFonts w:ascii="Times New Roman" w:hAnsi="Times New Roman" w:cs="Times New Roman"/>
                <w:noProof/>
              </w:rPr>
              <w:t>2.2 Specific Objective</w:t>
            </w:r>
            <w:r w:rsidR="00725962">
              <w:rPr>
                <w:noProof/>
                <w:webHidden/>
              </w:rPr>
              <w:tab/>
            </w:r>
            <w:r w:rsidR="00725962">
              <w:rPr>
                <w:noProof/>
                <w:webHidden/>
              </w:rPr>
              <w:fldChar w:fldCharType="begin"/>
            </w:r>
            <w:r w:rsidR="00725962">
              <w:rPr>
                <w:noProof/>
                <w:webHidden/>
              </w:rPr>
              <w:instrText xml:space="preserve"> PAGEREF _Toc18524271 \h </w:instrText>
            </w:r>
            <w:r w:rsidR="00725962">
              <w:rPr>
                <w:noProof/>
                <w:webHidden/>
              </w:rPr>
            </w:r>
            <w:r w:rsidR="00725962">
              <w:rPr>
                <w:noProof/>
                <w:webHidden/>
              </w:rPr>
              <w:fldChar w:fldCharType="separate"/>
            </w:r>
            <w:r w:rsidR="00725962">
              <w:rPr>
                <w:noProof/>
                <w:webHidden/>
              </w:rPr>
              <w:t>3</w:t>
            </w:r>
            <w:r w:rsidR="00725962">
              <w:rPr>
                <w:noProof/>
                <w:webHidden/>
              </w:rPr>
              <w:fldChar w:fldCharType="end"/>
            </w:r>
          </w:hyperlink>
        </w:p>
        <w:p w:rsidR="00725962" w:rsidRDefault="00697923">
          <w:pPr>
            <w:pStyle w:val="TOC2"/>
            <w:tabs>
              <w:tab w:val="right" w:leader="dot" w:pos="9350"/>
            </w:tabs>
            <w:rPr>
              <w:noProof/>
              <w:lang w:eastAsia="en-US"/>
            </w:rPr>
          </w:pPr>
          <w:hyperlink w:anchor="_Toc18524272" w:history="1">
            <w:r w:rsidR="00725962" w:rsidRPr="002165C7">
              <w:rPr>
                <w:rStyle w:val="Hyperlink"/>
                <w:rFonts w:ascii="Times New Roman" w:hAnsi="Times New Roman" w:cs="Times New Roman"/>
                <w:noProof/>
              </w:rPr>
              <w:t>3.1 Data design</w:t>
            </w:r>
            <w:r w:rsidR="00725962">
              <w:rPr>
                <w:noProof/>
                <w:webHidden/>
              </w:rPr>
              <w:tab/>
            </w:r>
            <w:r w:rsidR="00725962">
              <w:rPr>
                <w:noProof/>
                <w:webHidden/>
              </w:rPr>
              <w:fldChar w:fldCharType="begin"/>
            </w:r>
            <w:r w:rsidR="00725962">
              <w:rPr>
                <w:noProof/>
                <w:webHidden/>
              </w:rPr>
              <w:instrText xml:space="preserve"> PAGEREF _Toc18524272 \h </w:instrText>
            </w:r>
            <w:r w:rsidR="00725962">
              <w:rPr>
                <w:noProof/>
                <w:webHidden/>
              </w:rPr>
            </w:r>
            <w:r w:rsidR="00725962">
              <w:rPr>
                <w:noProof/>
                <w:webHidden/>
              </w:rPr>
              <w:fldChar w:fldCharType="separate"/>
            </w:r>
            <w:r w:rsidR="00725962">
              <w:rPr>
                <w:noProof/>
                <w:webHidden/>
              </w:rPr>
              <w:t>3</w:t>
            </w:r>
            <w:r w:rsidR="00725962">
              <w:rPr>
                <w:noProof/>
                <w:webHidden/>
              </w:rPr>
              <w:fldChar w:fldCharType="end"/>
            </w:r>
          </w:hyperlink>
        </w:p>
        <w:p w:rsidR="00725962" w:rsidRDefault="00697923">
          <w:pPr>
            <w:pStyle w:val="TOC2"/>
            <w:tabs>
              <w:tab w:val="right" w:leader="dot" w:pos="9350"/>
            </w:tabs>
            <w:rPr>
              <w:noProof/>
              <w:lang w:eastAsia="en-US"/>
            </w:rPr>
          </w:pPr>
          <w:hyperlink w:anchor="_Toc18524273" w:history="1">
            <w:r w:rsidR="00725962" w:rsidRPr="002165C7">
              <w:rPr>
                <w:rStyle w:val="Hyperlink"/>
                <w:rFonts w:ascii="Times New Roman" w:hAnsi="Times New Roman" w:cs="Times New Roman"/>
                <w:noProof/>
              </w:rPr>
              <w:t>3.2 Sample design</w:t>
            </w:r>
            <w:r w:rsidR="00725962">
              <w:rPr>
                <w:noProof/>
                <w:webHidden/>
              </w:rPr>
              <w:tab/>
            </w:r>
            <w:r w:rsidR="00725962">
              <w:rPr>
                <w:noProof/>
                <w:webHidden/>
              </w:rPr>
              <w:fldChar w:fldCharType="begin"/>
            </w:r>
            <w:r w:rsidR="00725962">
              <w:rPr>
                <w:noProof/>
                <w:webHidden/>
              </w:rPr>
              <w:instrText xml:space="preserve"> PAGEREF _Toc18524273 \h </w:instrText>
            </w:r>
            <w:r w:rsidR="00725962">
              <w:rPr>
                <w:noProof/>
                <w:webHidden/>
              </w:rPr>
            </w:r>
            <w:r w:rsidR="00725962">
              <w:rPr>
                <w:noProof/>
                <w:webHidden/>
              </w:rPr>
              <w:fldChar w:fldCharType="separate"/>
            </w:r>
            <w:r w:rsidR="00725962">
              <w:rPr>
                <w:noProof/>
                <w:webHidden/>
              </w:rPr>
              <w:t>4</w:t>
            </w:r>
            <w:r w:rsidR="00725962">
              <w:rPr>
                <w:noProof/>
                <w:webHidden/>
              </w:rPr>
              <w:fldChar w:fldCharType="end"/>
            </w:r>
          </w:hyperlink>
        </w:p>
        <w:p w:rsidR="00725962" w:rsidRDefault="00697923">
          <w:pPr>
            <w:pStyle w:val="TOC1"/>
            <w:tabs>
              <w:tab w:val="right" w:leader="dot" w:pos="9350"/>
            </w:tabs>
            <w:rPr>
              <w:noProof/>
            </w:rPr>
          </w:pPr>
          <w:hyperlink w:anchor="_Toc18524274" w:history="1">
            <w:r w:rsidR="00725962" w:rsidRPr="002165C7">
              <w:rPr>
                <w:rStyle w:val="Hyperlink"/>
                <w:noProof/>
              </w:rPr>
              <w:t>3.3 Analytical tools</w:t>
            </w:r>
            <w:r w:rsidR="00725962">
              <w:rPr>
                <w:noProof/>
                <w:webHidden/>
              </w:rPr>
              <w:tab/>
            </w:r>
            <w:r w:rsidR="00725962">
              <w:rPr>
                <w:noProof/>
                <w:webHidden/>
              </w:rPr>
              <w:fldChar w:fldCharType="begin"/>
            </w:r>
            <w:r w:rsidR="00725962">
              <w:rPr>
                <w:noProof/>
                <w:webHidden/>
              </w:rPr>
              <w:instrText xml:space="preserve"> PAGEREF _Toc18524274 \h </w:instrText>
            </w:r>
            <w:r w:rsidR="00725962">
              <w:rPr>
                <w:noProof/>
                <w:webHidden/>
              </w:rPr>
            </w:r>
            <w:r w:rsidR="00725962">
              <w:rPr>
                <w:noProof/>
                <w:webHidden/>
              </w:rPr>
              <w:fldChar w:fldCharType="separate"/>
            </w:r>
            <w:r w:rsidR="00725962">
              <w:rPr>
                <w:noProof/>
                <w:webHidden/>
              </w:rPr>
              <w:t>5</w:t>
            </w:r>
            <w:r w:rsidR="00725962">
              <w:rPr>
                <w:noProof/>
                <w:webHidden/>
              </w:rPr>
              <w:fldChar w:fldCharType="end"/>
            </w:r>
          </w:hyperlink>
        </w:p>
        <w:p w:rsidR="00725962" w:rsidRDefault="00697923">
          <w:pPr>
            <w:pStyle w:val="TOC1"/>
            <w:tabs>
              <w:tab w:val="right" w:leader="dot" w:pos="9350"/>
            </w:tabs>
            <w:rPr>
              <w:noProof/>
            </w:rPr>
          </w:pPr>
          <w:hyperlink w:anchor="_Toc18524275" w:history="1">
            <w:r w:rsidR="00725962" w:rsidRPr="002165C7">
              <w:rPr>
                <w:rStyle w:val="Hyperlink"/>
                <w:rFonts w:ascii="Times New Roman" w:hAnsi="Times New Roman" w:cs="Times New Roman"/>
                <w:noProof/>
              </w:rPr>
              <w:t>4. Literature review</w:t>
            </w:r>
            <w:r w:rsidR="00725962">
              <w:rPr>
                <w:noProof/>
                <w:webHidden/>
              </w:rPr>
              <w:tab/>
            </w:r>
            <w:r w:rsidR="00725962">
              <w:rPr>
                <w:noProof/>
                <w:webHidden/>
              </w:rPr>
              <w:fldChar w:fldCharType="begin"/>
            </w:r>
            <w:r w:rsidR="00725962">
              <w:rPr>
                <w:noProof/>
                <w:webHidden/>
              </w:rPr>
              <w:instrText xml:space="preserve"> PAGEREF _Toc18524275 \h </w:instrText>
            </w:r>
            <w:r w:rsidR="00725962">
              <w:rPr>
                <w:noProof/>
                <w:webHidden/>
              </w:rPr>
            </w:r>
            <w:r w:rsidR="00725962">
              <w:rPr>
                <w:noProof/>
                <w:webHidden/>
              </w:rPr>
              <w:fldChar w:fldCharType="separate"/>
            </w:r>
            <w:r w:rsidR="00725962">
              <w:rPr>
                <w:noProof/>
                <w:webHidden/>
              </w:rPr>
              <w:t>5</w:t>
            </w:r>
            <w:r w:rsidR="00725962">
              <w:rPr>
                <w:noProof/>
                <w:webHidden/>
              </w:rPr>
              <w:fldChar w:fldCharType="end"/>
            </w:r>
          </w:hyperlink>
        </w:p>
        <w:p w:rsidR="00725962" w:rsidRDefault="00697923">
          <w:pPr>
            <w:pStyle w:val="TOC1"/>
            <w:tabs>
              <w:tab w:val="right" w:leader="dot" w:pos="9350"/>
            </w:tabs>
            <w:rPr>
              <w:noProof/>
            </w:rPr>
          </w:pPr>
          <w:hyperlink w:anchor="_Toc18524276" w:history="1">
            <w:r w:rsidR="00725962" w:rsidRPr="002165C7">
              <w:rPr>
                <w:rStyle w:val="Hyperlink"/>
                <w:rFonts w:ascii="Times New Roman" w:hAnsi="Times New Roman" w:cs="Times New Roman"/>
                <w:noProof/>
              </w:rPr>
              <w:t>5. Findings and analysis of the study</w:t>
            </w:r>
            <w:r w:rsidR="00725962">
              <w:rPr>
                <w:noProof/>
                <w:webHidden/>
              </w:rPr>
              <w:tab/>
            </w:r>
            <w:r w:rsidR="00725962">
              <w:rPr>
                <w:noProof/>
                <w:webHidden/>
              </w:rPr>
              <w:fldChar w:fldCharType="begin"/>
            </w:r>
            <w:r w:rsidR="00725962">
              <w:rPr>
                <w:noProof/>
                <w:webHidden/>
              </w:rPr>
              <w:instrText xml:space="preserve"> PAGEREF _Toc18524276 \h </w:instrText>
            </w:r>
            <w:r w:rsidR="00725962">
              <w:rPr>
                <w:noProof/>
                <w:webHidden/>
              </w:rPr>
            </w:r>
            <w:r w:rsidR="00725962">
              <w:rPr>
                <w:noProof/>
                <w:webHidden/>
              </w:rPr>
              <w:fldChar w:fldCharType="separate"/>
            </w:r>
            <w:r w:rsidR="00725962">
              <w:rPr>
                <w:noProof/>
                <w:webHidden/>
              </w:rPr>
              <w:t>6</w:t>
            </w:r>
            <w:r w:rsidR="00725962">
              <w:rPr>
                <w:noProof/>
                <w:webHidden/>
              </w:rPr>
              <w:fldChar w:fldCharType="end"/>
            </w:r>
          </w:hyperlink>
        </w:p>
        <w:p w:rsidR="00725962" w:rsidRDefault="00697923">
          <w:pPr>
            <w:pStyle w:val="TOC1"/>
            <w:tabs>
              <w:tab w:val="right" w:leader="dot" w:pos="9350"/>
            </w:tabs>
            <w:rPr>
              <w:noProof/>
            </w:rPr>
          </w:pPr>
          <w:hyperlink w:anchor="_Toc18524277" w:history="1">
            <w:r w:rsidR="00725962" w:rsidRPr="002165C7">
              <w:rPr>
                <w:rStyle w:val="Hyperlink"/>
                <w:noProof/>
              </w:rPr>
              <w:t>7. References</w:t>
            </w:r>
            <w:r w:rsidR="00725962">
              <w:rPr>
                <w:noProof/>
                <w:webHidden/>
              </w:rPr>
              <w:tab/>
            </w:r>
            <w:r w:rsidR="00725962">
              <w:rPr>
                <w:noProof/>
                <w:webHidden/>
              </w:rPr>
              <w:fldChar w:fldCharType="begin"/>
            </w:r>
            <w:r w:rsidR="00725962">
              <w:rPr>
                <w:noProof/>
                <w:webHidden/>
              </w:rPr>
              <w:instrText xml:space="preserve"> PAGEREF _Toc18524277 \h </w:instrText>
            </w:r>
            <w:r w:rsidR="00725962">
              <w:rPr>
                <w:noProof/>
                <w:webHidden/>
              </w:rPr>
            </w:r>
            <w:r w:rsidR="00725962">
              <w:rPr>
                <w:noProof/>
                <w:webHidden/>
              </w:rPr>
              <w:fldChar w:fldCharType="separate"/>
            </w:r>
            <w:r w:rsidR="00725962">
              <w:rPr>
                <w:noProof/>
                <w:webHidden/>
              </w:rPr>
              <w:t>37</w:t>
            </w:r>
            <w:r w:rsidR="00725962">
              <w:rPr>
                <w:noProof/>
                <w:webHidden/>
              </w:rPr>
              <w:fldChar w:fldCharType="end"/>
            </w:r>
          </w:hyperlink>
        </w:p>
        <w:p w:rsidR="00725962" w:rsidRDefault="00697923">
          <w:pPr>
            <w:pStyle w:val="TOC2"/>
            <w:tabs>
              <w:tab w:val="right" w:leader="dot" w:pos="9350"/>
            </w:tabs>
            <w:rPr>
              <w:noProof/>
              <w:lang w:eastAsia="en-US"/>
            </w:rPr>
          </w:pPr>
          <w:hyperlink w:anchor="_Toc18524278" w:history="1">
            <w:r w:rsidR="00725962" w:rsidRPr="002165C7">
              <w:rPr>
                <w:rStyle w:val="Hyperlink"/>
                <w:noProof/>
              </w:rPr>
              <w:t>Reference</w:t>
            </w:r>
            <w:r w:rsidR="00725962">
              <w:rPr>
                <w:noProof/>
                <w:webHidden/>
              </w:rPr>
              <w:tab/>
            </w:r>
            <w:r w:rsidR="00725962">
              <w:rPr>
                <w:noProof/>
                <w:webHidden/>
              </w:rPr>
              <w:fldChar w:fldCharType="begin"/>
            </w:r>
            <w:r w:rsidR="00725962">
              <w:rPr>
                <w:noProof/>
                <w:webHidden/>
              </w:rPr>
              <w:instrText xml:space="preserve"> PAGEREF _Toc18524278 \h </w:instrText>
            </w:r>
            <w:r w:rsidR="00725962">
              <w:rPr>
                <w:noProof/>
                <w:webHidden/>
              </w:rPr>
            </w:r>
            <w:r w:rsidR="00725962">
              <w:rPr>
                <w:noProof/>
                <w:webHidden/>
              </w:rPr>
              <w:fldChar w:fldCharType="separate"/>
            </w:r>
            <w:r w:rsidR="00725962">
              <w:rPr>
                <w:noProof/>
                <w:webHidden/>
              </w:rPr>
              <w:t>37</w:t>
            </w:r>
            <w:r w:rsidR="00725962">
              <w:rPr>
                <w:noProof/>
                <w:webHidden/>
              </w:rPr>
              <w:fldChar w:fldCharType="end"/>
            </w:r>
          </w:hyperlink>
        </w:p>
        <w:p w:rsidR="00323FA4" w:rsidRPr="00F502C3" w:rsidRDefault="006D6920" w:rsidP="00DD4D31">
          <w:pPr>
            <w:jc w:val="both"/>
            <w:rPr>
              <w:rFonts w:ascii="Times New Roman" w:hAnsi="Times New Roman" w:cs="Times New Roman"/>
            </w:rPr>
          </w:pPr>
          <w:r w:rsidRPr="00F502C3">
            <w:rPr>
              <w:rFonts w:ascii="Times New Roman" w:hAnsi="Times New Roman" w:cs="Times New Roman"/>
              <w:b/>
              <w:bCs/>
              <w:noProof/>
            </w:rPr>
            <w:fldChar w:fldCharType="end"/>
          </w:r>
        </w:p>
      </w:sdtContent>
    </w:sdt>
    <w:p w:rsidR="00323FA4" w:rsidRPr="00F502C3" w:rsidRDefault="00323FA4" w:rsidP="00DD4D31">
      <w:pPr>
        <w:spacing w:line="360" w:lineRule="auto"/>
        <w:jc w:val="both"/>
        <w:rPr>
          <w:rFonts w:ascii="Times New Roman" w:hAnsi="Times New Roman" w:cs="Times New Roman"/>
          <w:sz w:val="24"/>
          <w:szCs w:val="24"/>
        </w:rPr>
        <w:sectPr w:rsidR="00323FA4" w:rsidRPr="00F502C3" w:rsidSect="00193DA0">
          <w:pgSz w:w="12240" w:h="15840"/>
          <w:pgMar w:top="1440" w:right="1440" w:bottom="1440" w:left="1440" w:header="720" w:footer="720" w:gutter="0"/>
          <w:pgNumType w:fmt="lowerRoman"/>
          <w:cols w:space="720"/>
          <w:docGrid w:linePitch="360"/>
        </w:sectPr>
      </w:pPr>
    </w:p>
    <w:p w:rsidR="00576E1B" w:rsidRPr="00F502C3" w:rsidRDefault="00FF3D70" w:rsidP="00DD4D31">
      <w:pPr>
        <w:pStyle w:val="Heading1"/>
        <w:jc w:val="both"/>
        <w:rPr>
          <w:rFonts w:ascii="Times New Roman" w:hAnsi="Times New Roman" w:cs="Times New Roman"/>
          <w:sz w:val="24"/>
          <w:szCs w:val="24"/>
        </w:rPr>
      </w:pPr>
      <w:bookmarkStart w:id="2" w:name="_Toc18524264"/>
      <w:r w:rsidRPr="00F502C3">
        <w:rPr>
          <w:rFonts w:ascii="Times New Roman" w:hAnsi="Times New Roman" w:cs="Times New Roman"/>
        </w:rPr>
        <w:t xml:space="preserve">1. </w:t>
      </w:r>
      <w:r w:rsidR="003073A2" w:rsidRPr="00F502C3">
        <w:rPr>
          <w:rFonts w:ascii="Times New Roman" w:hAnsi="Times New Roman" w:cs="Times New Roman"/>
        </w:rPr>
        <w:t>Introductory Part</w:t>
      </w:r>
      <w:bookmarkEnd w:id="2"/>
    </w:p>
    <w:p w:rsidR="00906937" w:rsidRPr="00F502C3" w:rsidRDefault="003073A2" w:rsidP="00DD4D31">
      <w:pPr>
        <w:pStyle w:val="Heading2"/>
        <w:jc w:val="both"/>
        <w:rPr>
          <w:rFonts w:ascii="Times New Roman" w:hAnsi="Times New Roman" w:cs="Times New Roman"/>
        </w:rPr>
      </w:pPr>
      <w:bookmarkStart w:id="3" w:name="_Toc18524265"/>
      <w:r w:rsidRPr="00F502C3">
        <w:rPr>
          <w:rFonts w:ascii="Times New Roman" w:hAnsi="Times New Roman" w:cs="Times New Roman"/>
        </w:rPr>
        <w:t>1.1 Introduction</w:t>
      </w:r>
      <w:bookmarkEnd w:id="3"/>
    </w:p>
    <w:p w:rsidR="00F33A4A" w:rsidRPr="00F502C3" w:rsidRDefault="003073A2" w:rsidP="00B16445">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Banks are</w:t>
      </w:r>
      <w:r w:rsidR="00906937" w:rsidRPr="00F502C3">
        <w:rPr>
          <w:rFonts w:ascii="Times New Roman" w:hAnsi="Times New Roman" w:cs="Times New Roman"/>
          <w:sz w:val="24"/>
          <w:szCs w:val="24"/>
        </w:rPr>
        <w:t xml:space="preserve"> the key financial establishment that play a dynamic role in the country’s </w:t>
      </w:r>
      <w:r w:rsidR="00066152" w:rsidRPr="00F502C3">
        <w:rPr>
          <w:rFonts w:ascii="Times New Roman" w:hAnsi="Times New Roman" w:cs="Times New Roman"/>
          <w:sz w:val="24"/>
          <w:szCs w:val="24"/>
        </w:rPr>
        <w:t>economy. Globalization</w:t>
      </w:r>
      <w:r w:rsidR="00906937" w:rsidRPr="00F502C3">
        <w:rPr>
          <w:rFonts w:ascii="Times New Roman" w:hAnsi="Times New Roman" w:cs="Times New Roman"/>
          <w:sz w:val="24"/>
          <w:szCs w:val="24"/>
        </w:rPr>
        <w:t xml:space="preserve"> in the banking sector has thrown up opportunities</w:t>
      </w:r>
      <w:r w:rsidRPr="00F502C3">
        <w:rPr>
          <w:rFonts w:ascii="Times New Roman" w:hAnsi="Times New Roman" w:cs="Times New Roman"/>
          <w:sz w:val="24"/>
          <w:szCs w:val="24"/>
        </w:rPr>
        <w:t xml:space="preserve"> as well as </w:t>
      </w:r>
      <w:r w:rsidR="000B5ADB" w:rsidRPr="00F502C3">
        <w:rPr>
          <w:rFonts w:ascii="Times New Roman" w:hAnsi="Times New Roman" w:cs="Times New Roman"/>
          <w:sz w:val="24"/>
          <w:szCs w:val="24"/>
        </w:rPr>
        <w:t>challenge. Competition</w:t>
      </w:r>
      <w:r w:rsidRPr="00F502C3">
        <w:rPr>
          <w:rFonts w:ascii="Times New Roman" w:hAnsi="Times New Roman" w:cs="Times New Roman"/>
          <w:sz w:val="24"/>
          <w:szCs w:val="24"/>
        </w:rPr>
        <w:t xml:space="preserve"> is getting edge day by day .All listed Banks at DSE (Dhaka Stock exchange) are analyzing their performance .we, </w:t>
      </w:r>
      <w:r w:rsidR="00E60B04" w:rsidRPr="00F502C3">
        <w:rPr>
          <w:rFonts w:ascii="Times New Roman" w:hAnsi="Times New Roman" w:cs="Times New Roman"/>
          <w:sz w:val="24"/>
          <w:szCs w:val="24"/>
        </w:rPr>
        <w:t>know all</w:t>
      </w:r>
      <w:r w:rsidRPr="00F502C3">
        <w:rPr>
          <w:rFonts w:ascii="Times New Roman" w:hAnsi="Times New Roman" w:cs="Times New Roman"/>
          <w:sz w:val="24"/>
          <w:szCs w:val="24"/>
        </w:rPr>
        <w:t xml:space="preserve"> banks in Bangladesh are </w:t>
      </w:r>
      <w:r w:rsidR="00E60B04" w:rsidRPr="00F502C3">
        <w:rPr>
          <w:rFonts w:ascii="Times New Roman" w:hAnsi="Times New Roman" w:cs="Times New Roman"/>
          <w:sz w:val="24"/>
          <w:szCs w:val="24"/>
        </w:rPr>
        <w:t>regulated by</w:t>
      </w:r>
      <w:r w:rsidRPr="00F502C3">
        <w:rPr>
          <w:rFonts w:ascii="Times New Roman" w:hAnsi="Times New Roman" w:cs="Times New Roman"/>
          <w:sz w:val="24"/>
          <w:szCs w:val="24"/>
        </w:rPr>
        <w:t xml:space="preserve"> Bangladesh bank .Bangladesh bank is the central Bank of bank .</w:t>
      </w:r>
      <w:r w:rsidR="00E60B04" w:rsidRPr="00F502C3">
        <w:rPr>
          <w:rFonts w:ascii="Times New Roman" w:hAnsi="Times New Roman" w:cs="Times New Roman"/>
          <w:sz w:val="24"/>
          <w:szCs w:val="24"/>
        </w:rPr>
        <w:t>So, every Islamic</w:t>
      </w:r>
      <w:r w:rsidRPr="00F502C3">
        <w:rPr>
          <w:rFonts w:ascii="Times New Roman" w:hAnsi="Times New Roman" w:cs="Times New Roman"/>
          <w:sz w:val="24"/>
          <w:szCs w:val="24"/>
        </w:rPr>
        <w:t xml:space="preserve"> and </w:t>
      </w:r>
      <w:r w:rsidR="00E60B04" w:rsidRPr="00F502C3">
        <w:rPr>
          <w:rFonts w:ascii="Times New Roman" w:hAnsi="Times New Roman" w:cs="Times New Roman"/>
          <w:sz w:val="24"/>
          <w:szCs w:val="24"/>
        </w:rPr>
        <w:t>non-</w:t>
      </w:r>
      <w:r w:rsidR="000B5ADB" w:rsidRPr="00F502C3">
        <w:rPr>
          <w:rFonts w:ascii="Times New Roman" w:hAnsi="Times New Roman" w:cs="Times New Roman"/>
          <w:sz w:val="24"/>
          <w:szCs w:val="24"/>
        </w:rPr>
        <w:t>Islamic or</w:t>
      </w:r>
      <w:r w:rsidR="00661C9B" w:rsidRPr="00F502C3">
        <w:rPr>
          <w:rFonts w:ascii="Times New Roman" w:hAnsi="Times New Roman" w:cs="Times New Roman"/>
          <w:sz w:val="24"/>
          <w:szCs w:val="24"/>
        </w:rPr>
        <w:t xml:space="preserve"> </w:t>
      </w:r>
      <w:r w:rsidRPr="00F502C3">
        <w:rPr>
          <w:rFonts w:ascii="Times New Roman" w:hAnsi="Times New Roman" w:cs="Times New Roman"/>
          <w:sz w:val="24"/>
          <w:szCs w:val="24"/>
        </w:rPr>
        <w:t xml:space="preserve">commercial Bank </w:t>
      </w:r>
      <w:r w:rsidR="00661C9B" w:rsidRPr="00F502C3">
        <w:rPr>
          <w:rFonts w:ascii="Times New Roman" w:hAnsi="Times New Roman" w:cs="Times New Roman"/>
          <w:sz w:val="24"/>
          <w:szCs w:val="24"/>
        </w:rPr>
        <w:t xml:space="preserve">follow the rules of Bangladesh Bank rules .since, they have own rules and regulation but they obtained it. If we look at the banking sector of </w:t>
      </w:r>
      <w:r w:rsidR="00E60B04" w:rsidRPr="00F502C3">
        <w:rPr>
          <w:rFonts w:ascii="Times New Roman" w:hAnsi="Times New Roman" w:cs="Times New Roman"/>
          <w:sz w:val="24"/>
          <w:szCs w:val="24"/>
        </w:rPr>
        <w:t>Bangladesh then</w:t>
      </w:r>
      <w:r w:rsidR="00661C9B" w:rsidRPr="00F502C3">
        <w:rPr>
          <w:rFonts w:ascii="Times New Roman" w:hAnsi="Times New Roman" w:cs="Times New Roman"/>
          <w:sz w:val="24"/>
          <w:szCs w:val="24"/>
        </w:rPr>
        <w:t xml:space="preserve">, 4 </w:t>
      </w:r>
      <w:r w:rsidR="00E60B04" w:rsidRPr="00F502C3">
        <w:rPr>
          <w:rFonts w:ascii="Times New Roman" w:hAnsi="Times New Roman" w:cs="Times New Roman"/>
          <w:sz w:val="24"/>
          <w:szCs w:val="24"/>
        </w:rPr>
        <w:t>categories of</w:t>
      </w:r>
      <w:r w:rsidR="000B5ADB" w:rsidRPr="00F502C3">
        <w:rPr>
          <w:rFonts w:ascii="Times New Roman" w:hAnsi="Times New Roman" w:cs="Times New Roman"/>
          <w:sz w:val="24"/>
          <w:szCs w:val="24"/>
        </w:rPr>
        <w:t xml:space="preserve"> bank available like </w:t>
      </w:r>
      <w:r w:rsidR="00661C9B" w:rsidRPr="00F502C3">
        <w:rPr>
          <w:rFonts w:ascii="Times New Roman" w:hAnsi="Times New Roman" w:cs="Times New Roman"/>
          <w:sz w:val="24"/>
          <w:szCs w:val="24"/>
        </w:rPr>
        <w:t xml:space="preserve">commercial </w:t>
      </w:r>
      <w:r w:rsidR="000B5ADB" w:rsidRPr="00F502C3">
        <w:rPr>
          <w:rFonts w:ascii="Times New Roman" w:hAnsi="Times New Roman" w:cs="Times New Roman"/>
          <w:sz w:val="24"/>
          <w:szCs w:val="24"/>
        </w:rPr>
        <w:t>bank, private</w:t>
      </w:r>
      <w:r w:rsidR="00661C9B" w:rsidRPr="00F502C3">
        <w:rPr>
          <w:rFonts w:ascii="Times New Roman" w:hAnsi="Times New Roman" w:cs="Times New Roman"/>
          <w:sz w:val="24"/>
          <w:szCs w:val="24"/>
        </w:rPr>
        <w:t xml:space="preserve"> commercial banks, foreign commercial bank, development financial institution and the banking</w:t>
      </w:r>
      <w:r w:rsidR="00E60B04" w:rsidRPr="00F502C3">
        <w:rPr>
          <w:rFonts w:ascii="Times New Roman" w:hAnsi="Times New Roman" w:cs="Times New Roman"/>
          <w:sz w:val="24"/>
          <w:szCs w:val="24"/>
        </w:rPr>
        <w:t xml:space="preserve"> </w:t>
      </w:r>
      <w:r w:rsidR="000B5ADB" w:rsidRPr="00F502C3">
        <w:rPr>
          <w:rFonts w:ascii="Times New Roman" w:hAnsi="Times New Roman" w:cs="Times New Roman"/>
          <w:sz w:val="24"/>
          <w:szCs w:val="24"/>
        </w:rPr>
        <w:t>sectors can</w:t>
      </w:r>
      <w:r w:rsidR="00661C9B" w:rsidRPr="00F502C3">
        <w:rPr>
          <w:rFonts w:ascii="Times New Roman" w:hAnsi="Times New Roman" w:cs="Times New Roman"/>
          <w:sz w:val="24"/>
          <w:szCs w:val="24"/>
        </w:rPr>
        <w:t xml:space="preserve"> also </w:t>
      </w:r>
      <w:r w:rsidR="000B5ADB" w:rsidRPr="00F502C3">
        <w:rPr>
          <w:rFonts w:ascii="Times New Roman" w:hAnsi="Times New Roman" w:cs="Times New Roman"/>
          <w:sz w:val="24"/>
          <w:szCs w:val="24"/>
        </w:rPr>
        <w:t>be categorized</w:t>
      </w:r>
      <w:r w:rsidR="00E60B04" w:rsidRPr="00F502C3">
        <w:rPr>
          <w:rFonts w:ascii="Times New Roman" w:hAnsi="Times New Roman" w:cs="Times New Roman"/>
          <w:sz w:val="24"/>
          <w:szCs w:val="24"/>
        </w:rPr>
        <w:t xml:space="preserve"> into Traditional bank and Sharia based Islamic bank. Both types of banking sectors are stable position in our country. </w:t>
      </w:r>
      <w:r w:rsidR="00066152" w:rsidRPr="00F502C3">
        <w:rPr>
          <w:rFonts w:ascii="Times New Roman" w:hAnsi="Times New Roman" w:cs="Times New Roman"/>
          <w:sz w:val="24"/>
          <w:szCs w:val="24"/>
        </w:rPr>
        <w:t>So,</w:t>
      </w:r>
      <w:r w:rsidR="00E60B04" w:rsidRPr="00F502C3">
        <w:rPr>
          <w:rFonts w:ascii="Times New Roman" w:hAnsi="Times New Roman" w:cs="Times New Roman"/>
          <w:sz w:val="24"/>
          <w:szCs w:val="24"/>
        </w:rPr>
        <w:t xml:space="preserve"> it’s </w:t>
      </w:r>
      <w:r w:rsidR="000B5ADB" w:rsidRPr="00F502C3">
        <w:rPr>
          <w:rFonts w:ascii="Times New Roman" w:hAnsi="Times New Roman" w:cs="Times New Roman"/>
          <w:sz w:val="24"/>
          <w:szCs w:val="24"/>
        </w:rPr>
        <w:t>very important</w:t>
      </w:r>
      <w:r w:rsidR="00E60B04" w:rsidRPr="00F502C3">
        <w:rPr>
          <w:rFonts w:ascii="Times New Roman" w:hAnsi="Times New Roman" w:cs="Times New Roman"/>
          <w:sz w:val="24"/>
          <w:szCs w:val="24"/>
        </w:rPr>
        <w:t xml:space="preserve"> to know how much smoothly grow in our banking sector and how fast their </w:t>
      </w:r>
      <w:r w:rsidR="00476E6D">
        <w:rPr>
          <w:rFonts w:ascii="Times New Roman" w:hAnsi="Times New Roman" w:cs="Times New Roman"/>
          <w:sz w:val="24"/>
          <w:szCs w:val="24"/>
        </w:rPr>
        <w:t>performance</w:t>
      </w:r>
      <w:r w:rsidR="00361018" w:rsidRPr="00F502C3">
        <w:rPr>
          <w:rFonts w:ascii="Times New Roman" w:hAnsi="Times New Roman" w:cs="Times New Roman"/>
          <w:sz w:val="24"/>
          <w:szCs w:val="24"/>
        </w:rPr>
        <w:t xml:space="preserve"> situation ups and </w:t>
      </w:r>
      <w:r w:rsidR="000B5ADB" w:rsidRPr="00F502C3">
        <w:rPr>
          <w:rFonts w:ascii="Times New Roman" w:hAnsi="Times New Roman" w:cs="Times New Roman"/>
          <w:sz w:val="24"/>
          <w:szCs w:val="24"/>
        </w:rPr>
        <w:t>down. This</w:t>
      </w:r>
      <w:r w:rsidR="00361018" w:rsidRPr="00F502C3">
        <w:rPr>
          <w:rFonts w:ascii="Times New Roman" w:hAnsi="Times New Roman" w:cs="Times New Roman"/>
          <w:sz w:val="24"/>
          <w:szCs w:val="24"/>
        </w:rPr>
        <w:t xml:space="preserve"> Paper initiated to </w:t>
      </w:r>
      <w:r w:rsidR="00B301CD" w:rsidRPr="00F502C3">
        <w:rPr>
          <w:rFonts w:ascii="Times New Roman" w:hAnsi="Times New Roman" w:cs="Times New Roman"/>
          <w:sz w:val="24"/>
          <w:szCs w:val="24"/>
        </w:rPr>
        <w:t>analyze</w:t>
      </w:r>
      <w:r w:rsidR="00476E6D">
        <w:rPr>
          <w:rFonts w:ascii="Times New Roman" w:hAnsi="Times New Roman" w:cs="Times New Roman"/>
          <w:sz w:val="24"/>
          <w:szCs w:val="24"/>
        </w:rPr>
        <w:t xml:space="preserve"> the </w:t>
      </w:r>
      <w:r w:rsidR="00361018" w:rsidRPr="00F502C3">
        <w:rPr>
          <w:rFonts w:ascii="Times New Roman" w:hAnsi="Times New Roman" w:cs="Times New Roman"/>
          <w:sz w:val="24"/>
          <w:szCs w:val="24"/>
        </w:rPr>
        <w:t>perf</w:t>
      </w:r>
      <w:r w:rsidR="00476E6D">
        <w:rPr>
          <w:rFonts w:ascii="Times New Roman" w:hAnsi="Times New Roman" w:cs="Times New Roman"/>
          <w:sz w:val="24"/>
          <w:szCs w:val="24"/>
        </w:rPr>
        <w:t>ormance listed bank of DSE</w:t>
      </w:r>
      <w:r w:rsidR="00361018" w:rsidRPr="00F502C3">
        <w:rPr>
          <w:rFonts w:ascii="Times New Roman" w:hAnsi="Times New Roman" w:cs="Times New Roman"/>
          <w:sz w:val="24"/>
          <w:szCs w:val="24"/>
        </w:rPr>
        <w:t xml:space="preserve"> through various statistical as well as financial and accounting </w:t>
      </w:r>
      <w:r w:rsidR="000B5ADB" w:rsidRPr="00F502C3">
        <w:rPr>
          <w:rFonts w:ascii="Times New Roman" w:hAnsi="Times New Roman" w:cs="Times New Roman"/>
          <w:sz w:val="24"/>
          <w:szCs w:val="24"/>
        </w:rPr>
        <w:t>Techniques</w:t>
      </w:r>
      <w:r w:rsidR="00361018" w:rsidRPr="00F502C3">
        <w:rPr>
          <w:rFonts w:ascii="Times New Roman" w:hAnsi="Times New Roman" w:cs="Times New Roman"/>
          <w:sz w:val="24"/>
          <w:szCs w:val="24"/>
        </w:rPr>
        <w:t xml:space="preserve">.   </w:t>
      </w:r>
    </w:p>
    <w:p w:rsidR="00EB6E40" w:rsidRPr="00F502C3" w:rsidRDefault="00B301CD" w:rsidP="00DD4D31">
      <w:pPr>
        <w:pStyle w:val="Heading2"/>
        <w:jc w:val="both"/>
        <w:rPr>
          <w:rFonts w:ascii="Times New Roman" w:hAnsi="Times New Roman" w:cs="Times New Roman"/>
        </w:rPr>
      </w:pPr>
      <w:bookmarkStart w:id="4" w:name="_Toc18524266"/>
      <w:r w:rsidRPr="00F502C3">
        <w:rPr>
          <w:rFonts w:ascii="Times New Roman" w:hAnsi="Times New Roman" w:cs="Times New Roman"/>
        </w:rPr>
        <w:t>1.2 Rational Of the study</w:t>
      </w:r>
      <w:bookmarkEnd w:id="4"/>
    </w:p>
    <w:p w:rsidR="00EB6E40" w:rsidRPr="00F502C3" w:rsidRDefault="00EB6E40" w:rsidP="00DD4D31">
      <w:pPr>
        <w:tabs>
          <w:tab w:val="left" w:pos="3525"/>
        </w:tabs>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To find out every year's financial ratio, we can easily</w:t>
      </w:r>
      <w:r w:rsidR="000B5ADB" w:rsidRPr="00F502C3">
        <w:rPr>
          <w:rFonts w:ascii="Times New Roman" w:hAnsi="Times New Roman" w:cs="Times New Roman"/>
          <w:sz w:val="24"/>
          <w:szCs w:val="24"/>
        </w:rPr>
        <w:t xml:space="preserve"> understand which Year was good</w:t>
      </w:r>
      <w:r w:rsidRPr="00F502C3">
        <w:rPr>
          <w:rFonts w:ascii="Times New Roman" w:hAnsi="Times New Roman" w:cs="Times New Roman"/>
          <w:sz w:val="24"/>
          <w:szCs w:val="24"/>
        </w:rPr>
        <w:t xml:space="preserve">. That’s why this paper mainly focused on ROI, EPS, ROE, ROCE which helps us to determine profitability, liability, Asset situation on the bank, etc. On the other hand, this study has been </w:t>
      </w:r>
      <w:r w:rsidR="001B0978" w:rsidRPr="00F502C3">
        <w:rPr>
          <w:rFonts w:ascii="Times New Roman" w:hAnsi="Times New Roman" w:cs="Times New Roman"/>
          <w:sz w:val="24"/>
          <w:szCs w:val="24"/>
        </w:rPr>
        <w:t>shown to</w:t>
      </w:r>
      <w:r w:rsidRPr="00F502C3">
        <w:rPr>
          <w:rFonts w:ascii="Times New Roman" w:hAnsi="Times New Roman" w:cs="Times New Roman"/>
          <w:sz w:val="24"/>
          <w:szCs w:val="24"/>
        </w:rPr>
        <w:t xml:space="preserve"> every bank’s board size, board member, </w:t>
      </w:r>
      <w:r w:rsidR="001B0978" w:rsidRPr="00F502C3">
        <w:rPr>
          <w:rFonts w:ascii="Times New Roman" w:hAnsi="Times New Roman" w:cs="Times New Roman"/>
          <w:sz w:val="24"/>
          <w:szCs w:val="24"/>
        </w:rPr>
        <w:t>and leverage</w:t>
      </w:r>
      <w:r w:rsidRPr="00F502C3">
        <w:rPr>
          <w:rFonts w:ascii="Times New Roman" w:hAnsi="Times New Roman" w:cs="Times New Roman"/>
          <w:sz w:val="24"/>
          <w:szCs w:val="24"/>
        </w:rPr>
        <w:t xml:space="preserve"> ratio, Family shareholder, foreign shareholder. If we focused on the leverage ratio, we see that total debt and total assets. Annual report Study causes 10 to 15 years we can easily compare each bank and determine which bank is good.</w:t>
      </w:r>
      <w:r w:rsidR="00AB0BF8" w:rsidRPr="00F502C3">
        <w:rPr>
          <w:rFonts w:ascii="Times New Roman" w:hAnsi="Times New Roman" w:cs="Times New Roman"/>
          <w:sz w:val="24"/>
          <w:szCs w:val="24"/>
        </w:rPr>
        <w:t xml:space="preserve"> Every bank has no women and foreign member on Board. Sometimes I found family shareholder on the bank share. Director’s </w:t>
      </w:r>
      <w:r w:rsidR="004F587D" w:rsidRPr="00F502C3">
        <w:rPr>
          <w:rFonts w:ascii="Times New Roman" w:hAnsi="Times New Roman" w:cs="Times New Roman"/>
          <w:sz w:val="24"/>
          <w:szCs w:val="24"/>
        </w:rPr>
        <w:t>spouses are</w:t>
      </w:r>
      <w:r w:rsidR="00AB0BF8" w:rsidRPr="00F502C3">
        <w:rPr>
          <w:rFonts w:ascii="Times New Roman" w:hAnsi="Times New Roman" w:cs="Times New Roman"/>
          <w:sz w:val="24"/>
          <w:szCs w:val="24"/>
        </w:rPr>
        <w:t xml:space="preserve"> shareholder on the bank.</w:t>
      </w:r>
      <w:r w:rsidR="004F587D" w:rsidRPr="00F502C3">
        <w:rPr>
          <w:rFonts w:ascii="Times New Roman" w:hAnsi="Times New Roman" w:cs="Times New Roman"/>
          <w:sz w:val="24"/>
          <w:szCs w:val="24"/>
        </w:rPr>
        <w:t xml:space="preserve"> Some banks involve their family member on the Board attributes. About financial ratio Bank industry maintain their average ratio. And they compare it past and present ratio with this average ratio. </w:t>
      </w:r>
      <w:r w:rsidR="00AB0BF8" w:rsidRPr="00F502C3">
        <w:rPr>
          <w:rFonts w:ascii="Times New Roman" w:hAnsi="Times New Roman" w:cs="Times New Roman"/>
          <w:sz w:val="24"/>
          <w:szCs w:val="24"/>
        </w:rPr>
        <w:t xml:space="preserve">  </w:t>
      </w:r>
      <w:r w:rsidRPr="00F502C3">
        <w:rPr>
          <w:rFonts w:ascii="Times New Roman" w:hAnsi="Times New Roman" w:cs="Times New Roman"/>
          <w:sz w:val="24"/>
          <w:szCs w:val="24"/>
        </w:rPr>
        <w:t xml:space="preserve"> </w:t>
      </w:r>
    </w:p>
    <w:p w:rsidR="00EB6E40" w:rsidRPr="00F502C3" w:rsidRDefault="00EB6E40" w:rsidP="00DD4D31">
      <w:pPr>
        <w:pStyle w:val="ListParagraph"/>
        <w:tabs>
          <w:tab w:val="left" w:pos="3525"/>
        </w:tabs>
        <w:spacing w:line="360" w:lineRule="auto"/>
        <w:jc w:val="both"/>
        <w:rPr>
          <w:rFonts w:ascii="Times New Roman" w:hAnsi="Times New Roman" w:cs="Times New Roman"/>
          <w:sz w:val="24"/>
          <w:szCs w:val="24"/>
        </w:rPr>
      </w:pPr>
    </w:p>
    <w:p w:rsidR="00F33A4A" w:rsidRPr="00F502C3" w:rsidRDefault="00F33A4A" w:rsidP="00DD4D31">
      <w:pPr>
        <w:pStyle w:val="ListParagraph"/>
        <w:tabs>
          <w:tab w:val="left" w:pos="3525"/>
        </w:tabs>
        <w:spacing w:line="360" w:lineRule="auto"/>
        <w:jc w:val="both"/>
        <w:rPr>
          <w:rFonts w:ascii="Times New Roman" w:hAnsi="Times New Roman" w:cs="Times New Roman"/>
          <w:sz w:val="24"/>
          <w:szCs w:val="24"/>
        </w:rPr>
      </w:pPr>
    </w:p>
    <w:p w:rsidR="00D73A47" w:rsidRPr="00F502C3" w:rsidRDefault="00D73A47" w:rsidP="00DD4D31">
      <w:pPr>
        <w:pStyle w:val="Heading2"/>
        <w:jc w:val="both"/>
        <w:rPr>
          <w:rFonts w:ascii="Times New Roman" w:hAnsi="Times New Roman" w:cs="Times New Roman"/>
        </w:rPr>
      </w:pPr>
    </w:p>
    <w:p w:rsidR="00906937" w:rsidRPr="00F502C3" w:rsidRDefault="00EB6E40" w:rsidP="00DD4D31">
      <w:pPr>
        <w:pStyle w:val="Heading2"/>
        <w:jc w:val="both"/>
        <w:rPr>
          <w:rFonts w:ascii="Times New Roman" w:hAnsi="Times New Roman" w:cs="Times New Roman"/>
        </w:rPr>
      </w:pPr>
      <w:bookmarkStart w:id="5" w:name="_Toc18524267"/>
      <w:r w:rsidRPr="00F502C3">
        <w:rPr>
          <w:rFonts w:ascii="Times New Roman" w:hAnsi="Times New Roman" w:cs="Times New Roman"/>
        </w:rPr>
        <w:t>1.3 Background of The study</w:t>
      </w:r>
      <w:bookmarkEnd w:id="5"/>
    </w:p>
    <w:p w:rsidR="00F33A4A" w:rsidRPr="00B16445" w:rsidRDefault="00026950" w:rsidP="00B16445">
      <w:pPr>
        <w:tabs>
          <w:tab w:val="left" w:pos="3525"/>
        </w:tabs>
        <w:spacing w:line="360" w:lineRule="auto"/>
        <w:jc w:val="both"/>
        <w:rPr>
          <w:rFonts w:ascii="Times New Roman" w:hAnsi="Times New Roman" w:cs="Times New Roman"/>
          <w:sz w:val="24"/>
          <w:szCs w:val="24"/>
        </w:rPr>
      </w:pPr>
      <w:r w:rsidRPr="00B16445">
        <w:rPr>
          <w:rFonts w:ascii="Times New Roman" w:hAnsi="Times New Roman" w:cs="Times New Roman"/>
          <w:sz w:val="24"/>
          <w:szCs w:val="24"/>
        </w:rPr>
        <w:t xml:space="preserve">Every annual </w:t>
      </w:r>
      <w:r w:rsidR="004F587D" w:rsidRPr="00B16445">
        <w:rPr>
          <w:rFonts w:ascii="Times New Roman" w:hAnsi="Times New Roman" w:cs="Times New Roman"/>
          <w:sz w:val="24"/>
          <w:szCs w:val="24"/>
        </w:rPr>
        <w:t>report needs</w:t>
      </w:r>
      <w:r w:rsidRPr="00B16445">
        <w:rPr>
          <w:rFonts w:ascii="Times New Roman" w:hAnsi="Times New Roman" w:cs="Times New Roman"/>
          <w:sz w:val="24"/>
          <w:szCs w:val="24"/>
        </w:rPr>
        <w:t xml:space="preserve"> to study to find out </w:t>
      </w:r>
      <w:r w:rsidR="0034308B" w:rsidRPr="00B16445">
        <w:rPr>
          <w:rFonts w:ascii="Times New Roman" w:hAnsi="Times New Roman" w:cs="Times New Roman"/>
          <w:sz w:val="24"/>
          <w:szCs w:val="24"/>
        </w:rPr>
        <w:t>every ratio. Rate of return</w:t>
      </w:r>
      <w:r w:rsidRPr="00B16445">
        <w:rPr>
          <w:rFonts w:ascii="Times New Roman" w:hAnsi="Times New Roman" w:cs="Times New Roman"/>
          <w:sz w:val="24"/>
          <w:szCs w:val="24"/>
        </w:rPr>
        <w:t xml:space="preserve">, Rate of </w:t>
      </w:r>
      <w:r w:rsidR="004F587D" w:rsidRPr="00B16445">
        <w:rPr>
          <w:rFonts w:ascii="Times New Roman" w:hAnsi="Times New Roman" w:cs="Times New Roman"/>
          <w:sz w:val="24"/>
          <w:szCs w:val="24"/>
        </w:rPr>
        <w:t>equity, earning</w:t>
      </w:r>
      <w:r w:rsidR="0034308B" w:rsidRPr="00B16445">
        <w:rPr>
          <w:rFonts w:ascii="Times New Roman" w:hAnsi="Times New Roman" w:cs="Times New Roman"/>
          <w:sz w:val="24"/>
          <w:szCs w:val="24"/>
        </w:rPr>
        <w:t xml:space="preserve"> per </w:t>
      </w:r>
      <w:r w:rsidR="001B0978" w:rsidRPr="00B16445">
        <w:rPr>
          <w:rFonts w:ascii="Times New Roman" w:hAnsi="Times New Roman" w:cs="Times New Roman"/>
          <w:sz w:val="24"/>
          <w:szCs w:val="24"/>
        </w:rPr>
        <w:t>share, Return</w:t>
      </w:r>
      <w:r w:rsidR="0034308B" w:rsidRPr="00B16445">
        <w:rPr>
          <w:rFonts w:ascii="Times New Roman" w:hAnsi="Times New Roman" w:cs="Times New Roman"/>
          <w:sz w:val="24"/>
          <w:szCs w:val="24"/>
        </w:rPr>
        <w:t xml:space="preserve"> on Capital </w:t>
      </w:r>
      <w:r w:rsidR="001B0978" w:rsidRPr="00B16445">
        <w:rPr>
          <w:rFonts w:ascii="Times New Roman" w:hAnsi="Times New Roman" w:cs="Times New Roman"/>
          <w:sz w:val="24"/>
          <w:szCs w:val="24"/>
        </w:rPr>
        <w:t>employed needs</w:t>
      </w:r>
      <w:r w:rsidR="0034308B" w:rsidRPr="00B16445">
        <w:rPr>
          <w:rFonts w:ascii="Times New Roman" w:hAnsi="Times New Roman" w:cs="Times New Roman"/>
          <w:sz w:val="24"/>
          <w:szCs w:val="24"/>
        </w:rPr>
        <w:t xml:space="preserve"> to balance sheet and using </w:t>
      </w:r>
      <w:r w:rsidR="001B0978" w:rsidRPr="00B16445">
        <w:rPr>
          <w:rFonts w:ascii="Times New Roman" w:hAnsi="Times New Roman" w:cs="Times New Roman"/>
          <w:sz w:val="24"/>
          <w:szCs w:val="24"/>
        </w:rPr>
        <w:t>formula. But</w:t>
      </w:r>
      <w:r w:rsidR="0034308B" w:rsidRPr="00B16445">
        <w:rPr>
          <w:rFonts w:ascii="Times New Roman" w:hAnsi="Times New Roman" w:cs="Times New Roman"/>
          <w:sz w:val="24"/>
          <w:szCs w:val="24"/>
        </w:rPr>
        <w:t xml:space="preserve"> </w:t>
      </w:r>
      <w:r w:rsidR="004F587D" w:rsidRPr="00B16445">
        <w:rPr>
          <w:rFonts w:ascii="Times New Roman" w:hAnsi="Times New Roman" w:cs="Times New Roman"/>
          <w:sz w:val="24"/>
          <w:szCs w:val="24"/>
        </w:rPr>
        <w:t>some</w:t>
      </w:r>
      <w:r w:rsidR="0034308B" w:rsidRPr="00B16445">
        <w:rPr>
          <w:rFonts w:ascii="Times New Roman" w:hAnsi="Times New Roman" w:cs="Times New Roman"/>
          <w:sz w:val="24"/>
          <w:szCs w:val="24"/>
        </w:rPr>
        <w:t xml:space="preserve"> ratio </w:t>
      </w:r>
      <w:r w:rsidR="001B0978" w:rsidRPr="00B16445">
        <w:rPr>
          <w:rFonts w:ascii="Times New Roman" w:hAnsi="Times New Roman" w:cs="Times New Roman"/>
          <w:sz w:val="24"/>
          <w:szCs w:val="24"/>
        </w:rPr>
        <w:t>is</w:t>
      </w:r>
      <w:r w:rsidR="0034308B" w:rsidRPr="00B16445">
        <w:rPr>
          <w:rFonts w:ascii="Times New Roman" w:hAnsi="Times New Roman" w:cs="Times New Roman"/>
          <w:sz w:val="24"/>
          <w:szCs w:val="24"/>
        </w:rPr>
        <w:t xml:space="preserve"> given at a glance performance page at annual report.</w:t>
      </w:r>
      <w:r w:rsidR="000A2D42" w:rsidRPr="00B16445">
        <w:rPr>
          <w:rFonts w:ascii="Times New Roman" w:hAnsi="Times New Roman" w:cs="Times New Roman"/>
          <w:sz w:val="24"/>
          <w:szCs w:val="24"/>
        </w:rPr>
        <w:t xml:space="preserve"> Information of Profitability</w:t>
      </w:r>
      <w:r w:rsidR="004F587D" w:rsidRPr="00B16445">
        <w:rPr>
          <w:rFonts w:ascii="Times New Roman" w:hAnsi="Times New Roman" w:cs="Times New Roman"/>
          <w:sz w:val="24"/>
          <w:szCs w:val="24"/>
        </w:rPr>
        <w:t xml:space="preserve">, liquidity, Asset </w:t>
      </w:r>
      <w:r w:rsidR="000A2D42" w:rsidRPr="00B16445">
        <w:rPr>
          <w:rFonts w:ascii="Times New Roman" w:hAnsi="Times New Roman" w:cs="Times New Roman"/>
          <w:sz w:val="24"/>
          <w:szCs w:val="24"/>
        </w:rPr>
        <w:t xml:space="preserve">and liability </w:t>
      </w:r>
      <w:r w:rsidR="00BE3B21" w:rsidRPr="00B16445">
        <w:rPr>
          <w:rFonts w:ascii="Times New Roman" w:hAnsi="Times New Roman" w:cs="Times New Roman"/>
          <w:sz w:val="24"/>
          <w:szCs w:val="24"/>
        </w:rPr>
        <w:t>situation</w:t>
      </w:r>
      <w:r w:rsidR="000A2D42" w:rsidRPr="00B16445">
        <w:rPr>
          <w:rFonts w:ascii="Times New Roman" w:hAnsi="Times New Roman" w:cs="Times New Roman"/>
          <w:sz w:val="24"/>
          <w:szCs w:val="24"/>
        </w:rPr>
        <w:t xml:space="preserve"> on the bank</w:t>
      </w:r>
      <w:r w:rsidR="00BE3B21" w:rsidRPr="00B16445">
        <w:rPr>
          <w:rFonts w:ascii="Times New Roman" w:hAnsi="Times New Roman" w:cs="Times New Roman"/>
          <w:sz w:val="24"/>
          <w:szCs w:val="24"/>
        </w:rPr>
        <w:t>s</w:t>
      </w:r>
      <w:r w:rsidR="000A2D42" w:rsidRPr="00B16445">
        <w:rPr>
          <w:rFonts w:ascii="Times New Roman" w:hAnsi="Times New Roman" w:cs="Times New Roman"/>
          <w:sz w:val="24"/>
          <w:szCs w:val="24"/>
        </w:rPr>
        <w:t xml:space="preserve"> are also given on the annual report.</w:t>
      </w:r>
      <w:r w:rsidR="00132A2B" w:rsidRPr="00B16445">
        <w:rPr>
          <w:rFonts w:ascii="Times New Roman" w:hAnsi="Times New Roman" w:cs="Times New Roman"/>
          <w:sz w:val="24"/>
          <w:szCs w:val="24"/>
        </w:rPr>
        <w:t xml:space="preserve"> </w:t>
      </w:r>
      <w:r w:rsidR="00066152" w:rsidRPr="00B16445">
        <w:rPr>
          <w:rFonts w:ascii="Times New Roman" w:hAnsi="Times New Roman" w:cs="Times New Roman"/>
          <w:sz w:val="24"/>
          <w:szCs w:val="24"/>
        </w:rPr>
        <w:t>So,</w:t>
      </w:r>
      <w:r w:rsidR="00BE3B21" w:rsidRPr="00B16445">
        <w:rPr>
          <w:rFonts w:ascii="Times New Roman" w:hAnsi="Times New Roman" w:cs="Times New Roman"/>
          <w:sz w:val="24"/>
          <w:szCs w:val="24"/>
        </w:rPr>
        <w:t xml:space="preserve"> study the annual report I was every ratio. Information such as, Board related, religion factors all are find out on the annual report. I also try to find ou</w:t>
      </w:r>
      <w:r w:rsidR="005B4DC3" w:rsidRPr="00B16445">
        <w:rPr>
          <w:rFonts w:ascii="Times New Roman" w:hAnsi="Times New Roman" w:cs="Times New Roman"/>
          <w:sz w:val="24"/>
          <w:szCs w:val="24"/>
        </w:rPr>
        <w:t xml:space="preserve">t </w:t>
      </w:r>
      <w:r w:rsidR="00BE3B21" w:rsidRPr="00B16445">
        <w:rPr>
          <w:rFonts w:ascii="Times New Roman" w:hAnsi="Times New Roman" w:cs="Times New Roman"/>
          <w:sz w:val="24"/>
          <w:szCs w:val="24"/>
        </w:rPr>
        <w:t xml:space="preserve">information which helps me to determine the performance of </w:t>
      </w:r>
      <w:r w:rsidR="005B4DC3" w:rsidRPr="00B16445">
        <w:rPr>
          <w:rFonts w:ascii="Times New Roman" w:hAnsi="Times New Roman" w:cs="Times New Roman"/>
          <w:sz w:val="24"/>
          <w:szCs w:val="24"/>
        </w:rPr>
        <w:t xml:space="preserve">banking industry. </w:t>
      </w:r>
      <w:r w:rsidR="00BE3B21" w:rsidRPr="00B16445">
        <w:rPr>
          <w:rFonts w:ascii="Times New Roman" w:hAnsi="Times New Roman" w:cs="Times New Roman"/>
          <w:sz w:val="24"/>
          <w:szCs w:val="24"/>
        </w:rPr>
        <w:t xml:space="preserve">  </w:t>
      </w:r>
      <w:r w:rsidR="000A2D42" w:rsidRPr="00B16445">
        <w:rPr>
          <w:rFonts w:ascii="Times New Roman" w:hAnsi="Times New Roman" w:cs="Times New Roman"/>
          <w:sz w:val="24"/>
          <w:szCs w:val="24"/>
        </w:rPr>
        <w:t xml:space="preserve">   </w:t>
      </w:r>
    </w:p>
    <w:p w:rsidR="00906937" w:rsidRPr="00F502C3" w:rsidRDefault="00F8403C" w:rsidP="00DD4D31">
      <w:pPr>
        <w:pStyle w:val="Heading2"/>
        <w:jc w:val="both"/>
        <w:rPr>
          <w:rFonts w:ascii="Times New Roman" w:hAnsi="Times New Roman" w:cs="Times New Roman"/>
        </w:rPr>
      </w:pPr>
      <w:bookmarkStart w:id="6" w:name="_Toc18524268"/>
      <w:r w:rsidRPr="00F502C3">
        <w:rPr>
          <w:rFonts w:ascii="Times New Roman" w:hAnsi="Times New Roman" w:cs="Times New Roman"/>
        </w:rPr>
        <w:t>1.4</w:t>
      </w:r>
      <w:r w:rsidR="00CF6C00" w:rsidRPr="00F502C3">
        <w:rPr>
          <w:rFonts w:ascii="Times New Roman" w:hAnsi="Times New Roman" w:cs="Times New Roman"/>
        </w:rPr>
        <w:t xml:space="preserve"> Limitation of the Study</w:t>
      </w:r>
      <w:bookmarkEnd w:id="6"/>
    </w:p>
    <w:p w:rsidR="00997985" w:rsidRPr="00B16445" w:rsidRDefault="00CF6C00" w:rsidP="00B16445">
      <w:pPr>
        <w:spacing w:line="360" w:lineRule="auto"/>
        <w:jc w:val="both"/>
        <w:rPr>
          <w:rFonts w:ascii="Times New Roman" w:hAnsi="Times New Roman" w:cs="Times New Roman"/>
          <w:sz w:val="24"/>
          <w:szCs w:val="24"/>
        </w:rPr>
      </w:pPr>
      <w:r w:rsidRPr="00B16445">
        <w:rPr>
          <w:rFonts w:ascii="Times New Roman" w:hAnsi="Times New Roman" w:cs="Times New Roman"/>
          <w:sz w:val="24"/>
          <w:szCs w:val="24"/>
        </w:rPr>
        <w:t xml:space="preserve">It was a great opportunity for me to make a </w:t>
      </w:r>
      <w:r w:rsidR="00476E6D" w:rsidRPr="00B16445">
        <w:rPr>
          <w:rFonts w:ascii="Times New Roman" w:hAnsi="Times New Roman" w:cs="Times New Roman"/>
          <w:sz w:val="24"/>
          <w:szCs w:val="24"/>
        </w:rPr>
        <w:t>project on “Performance Measurement of Banking Industry</w:t>
      </w:r>
      <w:r w:rsidR="00113476" w:rsidRPr="00B16445">
        <w:rPr>
          <w:rFonts w:ascii="Times New Roman" w:hAnsi="Times New Roman" w:cs="Times New Roman"/>
          <w:sz w:val="24"/>
          <w:szCs w:val="24"/>
        </w:rPr>
        <w:t>’</w:t>
      </w:r>
      <w:r w:rsidR="001B0978" w:rsidRPr="00B16445">
        <w:rPr>
          <w:rFonts w:ascii="Times New Roman" w:hAnsi="Times New Roman" w:cs="Times New Roman"/>
          <w:sz w:val="24"/>
          <w:szCs w:val="24"/>
        </w:rPr>
        <w:t>’</w:t>
      </w:r>
      <w:r w:rsidR="00476E6D" w:rsidRPr="00B16445">
        <w:rPr>
          <w:rFonts w:ascii="Times New Roman" w:hAnsi="Times New Roman" w:cs="Times New Roman"/>
          <w:sz w:val="24"/>
          <w:szCs w:val="24"/>
        </w:rPr>
        <w:t xml:space="preserve"> Evidence from DSE listed Banks.</w:t>
      </w:r>
    </w:p>
    <w:p w:rsidR="00906937" w:rsidRPr="00B16445" w:rsidRDefault="00113476" w:rsidP="00B16445">
      <w:pPr>
        <w:spacing w:line="360" w:lineRule="auto"/>
        <w:jc w:val="both"/>
        <w:rPr>
          <w:rFonts w:ascii="Times New Roman" w:hAnsi="Times New Roman" w:cs="Times New Roman"/>
          <w:sz w:val="24"/>
          <w:szCs w:val="24"/>
        </w:rPr>
      </w:pPr>
      <w:r w:rsidRPr="00B16445">
        <w:rPr>
          <w:rFonts w:ascii="Times New Roman" w:hAnsi="Times New Roman" w:cs="Times New Roman"/>
          <w:sz w:val="24"/>
          <w:szCs w:val="24"/>
        </w:rPr>
        <w:t xml:space="preserve">But there </w:t>
      </w:r>
      <w:r w:rsidR="00066152" w:rsidRPr="00B16445">
        <w:rPr>
          <w:rFonts w:ascii="Times New Roman" w:hAnsi="Times New Roman" w:cs="Times New Roman"/>
          <w:sz w:val="24"/>
          <w:szCs w:val="24"/>
        </w:rPr>
        <w:t>was</w:t>
      </w:r>
      <w:r w:rsidRPr="00B16445">
        <w:rPr>
          <w:rFonts w:ascii="Times New Roman" w:hAnsi="Times New Roman" w:cs="Times New Roman"/>
          <w:sz w:val="24"/>
          <w:szCs w:val="24"/>
        </w:rPr>
        <w:t xml:space="preserve"> surely some limitation while making this report</w:t>
      </w:r>
      <w:r w:rsidR="00997985" w:rsidRPr="00B16445">
        <w:rPr>
          <w:rFonts w:ascii="Times New Roman" w:hAnsi="Times New Roman" w:cs="Times New Roman"/>
          <w:sz w:val="24"/>
          <w:szCs w:val="24"/>
        </w:rPr>
        <w:t xml:space="preserve">. They are </w:t>
      </w:r>
    </w:p>
    <w:p w:rsidR="00997985" w:rsidRPr="00F502C3" w:rsidRDefault="00997985" w:rsidP="00B16445">
      <w:pPr>
        <w:pStyle w:val="ListParagraph"/>
        <w:spacing w:line="360" w:lineRule="auto"/>
        <w:jc w:val="both"/>
        <w:rPr>
          <w:rFonts w:ascii="Times New Roman" w:hAnsi="Times New Roman" w:cs="Times New Roman"/>
          <w:sz w:val="24"/>
          <w:szCs w:val="24"/>
        </w:rPr>
      </w:pPr>
    </w:p>
    <w:p w:rsidR="00997985" w:rsidRPr="00F502C3" w:rsidRDefault="00997985" w:rsidP="00B16445">
      <w:pPr>
        <w:pStyle w:val="ListParagraph"/>
        <w:numPr>
          <w:ilvl w:val="0"/>
          <w:numId w:val="4"/>
        </w:num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Getting the information and interpreting it, on the basis of my understanding and then implementing it.</w:t>
      </w:r>
    </w:p>
    <w:p w:rsidR="00997985" w:rsidRPr="00F502C3" w:rsidRDefault="00997985" w:rsidP="00B16445">
      <w:pPr>
        <w:pStyle w:val="ListParagraph"/>
        <w:numPr>
          <w:ilvl w:val="0"/>
          <w:numId w:val="4"/>
        </w:num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Insufficient time to make project report. </w:t>
      </w:r>
      <w:r w:rsidR="00D5688D" w:rsidRPr="00F502C3">
        <w:rPr>
          <w:rFonts w:ascii="Times New Roman" w:hAnsi="Times New Roman" w:cs="Times New Roman"/>
          <w:sz w:val="24"/>
          <w:szCs w:val="24"/>
        </w:rPr>
        <w:t xml:space="preserve">I </w:t>
      </w:r>
      <w:r w:rsidR="004F587D" w:rsidRPr="00F502C3">
        <w:rPr>
          <w:rFonts w:ascii="Times New Roman" w:hAnsi="Times New Roman" w:cs="Times New Roman"/>
          <w:sz w:val="24"/>
          <w:szCs w:val="24"/>
        </w:rPr>
        <w:t>have tried</w:t>
      </w:r>
      <w:r w:rsidR="00D5688D" w:rsidRPr="00F502C3">
        <w:rPr>
          <w:rFonts w:ascii="Times New Roman" w:hAnsi="Times New Roman" w:cs="Times New Roman"/>
          <w:sz w:val="24"/>
          <w:szCs w:val="24"/>
        </w:rPr>
        <w:t xml:space="preserve"> my best to make the report excellent and gather relevant information for preparing a complete report within 3 months.</w:t>
      </w:r>
    </w:p>
    <w:p w:rsidR="00D5688D" w:rsidRPr="00F502C3" w:rsidRDefault="00D5688D" w:rsidP="00B16445">
      <w:pPr>
        <w:pStyle w:val="ListParagraph"/>
        <w:numPr>
          <w:ilvl w:val="0"/>
          <w:numId w:val="4"/>
        </w:num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Sometimes every </w:t>
      </w:r>
      <w:r w:rsidR="001B0978" w:rsidRPr="00F502C3">
        <w:rPr>
          <w:rFonts w:ascii="Times New Roman" w:hAnsi="Times New Roman" w:cs="Times New Roman"/>
          <w:sz w:val="24"/>
          <w:szCs w:val="24"/>
        </w:rPr>
        <w:t>year</w:t>
      </w:r>
      <w:r w:rsidRPr="00F502C3">
        <w:rPr>
          <w:rFonts w:ascii="Times New Roman" w:hAnsi="Times New Roman" w:cs="Times New Roman"/>
          <w:sz w:val="24"/>
          <w:szCs w:val="24"/>
        </w:rPr>
        <w:t xml:space="preserve"> desired information could not be given properly in annual report.</w:t>
      </w:r>
    </w:p>
    <w:p w:rsidR="00D5688D" w:rsidRPr="00F502C3" w:rsidRDefault="00D5688D" w:rsidP="00B16445">
      <w:pPr>
        <w:pStyle w:val="ListParagraph"/>
        <w:numPr>
          <w:ilvl w:val="0"/>
          <w:numId w:val="4"/>
        </w:num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Some </w:t>
      </w:r>
      <w:r w:rsidR="00CE43E2" w:rsidRPr="00F502C3">
        <w:rPr>
          <w:rFonts w:ascii="Times New Roman" w:hAnsi="Times New Roman" w:cs="Times New Roman"/>
          <w:sz w:val="24"/>
          <w:szCs w:val="24"/>
        </w:rPr>
        <w:t>Bank</w:t>
      </w:r>
      <w:r w:rsidRPr="00F502C3">
        <w:rPr>
          <w:rFonts w:ascii="Times New Roman" w:hAnsi="Times New Roman" w:cs="Times New Roman"/>
          <w:sz w:val="24"/>
          <w:szCs w:val="24"/>
        </w:rPr>
        <w:t xml:space="preserve"> follows its own secrecy. </w:t>
      </w:r>
      <w:r w:rsidR="00CE43E2" w:rsidRPr="00F502C3">
        <w:rPr>
          <w:rFonts w:ascii="Times New Roman" w:hAnsi="Times New Roman" w:cs="Times New Roman"/>
          <w:sz w:val="24"/>
          <w:szCs w:val="24"/>
        </w:rPr>
        <w:t>That’s</w:t>
      </w:r>
      <w:r w:rsidR="000A2D42" w:rsidRPr="00F502C3">
        <w:rPr>
          <w:rFonts w:ascii="Times New Roman" w:hAnsi="Times New Roman" w:cs="Times New Roman"/>
          <w:sz w:val="24"/>
          <w:szCs w:val="24"/>
        </w:rPr>
        <w:t xml:space="preserve"> </w:t>
      </w:r>
      <w:r w:rsidR="00CE43E2" w:rsidRPr="00F502C3">
        <w:rPr>
          <w:rFonts w:ascii="Times New Roman" w:hAnsi="Times New Roman" w:cs="Times New Roman"/>
          <w:sz w:val="24"/>
          <w:szCs w:val="24"/>
        </w:rPr>
        <w:t>why they do not disclose some</w:t>
      </w:r>
      <w:r w:rsidRPr="00F502C3">
        <w:rPr>
          <w:rFonts w:ascii="Times New Roman" w:hAnsi="Times New Roman" w:cs="Times New Roman"/>
          <w:sz w:val="24"/>
          <w:szCs w:val="24"/>
        </w:rPr>
        <w:t xml:space="preserve"> things in the annual </w:t>
      </w:r>
      <w:r w:rsidR="00CE43E2" w:rsidRPr="00F502C3">
        <w:rPr>
          <w:rFonts w:ascii="Times New Roman" w:hAnsi="Times New Roman" w:cs="Times New Roman"/>
          <w:sz w:val="24"/>
          <w:szCs w:val="24"/>
        </w:rPr>
        <w:t>report.</w:t>
      </w:r>
    </w:p>
    <w:p w:rsidR="00CE43E2" w:rsidRPr="00F502C3" w:rsidRDefault="00CE43E2" w:rsidP="00B16445">
      <w:pPr>
        <w:pStyle w:val="ListParagraph"/>
        <w:numPr>
          <w:ilvl w:val="0"/>
          <w:numId w:val="4"/>
        </w:num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Since all data is secondary data and all</w:t>
      </w:r>
      <w:r w:rsidR="0060435B" w:rsidRPr="00F502C3">
        <w:rPr>
          <w:rFonts w:ascii="Times New Roman" w:hAnsi="Times New Roman" w:cs="Times New Roman"/>
          <w:sz w:val="24"/>
          <w:szCs w:val="24"/>
        </w:rPr>
        <w:t xml:space="preserve"> are collected from internet so</w:t>
      </w:r>
      <w:r w:rsidRPr="00F502C3">
        <w:rPr>
          <w:rFonts w:ascii="Times New Roman" w:hAnsi="Times New Roman" w:cs="Times New Roman"/>
          <w:sz w:val="24"/>
          <w:szCs w:val="24"/>
        </w:rPr>
        <w:t>, this data basis work is done.</w:t>
      </w:r>
    </w:p>
    <w:p w:rsidR="00997985" w:rsidRPr="00F502C3" w:rsidRDefault="00997985" w:rsidP="00DD4D31">
      <w:pPr>
        <w:pStyle w:val="ListParagraph"/>
        <w:spacing w:line="360" w:lineRule="auto"/>
        <w:jc w:val="both"/>
        <w:rPr>
          <w:rFonts w:ascii="Times New Roman" w:hAnsi="Times New Roman" w:cs="Times New Roman"/>
          <w:b/>
          <w:sz w:val="24"/>
          <w:szCs w:val="24"/>
        </w:rPr>
      </w:pPr>
    </w:p>
    <w:p w:rsidR="00F33A4A" w:rsidRPr="00F502C3" w:rsidRDefault="00F33A4A" w:rsidP="00DD4D31">
      <w:pPr>
        <w:pStyle w:val="ListParagraph"/>
        <w:spacing w:line="360" w:lineRule="auto"/>
        <w:jc w:val="both"/>
        <w:rPr>
          <w:rFonts w:ascii="Times New Roman" w:hAnsi="Times New Roman" w:cs="Times New Roman"/>
          <w:b/>
          <w:sz w:val="24"/>
          <w:szCs w:val="24"/>
        </w:rPr>
      </w:pPr>
    </w:p>
    <w:p w:rsidR="00F33A4A" w:rsidRPr="00F502C3" w:rsidRDefault="00F33A4A" w:rsidP="00DD4D31">
      <w:pPr>
        <w:pStyle w:val="ListParagraph"/>
        <w:spacing w:line="360" w:lineRule="auto"/>
        <w:jc w:val="both"/>
        <w:rPr>
          <w:rFonts w:ascii="Times New Roman" w:hAnsi="Times New Roman" w:cs="Times New Roman"/>
          <w:b/>
          <w:sz w:val="24"/>
          <w:szCs w:val="24"/>
        </w:rPr>
      </w:pPr>
    </w:p>
    <w:p w:rsidR="00997985" w:rsidRPr="00F502C3" w:rsidRDefault="005E4894" w:rsidP="00DD4D31">
      <w:pPr>
        <w:pStyle w:val="Heading1"/>
        <w:jc w:val="both"/>
        <w:rPr>
          <w:rFonts w:ascii="Times New Roman" w:hAnsi="Times New Roman" w:cs="Times New Roman"/>
        </w:rPr>
      </w:pPr>
      <w:bookmarkStart w:id="7" w:name="_Toc18524269"/>
      <w:r w:rsidRPr="00F502C3">
        <w:rPr>
          <w:rFonts w:ascii="Times New Roman" w:hAnsi="Times New Roman" w:cs="Times New Roman"/>
        </w:rPr>
        <w:t>2. Objective of the study</w:t>
      </w:r>
      <w:bookmarkEnd w:id="7"/>
    </w:p>
    <w:p w:rsidR="00997985" w:rsidRPr="00A60356" w:rsidRDefault="00A60356" w:rsidP="00B16445">
      <w:pPr>
        <w:spacing w:line="360" w:lineRule="auto"/>
        <w:jc w:val="both"/>
        <w:rPr>
          <w:rFonts w:ascii="Times New Roman" w:hAnsi="Times New Roman" w:cs="Times New Roman"/>
          <w:sz w:val="24"/>
          <w:szCs w:val="24"/>
        </w:rPr>
      </w:pPr>
      <w:r w:rsidRPr="00A60356">
        <w:rPr>
          <w:rFonts w:ascii="Times New Roman" w:hAnsi="Times New Roman" w:cs="Times New Roman"/>
          <w:sz w:val="24"/>
          <w:szCs w:val="24"/>
        </w:rPr>
        <w:t>The main objective of this study to find out</w:t>
      </w:r>
      <w:r>
        <w:rPr>
          <w:rFonts w:ascii="Times New Roman" w:hAnsi="Times New Roman" w:cs="Times New Roman"/>
          <w:sz w:val="24"/>
          <w:szCs w:val="24"/>
        </w:rPr>
        <w:t xml:space="preserve"> the performance measurement of banking industries evidence from DSE listed banks. </w:t>
      </w:r>
      <w:r w:rsidR="008F3158" w:rsidRPr="00A60356">
        <w:rPr>
          <w:rFonts w:ascii="Times New Roman" w:hAnsi="Times New Roman" w:cs="Times New Roman"/>
          <w:sz w:val="24"/>
          <w:szCs w:val="24"/>
        </w:rPr>
        <w:t>Beside</w:t>
      </w:r>
      <w:r w:rsidR="00596213" w:rsidRPr="00A60356">
        <w:rPr>
          <w:rFonts w:ascii="Times New Roman" w:hAnsi="Times New Roman" w:cs="Times New Roman"/>
          <w:sz w:val="24"/>
          <w:szCs w:val="24"/>
        </w:rPr>
        <w:t xml:space="preserve"> these </w:t>
      </w:r>
      <w:r w:rsidR="005E4894" w:rsidRPr="00A60356">
        <w:rPr>
          <w:rFonts w:ascii="Times New Roman" w:hAnsi="Times New Roman" w:cs="Times New Roman"/>
          <w:sz w:val="24"/>
          <w:szCs w:val="24"/>
        </w:rPr>
        <w:t xml:space="preserve">the broad and specific </w:t>
      </w:r>
      <w:r w:rsidR="00596213" w:rsidRPr="00A60356">
        <w:rPr>
          <w:rFonts w:ascii="Times New Roman" w:hAnsi="Times New Roman" w:cs="Times New Roman"/>
          <w:sz w:val="24"/>
          <w:szCs w:val="24"/>
        </w:rPr>
        <w:t>objectives are the following:</w:t>
      </w:r>
    </w:p>
    <w:p w:rsidR="00596213" w:rsidRDefault="00F33A4A" w:rsidP="00B16445">
      <w:pPr>
        <w:pStyle w:val="Heading2"/>
        <w:jc w:val="both"/>
        <w:rPr>
          <w:rFonts w:ascii="Times New Roman" w:hAnsi="Times New Roman" w:cs="Times New Roman"/>
        </w:rPr>
      </w:pPr>
      <w:bookmarkStart w:id="8" w:name="_Toc18524270"/>
      <w:r w:rsidRPr="00F502C3">
        <w:rPr>
          <w:rFonts w:ascii="Times New Roman" w:hAnsi="Times New Roman" w:cs="Times New Roman"/>
        </w:rPr>
        <w:t>2.1</w:t>
      </w:r>
      <w:r w:rsidR="00596213" w:rsidRPr="00F502C3">
        <w:rPr>
          <w:rFonts w:ascii="Times New Roman" w:hAnsi="Times New Roman" w:cs="Times New Roman"/>
        </w:rPr>
        <w:t xml:space="preserve"> Broad Objectives</w:t>
      </w:r>
      <w:bookmarkEnd w:id="8"/>
    </w:p>
    <w:p w:rsidR="00A60356" w:rsidRPr="00A60356" w:rsidRDefault="00A60356" w:rsidP="00B16445">
      <w:pPr>
        <w:jc w:val="both"/>
      </w:pPr>
      <w:r>
        <w:t>The broad object</w:t>
      </w:r>
      <w:r w:rsidR="008A45F7">
        <w:t>ive of the report is prepared to fulfill Project paper to complete the BBA in AIS program.</w:t>
      </w:r>
    </w:p>
    <w:p w:rsidR="005B4DC3" w:rsidRPr="00F502C3" w:rsidRDefault="00D86B74" w:rsidP="00B16445">
      <w:pPr>
        <w:pStyle w:val="Heading2"/>
        <w:jc w:val="both"/>
        <w:rPr>
          <w:rFonts w:ascii="Times New Roman" w:hAnsi="Times New Roman" w:cs="Times New Roman"/>
        </w:rPr>
      </w:pPr>
      <w:bookmarkStart w:id="9" w:name="_Toc18524271"/>
      <w:r>
        <w:rPr>
          <w:rFonts w:ascii="Times New Roman" w:hAnsi="Times New Roman" w:cs="Times New Roman"/>
        </w:rPr>
        <w:t xml:space="preserve">2.2 </w:t>
      </w:r>
      <w:r w:rsidR="00113410" w:rsidRPr="00F502C3">
        <w:rPr>
          <w:rFonts w:ascii="Times New Roman" w:hAnsi="Times New Roman" w:cs="Times New Roman"/>
        </w:rPr>
        <w:t>Specific Objectiv</w:t>
      </w:r>
      <w:r w:rsidR="005B4DC3" w:rsidRPr="00F502C3">
        <w:rPr>
          <w:rFonts w:ascii="Times New Roman" w:hAnsi="Times New Roman" w:cs="Times New Roman"/>
        </w:rPr>
        <w:t>e</w:t>
      </w:r>
      <w:bookmarkEnd w:id="9"/>
    </w:p>
    <w:p w:rsidR="00725962" w:rsidRDefault="00E12420" w:rsidP="00B16445">
      <w:pPr>
        <w:pStyle w:val="ListParagraph"/>
        <w:numPr>
          <w:ilvl w:val="0"/>
          <w:numId w:val="24"/>
        </w:numPr>
        <w:spacing w:line="360" w:lineRule="auto"/>
        <w:jc w:val="both"/>
        <w:rPr>
          <w:rFonts w:ascii="Times New Roman" w:hAnsi="Times New Roman" w:cs="Times New Roman"/>
          <w:sz w:val="24"/>
          <w:szCs w:val="24"/>
        </w:rPr>
      </w:pPr>
      <w:r w:rsidRPr="00725962">
        <w:rPr>
          <w:rFonts w:ascii="Times New Roman" w:hAnsi="Times New Roman" w:cs="Times New Roman"/>
          <w:sz w:val="24"/>
          <w:szCs w:val="24"/>
        </w:rPr>
        <w:t xml:space="preserve">To gather comprehensive </w:t>
      </w:r>
      <w:r w:rsidR="007D2CDE" w:rsidRPr="00725962">
        <w:rPr>
          <w:rFonts w:ascii="Times New Roman" w:hAnsi="Times New Roman" w:cs="Times New Roman"/>
          <w:sz w:val="24"/>
          <w:szCs w:val="24"/>
        </w:rPr>
        <w:t xml:space="preserve">knowledge on overall listed banking performance </w:t>
      </w:r>
    </w:p>
    <w:p w:rsidR="00725962" w:rsidRDefault="00E12420" w:rsidP="00B16445">
      <w:pPr>
        <w:pStyle w:val="ListParagraph"/>
        <w:numPr>
          <w:ilvl w:val="0"/>
          <w:numId w:val="24"/>
        </w:numPr>
        <w:spacing w:line="360" w:lineRule="auto"/>
        <w:jc w:val="both"/>
        <w:rPr>
          <w:rFonts w:ascii="Times New Roman" w:hAnsi="Times New Roman" w:cs="Times New Roman"/>
          <w:sz w:val="24"/>
          <w:szCs w:val="24"/>
        </w:rPr>
      </w:pPr>
      <w:r w:rsidRPr="00725962">
        <w:rPr>
          <w:rFonts w:ascii="Times New Roman" w:hAnsi="Times New Roman" w:cs="Times New Roman"/>
          <w:sz w:val="24"/>
          <w:szCs w:val="24"/>
        </w:rPr>
        <w:t xml:space="preserve">To analyze ROE, ROA, ROI, EPS, ROCE </w:t>
      </w:r>
    </w:p>
    <w:p w:rsidR="00725962" w:rsidRDefault="00E12420" w:rsidP="00B16445">
      <w:pPr>
        <w:pStyle w:val="ListParagraph"/>
        <w:numPr>
          <w:ilvl w:val="0"/>
          <w:numId w:val="24"/>
        </w:numPr>
        <w:spacing w:line="360" w:lineRule="auto"/>
        <w:jc w:val="both"/>
        <w:rPr>
          <w:rFonts w:ascii="Times New Roman" w:hAnsi="Times New Roman" w:cs="Times New Roman"/>
          <w:sz w:val="24"/>
          <w:szCs w:val="24"/>
        </w:rPr>
      </w:pPr>
      <w:r w:rsidRPr="00725962">
        <w:rPr>
          <w:rFonts w:ascii="Times New Roman" w:hAnsi="Times New Roman" w:cs="Times New Roman"/>
          <w:sz w:val="24"/>
          <w:szCs w:val="24"/>
        </w:rPr>
        <w:t>To analyze L</w:t>
      </w:r>
      <w:r w:rsidR="007D2CDE" w:rsidRPr="00725962">
        <w:rPr>
          <w:rFonts w:ascii="Times New Roman" w:hAnsi="Times New Roman" w:cs="Times New Roman"/>
          <w:sz w:val="24"/>
          <w:szCs w:val="24"/>
        </w:rPr>
        <w:t>everage ratio</w:t>
      </w:r>
      <w:r w:rsidRPr="00725962">
        <w:rPr>
          <w:rFonts w:ascii="Times New Roman" w:hAnsi="Times New Roman" w:cs="Times New Roman"/>
          <w:sz w:val="24"/>
          <w:szCs w:val="24"/>
        </w:rPr>
        <w:t>, Board Attributes, Ownership Attributes, Board size, religion</w:t>
      </w:r>
    </w:p>
    <w:p w:rsidR="00725962" w:rsidRDefault="007D2CDE" w:rsidP="00B16445">
      <w:pPr>
        <w:pStyle w:val="ListParagraph"/>
        <w:numPr>
          <w:ilvl w:val="0"/>
          <w:numId w:val="24"/>
        </w:numPr>
        <w:spacing w:line="360" w:lineRule="auto"/>
        <w:jc w:val="both"/>
        <w:rPr>
          <w:rFonts w:ascii="Times New Roman" w:hAnsi="Times New Roman" w:cs="Times New Roman"/>
          <w:sz w:val="24"/>
          <w:szCs w:val="24"/>
        </w:rPr>
      </w:pPr>
      <w:r w:rsidRPr="00725962">
        <w:rPr>
          <w:rFonts w:ascii="Times New Roman" w:hAnsi="Times New Roman" w:cs="Times New Roman"/>
          <w:sz w:val="24"/>
          <w:szCs w:val="24"/>
        </w:rPr>
        <w:t>To identify the ratio from Balance sheet and stockholders Report.</w:t>
      </w:r>
    </w:p>
    <w:p w:rsidR="00725962" w:rsidRDefault="007D2CDE" w:rsidP="00B16445">
      <w:pPr>
        <w:pStyle w:val="ListParagraph"/>
        <w:numPr>
          <w:ilvl w:val="0"/>
          <w:numId w:val="24"/>
        </w:numPr>
        <w:spacing w:line="360" w:lineRule="auto"/>
        <w:jc w:val="both"/>
        <w:rPr>
          <w:rFonts w:ascii="Times New Roman" w:hAnsi="Times New Roman" w:cs="Times New Roman"/>
          <w:sz w:val="24"/>
          <w:szCs w:val="24"/>
        </w:rPr>
      </w:pPr>
      <w:r w:rsidRPr="00725962">
        <w:rPr>
          <w:rFonts w:ascii="Times New Roman" w:hAnsi="Times New Roman" w:cs="Times New Roman"/>
          <w:sz w:val="24"/>
          <w:szCs w:val="24"/>
        </w:rPr>
        <w:t xml:space="preserve"> To </w:t>
      </w:r>
      <w:r w:rsidR="00E43C6C" w:rsidRPr="00725962">
        <w:rPr>
          <w:rFonts w:ascii="Times New Roman" w:hAnsi="Times New Roman" w:cs="Times New Roman"/>
          <w:sz w:val="24"/>
          <w:szCs w:val="24"/>
        </w:rPr>
        <w:t>s</w:t>
      </w:r>
      <w:r w:rsidR="00E12420" w:rsidRPr="00725962">
        <w:rPr>
          <w:rFonts w:ascii="Times New Roman" w:hAnsi="Times New Roman" w:cs="Times New Roman"/>
          <w:sz w:val="24"/>
          <w:szCs w:val="24"/>
        </w:rPr>
        <w:t xml:space="preserve">how </w:t>
      </w:r>
      <w:r w:rsidR="00E43C6C" w:rsidRPr="00725962">
        <w:rPr>
          <w:rFonts w:ascii="Times New Roman" w:hAnsi="Times New Roman" w:cs="Times New Roman"/>
          <w:sz w:val="24"/>
          <w:szCs w:val="24"/>
        </w:rPr>
        <w:t xml:space="preserve">the </w:t>
      </w:r>
      <w:r w:rsidR="004153D5" w:rsidRPr="00725962">
        <w:rPr>
          <w:rFonts w:ascii="Times New Roman" w:hAnsi="Times New Roman" w:cs="Times New Roman"/>
          <w:sz w:val="24"/>
          <w:szCs w:val="24"/>
        </w:rPr>
        <w:t>b</w:t>
      </w:r>
      <w:r w:rsidR="00E43C6C" w:rsidRPr="00725962">
        <w:rPr>
          <w:rFonts w:ascii="Times New Roman" w:hAnsi="Times New Roman" w:cs="Times New Roman"/>
          <w:sz w:val="24"/>
          <w:szCs w:val="24"/>
        </w:rPr>
        <w:t>anking performance</w:t>
      </w:r>
      <w:r w:rsidR="004153D5" w:rsidRPr="00725962">
        <w:rPr>
          <w:rFonts w:ascii="Times New Roman" w:hAnsi="Times New Roman" w:cs="Times New Roman"/>
          <w:sz w:val="24"/>
          <w:szCs w:val="24"/>
        </w:rPr>
        <w:t xml:space="preserve"> at</w:t>
      </w:r>
      <w:r w:rsidR="00BA0D53" w:rsidRPr="00725962">
        <w:rPr>
          <w:rFonts w:ascii="Times New Roman" w:hAnsi="Times New Roman" w:cs="Times New Roman"/>
          <w:sz w:val="24"/>
          <w:szCs w:val="24"/>
        </w:rPr>
        <w:t xml:space="preserve"> a</w:t>
      </w:r>
      <w:r w:rsidR="006F5721" w:rsidRPr="00725962">
        <w:rPr>
          <w:rFonts w:ascii="Times New Roman" w:hAnsi="Times New Roman" w:cs="Times New Roman"/>
          <w:sz w:val="24"/>
          <w:szCs w:val="24"/>
        </w:rPr>
        <w:t xml:space="preserve"> </w:t>
      </w:r>
      <w:r w:rsidR="00BA0D53" w:rsidRPr="00725962">
        <w:rPr>
          <w:rFonts w:ascii="Times New Roman" w:hAnsi="Times New Roman" w:cs="Times New Roman"/>
          <w:sz w:val="24"/>
          <w:szCs w:val="24"/>
        </w:rPr>
        <w:t xml:space="preserve">minimum </w:t>
      </w:r>
      <w:r w:rsidR="004153D5" w:rsidRPr="00725962">
        <w:rPr>
          <w:rFonts w:ascii="Times New Roman" w:hAnsi="Times New Roman" w:cs="Times New Roman"/>
          <w:sz w:val="24"/>
          <w:szCs w:val="24"/>
        </w:rPr>
        <w:t>of 4</w:t>
      </w:r>
      <w:r w:rsidR="00E43C6C" w:rsidRPr="00725962">
        <w:rPr>
          <w:rFonts w:ascii="Times New Roman" w:hAnsi="Times New Roman" w:cs="Times New Roman"/>
          <w:sz w:val="24"/>
          <w:szCs w:val="24"/>
        </w:rPr>
        <w:t xml:space="preserve"> year</w:t>
      </w:r>
      <w:r w:rsidR="006F5721" w:rsidRPr="00725962">
        <w:rPr>
          <w:rFonts w:ascii="Times New Roman" w:hAnsi="Times New Roman" w:cs="Times New Roman"/>
          <w:sz w:val="24"/>
          <w:szCs w:val="24"/>
        </w:rPr>
        <w:t xml:space="preserve"> and maximum</w:t>
      </w:r>
      <w:r w:rsidR="00BA0D53" w:rsidRPr="00725962">
        <w:rPr>
          <w:rFonts w:ascii="Times New Roman" w:hAnsi="Times New Roman" w:cs="Times New Roman"/>
          <w:sz w:val="24"/>
          <w:szCs w:val="24"/>
        </w:rPr>
        <w:t xml:space="preserve"> </w:t>
      </w:r>
      <w:r w:rsidR="006F5721" w:rsidRPr="00725962">
        <w:rPr>
          <w:rFonts w:ascii="Times New Roman" w:hAnsi="Times New Roman" w:cs="Times New Roman"/>
          <w:sz w:val="24"/>
          <w:szCs w:val="24"/>
        </w:rPr>
        <w:t>15 year</w:t>
      </w:r>
      <w:r w:rsidR="00B16445">
        <w:rPr>
          <w:rFonts w:ascii="Times New Roman" w:hAnsi="Times New Roman" w:cs="Times New Roman"/>
          <w:sz w:val="24"/>
          <w:szCs w:val="24"/>
        </w:rPr>
        <w:t>.</w:t>
      </w:r>
    </w:p>
    <w:p w:rsidR="00D86B74" w:rsidRPr="00725962" w:rsidRDefault="007D2CDE" w:rsidP="00B16445">
      <w:pPr>
        <w:pStyle w:val="ListParagraph"/>
        <w:numPr>
          <w:ilvl w:val="0"/>
          <w:numId w:val="24"/>
        </w:numPr>
        <w:spacing w:line="360" w:lineRule="auto"/>
        <w:jc w:val="both"/>
        <w:rPr>
          <w:rFonts w:ascii="Times New Roman" w:hAnsi="Times New Roman" w:cs="Times New Roman"/>
          <w:sz w:val="24"/>
          <w:szCs w:val="24"/>
        </w:rPr>
      </w:pPr>
      <w:r w:rsidRPr="00725962">
        <w:rPr>
          <w:rFonts w:ascii="Times New Roman" w:hAnsi="Times New Roman" w:cs="Times New Roman"/>
          <w:sz w:val="24"/>
          <w:szCs w:val="24"/>
        </w:rPr>
        <w:t>To know th</w:t>
      </w:r>
      <w:r w:rsidR="003C5F4F" w:rsidRPr="00725962">
        <w:rPr>
          <w:rFonts w:ascii="Times New Roman" w:hAnsi="Times New Roman" w:cs="Times New Roman"/>
          <w:sz w:val="24"/>
          <w:szCs w:val="24"/>
        </w:rPr>
        <w:t>e background of the study of to complete the project</w:t>
      </w:r>
      <w:r w:rsidRPr="00725962">
        <w:rPr>
          <w:rFonts w:ascii="Times New Roman" w:hAnsi="Times New Roman" w:cs="Times New Roman"/>
          <w:sz w:val="24"/>
          <w:szCs w:val="24"/>
        </w:rPr>
        <w:t xml:space="preserve"> is another objective.</w:t>
      </w:r>
    </w:p>
    <w:p w:rsidR="00906937" w:rsidRPr="00F502C3" w:rsidRDefault="00906937" w:rsidP="00B16445">
      <w:pPr>
        <w:pStyle w:val="Heading1"/>
      </w:pPr>
    </w:p>
    <w:p w:rsidR="00906937" w:rsidRPr="003C5F4F" w:rsidRDefault="00ED0D67" w:rsidP="00B16445">
      <w:pPr>
        <w:pStyle w:val="Heading1"/>
      </w:pPr>
      <w:r w:rsidRPr="003C5F4F">
        <w:t>3. Methodology of the Study</w:t>
      </w:r>
    </w:p>
    <w:p w:rsidR="00ED0D67" w:rsidRPr="00F502C3" w:rsidRDefault="00ED0D67" w:rsidP="00DD4D31">
      <w:pPr>
        <w:pStyle w:val="Heading2"/>
        <w:jc w:val="both"/>
        <w:rPr>
          <w:rFonts w:ascii="Times New Roman" w:hAnsi="Times New Roman" w:cs="Times New Roman"/>
        </w:rPr>
      </w:pPr>
      <w:bookmarkStart w:id="10" w:name="_Toc18524272"/>
      <w:r w:rsidRPr="00F502C3">
        <w:rPr>
          <w:rFonts w:ascii="Times New Roman" w:hAnsi="Times New Roman" w:cs="Times New Roman"/>
        </w:rPr>
        <w:t>3.1 Data design</w:t>
      </w:r>
      <w:bookmarkEnd w:id="10"/>
    </w:p>
    <w:p w:rsidR="00E720E1" w:rsidRPr="00F502C3" w:rsidRDefault="00E720E1" w:rsidP="00DD4D31">
      <w:pPr>
        <w:tabs>
          <w:tab w:val="left" w:pos="2835"/>
        </w:tabs>
        <w:spacing w:line="360" w:lineRule="auto"/>
        <w:jc w:val="both"/>
        <w:rPr>
          <w:rFonts w:ascii="Times New Roman" w:hAnsi="Times New Roman" w:cs="Times New Roman"/>
          <w:sz w:val="24"/>
          <w:szCs w:val="24"/>
        </w:rPr>
      </w:pPr>
    </w:p>
    <w:p w:rsidR="00ED0D67" w:rsidRPr="00F502C3" w:rsidRDefault="00ED0D67" w:rsidP="00DD4D31">
      <w:pPr>
        <w:tabs>
          <w:tab w:val="left" w:pos="2835"/>
        </w:tabs>
        <w:spacing w:line="360" w:lineRule="auto"/>
        <w:jc w:val="both"/>
        <w:rPr>
          <w:rFonts w:ascii="Times New Roman" w:hAnsi="Times New Roman" w:cs="Times New Roman"/>
          <w:b/>
          <w:sz w:val="24"/>
          <w:szCs w:val="24"/>
        </w:rPr>
      </w:pPr>
      <w:r w:rsidRPr="00F502C3">
        <w:rPr>
          <w:rFonts w:ascii="Times New Roman" w:hAnsi="Times New Roman" w:cs="Times New Roman"/>
          <w:sz w:val="24"/>
          <w:szCs w:val="24"/>
        </w:rPr>
        <w:t>3.1.1 Data Collection:</w:t>
      </w:r>
    </w:p>
    <w:p w:rsidR="005B4DC3" w:rsidRPr="00F502C3" w:rsidRDefault="00ED0D67" w:rsidP="00B16445">
      <w:pPr>
        <w:tabs>
          <w:tab w:val="left" w:pos="2835"/>
        </w:tabs>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The collection method of primary and secondary data differ since primary are to be originally collected. While in case of secondary </w:t>
      </w:r>
      <w:r w:rsidR="001B0978" w:rsidRPr="00F502C3">
        <w:rPr>
          <w:rFonts w:ascii="Times New Roman" w:hAnsi="Times New Roman" w:cs="Times New Roman"/>
          <w:sz w:val="24"/>
          <w:szCs w:val="24"/>
        </w:rPr>
        <w:t>data the</w:t>
      </w:r>
      <w:r w:rsidRPr="00F502C3">
        <w:rPr>
          <w:rFonts w:ascii="Times New Roman" w:hAnsi="Times New Roman" w:cs="Times New Roman"/>
          <w:sz w:val="24"/>
          <w:szCs w:val="24"/>
        </w:rPr>
        <w:t xml:space="preserve"> nature of data collection work is merely that of compilation.</w:t>
      </w:r>
    </w:p>
    <w:p w:rsidR="00ED0D67" w:rsidRPr="00F502C3" w:rsidRDefault="00FA7E53" w:rsidP="00B16445">
      <w:pPr>
        <w:tabs>
          <w:tab w:val="left" w:pos="2835"/>
        </w:tabs>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There are several </w:t>
      </w:r>
      <w:r w:rsidR="001B0978" w:rsidRPr="00F502C3">
        <w:rPr>
          <w:rFonts w:ascii="Times New Roman" w:hAnsi="Times New Roman" w:cs="Times New Roman"/>
          <w:sz w:val="24"/>
          <w:szCs w:val="24"/>
        </w:rPr>
        <w:t>methods</w:t>
      </w:r>
      <w:r w:rsidRPr="00F502C3">
        <w:rPr>
          <w:rFonts w:ascii="Times New Roman" w:hAnsi="Times New Roman" w:cs="Times New Roman"/>
          <w:sz w:val="24"/>
          <w:szCs w:val="24"/>
        </w:rPr>
        <w:t xml:space="preserve"> of collecting primary data, they are as follows:</w:t>
      </w:r>
    </w:p>
    <w:p w:rsidR="00FA7E53" w:rsidRPr="00F502C3" w:rsidRDefault="00FA7E53" w:rsidP="00B16445">
      <w:pPr>
        <w:pStyle w:val="ListParagraph"/>
        <w:numPr>
          <w:ilvl w:val="0"/>
          <w:numId w:val="7"/>
        </w:numPr>
        <w:tabs>
          <w:tab w:val="left" w:pos="2835"/>
        </w:tabs>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Face to face conversion with the respective officer of the branch </w:t>
      </w:r>
    </w:p>
    <w:p w:rsidR="00FA7E53" w:rsidRPr="00F502C3" w:rsidRDefault="00FA7E53" w:rsidP="00B16445">
      <w:pPr>
        <w:pStyle w:val="ListParagraph"/>
        <w:numPr>
          <w:ilvl w:val="0"/>
          <w:numId w:val="7"/>
        </w:numPr>
        <w:tabs>
          <w:tab w:val="left" w:pos="2835"/>
        </w:tabs>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Exposure on different desk of the bank</w:t>
      </w:r>
      <w:r w:rsidR="00B16445">
        <w:rPr>
          <w:rFonts w:ascii="Times New Roman" w:hAnsi="Times New Roman" w:cs="Times New Roman"/>
          <w:sz w:val="24"/>
          <w:szCs w:val="24"/>
        </w:rPr>
        <w:t>.</w:t>
      </w:r>
    </w:p>
    <w:p w:rsidR="00FA7E53" w:rsidRPr="00F502C3" w:rsidRDefault="00FA7E53" w:rsidP="00B16445">
      <w:pPr>
        <w:pStyle w:val="ListParagraph"/>
        <w:numPr>
          <w:ilvl w:val="0"/>
          <w:numId w:val="7"/>
        </w:numPr>
        <w:tabs>
          <w:tab w:val="left" w:pos="2835"/>
        </w:tabs>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Relevant file study as provide by officers concerned.</w:t>
      </w:r>
    </w:p>
    <w:p w:rsidR="00126A4B" w:rsidRDefault="001B0978" w:rsidP="00B16445">
      <w:pPr>
        <w:spacing w:line="360" w:lineRule="auto"/>
        <w:jc w:val="both"/>
        <w:rPr>
          <w:rFonts w:ascii="Times New Roman" w:hAnsi="Times New Roman" w:cs="Times New Roman"/>
          <w:sz w:val="24"/>
          <w:szCs w:val="24"/>
        </w:rPr>
      </w:pPr>
      <w:r w:rsidRPr="00126A4B">
        <w:rPr>
          <w:rFonts w:ascii="Times New Roman" w:hAnsi="Times New Roman" w:cs="Times New Roman"/>
          <w:sz w:val="24"/>
          <w:szCs w:val="24"/>
        </w:rPr>
        <w:t>Secondary data</w:t>
      </w:r>
      <w:r w:rsidR="00FA7E53" w:rsidRPr="00126A4B">
        <w:rPr>
          <w:rFonts w:ascii="Times New Roman" w:hAnsi="Times New Roman" w:cs="Times New Roman"/>
          <w:sz w:val="24"/>
          <w:szCs w:val="24"/>
        </w:rPr>
        <w:t xml:space="preserve"> maybe either </w:t>
      </w:r>
      <w:r w:rsidR="00E720E1" w:rsidRPr="00126A4B">
        <w:rPr>
          <w:rFonts w:ascii="Times New Roman" w:hAnsi="Times New Roman" w:cs="Times New Roman"/>
          <w:sz w:val="24"/>
          <w:szCs w:val="24"/>
        </w:rPr>
        <w:t>is</w:t>
      </w:r>
      <w:r w:rsidR="00FA7E53" w:rsidRPr="00126A4B">
        <w:rPr>
          <w:rFonts w:ascii="Times New Roman" w:hAnsi="Times New Roman" w:cs="Times New Roman"/>
          <w:sz w:val="24"/>
          <w:szCs w:val="24"/>
        </w:rPr>
        <w:t xml:space="preserve"> published data or unpublished </w:t>
      </w:r>
      <w:r w:rsidR="001131E7">
        <w:rPr>
          <w:rFonts w:ascii="Times New Roman" w:hAnsi="Times New Roman" w:cs="Times New Roman"/>
          <w:sz w:val="24"/>
          <w:szCs w:val="24"/>
        </w:rPr>
        <w:t xml:space="preserve">data. </w:t>
      </w:r>
      <w:r w:rsidRPr="00126A4B">
        <w:rPr>
          <w:rFonts w:ascii="Times New Roman" w:hAnsi="Times New Roman" w:cs="Times New Roman"/>
          <w:sz w:val="24"/>
          <w:szCs w:val="24"/>
        </w:rPr>
        <w:t>Usually</w:t>
      </w:r>
      <w:r w:rsidR="00774EA2" w:rsidRPr="00126A4B">
        <w:rPr>
          <w:rFonts w:ascii="Times New Roman" w:hAnsi="Times New Roman" w:cs="Times New Roman"/>
          <w:sz w:val="24"/>
          <w:szCs w:val="24"/>
        </w:rPr>
        <w:t xml:space="preserve"> publish data are available</w:t>
      </w:r>
      <w:r w:rsidR="000830E2" w:rsidRPr="00126A4B">
        <w:rPr>
          <w:rFonts w:ascii="Times New Roman" w:hAnsi="Times New Roman" w:cs="Times New Roman"/>
          <w:sz w:val="24"/>
          <w:szCs w:val="24"/>
        </w:rPr>
        <w:t xml:space="preserve"> on market on internet</w:t>
      </w:r>
      <w:r w:rsidR="00774EA2" w:rsidRPr="00126A4B">
        <w:rPr>
          <w:rFonts w:ascii="Times New Roman" w:hAnsi="Times New Roman" w:cs="Times New Roman"/>
          <w:sz w:val="24"/>
          <w:szCs w:val="24"/>
        </w:rPr>
        <w:t xml:space="preserve"> and we can easily collect </w:t>
      </w:r>
      <w:r w:rsidR="00E720E1" w:rsidRPr="00126A4B">
        <w:rPr>
          <w:rFonts w:ascii="Times New Roman" w:hAnsi="Times New Roman" w:cs="Times New Roman"/>
          <w:sz w:val="24"/>
          <w:szCs w:val="24"/>
        </w:rPr>
        <w:t>it.</w:t>
      </w:r>
      <w:r w:rsidR="00126A4B">
        <w:rPr>
          <w:rFonts w:ascii="Times New Roman" w:hAnsi="Times New Roman" w:cs="Times New Roman"/>
          <w:sz w:val="24"/>
          <w:szCs w:val="24"/>
        </w:rPr>
        <w:t xml:space="preserve"> </w:t>
      </w:r>
      <w:r w:rsidR="00774EA2" w:rsidRPr="00126A4B">
        <w:rPr>
          <w:rFonts w:ascii="Times New Roman" w:hAnsi="Times New Roman" w:cs="Times New Roman"/>
          <w:sz w:val="24"/>
          <w:szCs w:val="24"/>
        </w:rPr>
        <w:t xml:space="preserve">In the study of the Performance banking Industry, we use secondary data. Because the Annual report is </w:t>
      </w:r>
      <w:r w:rsidRPr="00126A4B">
        <w:rPr>
          <w:rFonts w:ascii="Times New Roman" w:hAnsi="Times New Roman" w:cs="Times New Roman"/>
          <w:sz w:val="24"/>
          <w:szCs w:val="24"/>
        </w:rPr>
        <w:t>available online</w:t>
      </w:r>
      <w:r w:rsidR="00774EA2" w:rsidRPr="00126A4B">
        <w:rPr>
          <w:rFonts w:ascii="Times New Roman" w:hAnsi="Times New Roman" w:cs="Times New Roman"/>
          <w:sz w:val="24"/>
          <w:szCs w:val="24"/>
        </w:rPr>
        <w:t xml:space="preserve"> and uses this online annual report complete the project paper.</w:t>
      </w:r>
      <w:r w:rsidR="00126A4B">
        <w:rPr>
          <w:rFonts w:ascii="Times New Roman" w:hAnsi="Times New Roman" w:cs="Times New Roman"/>
          <w:sz w:val="24"/>
          <w:szCs w:val="24"/>
        </w:rPr>
        <w:t xml:space="preserve"> </w:t>
      </w:r>
    </w:p>
    <w:p w:rsidR="00F33A4A" w:rsidRPr="00126A4B" w:rsidRDefault="005B4DC3" w:rsidP="00B16445">
      <w:pPr>
        <w:spacing w:line="360" w:lineRule="auto"/>
        <w:jc w:val="both"/>
        <w:rPr>
          <w:rFonts w:ascii="Times New Roman" w:hAnsi="Times New Roman" w:cs="Times New Roman"/>
          <w:sz w:val="24"/>
          <w:szCs w:val="24"/>
        </w:rPr>
      </w:pPr>
      <w:r w:rsidRPr="00126A4B">
        <w:rPr>
          <w:rFonts w:ascii="Times New Roman" w:hAnsi="Times New Roman" w:cs="Times New Roman"/>
          <w:sz w:val="24"/>
          <w:szCs w:val="24"/>
        </w:rPr>
        <w:t xml:space="preserve">So </w:t>
      </w:r>
      <w:r w:rsidR="001B0978" w:rsidRPr="00126A4B">
        <w:rPr>
          <w:rFonts w:ascii="Times New Roman" w:hAnsi="Times New Roman" w:cs="Times New Roman"/>
          <w:sz w:val="24"/>
          <w:szCs w:val="24"/>
        </w:rPr>
        <w:t>in</w:t>
      </w:r>
      <w:r w:rsidR="00774EA2" w:rsidRPr="00126A4B">
        <w:rPr>
          <w:rFonts w:ascii="Times New Roman" w:hAnsi="Times New Roman" w:cs="Times New Roman"/>
          <w:sz w:val="24"/>
          <w:szCs w:val="24"/>
        </w:rPr>
        <w:t xml:space="preserve"> this situation</w:t>
      </w:r>
      <w:r w:rsidR="00016BE2" w:rsidRPr="00126A4B">
        <w:rPr>
          <w:rFonts w:ascii="Times New Roman" w:hAnsi="Times New Roman" w:cs="Times New Roman"/>
          <w:sz w:val="24"/>
          <w:szCs w:val="24"/>
        </w:rPr>
        <w:t>,</w:t>
      </w:r>
      <w:r w:rsidR="00774EA2" w:rsidRPr="00126A4B">
        <w:rPr>
          <w:rFonts w:ascii="Times New Roman" w:hAnsi="Times New Roman" w:cs="Times New Roman"/>
          <w:sz w:val="24"/>
          <w:szCs w:val="24"/>
        </w:rPr>
        <w:t xml:space="preserve"> Secondary data is the most important and this secondary help</w:t>
      </w:r>
      <w:r w:rsidR="00016BE2" w:rsidRPr="00126A4B">
        <w:rPr>
          <w:rFonts w:ascii="Times New Roman" w:hAnsi="Times New Roman" w:cs="Times New Roman"/>
          <w:sz w:val="24"/>
          <w:szCs w:val="24"/>
        </w:rPr>
        <w:t>s</w:t>
      </w:r>
      <w:r w:rsidR="00774EA2" w:rsidRPr="00126A4B">
        <w:rPr>
          <w:rFonts w:ascii="Times New Roman" w:hAnsi="Times New Roman" w:cs="Times New Roman"/>
          <w:sz w:val="24"/>
          <w:szCs w:val="24"/>
        </w:rPr>
        <w:t xml:space="preserve"> me to solve the </w:t>
      </w:r>
      <w:r w:rsidR="001B0978" w:rsidRPr="00126A4B">
        <w:rPr>
          <w:rFonts w:ascii="Times New Roman" w:hAnsi="Times New Roman" w:cs="Times New Roman"/>
          <w:sz w:val="24"/>
          <w:szCs w:val="24"/>
        </w:rPr>
        <w:t>paper.</w:t>
      </w:r>
    </w:p>
    <w:p w:rsidR="00016BE2" w:rsidRPr="00F502C3" w:rsidRDefault="008812E9" w:rsidP="00DD4D31">
      <w:pPr>
        <w:pStyle w:val="Heading2"/>
        <w:jc w:val="both"/>
        <w:rPr>
          <w:rFonts w:ascii="Times New Roman" w:hAnsi="Times New Roman" w:cs="Times New Roman"/>
        </w:rPr>
      </w:pPr>
      <w:bookmarkStart w:id="11" w:name="_Toc18524273"/>
      <w:r w:rsidRPr="00F502C3">
        <w:rPr>
          <w:rFonts w:ascii="Times New Roman" w:hAnsi="Times New Roman" w:cs="Times New Roman"/>
        </w:rPr>
        <w:t>3.2 Sample design</w:t>
      </w:r>
      <w:bookmarkEnd w:id="11"/>
    </w:p>
    <w:p w:rsidR="002E5BBE" w:rsidRPr="00F502C3" w:rsidRDefault="00622807"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Sampling technique categorized into two types of sampling. </w:t>
      </w:r>
    </w:p>
    <w:p w:rsidR="002E5BBE" w:rsidRPr="00F502C3" w:rsidRDefault="002E5BBE" w:rsidP="00DD4D31">
      <w:pPr>
        <w:pStyle w:val="ListParagraph"/>
        <w:numPr>
          <w:ilvl w:val="0"/>
          <w:numId w:val="14"/>
        </w:num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Probability Sampling</w:t>
      </w:r>
      <w:r w:rsidR="00622807" w:rsidRPr="00F502C3">
        <w:rPr>
          <w:rFonts w:ascii="Times New Roman" w:hAnsi="Times New Roman" w:cs="Times New Roman"/>
          <w:sz w:val="24"/>
          <w:szCs w:val="24"/>
        </w:rPr>
        <w:t xml:space="preserve"> or Random sampling. </w:t>
      </w:r>
    </w:p>
    <w:p w:rsidR="00622807" w:rsidRPr="00F502C3" w:rsidRDefault="00622807" w:rsidP="00DD4D31">
      <w:pPr>
        <w:pStyle w:val="ListParagraph"/>
        <w:numPr>
          <w:ilvl w:val="0"/>
          <w:numId w:val="14"/>
        </w:num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Non-probability</w:t>
      </w:r>
      <w:r w:rsidR="002E5BBE" w:rsidRPr="00F502C3">
        <w:rPr>
          <w:rFonts w:ascii="Times New Roman" w:hAnsi="Times New Roman" w:cs="Times New Roman"/>
          <w:sz w:val="24"/>
          <w:szCs w:val="24"/>
        </w:rPr>
        <w:t xml:space="preserve"> </w:t>
      </w:r>
      <w:r w:rsidRPr="00F502C3">
        <w:rPr>
          <w:rFonts w:ascii="Times New Roman" w:hAnsi="Times New Roman" w:cs="Times New Roman"/>
          <w:sz w:val="24"/>
          <w:szCs w:val="24"/>
        </w:rPr>
        <w:t>Sampling Non-Random sampling.</w:t>
      </w:r>
    </w:p>
    <w:p w:rsidR="00094837" w:rsidRPr="00F502C3" w:rsidRDefault="00622807"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 xml:space="preserve"> I was </w:t>
      </w:r>
      <w:r w:rsidR="00066152" w:rsidRPr="00F502C3">
        <w:rPr>
          <w:rFonts w:ascii="Times New Roman" w:hAnsi="Times New Roman" w:cs="Times New Roman"/>
          <w:sz w:val="24"/>
          <w:szCs w:val="24"/>
        </w:rPr>
        <w:t>following</w:t>
      </w:r>
      <w:r w:rsidRPr="00F502C3">
        <w:rPr>
          <w:rFonts w:ascii="Times New Roman" w:hAnsi="Times New Roman" w:cs="Times New Roman"/>
          <w:sz w:val="24"/>
          <w:szCs w:val="24"/>
        </w:rPr>
        <w:t xml:space="preserve"> non-random sampling. Because</w:t>
      </w:r>
      <w:r w:rsidR="00C5256A">
        <w:rPr>
          <w:rFonts w:ascii="Times New Roman" w:hAnsi="Times New Roman" w:cs="Times New Roman"/>
          <w:sz w:val="24"/>
          <w:szCs w:val="24"/>
        </w:rPr>
        <w:t xml:space="preserve"> of,</w:t>
      </w:r>
      <w:r w:rsidRPr="00F502C3">
        <w:rPr>
          <w:rFonts w:ascii="Times New Roman" w:hAnsi="Times New Roman" w:cs="Times New Roman"/>
          <w:sz w:val="24"/>
          <w:szCs w:val="24"/>
        </w:rPr>
        <w:t xml:space="preserve"> </w:t>
      </w:r>
      <w:r w:rsidR="002E5BBE" w:rsidRPr="00F502C3">
        <w:rPr>
          <w:rFonts w:ascii="Times New Roman" w:hAnsi="Times New Roman" w:cs="Times New Roman"/>
          <w:sz w:val="24"/>
          <w:szCs w:val="24"/>
        </w:rPr>
        <w:t>at</w:t>
      </w:r>
      <w:r w:rsidR="00C5256A">
        <w:rPr>
          <w:rFonts w:ascii="Times New Roman" w:hAnsi="Times New Roman" w:cs="Times New Roman"/>
          <w:sz w:val="24"/>
          <w:szCs w:val="24"/>
        </w:rPr>
        <w:t xml:space="preserve"> </w:t>
      </w:r>
      <w:r w:rsidR="002E5BBE" w:rsidRPr="00F502C3">
        <w:rPr>
          <w:rFonts w:ascii="Times New Roman" w:hAnsi="Times New Roman" w:cs="Times New Roman"/>
          <w:sz w:val="24"/>
          <w:szCs w:val="24"/>
        </w:rPr>
        <w:t>annual</w:t>
      </w:r>
      <w:r w:rsidRPr="00F502C3">
        <w:rPr>
          <w:rFonts w:ascii="Times New Roman" w:hAnsi="Times New Roman" w:cs="Times New Roman"/>
          <w:sz w:val="24"/>
          <w:szCs w:val="24"/>
        </w:rPr>
        <w:t xml:space="preserve"> </w:t>
      </w:r>
      <w:r w:rsidR="002E5BBE" w:rsidRPr="00F502C3">
        <w:rPr>
          <w:rFonts w:ascii="Times New Roman" w:hAnsi="Times New Roman" w:cs="Times New Roman"/>
          <w:sz w:val="24"/>
          <w:szCs w:val="24"/>
        </w:rPr>
        <w:t>report there</w:t>
      </w:r>
      <w:r w:rsidRPr="00F502C3">
        <w:rPr>
          <w:rFonts w:ascii="Times New Roman" w:hAnsi="Times New Roman" w:cs="Times New Roman"/>
          <w:sz w:val="24"/>
          <w:szCs w:val="24"/>
        </w:rPr>
        <w:t xml:space="preserve"> is a lot</w:t>
      </w:r>
      <w:r w:rsidR="002E5BBE" w:rsidRPr="00F502C3">
        <w:rPr>
          <w:rFonts w:ascii="Times New Roman" w:hAnsi="Times New Roman" w:cs="Times New Roman"/>
          <w:sz w:val="24"/>
          <w:szCs w:val="24"/>
        </w:rPr>
        <w:t xml:space="preserve"> of </w:t>
      </w:r>
      <w:r w:rsidR="00667F10" w:rsidRPr="00F502C3">
        <w:rPr>
          <w:rFonts w:ascii="Times New Roman" w:hAnsi="Times New Roman" w:cs="Times New Roman"/>
          <w:sz w:val="24"/>
          <w:szCs w:val="24"/>
        </w:rPr>
        <w:t xml:space="preserve">Information. </w:t>
      </w:r>
      <w:r w:rsidRPr="00F502C3">
        <w:rPr>
          <w:rFonts w:ascii="Times New Roman" w:hAnsi="Times New Roman" w:cs="Times New Roman"/>
          <w:sz w:val="24"/>
          <w:szCs w:val="24"/>
        </w:rPr>
        <w:t xml:space="preserve">But I took some specific and simply sample </w:t>
      </w:r>
      <w:r w:rsidR="000C31A1" w:rsidRPr="00F502C3">
        <w:rPr>
          <w:rFonts w:ascii="Times New Roman" w:hAnsi="Times New Roman" w:cs="Times New Roman"/>
          <w:sz w:val="24"/>
          <w:szCs w:val="24"/>
        </w:rPr>
        <w:t xml:space="preserve">for my working </w:t>
      </w:r>
      <w:r w:rsidR="00066152" w:rsidRPr="00F502C3">
        <w:rPr>
          <w:rFonts w:ascii="Times New Roman" w:hAnsi="Times New Roman" w:cs="Times New Roman"/>
          <w:sz w:val="24"/>
          <w:szCs w:val="24"/>
        </w:rPr>
        <w:t>project. somehow</w:t>
      </w:r>
      <w:r w:rsidR="00C5256A">
        <w:rPr>
          <w:rFonts w:ascii="Times New Roman" w:hAnsi="Times New Roman" w:cs="Times New Roman"/>
          <w:sz w:val="24"/>
          <w:szCs w:val="24"/>
        </w:rPr>
        <w:t xml:space="preserve">, we called it </w:t>
      </w:r>
      <w:r w:rsidR="000C31A1" w:rsidRPr="00F502C3">
        <w:rPr>
          <w:rFonts w:ascii="Times New Roman" w:hAnsi="Times New Roman" w:cs="Times New Roman"/>
          <w:sz w:val="24"/>
          <w:szCs w:val="24"/>
        </w:rPr>
        <w:t>convenience sampling which is under of Non-Random Sampling. Convenience sampling say that, simply selects the sample and sampling units that are easily</w:t>
      </w:r>
      <w:r w:rsidR="000250F9" w:rsidRPr="00F502C3">
        <w:rPr>
          <w:rFonts w:ascii="Times New Roman" w:hAnsi="Times New Roman" w:cs="Times New Roman"/>
          <w:sz w:val="24"/>
          <w:szCs w:val="24"/>
        </w:rPr>
        <w:t xml:space="preserve"> find</w:t>
      </w:r>
      <w:r w:rsidR="000830E2" w:rsidRPr="00F502C3">
        <w:rPr>
          <w:rFonts w:ascii="Times New Roman" w:hAnsi="Times New Roman" w:cs="Times New Roman"/>
          <w:sz w:val="24"/>
          <w:szCs w:val="24"/>
        </w:rPr>
        <w:t xml:space="preserve"> out </w:t>
      </w:r>
      <w:r w:rsidR="000C31A1" w:rsidRPr="00F502C3">
        <w:rPr>
          <w:rFonts w:ascii="Times New Roman" w:hAnsi="Times New Roman" w:cs="Times New Roman"/>
          <w:sz w:val="24"/>
          <w:szCs w:val="24"/>
        </w:rPr>
        <w:t>available and access</w:t>
      </w:r>
      <w:r w:rsidR="000250F9" w:rsidRPr="00F502C3">
        <w:rPr>
          <w:rFonts w:ascii="Times New Roman" w:hAnsi="Times New Roman" w:cs="Times New Roman"/>
          <w:sz w:val="24"/>
          <w:szCs w:val="24"/>
        </w:rPr>
        <w:t>ible. No extra efforts are needed</w:t>
      </w:r>
      <w:r w:rsidR="000C31A1" w:rsidRPr="00F502C3">
        <w:rPr>
          <w:rFonts w:ascii="Times New Roman" w:hAnsi="Times New Roman" w:cs="Times New Roman"/>
          <w:sz w:val="24"/>
          <w:szCs w:val="24"/>
        </w:rPr>
        <w:t xml:space="preserve"> by the researcher as he simply </w:t>
      </w:r>
      <w:r w:rsidR="001B0978" w:rsidRPr="00F502C3">
        <w:rPr>
          <w:rFonts w:ascii="Times New Roman" w:hAnsi="Times New Roman" w:cs="Times New Roman"/>
          <w:sz w:val="24"/>
          <w:szCs w:val="24"/>
        </w:rPr>
        <w:t>chooses</w:t>
      </w:r>
      <w:r w:rsidR="000C31A1" w:rsidRPr="00F502C3">
        <w:rPr>
          <w:rFonts w:ascii="Times New Roman" w:hAnsi="Times New Roman" w:cs="Times New Roman"/>
          <w:sz w:val="24"/>
          <w:szCs w:val="24"/>
        </w:rPr>
        <w:t xml:space="preserve"> the samples on the basis of </w:t>
      </w:r>
      <w:r w:rsidR="00B32AC0" w:rsidRPr="00F502C3">
        <w:rPr>
          <w:rFonts w:ascii="Times New Roman" w:hAnsi="Times New Roman" w:cs="Times New Roman"/>
          <w:sz w:val="24"/>
          <w:szCs w:val="24"/>
        </w:rPr>
        <w:t>convenience</w:t>
      </w:r>
      <w:r w:rsidR="000250F9" w:rsidRPr="00F502C3">
        <w:rPr>
          <w:rFonts w:ascii="Times New Roman" w:hAnsi="Times New Roman" w:cs="Times New Roman"/>
          <w:sz w:val="24"/>
          <w:szCs w:val="24"/>
        </w:rPr>
        <w:t xml:space="preserve">. </w:t>
      </w:r>
      <w:r w:rsidR="00094837" w:rsidRPr="00F502C3">
        <w:rPr>
          <w:rFonts w:ascii="Times New Roman" w:hAnsi="Times New Roman" w:cs="Times New Roman"/>
          <w:sz w:val="24"/>
          <w:szCs w:val="24"/>
        </w:rPr>
        <w:t xml:space="preserve">Since, I was taken some specific ratio, and some information, it was available </w:t>
      </w:r>
      <w:r w:rsidR="000250F9" w:rsidRPr="00F502C3">
        <w:rPr>
          <w:rFonts w:ascii="Times New Roman" w:hAnsi="Times New Roman" w:cs="Times New Roman"/>
          <w:sz w:val="24"/>
          <w:szCs w:val="24"/>
        </w:rPr>
        <w:t>and accessible on the internet</w:t>
      </w:r>
      <w:r w:rsidR="00094837" w:rsidRPr="00F502C3">
        <w:rPr>
          <w:rFonts w:ascii="Times New Roman" w:hAnsi="Times New Roman" w:cs="Times New Roman"/>
          <w:sz w:val="24"/>
          <w:szCs w:val="24"/>
        </w:rPr>
        <w:t xml:space="preserve">. Because all banks annual reports are available on the internet. I was select specific year </w:t>
      </w:r>
      <w:r w:rsidR="00110B01" w:rsidRPr="00F502C3">
        <w:rPr>
          <w:rFonts w:ascii="Times New Roman" w:hAnsi="Times New Roman" w:cs="Times New Roman"/>
          <w:sz w:val="24"/>
          <w:szCs w:val="24"/>
        </w:rPr>
        <w:t>such as, 1 to 10 0r 10 t</w:t>
      </w:r>
      <w:r w:rsidR="00FC3515">
        <w:rPr>
          <w:rFonts w:ascii="Times New Roman" w:hAnsi="Times New Roman" w:cs="Times New Roman"/>
          <w:sz w:val="24"/>
          <w:szCs w:val="24"/>
        </w:rPr>
        <w:t xml:space="preserve">o 15 years to find out ratio for evaluate performance of banking industry. </w:t>
      </w:r>
      <w:r w:rsidR="00110B01" w:rsidRPr="00F502C3">
        <w:rPr>
          <w:rFonts w:ascii="Times New Roman" w:hAnsi="Times New Roman" w:cs="Times New Roman"/>
          <w:sz w:val="24"/>
          <w:szCs w:val="24"/>
        </w:rPr>
        <w:t>To make the task easier, this study p</w:t>
      </w:r>
      <w:r w:rsidR="00ED0235">
        <w:rPr>
          <w:rFonts w:ascii="Times New Roman" w:hAnsi="Times New Roman" w:cs="Times New Roman"/>
          <w:sz w:val="24"/>
          <w:szCs w:val="24"/>
        </w:rPr>
        <w:t xml:space="preserve">aper divided into two functions and this function </w:t>
      </w:r>
      <w:r w:rsidR="00FC3515">
        <w:rPr>
          <w:rFonts w:ascii="Times New Roman" w:hAnsi="Times New Roman" w:cs="Times New Roman"/>
          <w:sz w:val="24"/>
          <w:szCs w:val="24"/>
        </w:rPr>
        <w:t>shows</w:t>
      </w:r>
      <w:r w:rsidR="00ED0235">
        <w:rPr>
          <w:rFonts w:ascii="Times New Roman" w:hAnsi="Times New Roman" w:cs="Times New Roman"/>
          <w:sz w:val="24"/>
          <w:szCs w:val="24"/>
        </w:rPr>
        <w:t xml:space="preserve"> ratio which is included on excel file. </w:t>
      </w:r>
      <w:r w:rsidR="00110B01" w:rsidRPr="00F502C3">
        <w:rPr>
          <w:rFonts w:ascii="Times New Roman" w:hAnsi="Times New Roman" w:cs="Times New Roman"/>
          <w:sz w:val="24"/>
          <w:szCs w:val="24"/>
        </w:rPr>
        <w:t xml:space="preserve">One </w:t>
      </w:r>
      <w:r w:rsidR="00066152">
        <w:rPr>
          <w:rFonts w:ascii="Times New Roman" w:hAnsi="Times New Roman" w:cs="Times New Roman"/>
          <w:sz w:val="24"/>
          <w:szCs w:val="24"/>
        </w:rPr>
        <w:t>excels</w:t>
      </w:r>
      <w:r w:rsidR="00ED0235">
        <w:rPr>
          <w:rFonts w:ascii="Times New Roman" w:hAnsi="Times New Roman" w:cs="Times New Roman"/>
          <w:sz w:val="24"/>
          <w:szCs w:val="24"/>
        </w:rPr>
        <w:t xml:space="preserve"> sheet</w:t>
      </w:r>
      <w:r w:rsidR="00110B01" w:rsidRPr="00F502C3">
        <w:rPr>
          <w:rFonts w:ascii="Times New Roman" w:hAnsi="Times New Roman" w:cs="Times New Roman"/>
          <w:sz w:val="24"/>
          <w:szCs w:val="24"/>
        </w:rPr>
        <w:t xml:space="preserve"> </w:t>
      </w:r>
      <w:r w:rsidR="00ED0235">
        <w:rPr>
          <w:rFonts w:ascii="Times New Roman" w:hAnsi="Times New Roman" w:cs="Times New Roman"/>
          <w:sz w:val="24"/>
          <w:szCs w:val="24"/>
        </w:rPr>
        <w:t xml:space="preserve">is </w:t>
      </w:r>
      <w:r w:rsidR="00110B01" w:rsidRPr="00F502C3">
        <w:rPr>
          <w:rFonts w:ascii="Times New Roman" w:hAnsi="Times New Roman" w:cs="Times New Roman"/>
          <w:sz w:val="24"/>
          <w:szCs w:val="24"/>
        </w:rPr>
        <w:t>Independent variable an</w:t>
      </w:r>
      <w:r w:rsidR="00ED0235">
        <w:rPr>
          <w:rFonts w:ascii="Times New Roman" w:hAnsi="Times New Roman" w:cs="Times New Roman"/>
          <w:sz w:val="24"/>
          <w:szCs w:val="24"/>
        </w:rPr>
        <w:t>d another is dependent Variable excel sheet.</w:t>
      </w:r>
      <w:r w:rsidR="00FC3515">
        <w:rPr>
          <w:rFonts w:ascii="Times New Roman" w:hAnsi="Times New Roman" w:cs="Times New Roman"/>
          <w:sz w:val="24"/>
          <w:szCs w:val="24"/>
        </w:rPr>
        <w:t xml:space="preserve"> </w:t>
      </w:r>
      <w:r w:rsidR="00110B01" w:rsidRPr="00F502C3">
        <w:rPr>
          <w:rFonts w:ascii="Times New Roman" w:hAnsi="Times New Roman" w:cs="Times New Roman"/>
          <w:sz w:val="24"/>
          <w:szCs w:val="24"/>
        </w:rPr>
        <w:t xml:space="preserve">  </w:t>
      </w:r>
    </w:p>
    <w:p w:rsidR="00123D76" w:rsidRDefault="00870F6D"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I had been tak</w:t>
      </w:r>
      <w:r w:rsidR="00ED0235">
        <w:rPr>
          <w:rFonts w:ascii="Times New Roman" w:hAnsi="Times New Roman" w:cs="Times New Roman"/>
          <w:sz w:val="24"/>
          <w:szCs w:val="24"/>
        </w:rPr>
        <w:t>en 10</w:t>
      </w:r>
      <w:r w:rsidRPr="00F502C3">
        <w:rPr>
          <w:rFonts w:ascii="Times New Roman" w:hAnsi="Times New Roman" w:cs="Times New Roman"/>
          <w:sz w:val="24"/>
          <w:szCs w:val="24"/>
        </w:rPr>
        <w:t xml:space="preserve"> banks. And</w:t>
      </w:r>
      <w:r w:rsidR="00ED0235">
        <w:rPr>
          <w:rFonts w:ascii="Times New Roman" w:hAnsi="Times New Roman" w:cs="Times New Roman"/>
          <w:sz w:val="24"/>
          <w:szCs w:val="24"/>
        </w:rPr>
        <w:t xml:space="preserve"> these 10</w:t>
      </w:r>
      <w:r w:rsidR="00175896" w:rsidRPr="00F502C3">
        <w:rPr>
          <w:rFonts w:ascii="Times New Roman" w:hAnsi="Times New Roman" w:cs="Times New Roman"/>
          <w:sz w:val="24"/>
          <w:szCs w:val="24"/>
        </w:rPr>
        <w:t xml:space="preserve"> banks were analyzed. </w:t>
      </w:r>
    </w:p>
    <w:p w:rsidR="00870F6D" w:rsidRDefault="00175896" w:rsidP="00DD4D31">
      <w:pPr>
        <w:spacing w:line="360" w:lineRule="auto"/>
        <w:jc w:val="both"/>
        <w:rPr>
          <w:rFonts w:ascii="Times New Roman" w:hAnsi="Times New Roman" w:cs="Times New Roman"/>
          <w:sz w:val="24"/>
          <w:szCs w:val="24"/>
        </w:rPr>
      </w:pPr>
      <w:r w:rsidRPr="00247E8C">
        <w:rPr>
          <w:rFonts w:ascii="Times New Roman" w:hAnsi="Times New Roman" w:cs="Times New Roman"/>
          <w:b/>
          <w:sz w:val="24"/>
          <w:szCs w:val="24"/>
        </w:rPr>
        <w:t>The</w:t>
      </w:r>
      <w:r w:rsidR="00870F6D" w:rsidRPr="00247E8C">
        <w:rPr>
          <w:rFonts w:ascii="Times New Roman" w:hAnsi="Times New Roman" w:cs="Times New Roman"/>
          <w:b/>
          <w:sz w:val="24"/>
          <w:szCs w:val="24"/>
        </w:rPr>
        <w:t xml:space="preserve"> lis</w:t>
      </w:r>
      <w:r w:rsidRPr="00247E8C">
        <w:rPr>
          <w:rFonts w:ascii="Times New Roman" w:hAnsi="Times New Roman" w:cs="Times New Roman"/>
          <w:b/>
          <w:sz w:val="24"/>
          <w:szCs w:val="24"/>
        </w:rPr>
        <w:t xml:space="preserve">t of these Banks is </w:t>
      </w:r>
      <w:r w:rsidR="00870F6D" w:rsidRPr="00247E8C">
        <w:rPr>
          <w:rFonts w:ascii="Times New Roman" w:hAnsi="Times New Roman" w:cs="Times New Roman"/>
          <w:b/>
          <w:sz w:val="24"/>
          <w:szCs w:val="24"/>
        </w:rPr>
        <w:t xml:space="preserve">given </w:t>
      </w:r>
      <w:r w:rsidR="00B854E9" w:rsidRPr="00247E8C">
        <w:rPr>
          <w:rFonts w:ascii="Times New Roman" w:hAnsi="Times New Roman" w:cs="Times New Roman"/>
          <w:b/>
          <w:sz w:val="24"/>
          <w:szCs w:val="24"/>
        </w:rPr>
        <w:t>below</w:t>
      </w:r>
      <w:r w:rsidR="00B854E9">
        <w:rPr>
          <w:rFonts w:ascii="Times New Roman" w:hAnsi="Times New Roman" w:cs="Times New Roman"/>
          <w:b/>
          <w:sz w:val="24"/>
          <w:szCs w:val="24"/>
        </w:rPr>
        <w:t>:</w:t>
      </w:r>
    </w:p>
    <w:p w:rsidR="00FC3515" w:rsidRDefault="00FC3515" w:rsidP="00DD4D31">
      <w:pPr>
        <w:spacing w:line="360" w:lineRule="auto"/>
        <w:jc w:val="both"/>
        <w:rPr>
          <w:rFonts w:ascii="Times New Roman" w:hAnsi="Times New Roman" w:cs="Times New Roman"/>
          <w:sz w:val="24"/>
          <w:szCs w:val="24"/>
        </w:rPr>
      </w:pPr>
    </w:p>
    <w:p w:rsidR="00FC3515" w:rsidRDefault="00FC3515" w:rsidP="00DD4D31">
      <w:pPr>
        <w:spacing w:line="360" w:lineRule="auto"/>
        <w:jc w:val="both"/>
        <w:rPr>
          <w:rFonts w:ascii="Times New Roman" w:hAnsi="Times New Roman" w:cs="Times New Roman"/>
          <w:sz w:val="24"/>
          <w:szCs w:val="24"/>
        </w:rPr>
      </w:pPr>
    </w:p>
    <w:p w:rsidR="00725962" w:rsidRDefault="00725962" w:rsidP="00DD4D31">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188"/>
        <w:gridCol w:w="4050"/>
      </w:tblGrid>
      <w:tr w:rsidR="00E27455" w:rsidTr="00C12046">
        <w:tc>
          <w:tcPr>
            <w:tcW w:w="1188" w:type="dxa"/>
          </w:tcPr>
          <w:p w:rsidR="00E27455" w:rsidRPr="00A81962" w:rsidRDefault="00E27455" w:rsidP="00E27455">
            <w:pPr>
              <w:spacing w:line="360" w:lineRule="auto"/>
              <w:jc w:val="both"/>
              <w:rPr>
                <w:rFonts w:ascii="Times New Roman" w:hAnsi="Times New Roman" w:cs="Times New Roman"/>
                <w:b/>
                <w:sz w:val="24"/>
                <w:szCs w:val="24"/>
              </w:rPr>
            </w:pPr>
            <w:r w:rsidRPr="00A81962">
              <w:rPr>
                <w:rFonts w:ascii="Times New Roman" w:hAnsi="Times New Roman" w:cs="Times New Roman"/>
                <w:b/>
                <w:sz w:val="24"/>
                <w:szCs w:val="24"/>
              </w:rPr>
              <w:t>SL No.</w:t>
            </w:r>
          </w:p>
        </w:tc>
        <w:tc>
          <w:tcPr>
            <w:tcW w:w="4050" w:type="dxa"/>
          </w:tcPr>
          <w:p w:rsidR="00E27455" w:rsidRPr="00A81962" w:rsidRDefault="00E27455" w:rsidP="00DD4D31">
            <w:pPr>
              <w:spacing w:line="360" w:lineRule="auto"/>
              <w:jc w:val="both"/>
              <w:rPr>
                <w:rFonts w:ascii="Times New Roman" w:hAnsi="Times New Roman" w:cs="Times New Roman"/>
                <w:b/>
                <w:sz w:val="24"/>
                <w:szCs w:val="24"/>
              </w:rPr>
            </w:pPr>
            <w:r w:rsidRPr="00A81962">
              <w:rPr>
                <w:rFonts w:ascii="Times New Roman" w:hAnsi="Times New Roman" w:cs="Times New Roman"/>
                <w:b/>
                <w:sz w:val="24"/>
                <w:szCs w:val="24"/>
              </w:rPr>
              <w:t xml:space="preserve">Name of Bank </w:t>
            </w:r>
          </w:p>
        </w:tc>
      </w:tr>
      <w:tr w:rsidR="00E27455" w:rsidTr="00C12046">
        <w:tc>
          <w:tcPr>
            <w:tcW w:w="1188" w:type="dxa"/>
          </w:tcPr>
          <w:p w:rsidR="00E27455" w:rsidRDefault="00E27455" w:rsidP="00E27455">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4050" w:type="dxa"/>
          </w:tcPr>
          <w:p w:rsidR="00E27455" w:rsidRDefault="00346D09"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AB Bank Ltd.</w:t>
            </w:r>
          </w:p>
        </w:tc>
      </w:tr>
      <w:tr w:rsidR="00E27455" w:rsidTr="00C12046">
        <w:tc>
          <w:tcPr>
            <w:tcW w:w="1188" w:type="dxa"/>
          </w:tcPr>
          <w:p w:rsidR="00E27455" w:rsidRDefault="00E27455" w:rsidP="00E27455">
            <w:pPr>
              <w:spacing w:line="36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4050" w:type="dxa"/>
          </w:tcPr>
          <w:p w:rsidR="00346D09" w:rsidRDefault="00346D09"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Al-ARAF</w:t>
            </w:r>
            <w:r w:rsidR="00486D1C">
              <w:rPr>
                <w:rFonts w:ascii="Times New Roman" w:hAnsi="Times New Roman" w:cs="Times New Roman"/>
                <w:sz w:val="24"/>
                <w:szCs w:val="24"/>
              </w:rPr>
              <w:t>H</w:t>
            </w:r>
            <w:r>
              <w:rPr>
                <w:rFonts w:ascii="Times New Roman" w:hAnsi="Times New Roman" w:cs="Times New Roman"/>
                <w:sz w:val="24"/>
                <w:szCs w:val="24"/>
              </w:rPr>
              <w:t xml:space="preserve"> Bank Ltd.</w:t>
            </w:r>
          </w:p>
        </w:tc>
      </w:tr>
      <w:tr w:rsidR="00E27455" w:rsidTr="00C12046">
        <w:tc>
          <w:tcPr>
            <w:tcW w:w="1188" w:type="dxa"/>
          </w:tcPr>
          <w:p w:rsidR="00E27455" w:rsidRDefault="00E27455" w:rsidP="00E27455">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4050" w:type="dxa"/>
          </w:tcPr>
          <w:p w:rsidR="00E27455" w:rsidRDefault="00346D09"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IFIC Bank Ltd.</w:t>
            </w:r>
          </w:p>
        </w:tc>
      </w:tr>
      <w:tr w:rsidR="00E27455" w:rsidTr="00C12046">
        <w:tc>
          <w:tcPr>
            <w:tcW w:w="1188" w:type="dxa"/>
          </w:tcPr>
          <w:p w:rsidR="00E27455" w:rsidRDefault="00E27455" w:rsidP="00E27455">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4050" w:type="dxa"/>
          </w:tcPr>
          <w:p w:rsidR="00E27455" w:rsidRDefault="00486D1C"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BRAC Bank Ltd.</w:t>
            </w:r>
          </w:p>
        </w:tc>
      </w:tr>
      <w:tr w:rsidR="00E27455" w:rsidTr="00C12046">
        <w:tc>
          <w:tcPr>
            <w:tcW w:w="1188" w:type="dxa"/>
          </w:tcPr>
          <w:p w:rsidR="00E27455" w:rsidRDefault="00E27455" w:rsidP="00E27455">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4050" w:type="dxa"/>
          </w:tcPr>
          <w:p w:rsidR="00E27455" w:rsidRDefault="00486D1C"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CITY Bank Ltd.</w:t>
            </w:r>
          </w:p>
        </w:tc>
      </w:tr>
      <w:tr w:rsidR="00E27455" w:rsidTr="00C12046">
        <w:tc>
          <w:tcPr>
            <w:tcW w:w="1188" w:type="dxa"/>
          </w:tcPr>
          <w:p w:rsidR="00E27455" w:rsidRDefault="00E27455" w:rsidP="00E27455">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4050" w:type="dxa"/>
          </w:tcPr>
          <w:p w:rsidR="00E27455" w:rsidRDefault="00123D76"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FIRST SECURITY ISLAMI Bank Ltd.</w:t>
            </w:r>
          </w:p>
        </w:tc>
      </w:tr>
      <w:tr w:rsidR="00E27455" w:rsidTr="00C12046">
        <w:tc>
          <w:tcPr>
            <w:tcW w:w="1188" w:type="dxa"/>
          </w:tcPr>
          <w:p w:rsidR="00E27455" w:rsidRDefault="00E27455" w:rsidP="00E27455">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4050" w:type="dxa"/>
          </w:tcPr>
          <w:p w:rsidR="00E27455" w:rsidRDefault="00486D1C"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DUTCH Bangla Bank Ltd.</w:t>
            </w:r>
          </w:p>
        </w:tc>
      </w:tr>
      <w:tr w:rsidR="00E27455" w:rsidTr="00C12046">
        <w:tc>
          <w:tcPr>
            <w:tcW w:w="1188" w:type="dxa"/>
          </w:tcPr>
          <w:p w:rsidR="00E27455" w:rsidRDefault="00E27455" w:rsidP="00E27455">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4050" w:type="dxa"/>
          </w:tcPr>
          <w:p w:rsidR="00E27455" w:rsidRDefault="0023502B"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EASTERN</w:t>
            </w:r>
            <w:r w:rsidRPr="0023502B">
              <w:rPr>
                <w:rFonts w:ascii="Times New Roman" w:hAnsi="Times New Roman" w:cs="Times New Roman"/>
                <w:sz w:val="24"/>
                <w:szCs w:val="24"/>
              </w:rPr>
              <w:t xml:space="preserve"> Bank</w:t>
            </w:r>
            <w:r>
              <w:rPr>
                <w:rFonts w:ascii="Times New Roman" w:hAnsi="Times New Roman" w:cs="Times New Roman"/>
                <w:sz w:val="24"/>
                <w:szCs w:val="24"/>
              </w:rPr>
              <w:t xml:space="preserve"> Ltd.</w:t>
            </w:r>
          </w:p>
        </w:tc>
      </w:tr>
      <w:tr w:rsidR="00E27455" w:rsidTr="00C12046">
        <w:tc>
          <w:tcPr>
            <w:tcW w:w="1188" w:type="dxa"/>
          </w:tcPr>
          <w:p w:rsidR="00E27455" w:rsidRDefault="00E27455" w:rsidP="00E27455">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4050" w:type="dxa"/>
          </w:tcPr>
          <w:p w:rsidR="00E27455" w:rsidRDefault="0023502B"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EXIM Bank Ltd.</w:t>
            </w:r>
          </w:p>
        </w:tc>
      </w:tr>
      <w:tr w:rsidR="00E27455" w:rsidTr="00C12046">
        <w:tc>
          <w:tcPr>
            <w:tcW w:w="1188" w:type="dxa"/>
          </w:tcPr>
          <w:p w:rsidR="00E27455" w:rsidRDefault="00E27455" w:rsidP="00E27455">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4050" w:type="dxa"/>
          </w:tcPr>
          <w:p w:rsidR="00E27455" w:rsidRDefault="0023502B"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ICB Bank Ltd.</w:t>
            </w:r>
          </w:p>
        </w:tc>
      </w:tr>
    </w:tbl>
    <w:p w:rsidR="00ED0235" w:rsidRPr="00F502C3" w:rsidRDefault="00A81962"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22C5" w:rsidRPr="00F502C3" w:rsidRDefault="001B7A0D"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4033B" w:rsidRPr="00C005D3" w:rsidRDefault="007455A7" w:rsidP="00DD4D31">
      <w:pPr>
        <w:pStyle w:val="Heading1"/>
        <w:jc w:val="both"/>
        <w:rPr>
          <w:rFonts w:asciiTheme="minorHAnsi" w:hAnsiTheme="minorHAnsi" w:cstheme="minorBidi"/>
          <w:sz w:val="22"/>
          <w:szCs w:val="22"/>
        </w:rPr>
      </w:pPr>
      <w:bookmarkStart w:id="12" w:name="_Toc18524274"/>
      <w:r w:rsidRPr="00F502C3">
        <w:t>3.3 Analytical tools</w:t>
      </w:r>
      <w:bookmarkEnd w:id="12"/>
    </w:p>
    <w:p w:rsidR="00F33A4A" w:rsidRPr="00F502C3" w:rsidRDefault="007455A7" w:rsidP="00DD4D31">
      <w:pPr>
        <w:pStyle w:val="ListParagraph"/>
        <w:spacing w:line="360" w:lineRule="auto"/>
        <w:ind w:left="1080"/>
        <w:jc w:val="both"/>
        <w:rPr>
          <w:rFonts w:ascii="Times New Roman" w:hAnsi="Times New Roman" w:cs="Times New Roman"/>
          <w:sz w:val="24"/>
          <w:szCs w:val="24"/>
        </w:rPr>
      </w:pPr>
      <w:r w:rsidRPr="00F502C3">
        <w:rPr>
          <w:rFonts w:ascii="Times New Roman" w:hAnsi="Times New Roman" w:cs="Times New Roman"/>
          <w:sz w:val="24"/>
          <w:szCs w:val="24"/>
        </w:rPr>
        <w:t xml:space="preserve">Using MS Excel to find out all </w:t>
      </w:r>
      <w:r w:rsidR="00F33A4A" w:rsidRPr="00F502C3">
        <w:rPr>
          <w:rFonts w:ascii="Times New Roman" w:hAnsi="Times New Roman" w:cs="Times New Roman"/>
          <w:sz w:val="24"/>
          <w:szCs w:val="24"/>
        </w:rPr>
        <w:t>ratios</w:t>
      </w:r>
    </w:p>
    <w:p w:rsidR="00F33A4A" w:rsidRPr="00F502C3" w:rsidRDefault="00716BEE" w:rsidP="00DD4D31">
      <w:pPr>
        <w:pStyle w:val="Heading1"/>
        <w:jc w:val="both"/>
        <w:rPr>
          <w:rFonts w:ascii="Times New Roman" w:hAnsi="Times New Roman" w:cs="Times New Roman"/>
          <w:sz w:val="24"/>
          <w:szCs w:val="24"/>
        </w:rPr>
      </w:pPr>
      <w:bookmarkStart w:id="13" w:name="_Toc18524275"/>
      <w:r w:rsidRPr="00F502C3">
        <w:rPr>
          <w:rFonts w:ascii="Times New Roman" w:hAnsi="Times New Roman" w:cs="Times New Roman"/>
        </w:rPr>
        <w:t>4</w:t>
      </w:r>
      <w:r w:rsidR="00FF3D70" w:rsidRPr="00F502C3">
        <w:rPr>
          <w:rFonts w:ascii="Times New Roman" w:hAnsi="Times New Roman" w:cs="Times New Roman"/>
        </w:rPr>
        <w:t xml:space="preserve">. </w:t>
      </w:r>
      <w:r w:rsidR="00593B3F" w:rsidRPr="00F502C3">
        <w:rPr>
          <w:rFonts w:ascii="Times New Roman" w:hAnsi="Times New Roman" w:cs="Times New Roman"/>
        </w:rPr>
        <w:t>Literature</w:t>
      </w:r>
      <w:r w:rsidRPr="00F502C3">
        <w:rPr>
          <w:rFonts w:ascii="Times New Roman" w:hAnsi="Times New Roman" w:cs="Times New Roman"/>
        </w:rPr>
        <w:t xml:space="preserve"> review</w:t>
      </w:r>
      <w:bookmarkEnd w:id="13"/>
    </w:p>
    <w:p w:rsidR="00965E0F" w:rsidRDefault="00322FA9"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When I analyze all annual report to find out ratios, I found a lot of information about the banking sector. But all the information was not necessary for me. I took this part which helps me to complete my project. Financial ratio finds out the balance sheet, Income statement, sometimes some ratio or information was given at a glance on the annual report. Such as ROI, ROE, EPS</w:t>
      </w:r>
      <w:r w:rsidR="00965E0F">
        <w:rPr>
          <w:rFonts w:ascii="Times New Roman" w:hAnsi="Times New Roman" w:cs="Times New Roman"/>
          <w:sz w:val="24"/>
          <w:szCs w:val="24"/>
        </w:rPr>
        <w:t>, ROCE</w:t>
      </w:r>
      <w:r w:rsidRPr="00F502C3">
        <w:rPr>
          <w:rFonts w:ascii="Times New Roman" w:hAnsi="Times New Roman" w:cs="Times New Roman"/>
          <w:sz w:val="24"/>
          <w:szCs w:val="24"/>
        </w:rPr>
        <w:t xml:space="preserve"> it’s sometimes I found at a paper on page with 5 years information.</w:t>
      </w:r>
      <w:r w:rsidR="00965E0F">
        <w:rPr>
          <w:rFonts w:ascii="Times New Roman" w:hAnsi="Times New Roman" w:cs="Times New Roman"/>
          <w:sz w:val="24"/>
          <w:szCs w:val="24"/>
        </w:rPr>
        <w:t xml:space="preserve"> Using this ratio bank can compare outside others bank. Investors and creditors understand profitability, asset turnover, liability, Capital employed.  </w:t>
      </w:r>
    </w:p>
    <w:p w:rsidR="00965E0F" w:rsidRDefault="00751161" w:rsidP="00DD4D31">
      <w:pPr>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To findings all information I understand how many members are needed to comp</w:t>
      </w:r>
      <w:r w:rsidR="00965E0F">
        <w:rPr>
          <w:rFonts w:ascii="Times New Roman" w:hAnsi="Times New Roman" w:cs="Times New Roman"/>
          <w:sz w:val="24"/>
          <w:szCs w:val="24"/>
        </w:rPr>
        <w:t xml:space="preserve">lete or design board attributes, how many </w:t>
      </w:r>
      <w:r w:rsidR="00066152">
        <w:rPr>
          <w:rFonts w:ascii="Times New Roman" w:hAnsi="Times New Roman" w:cs="Times New Roman"/>
          <w:sz w:val="24"/>
          <w:szCs w:val="24"/>
        </w:rPr>
        <w:t>families</w:t>
      </w:r>
      <w:r w:rsidR="00965E0F">
        <w:rPr>
          <w:rFonts w:ascii="Times New Roman" w:hAnsi="Times New Roman" w:cs="Times New Roman"/>
          <w:sz w:val="24"/>
          <w:szCs w:val="24"/>
        </w:rPr>
        <w:t>, how many family share,</w:t>
      </w:r>
      <w:r w:rsidRPr="00F502C3">
        <w:rPr>
          <w:rFonts w:ascii="Times New Roman" w:hAnsi="Times New Roman" w:cs="Times New Roman"/>
          <w:sz w:val="24"/>
          <w:szCs w:val="24"/>
        </w:rPr>
        <w:t xml:space="preserve"> how foreign shar</w:t>
      </w:r>
      <w:r w:rsidR="00965E0F">
        <w:rPr>
          <w:rFonts w:ascii="Times New Roman" w:hAnsi="Times New Roman" w:cs="Times New Roman"/>
          <w:sz w:val="24"/>
          <w:szCs w:val="24"/>
        </w:rPr>
        <w:t xml:space="preserve">es, how many women on board on their </w:t>
      </w:r>
      <w:r w:rsidR="00066152">
        <w:rPr>
          <w:rFonts w:ascii="Times New Roman" w:hAnsi="Times New Roman" w:cs="Times New Roman"/>
          <w:sz w:val="24"/>
          <w:szCs w:val="24"/>
        </w:rPr>
        <w:t>bank,</w:t>
      </w:r>
      <w:r w:rsidR="00965E0F">
        <w:rPr>
          <w:rFonts w:ascii="Times New Roman" w:hAnsi="Times New Roman" w:cs="Times New Roman"/>
          <w:sz w:val="24"/>
          <w:szCs w:val="24"/>
        </w:rPr>
        <w:t xml:space="preserve"> Debt to total asset and which bank follow religious rules and which bank do not follow.  </w:t>
      </w:r>
    </w:p>
    <w:p w:rsidR="00751161" w:rsidRPr="00F502C3" w:rsidRDefault="00965E0F"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I almost complete 10</w:t>
      </w:r>
      <w:r w:rsidR="00751161" w:rsidRPr="00F502C3">
        <w:rPr>
          <w:rFonts w:ascii="Times New Roman" w:hAnsi="Times New Roman" w:cs="Times New Roman"/>
          <w:sz w:val="24"/>
          <w:szCs w:val="24"/>
        </w:rPr>
        <w:t xml:space="preserve"> banks which help me to understand</w:t>
      </w:r>
      <w:r>
        <w:rPr>
          <w:rFonts w:ascii="Times New Roman" w:hAnsi="Times New Roman" w:cs="Times New Roman"/>
          <w:sz w:val="24"/>
          <w:szCs w:val="24"/>
        </w:rPr>
        <w:t xml:space="preserve"> ups and down year and which banks ratio was average, which year was good or bad </w:t>
      </w:r>
      <w:r w:rsidR="00FC3515">
        <w:rPr>
          <w:rFonts w:ascii="Times New Roman" w:hAnsi="Times New Roman" w:cs="Times New Roman"/>
          <w:sz w:val="24"/>
          <w:szCs w:val="24"/>
        </w:rPr>
        <w:t>situation</w:t>
      </w:r>
      <w:r w:rsidR="00751161" w:rsidRPr="00F502C3">
        <w:rPr>
          <w:rFonts w:ascii="Times New Roman" w:hAnsi="Times New Roman" w:cs="Times New Roman"/>
          <w:sz w:val="24"/>
          <w:szCs w:val="24"/>
        </w:rPr>
        <w:t>. All ratios and information are presented at MS Excel. Some calculations on the excel file a</w:t>
      </w:r>
      <w:r w:rsidR="00C12046">
        <w:rPr>
          <w:rFonts w:ascii="Times New Roman" w:hAnsi="Times New Roman" w:cs="Times New Roman"/>
          <w:sz w:val="24"/>
          <w:szCs w:val="24"/>
        </w:rPr>
        <w:t>nd some calculations on hand.</w:t>
      </w:r>
      <w:r w:rsidR="00FC3515">
        <w:rPr>
          <w:rFonts w:ascii="Times New Roman" w:hAnsi="Times New Roman" w:cs="Times New Roman"/>
          <w:sz w:val="24"/>
          <w:szCs w:val="24"/>
        </w:rPr>
        <w:t xml:space="preserve">  </w:t>
      </w:r>
    </w:p>
    <w:p w:rsidR="00751161" w:rsidRPr="00F502C3" w:rsidRDefault="00FF3D70" w:rsidP="00DD4D31">
      <w:pPr>
        <w:pStyle w:val="Heading1"/>
        <w:jc w:val="both"/>
        <w:rPr>
          <w:rFonts w:ascii="Times New Roman" w:hAnsi="Times New Roman" w:cs="Times New Roman"/>
        </w:rPr>
      </w:pPr>
      <w:bookmarkStart w:id="14" w:name="_Toc18524276"/>
      <w:r w:rsidRPr="00F502C3">
        <w:rPr>
          <w:rFonts w:ascii="Times New Roman" w:hAnsi="Times New Roman" w:cs="Times New Roman"/>
        </w:rPr>
        <w:t xml:space="preserve">5. </w:t>
      </w:r>
      <w:r w:rsidR="00751161" w:rsidRPr="00F502C3">
        <w:rPr>
          <w:rFonts w:ascii="Times New Roman" w:hAnsi="Times New Roman" w:cs="Times New Roman"/>
        </w:rPr>
        <w:t>Findings and analysis of the study</w:t>
      </w:r>
      <w:bookmarkEnd w:id="14"/>
    </w:p>
    <w:p w:rsidR="00A81962" w:rsidRPr="00247E8C" w:rsidRDefault="00D26545" w:rsidP="00247E8C">
      <w:pPr>
        <w:tabs>
          <w:tab w:val="left" w:pos="1276"/>
        </w:tabs>
        <w:spacing w:line="360" w:lineRule="auto"/>
        <w:jc w:val="both"/>
        <w:rPr>
          <w:rFonts w:ascii="Times New Roman" w:hAnsi="Times New Roman" w:cs="Times New Roman"/>
          <w:sz w:val="24"/>
          <w:szCs w:val="24"/>
        </w:rPr>
      </w:pPr>
      <w:r w:rsidRPr="00247E8C">
        <w:rPr>
          <w:rFonts w:ascii="Times New Roman" w:hAnsi="Times New Roman" w:cs="Times New Roman"/>
          <w:sz w:val="24"/>
          <w:szCs w:val="24"/>
        </w:rPr>
        <w:t>Since I was analyzed vari</w:t>
      </w:r>
      <w:r w:rsidR="00FC3515" w:rsidRPr="00247E8C">
        <w:rPr>
          <w:rFonts w:ascii="Times New Roman" w:hAnsi="Times New Roman" w:cs="Times New Roman"/>
          <w:sz w:val="24"/>
          <w:szCs w:val="24"/>
        </w:rPr>
        <w:t xml:space="preserve">ous ratios, I used many </w:t>
      </w:r>
      <w:r w:rsidR="00066152" w:rsidRPr="00247E8C">
        <w:rPr>
          <w:rFonts w:ascii="Times New Roman" w:hAnsi="Times New Roman" w:cs="Times New Roman"/>
          <w:sz w:val="24"/>
          <w:szCs w:val="24"/>
        </w:rPr>
        <w:t>formulas</w:t>
      </w:r>
      <w:r w:rsidR="00FC3515" w:rsidRPr="00247E8C">
        <w:rPr>
          <w:rFonts w:ascii="Times New Roman" w:hAnsi="Times New Roman" w:cs="Times New Roman"/>
          <w:sz w:val="24"/>
          <w:szCs w:val="24"/>
        </w:rPr>
        <w:t xml:space="preserve"> </w:t>
      </w:r>
      <w:r w:rsidRPr="00247E8C">
        <w:rPr>
          <w:rFonts w:ascii="Times New Roman" w:hAnsi="Times New Roman" w:cs="Times New Roman"/>
          <w:sz w:val="24"/>
          <w:szCs w:val="24"/>
        </w:rPr>
        <w:t>Sometimes without formulae, I found some ratios</w:t>
      </w:r>
      <w:r w:rsidR="00FC3515" w:rsidRPr="00247E8C">
        <w:rPr>
          <w:rFonts w:ascii="Times New Roman" w:hAnsi="Times New Roman" w:cs="Times New Roman"/>
          <w:sz w:val="24"/>
          <w:szCs w:val="24"/>
        </w:rPr>
        <w:t xml:space="preserve"> in the annual report directly. </w:t>
      </w:r>
    </w:p>
    <w:p w:rsidR="000F0B34" w:rsidRPr="00247E8C" w:rsidRDefault="000F0B34" w:rsidP="00247E8C">
      <w:pPr>
        <w:tabs>
          <w:tab w:val="left" w:pos="1276"/>
        </w:tabs>
        <w:spacing w:line="360" w:lineRule="auto"/>
        <w:jc w:val="both"/>
        <w:rPr>
          <w:rFonts w:ascii="Times New Roman" w:hAnsi="Times New Roman" w:cs="Times New Roman"/>
          <w:b/>
          <w:sz w:val="24"/>
          <w:szCs w:val="24"/>
        </w:rPr>
      </w:pPr>
      <w:r w:rsidRPr="00247E8C">
        <w:rPr>
          <w:rFonts w:ascii="Times New Roman" w:hAnsi="Times New Roman" w:cs="Times New Roman"/>
          <w:b/>
          <w:sz w:val="24"/>
          <w:szCs w:val="24"/>
        </w:rPr>
        <w:t>Formula</w:t>
      </w:r>
    </w:p>
    <w:p w:rsidR="000F0B34" w:rsidRPr="00247E8C" w:rsidRDefault="000F0B34" w:rsidP="00247E8C">
      <w:pPr>
        <w:tabs>
          <w:tab w:val="left" w:pos="1276"/>
        </w:tabs>
        <w:spacing w:line="360" w:lineRule="auto"/>
        <w:jc w:val="both"/>
        <w:rPr>
          <w:rFonts w:ascii="Times New Roman" w:hAnsi="Times New Roman" w:cs="Times New Roman"/>
          <w:b/>
          <w:sz w:val="24"/>
          <w:szCs w:val="24"/>
        </w:rPr>
      </w:pPr>
      <w:r w:rsidRPr="00247E8C">
        <w:rPr>
          <w:rFonts w:ascii="Times New Roman" w:hAnsi="Times New Roman" w:cs="Times New Roman"/>
          <w:b/>
          <w:sz w:val="24"/>
          <w:szCs w:val="24"/>
        </w:rPr>
        <w:t xml:space="preserve"> ROE </w:t>
      </w:r>
    </w:p>
    <w:p w:rsidR="00A81962" w:rsidRPr="00247E8C" w:rsidRDefault="000F0B34" w:rsidP="00247E8C">
      <w:pPr>
        <w:tabs>
          <w:tab w:val="left" w:pos="1276"/>
        </w:tabs>
        <w:spacing w:line="360" w:lineRule="auto"/>
        <w:jc w:val="both"/>
        <w:rPr>
          <w:rFonts w:ascii="Times New Roman" w:hAnsi="Times New Roman" w:cs="Times New Roman"/>
          <w:sz w:val="24"/>
          <w:szCs w:val="24"/>
        </w:rPr>
      </w:pPr>
      <w:r w:rsidRPr="00247E8C">
        <w:rPr>
          <w:rFonts w:ascii="Times New Roman" w:hAnsi="Times New Roman" w:cs="Times New Roman"/>
          <w:sz w:val="24"/>
          <w:szCs w:val="24"/>
        </w:rPr>
        <w:t xml:space="preserve"> Net Income / Shareholder Equity</w:t>
      </w:r>
    </w:p>
    <w:p w:rsidR="000F0B34" w:rsidRPr="00247E8C" w:rsidRDefault="000F0B34" w:rsidP="00247E8C">
      <w:pPr>
        <w:tabs>
          <w:tab w:val="left" w:pos="1276"/>
        </w:tabs>
        <w:spacing w:line="360" w:lineRule="auto"/>
        <w:jc w:val="both"/>
        <w:rPr>
          <w:rFonts w:ascii="Times New Roman" w:hAnsi="Times New Roman" w:cs="Times New Roman"/>
          <w:b/>
          <w:sz w:val="24"/>
          <w:szCs w:val="24"/>
        </w:rPr>
      </w:pPr>
      <w:r w:rsidRPr="00247E8C">
        <w:rPr>
          <w:rFonts w:ascii="Times New Roman" w:hAnsi="Times New Roman" w:cs="Times New Roman"/>
          <w:b/>
          <w:sz w:val="24"/>
          <w:szCs w:val="24"/>
        </w:rPr>
        <w:t>ROA</w:t>
      </w:r>
    </w:p>
    <w:p w:rsidR="000F0B34" w:rsidRPr="00247E8C" w:rsidRDefault="000F0B34" w:rsidP="00247E8C">
      <w:pPr>
        <w:tabs>
          <w:tab w:val="left" w:pos="1276"/>
        </w:tabs>
        <w:spacing w:line="360" w:lineRule="auto"/>
        <w:jc w:val="both"/>
        <w:rPr>
          <w:rFonts w:ascii="Times New Roman" w:hAnsi="Times New Roman" w:cs="Times New Roman"/>
          <w:sz w:val="24"/>
          <w:szCs w:val="24"/>
        </w:rPr>
      </w:pPr>
      <w:r w:rsidRPr="00247E8C">
        <w:rPr>
          <w:rFonts w:ascii="Times New Roman" w:hAnsi="Times New Roman" w:cs="Times New Roman"/>
          <w:sz w:val="24"/>
          <w:szCs w:val="24"/>
        </w:rPr>
        <w:t>Net Income / Total Asset</w:t>
      </w:r>
    </w:p>
    <w:p w:rsidR="006E7FF5" w:rsidRPr="00247E8C" w:rsidRDefault="006E7FF5" w:rsidP="00247E8C">
      <w:pPr>
        <w:tabs>
          <w:tab w:val="left" w:pos="1276"/>
        </w:tabs>
        <w:spacing w:line="360" w:lineRule="auto"/>
        <w:jc w:val="both"/>
        <w:rPr>
          <w:rFonts w:ascii="Times New Roman" w:hAnsi="Times New Roman" w:cs="Times New Roman"/>
          <w:b/>
          <w:sz w:val="24"/>
          <w:szCs w:val="24"/>
        </w:rPr>
      </w:pPr>
      <w:r w:rsidRPr="00247E8C">
        <w:rPr>
          <w:rFonts w:ascii="Times New Roman" w:hAnsi="Times New Roman" w:cs="Times New Roman"/>
          <w:b/>
          <w:sz w:val="24"/>
          <w:szCs w:val="24"/>
        </w:rPr>
        <w:t xml:space="preserve">EPS </w:t>
      </w:r>
    </w:p>
    <w:p w:rsidR="000F0B34" w:rsidRPr="00247E8C" w:rsidRDefault="006E7FF5" w:rsidP="00247E8C">
      <w:pPr>
        <w:tabs>
          <w:tab w:val="left" w:pos="1276"/>
        </w:tabs>
        <w:spacing w:line="360" w:lineRule="auto"/>
        <w:jc w:val="both"/>
        <w:rPr>
          <w:rFonts w:ascii="Times New Roman" w:hAnsi="Times New Roman" w:cs="Times New Roman"/>
          <w:sz w:val="24"/>
          <w:szCs w:val="24"/>
        </w:rPr>
      </w:pPr>
      <w:r w:rsidRPr="00247E8C">
        <w:rPr>
          <w:rFonts w:ascii="Times New Roman" w:hAnsi="Times New Roman" w:cs="Times New Roman"/>
          <w:sz w:val="24"/>
          <w:szCs w:val="24"/>
        </w:rPr>
        <w:t>Net income – preferred Dividends/ Weighted average share outstanding.</w:t>
      </w:r>
    </w:p>
    <w:p w:rsidR="006E7FF5" w:rsidRPr="00247E8C" w:rsidRDefault="006E7FF5" w:rsidP="00247E8C">
      <w:pPr>
        <w:tabs>
          <w:tab w:val="left" w:pos="1276"/>
        </w:tabs>
        <w:spacing w:line="360" w:lineRule="auto"/>
        <w:jc w:val="both"/>
        <w:rPr>
          <w:rFonts w:ascii="Times New Roman" w:hAnsi="Times New Roman" w:cs="Times New Roman"/>
          <w:b/>
          <w:sz w:val="24"/>
          <w:szCs w:val="24"/>
        </w:rPr>
      </w:pPr>
      <w:r w:rsidRPr="00247E8C">
        <w:rPr>
          <w:rFonts w:ascii="Times New Roman" w:hAnsi="Times New Roman" w:cs="Times New Roman"/>
          <w:b/>
          <w:sz w:val="24"/>
          <w:szCs w:val="24"/>
        </w:rPr>
        <w:t xml:space="preserve">ROCE   </w:t>
      </w:r>
    </w:p>
    <w:p w:rsidR="006E7FF5" w:rsidRPr="00247E8C" w:rsidRDefault="006E7FF5" w:rsidP="00247E8C">
      <w:pPr>
        <w:tabs>
          <w:tab w:val="left" w:pos="1276"/>
        </w:tabs>
        <w:spacing w:line="360" w:lineRule="auto"/>
        <w:jc w:val="both"/>
        <w:rPr>
          <w:rFonts w:ascii="Times New Roman" w:hAnsi="Times New Roman" w:cs="Times New Roman"/>
          <w:sz w:val="24"/>
          <w:szCs w:val="24"/>
        </w:rPr>
      </w:pPr>
      <w:r w:rsidRPr="00247E8C">
        <w:rPr>
          <w:rFonts w:ascii="Times New Roman" w:hAnsi="Times New Roman" w:cs="Times New Roman"/>
          <w:sz w:val="24"/>
          <w:szCs w:val="24"/>
        </w:rPr>
        <w:t>Net operating Profit/ Total Asset- Current Liabilities</w:t>
      </w:r>
    </w:p>
    <w:p w:rsidR="000F0B34" w:rsidRPr="00247E8C" w:rsidRDefault="006E7FF5" w:rsidP="00247E8C">
      <w:pPr>
        <w:tabs>
          <w:tab w:val="left" w:pos="1276"/>
        </w:tabs>
        <w:spacing w:line="360" w:lineRule="auto"/>
        <w:jc w:val="both"/>
        <w:rPr>
          <w:rFonts w:ascii="Times New Roman" w:hAnsi="Times New Roman" w:cs="Times New Roman"/>
          <w:b/>
          <w:sz w:val="24"/>
          <w:szCs w:val="24"/>
        </w:rPr>
      </w:pPr>
      <w:r w:rsidRPr="00247E8C">
        <w:rPr>
          <w:rFonts w:ascii="Times New Roman" w:hAnsi="Times New Roman" w:cs="Times New Roman"/>
          <w:b/>
          <w:sz w:val="24"/>
          <w:szCs w:val="24"/>
        </w:rPr>
        <w:t>Leverage ratio</w:t>
      </w:r>
    </w:p>
    <w:p w:rsidR="006E7FF5" w:rsidRPr="00247E8C" w:rsidRDefault="006E7FF5" w:rsidP="00247E8C">
      <w:pPr>
        <w:jc w:val="both"/>
        <w:rPr>
          <w:rFonts w:ascii="Times New Roman" w:hAnsi="Times New Roman" w:cs="Times New Roman"/>
          <w:sz w:val="24"/>
          <w:szCs w:val="24"/>
        </w:rPr>
      </w:pPr>
      <w:r w:rsidRPr="00247E8C">
        <w:rPr>
          <w:rFonts w:ascii="Times New Roman" w:hAnsi="Times New Roman" w:cs="Times New Roman"/>
          <w:sz w:val="24"/>
          <w:szCs w:val="24"/>
        </w:rPr>
        <w:t xml:space="preserve">DEBT to Asset Ratio = Total Debt / Total Asset </w:t>
      </w:r>
    </w:p>
    <w:p w:rsidR="006E7FF5" w:rsidRPr="006E7FF5" w:rsidRDefault="006E7FF5" w:rsidP="006E7FF5">
      <w:pPr>
        <w:rPr>
          <w:rFonts w:ascii="Times New Roman" w:hAnsi="Times New Roman" w:cs="Times New Roman"/>
          <w:sz w:val="24"/>
          <w:szCs w:val="24"/>
        </w:rPr>
      </w:pPr>
    </w:p>
    <w:p w:rsidR="006E7FF5" w:rsidRDefault="006E7FF5" w:rsidP="006E7FF5">
      <w:pPr>
        <w:rPr>
          <w:rFonts w:ascii="Times New Roman" w:hAnsi="Times New Roman" w:cs="Times New Roman"/>
          <w:sz w:val="24"/>
          <w:szCs w:val="24"/>
        </w:rPr>
      </w:pPr>
      <w:r w:rsidRPr="006E7FF5">
        <w:rPr>
          <w:rFonts w:ascii="Times New Roman" w:hAnsi="Times New Roman" w:cs="Times New Roman"/>
          <w:sz w:val="24"/>
          <w:szCs w:val="24"/>
        </w:rPr>
        <w:t>Now I would like</w:t>
      </w:r>
      <w:r w:rsidR="00EB32A9">
        <w:rPr>
          <w:rFonts w:ascii="Times New Roman" w:hAnsi="Times New Roman" w:cs="Times New Roman"/>
          <w:sz w:val="24"/>
          <w:szCs w:val="24"/>
        </w:rPr>
        <w:t xml:space="preserve"> to</w:t>
      </w:r>
      <w:r w:rsidRPr="006E7FF5">
        <w:rPr>
          <w:rFonts w:ascii="Times New Roman" w:hAnsi="Times New Roman" w:cs="Times New Roman"/>
          <w:sz w:val="24"/>
          <w:szCs w:val="24"/>
        </w:rPr>
        <w:t xml:space="preserve"> analysis of 10 banks</w:t>
      </w:r>
      <w:r w:rsidR="00247E8C">
        <w:rPr>
          <w:rFonts w:ascii="Times New Roman" w:hAnsi="Times New Roman" w:cs="Times New Roman"/>
          <w:sz w:val="24"/>
          <w:szCs w:val="24"/>
        </w:rPr>
        <w:t xml:space="preserve"> with scatter diagram.</w:t>
      </w:r>
    </w:p>
    <w:p w:rsidR="00DA4546" w:rsidRPr="00B854E9" w:rsidRDefault="006E7FF5" w:rsidP="006E7FF5">
      <w:pPr>
        <w:rPr>
          <w:rFonts w:ascii="Times New Roman" w:hAnsi="Times New Roman" w:cs="Times New Roman"/>
          <w:b/>
          <w:sz w:val="24"/>
          <w:szCs w:val="24"/>
        </w:rPr>
      </w:pPr>
      <w:r w:rsidRPr="006E7FF5">
        <w:rPr>
          <w:rFonts w:ascii="Times New Roman" w:hAnsi="Times New Roman" w:cs="Times New Roman"/>
          <w:sz w:val="24"/>
          <w:szCs w:val="24"/>
        </w:rPr>
        <w:t xml:space="preserve"> </w:t>
      </w:r>
      <w:r w:rsidR="00FC3515" w:rsidRPr="00B854E9">
        <w:rPr>
          <w:rFonts w:ascii="Times New Roman" w:hAnsi="Times New Roman" w:cs="Times New Roman"/>
          <w:b/>
          <w:sz w:val="24"/>
          <w:szCs w:val="24"/>
        </w:rPr>
        <w:t xml:space="preserve">They are given below: </w:t>
      </w:r>
    </w:p>
    <w:p w:rsidR="00EB32A9" w:rsidRDefault="00EB32A9" w:rsidP="00DD4D31">
      <w:pPr>
        <w:tabs>
          <w:tab w:val="left" w:pos="1276"/>
        </w:tabs>
        <w:spacing w:line="360" w:lineRule="auto"/>
        <w:jc w:val="both"/>
        <w:rPr>
          <w:rFonts w:ascii="Times New Roman" w:hAnsi="Times New Roman" w:cs="Times New Roman"/>
          <w:b/>
          <w:sz w:val="24"/>
          <w:szCs w:val="24"/>
        </w:rPr>
      </w:pPr>
    </w:p>
    <w:p w:rsidR="00461A04" w:rsidRPr="00F502C3" w:rsidRDefault="006325D4" w:rsidP="00247E8C">
      <w:pPr>
        <w:tabs>
          <w:tab w:val="left" w:pos="1276"/>
        </w:tabs>
        <w:spacing w:line="360" w:lineRule="auto"/>
        <w:jc w:val="center"/>
        <w:rPr>
          <w:rFonts w:ascii="Times New Roman" w:hAnsi="Times New Roman" w:cs="Times New Roman"/>
          <w:sz w:val="24"/>
          <w:szCs w:val="24"/>
        </w:rPr>
      </w:pPr>
      <w:r w:rsidRPr="00F502C3">
        <w:rPr>
          <w:rFonts w:ascii="Times New Roman" w:hAnsi="Times New Roman" w:cs="Times New Roman"/>
          <w:b/>
          <w:sz w:val="24"/>
          <w:szCs w:val="24"/>
        </w:rPr>
        <w:t>AB BANK Ltd.</w:t>
      </w:r>
    </w:p>
    <w:tbl>
      <w:tblPr>
        <w:tblStyle w:val="TableGrid"/>
        <w:tblW w:w="0" w:type="auto"/>
        <w:tblLook w:val="04A0" w:firstRow="1" w:lastRow="0" w:firstColumn="1" w:lastColumn="0" w:noHBand="0" w:noVBand="1"/>
      </w:tblPr>
      <w:tblGrid>
        <w:gridCol w:w="3418"/>
        <w:gridCol w:w="1101"/>
        <w:gridCol w:w="1101"/>
        <w:gridCol w:w="1101"/>
        <w:gridCol w:w="1101"/>
        <w:gridCol w:w="1101"/>
      </w:tblGrid>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b/>
                <w:bCs/>
              </w:rPr>
            </w:pPr>
            <w:r w:rsidRPr="00F502C3">
              <w:rPr>
                <w:rFonts w:ascii="Times New Roman" w:hAnsi="Times New Roman" w:cs="Times New Roman"/>
                <w:b/>
                <w:bCs/>
              </w:rPr>
              <w:t xml:space="preserve">Name of Bank Ltd. </w:t>
            </w:r>
          </w:p>
        </w:tc>
        <w:tc>
          <w:tcPr>
            <w:tcW w:w="1101" w:type="dxa"/>
            <w:noWrap/>
            <w:hideMark/>
          </w:tcPr>
          <w:p w:rsidR="00461A04" w:rsidRPr="00F502C3" w:rsidRDefault="00461A04" w:rsidP="00DD4D31">
            <w:pPr>
              <w:jc w:val="both"/>
              <w:rPr>
                <w:rFonts w:ascii="Times New Roman" w:hAnsi="Times New Roman" w:cs="Times New Roman"/>
                <w:b/>
                <w:bCs/>
              </w:rPr>
            </w:pPr>
            <w:r w:rsidRPr="00F502C3">
              <w:rPr>
                <w:rFonts w:ascii="Times New Roman" w:hAnsi="Times New Roman" w:cs="Times New Roman"/>
                <w:b/>
                <w:bCs/>
              </w:rPr>
              <w:t>ROI</w:t>
            </w:r>
          </w:p>
        </w:tc>
        <w:tc>
          <w:tcPr>
            <w:tcW w:w="1101" w:type="dxa"/>
            <w:noWrap/>
            <w:hideMark/>
          </w:tcPr>
          <w:p w:rsidR="00461A04" w:rsidRPr="00F502C3" w:rsidRDefault="00461A04" w:rsidP="00DD4D31">
            <w:pPr>
              <w:jc w:val="both"/>
              <w:rPr>
                <w:rFonts w:ascii="Times New Roman" w:hAnsi="Times New Roman" w:cs="Times New Roman"/>
                <w:b/>
                <w:bCs/>
              </w:rPr>
            </w:pPr>
            <w:r w:rsidRPr="00F502C3">
              <w:rPr>
                <w:rFonts w:ascii="Times New Roman" w:hAnsi="Times New Roman" w:cs="Times New Roman"/>
                <w:b/>
                <w:bCs/>
              </w:rPr>
              <w:t>ROE</w:t>
            </w:r>
          </w:p>
        </w:tc>
        <w:tc>
          <w:tcPr>
            <w:tcW w:w="1101" w:type="dxa"/>
            <w:noWrap/>
            <w:hideMark/>
          </w:tcPr>
          <w:p w:rsidR="00461A04" w:rsidRPr="00F502C3" w:rsidRDefault="00461A04" w:rsidP="00DD4D31">
            <w:pPr>
              <w:jc w:val="both"/>
              <w:rPr>
                <w:rFonts w:ascii="Times New Roman" w:hAnsi="Times New Roman" w:cs="Times New Roman"/>
                <w:b/>
                <w:bCs/>
              </w:rPr>
            </w:pPr>
            <w:r w:rsidRPr="00F502C3">
              <w:rPr>
                <w:rFonts w:ascii="Times New Roman" w:hAnsi="Times New Roman" w:cs="Times New Roman"/>
                <w:b/>
                <w:bCs/>
              </w:rPr>
              <w:t>ROA</w:t>
            </w:r>
          </w:p>
        </w:tc>
        <w:tc>
          <w:tcPr>
            <w:tcW w:w="1101" w:type="dxa"/>
            <w:noWrap/>
            <w:hideMark/>
          </w:tcPr>
          <w:p w:rsidR="00461A04" w:rsidRPr="00F502C3" w:rsidRDefault="00461A04" w:rsidP="00DD4D31">
            <w:pPr>
              <w:jc w:val="both"/>
              <w:rPr>
                <w:rFonts w:ascii="Times New Roman" w:hAnsi="Times New Roman" w:cs="Times New Roman"/>
                <w:b/>
                <w:bCs/>
              </w:rPr>
            </w:pPr>
            <w:r w:rsidRPr="00F502C3">
              <w:rPr>
                <w:rFonts w:ascii="Times New Roman" w:hAnsi="Times New Roman" w:cs="Times New Roman"/>
                <w:b/>
                <w:bCs/>
              </w:rPr>
              <w:t>EPS</w:t>
            </w:r>
          </w:p>
        </w:tc>
        <w:tc>
          <w:tcPr>
            <w:tcW w:w="1101" w:type="dxa"/>
            <w:noWrap/>
            <w:hideMark/>
          </w:tcPr>
          <w:p w:rsidR="00461A04" w:rsidRPr="00F502C3" w:rsidRDefault="00461A04" w:rsidP="00DD4D31">
            <w:pPr>
              <w:jc w:val="both"/>
              <w:rPr>
                <w:rFonts w:ascii="Times New Roman" w:hAnsi="Times New Roman" w:cs="Times New Roman"/>
                <w:b/>
                <w:bCs/>
              </w:rPr>
            </w:pPr>
            <w:r w:rsidRPr="00F502C3">
              <w:rPr>
                <w:rFonts w:ascii="Times New Roman" w:hAnsi="Times New Roman" w:cs="Times New Roman"/>
                <w:b/>
                <w:bCs/>
              </w:rPr>
              <w:t>ROCE</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2018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9.58%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0.08%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0.01%</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0.02</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3.88%</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2017</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10.18%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0.13%</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0.01%</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0.04</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3.45%</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2016</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13.50%</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5.68%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0.44%</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1.72</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3.76%</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2015</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10.49%</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6.03%</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0.48%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1.68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3.86%</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2014</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9.68%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6.95%</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0.54%</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1.66</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2.98%</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2013</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10.37%</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6.13%</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0.53%</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1.33</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2.65%</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2012</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11.39%</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9.31%</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0.88%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1.9</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3.98%</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2011</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14.62%</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9.25%</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0.93%</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1.75</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3.77%</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2010</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32.72%</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30.77%</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3.08%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4.88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2.83%</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2009</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21.06%</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39.84%</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3.52%</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4.44</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2.99%</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2008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23.89%</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40.96%</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3.12%</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3.84</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2.56%</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2007</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22.87%</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42.19%</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3.41%</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3.18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2.34%</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2006</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18.81%</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20.61%</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1.11%</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0.88</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2.46%</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2005</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6.66%</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7.24%</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0.39%</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0.2</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3.00%</w:t>
            </w:r>
          </w:p>
        </w:tc>
      </w:tr>
      <w:tr w:rsidR="00461A04" w:rsidRPr="00F502C3" w:rsidTr="00B854E9">
        <w:trPr>
          <w:trHeight w:val="310"/>
        </w:trPr>
        <w:tc>
          <w:tcPr>
            <w:tcW w:w="3418"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Ab Bank 2004</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6.86%</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1.53%</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0.07%</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0.04</w:t>
            </w:r>
          </w:p>
        </w:tc>
        <w:tc>
          <w:tcPr>
            <w:tcW w:w="1101" w:type="dxa"/>
            <w:noWrap/>
            <w:hideMark/>
          </w:tcPr>
          <w:p w:rsidR="00461A04" w:rsidRPr="00F502C3" w:rsidRDefault="00461A04" w:rsidP="00DD4D31">
            <w:pPr>
              <w:jc w:val="both"/>
              <w:rPr>
                <w:rFonts w:ascii="Times New Roman" w:hAnsi="Times New Roman" w:cs="Times New Roman"/>
              </w:rPr>
            </w:pPr>
            <w:r w:rsidRPr="00F502C3">
              <w:rPr>
                <w:rFonts w:ascii="Times New Roman" w:hAnsi="Times New Roman" w:cs="Times New Roman"/>
              </w:rPr>
              <w:t>2.21%</w:t>
            </w:r>
          </w:p>
        </w:tc>
      </w:tr>
    </w:tbl>
    <w:p w:rsidR="00DA4546" w:rsidRPr="00F502C3" w:rsidRDefault="00DA4546" w:rsidP="00DD4D31">
      <w:pPr>
        <w:jc w:val="both"/>
        <w:rPr>
          <w:rFonts w:ascii="Times New Roman" w:hAnsi="Times New Roman" w:cs="Times New Roman"/>
        </w:rPr>
      </w:pPr>
    </w:p>
    <w:p w:rsidR="006E22C5" w:rsidRPr="00F502C3" w:rsidRDefault="00EB32A9" w:rsidP="00DD4D31">
      <w:pPr>
        <w:jc w:val="both"/>
        <w:rPr>
          <w:rFonts w:ascii="Times New Roman" w:hAnsi="Times New Roman" w:cs="Times New Roman"/>
        </w:rPr>
      </w:pPr>
      <w:r>
        <w:rPr>
          <w:noProof/>
        </w:rPr>
        <w:drawing>
          <wp:inline distT="0" distB="0" distL="0" distR="0" wp14:anchorId="653AB874" wp14:editId="1154F9AA">
            <wp:extent cx="5730949" cy="2562447"/>
            <wp:effectExtent l="0" t="0" r="317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461A04" w:rsidRPr="00F502C3">
        <w:rPr>
          <w:rFonts w:ascii="Times New Roman" w:hAnsi="Times New Roman" w:cs="Times New Roman"/>
        </w:rPr>
        <w:br w:type="textWrapping" w:clear="all"/>
      </w:r>
    </w:p>
    <w:p w:rsidR="007566E1" w:rsidRPr="00F502C3" w:rsidRDefault="00461A04" w:rsidP="00DD4D31">
      <w:pPr>
        <w:jc w:val="both"/>
        <w:rPr>
          <w:rFonts w:ascii="Times New Roman" w:hAnsi="Times New Roman" w:cs="Times New Roman"/>
        </w:rPr>
      </w:pPr>
      <w:r w:rsidRPr="00F502C3">
        <w:rPr>
          <w:rFonts w:ascii="Times New Roman" w:hAnsi="Times New Roman" w:cs="Times New Roman"/>
        </w:rPr>
        <w:t>Here</w:t>
      </w:r>
      <w:r w:rsidR="007566E1" w:rsidRPr="00F502C3">
        <w:rPr>
          <w:rFonts w:ascii="Times New Roman" w:hAnsi="Times New Roman" w:cs="Times New Roman"/>
        </w:rPr>
        <w:t xml:space="preserve"> we see that AB bank’s EPS is good. 2010 highest EPS and 2005 and 2018 was not good. Yellow color is a sign of EPS. Return on Capital Employed was good in 2010. 2004 ROCE lower situation that means that time bank cannot properly achieving from the capital employed.</w:t>
      </w:r>
    </w:p>
    <w:p w:rsidR="007D04E5" w:rsidRPr="00F502C3" w:rsidRDefault="007566E1" w:rsidP="00DD4D31">
      <w:pPr>
        <w:jc w:val="both"/>
        <w:rPr>
          <w:rFonts w:ascii="Times New Roman" w:hAnsi="Times New Roman" w:cs="Times New Roman"/>
        </w:rPr>
      </w:pPr>
      <w:r w:rsidRPr="00F502C3">
        <w:rPr>
          <w:rFonts w:ascii="Times New Roman" w:hAnsi="Times New Roman" w:cs="Times New Roman"/>
        </w:rPr>
        <w:t xml:space="preserve">ROI is better always </w:t>
      </w:r>
      <w:r w:rsidR="007D04E5" w:rsidRPr="00F502C3">
        <w:rPr>
          <w:rFonts w:ascii="Times New Roman" w:hAnsi="Times New Roman" w:cs="Times New Roman"/>
        </w:rPr>
        <w:t>but 2004 was lowest Return on Investment. And it means investment of company cannot properly used. And investor was not satisfied.</w:t>
      </w:r>
    </w:p>
    <w:p w:rsidR="006700A5" w:rsidRPr="00F502C3" w:rsidRDefault="007D04E5" w:rsidP="00DD4D31">
      <w:pPr>
        <w:jc w:val="both"/>
        <w:rPr>
          <w:rFonts w:ascii="Times New Roman" w:hAnsi="Times New Roman" w:cs="Times New Roman"/>
        </w:rPr>
      </w:pPr>
      <w:r w:rsidRPr="00F502C3">
        <w:rPr>
          <w:rFonts w:ascii="Times New Roman" w:hAnsi="Times New Roman" w:cs="Times New Roman"/>
        </w:rPr>
        <w:t>In 2007 Return on Equity was highest ratio that m</w:t>
      </w:r>
      <w:r w:rsidR="006700A5" w:rsidRPr="00F502C3">
        <w:rPr>
          <w:rFonts w:ascii="Times New Roman" w:hAnsi="Times New Roman" w:cs="Times New Roman"/>
        </w:rPr>
        <w:t>eans shareholders’ equity</w:t>
      </w:r>
      <w:r w:rsidRPr="00F502C3">
        <w:rPr>
          <w:rFonts w:ascii="Times New Roman" w:hAnsi="Times New Roman" w:cs="Times New Roman"/>
        </w:rPr>
        <w:t xml:space="preserve"> </w:t>
      </w:r>
      <w:r w:rsidR="006700A5" w:rsidRPr="00F502C3">
        <w:rPr>
          <w:rFonts w:ascii="Times New Roman" w:hAnsi="Times New Roman" w:cs="Times New Roman"/>
        </w:rPr>
        <w:t>was good. And net income was good. In 2018 we see that ROE is not good position. ROA was not always good in AB bank Ltd.</w:t>
      </w:r>
    </w:p>
    <w:p w:rsidR="00EB32A9" w:rsidRDefault="00EB32A9" w:rsidP="00DD4D31">
      <w:pPr>
        <w:jc w:val="both"/>
        <w:rPr>
          <w:rFonts w:ascii="Times New Roman" w:hAnsi="Times New Roman" w:cs="Times New Roman"/>
          <w:b/>
        </w:rPr>
      </w:pPr>
    </w:p>
    <w:p w:rsidR="00EB32A9" w:rsidRDefault="00EB32A9" w:rsidP="00247E8C">
      <w:pPr>
        <w:jc w:val="center"/>
        <w:rPr>
          <w:rFonts w:ascii="Times New Roman" w:hAnsi="Times New Roman" w:cs="Times New Roman"/>
          <w:b/>
        </w:rPr>
      </w:pPr>
    </w:p>
    <w:p w:rsidR="00DA4546" w:rsidRPr="00F502C3" w:rsidRDefault="006325D4" w:rsidP="00247E8C">
      <w:pPr>
        <w:jc w:val="center"/>
        <w:rPr>
          <w:rFonts w:ascii="Times New Roman" w:hAnsi="Times New Roman" w:cs="Times New Roman"/>
          <w:b/>
        </w:rPr>
      </w:pPr>
      <w:r w:rsidRPr="00F502C3">
        <w:rPr>
          <w:rFonts w:ascii="Times New Roman" w:hAnsi="Times New Roman" w:cs="Times New Roman"/>
          <w:b/>
        </w:rPr>
        <w:t>Al- ARAFAH ISLAMIC BANK</w:t>
      </w:r>
      <w:r w:rsidR="00DA4546" w:rsidRPr="00F502C3">
        <w:rPr>
          <w:rFonts w:ascii="Times New Roman" w:hAnsi="Times New Roman" w:cs="Times New Roman"/>
          <w:b/>
        </w:rPr>
        <w:t xml:space="preserve"> Ltd</w:t>
      </w:r>
    </w:p>
    <w:tbl>
      <w:tblPr>
        <w:tblStyle w:val="TableGrid"/>
        <w:tblW w:w="0" w:type="auto"/>
        <w:tblLook w:val="04A0" w:firstRow="1" w:lastRow="0" w:firstColumn="1" w:lastColumn="0" w:noHBand="0" w:noVBand="1"/>
      </w:tblPr>
      <w:tblGrid>
        <w:gridCol w:w="3604"/>
        <w:gridCol w:w="1162"/>
        <w:gridCol w:w="1162"/>
        <w:gridCol w:w="1162"/>
        <w:gridCol w:w="1162"/>
        <w:gridCol w:w="1162"/>
      </w:tblGrid>
      <w:tr w:rsidR="00DA4546" w:rsidRPr="00F502C3" w:rsidTr="00247E8C">
        <w:trPr>
          <w:trHeight w:val="376"/>
        </w:trPr>
        <w:tc>
          <w:tcPr>
            <w:tcW w:w="3604" w:type="dxa"/>
            <w:noWrap/>
            <w:hideMark/>
          </w:tcPr>
          <w:p w:rsidR="00DA4546" w:rsidRPr="00F502C3" w:rsidRDefault="00DA4546" w:rsidP="00DD4D31">
            <w:pPr>
              <w:jc w:val="both"/>
              <w:rPr>
                <w:rFonts w:ascii="Times New Roman" w:hAnsi="Times New Roman" w:cs="Times New Roman"/>
                <w:b/>
                <w:bCs/>
              </w:rPr>
            </w:pPr>
            <w:r w:rsidRPr="00F502C3">
              <w:rPr>
                <w:rFonts w:ascii="Times New Roman" w:hAnsi="Times New Roman" w:cs="Times New Roman"/>
                <w:b/>
                <w:bCs/>
              </w:rPr>
              <w:t xml:space="preserve">Name of Bank Ltd. </w:t>
            </w:r>
          </w:p>
        </w:tc>
        <w:tc>
          <w:tcPr>
            <w:tcW w:w="1162" w:type="dxa"/>
            <w:noWrap/>
            <w:hideMark/>
          </w:tcPr>
          <w:p w:rsidR="00DA4546" w:rsidRPr="00F502C3" w:rsidRDefault="00DA4546" w:rsidP="00DD4D31">
            <w:pPr>
              <w:jc w:val="both"/>
              <w:rPr>
                <w:rFonts w:ascii="Times New Roman" w:hAnsi="Times New Roman" w:cs="Times New Roman"/>
                <w:b/>
                <w:bCs/>
              </w:rPr>
            </w:pPr>
            <w:r w:rsidRPr="00F502C3">
              <w:rPr>
                <w:rFonts w:ascii="Times New Roman" w:hAnsi="Times New Roman" w:cs="Times New Roman"/>
                <w:b/>
                <w:bCs/>
              </w:rPr>
              <w:t>ROI</w:t>
            </w:r>
          </w:p>
        </w:tc>
        <w:tc>
          <w:tcPr>
            <w:tcW w:w="1162" w:type="dxa"/>
            <w:noWrap/>
            <w:hideMark/>
          </w:tcPr>
          <w:p w:rsidR="00DA4546" w:rsidRPr="00F502C3" w:rsidRDefault="00DA4546" w:rsidP="00DD4D31">
            <w:pPr>
              <w:jc w:val="both"/>
              <w:rPr>
                <w:rFonts w:ascii="Times New Roman" w:hAnsi="Times New Roman" w:cs="Times New Roman"/>
                <w:b/>
                <w:bCs/>
              </w:rPr>
            </w:pPr>
            <w:r w:rsidRPr="00F502C3">
              <w:rPr>
                <w:rFonts w:ascii="Times New Roman" w:hAnsi="Times New Roman" w:cs="Times New Roman"/>
                <w:b/>
                <w:bCs/>
              </w:rPr>
              <w:t>ROE</w:t>
            </w:r>
          </w:p>
        </w:tc>
        <w:tc>
          <w:tcPr>
            <w:tcW w:w="1162" w:type="dxa"/>
            <w:noWrap/>
            <w:hideMark/>
          </w:tcPr>
          <w:p w:rsidR="00DA4546" w:rsidRPr="00F502C3" w:rsidRDefault="00DA4546" w:rsidP="00DD4D31">
            <w:pPr>
              <w:jc w:val="both"/>
              <w:rPr>
                <w:rFonts w:ascii="Times New Roman" w:hAnsi="Times New Roman" w:cs="Times New Roman"/>
                <w:b/>
                <w:bCs/>
              </w:rPr>
            </w:pPr>
            <w:r w:rsidRPr="00F502C3">
              <w:rPr>
                <w:rFonts w:ascii="Times New Roman" w:hAnsi="Times New Roman" w:cs="Times New Roman"/>
                <w:b/>
                <w:bCs/>
              </w:rPr>
              <w:t>ROA</w:t>
            </w:r>
          </w:p>
        </w:tc>
        <w:tc>
          <w:tcPr>
            <w:tcW w:w="1162" w:type="dxa"/>
            <w:noWrap/>
            <w:hideMark/>
          </w:tcPr>
          <w:p w:rsidR="00DA4546" w:rsidRPr="00F502C3" w:rsidRDefault="00DA4546" w:rsidP="00DD4D31">
            <w:pPr>
              <w:jc w:val="both"/>
              <w:rPr>
                <w:rFonts w:ascii="Times New Roman" w:hAnsi="Times New Roman" w:cs="Times New Roman"/>
                <w:b/>
                <w:bCs/>
              </w:rPr>
            </w:pPr>
            <w:r w:rsidRPr="00F502C3">
              <w:rPr>
                <w:rFonts w:ascii="Times New Roman" w:hAnsi="Times New Roman" w:cs="Times New Roman"/>
                <w:b/>
                <w:bCs/>
              </w:rPr>
              <w:t>EPS</w:t>
            </w:r>
          </w:p>
        </w:tc>
        <w:tc>
          <w:tcPr>
            <w:tcW w:w="1162" w:type="dxa"/>
            <w:noWrap/>
            <w:hideMark/>
          </w:tcPr>
          <w:p w:rsidR="00DA4546" w:rsidRPr="00F502C3" w:rsidRDefault="00DA4546" w:rsidP="00DD4D31">
            <w:pPr>
              <w:jc w:val="both"/>
              <w:rPr>
                <w:rFonts w:ascii="Times New Roman" w:hAnsi="Times New Roman" w:cs="Times New Roman"/>
                <w:b/>
                <w:bCs/>
              </w:rPr>
            </w:pPr>
            <w:r w:rsidRPr="00F502C3">
              <w:rPr>
                <w:rFonts w:ascii="Times New Roman" w:hAnsi="Times New Roman" w:cs="Times New Roman"/>
                <w:b/>
                <w:bCs/>
              </w:rPr>
              <w:t>ROCE</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2018</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4.79%</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10.46%</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0.73%</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2.35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2.89%</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 Bank</w:t>
            </w:r>
            <w:r w:rsidR="00DA4546" w:rsidRPr="00F502C3">
              <w:rPr>
                <w:rFonts w:ascii="Times New Roman" w:hAnsi="Times New Roman" w:cs="Times New Roman"/>
              </w:rPr>
              <w:t xml:space="preserve"> 2017</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4.10%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14.07%</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0.99%</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3.15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2.65%</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Al-ARAFH</w:t>
            </w:r>
            <w:r w:rsidR="00DA4546" w:rsidRPr="00F502C3">
              <w:rPr>
                <w:rFonts w:ascii="Times New Roman" w:hAnsi="Times New Roman" w:cs="Times New Roman"/>
              </w:rPr>
              <w:t xml:space="preserve"> Bank 2016</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4.54%</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15.70%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1.23%</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3.07</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1.76%</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2015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4.66%</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12.82%</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1.08%</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2.25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1.56%</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2014</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4.50%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12.80%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1.10%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2.2</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2.88%</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2013</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2.77%</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14.15%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1.20%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2.46</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3.02%</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2012</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1.63%</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13.51%</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1.30%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2.3</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3.33%</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2011</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0.95%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18.34%</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2.06%</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3.73</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2.80%</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2010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1.14%</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20.01%</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2.65%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4.14</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2.44%</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2009</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1.68%</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24.10%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1.77%</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w:t>
            </w:r>
            <w:r w:rsidR="00CC13BE">
              <w:rPr>
                <w:rFonts w:ascii="Times New Roman" w:hAnsi="Times New Roman" w:cs="Times New Roman"/>
              </w:rPr>
              <w:t>.00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1.98%</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 Bank</w:t>
            </w:r>
            <w:r w:rsidR="00DA4546" w:rsidRPr="00F502C3">
              <w:rPr>
                <w:rFonts w:ascii="Times New Roman" w:hAnsi="Times New Roman" w:cs="Times New Roman"/>
              </w:rPr>
              <w:t xml:space="preserve"> 2008</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2.75%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24.70%</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1.71%</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48.29</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2.33%</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2007</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3.72%</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17.05%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1.15%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25.1</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3.87%</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2006</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3.68%</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27.81%</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2.15%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55.02</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3.45%</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w:t>
            </w:r>
            <w:r w:rsidR="00DA4546" w:rsidRPr="00F502C3">
              <w:rPr>
                <w:rFonts w:ascii="Times New Roman" w:hAnsi="Times New Roman" w:cs="Times New Roman"/>
              </w:rPr>
              <w:t xml:space="preserve"> Bank 2005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5.85%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21.55%</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1.71%</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38.78</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3.65%</w:t>
            </w:r>
          </w:p>
        </w:tc>
      </w:tr>
      <w:tr w:rsidR="00DA4546" w:rsidRPr="00F502C3" w:rsidTr="00247E8C">
        <w:trPr>
          <w:trHeight w:val="376"/>
        </w:trPr>
        <w:tc>
          <w:tcPr>
            <w:tcW w:w="3604" w:type="dxa"/>
            <w:noWrap/>
            <w:hideMark/>
          </w:tcPr>
          <w:p w:rsidR="00DA4546" w:rsidRPr="00F502C3" w:rsidRDefault="00EB32A9" w:rsidP="00DD4D31">
            <w:pPr>
              <w:jc w:val="both"/>
              <w:rPr>
                <w:rFonts w:ascii="Times New Roman" w:hAnsi="Times New Roman" w:cs="Times New Roman"/>
              </w:rPr>
            </w:pPr>
            <w:r>
              <w:rPr>
                <w:rFonts w:ascii="Times New Roman" w:hAnsi="Times New Roman" w:cs="Times New Roman"/>
              </w:rPr>
              <w:t>Al-ARAFAH Ban</w:t>
            </w:r>
            <w:r w:rsidR="00DA4546" w:rsidRPr="00F502C3">
              <w:rPr>
                <w:rFonts w:ascii="Times New Roman" w:hAnsi="Times New Roman" w:cs="Times New Roman"/>
              </w:rPr>
              <w:t>k 2004</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11.09%</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16.17%</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2.41%</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26.36</w:t>
            </w:r>
          </w:p>
        </w:tc>
        <w:tc>
          <w:tcPr>
            <w:tcW w:w="1162" w:type="dxa"/>
            <w:noWrap/>
            <w:hideMark/>
          </w:tcPr>
          <w:p w:rsidR="00DA4546" w:rsidRPr="00F502C3" w:rsidRDefault="00DA4546" w:rsidP="00DD4D31">
            <w:pPr>
              <w:jc w:val="both"/>
              <w:rPr>
                <w:rFonts w:ascii="Times New Roman" w:hAnsi="Times New Roman" w:cs="Times New Roman"/>
              </w:rPr>
            </w:pPr>
            <w:r w:rsidRPr="00F502C3">
              <w:rPr>
                <w:rFonts w:ascii="Times New Roman" w:hAnsi="Times New Roman" w:cs="Times New Roman"/>
              </w:rPr>
              <w:t>3.09%</w:t>
            </w:r>
          </w:p>
        </w:tc>
      </w:tr>
    </w:tbl>
    <w:p w:rsidR="00EB32A9" w:rsidRDefault="00EB32A9" w:rsidP="00DD4D31">
      <w:pPr>
        <w:jc w:val="both"/>
        <w:rPr>
          <w:rFonts w:ascii="Times New Roman" w:hAnsi="Times New Roman" w:cs="Times New Roman"/>
          <w:noProof/>
        </w:rPr>
      </w:pPr>
    </w:p>
    <w:p w:rsidR="00A17F36" w:rsidRPr="00F502C3" w:rsidRDefault="00EB32A9" w:rsidP="00DD4D31">
      <w:pPr>
        <w:jc w:val="both"/>
        <w:rPr>
          <w:rFonts w:ascii="Times New Roman" w:hAnsi="Times New Roman" w:cs="Times New Roman"/>
          <w:noProof/>
        </w:rPr>
      </w:pPr>
      <w:r>
        <w:rPr>
          <w:noProof/>
        </w:rPr>
        <w:drawing>
          <wp:inline distT="0" distB="0" distL="0" distR="0" wp14:anchorId="3C298BA9" wp14:editId="20DFA5DE">
            <wp:extent cx="5497033" cy="3242931"/>
            <wp:effectExtent l="0" t="0" r="889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005D3" w:rsidRDefault="00C005D3" w:rsidP="00DD4D31">
      <w:pPr>
        <w:jc w:val="both"/>
        <w:rPr>
          <w:rFonts w:ascii="Times New Roman" w:hAnsi="Times New Roman" w:cs="Times New Roman"/>
          <w:b/>
        </w:rPr>
      </w:pPr>
    </w:p>
    <w:p w:rsidR="00B75790" w:rsidRPr="00605206" w:rsidRDefault="00247E8C" w:rsidP="00DD4D31">
      <w:pPr>
        <w:jc w:val="both"/>
        <w:rPr>
          <w:rFonts w:ascii="Times New Roman" w:hAnsi="Times New Roman" w:cs="Times New Roman"/>
          <w:sz w:val="24"/>
          <w:szCs w:val="24"/>
        </w:rPr>
      </w:pPr>
      <w:r>
        <w:rPr>
          <w:rFonts w:ascii="Times New Roman" w:hAnsi="Times New Roman" w:cs="Times New Roman"/>
          <w:sz w:val="24"/>
          <w:szCs w:val="24"/>
        </w:rPr>
        <w:t>In</w:t>
      </w:r>
      <w:r w:rsidR="00B75790" w:rsidRPr="00605206">
        <w:rPr>
          <w:rFonts w:ascii="Times New Roman" w:hAnsi="Times New Roman" w:cs="Times New Roman"/>
          <w:b/>
          <w:sz w:val="24"/>
          <w:szCs w:val="24"/>
        </w:rPr>
        <w:t xml:space="preserve"> </w:t>
      </w:r>
      <w:r w:rsidR="00B75790" w:rsidRPr="00605206">
        <w:rPr>
          <w:rFonts w:ascii="Times New Roman" w:hAnsi="Times New Roman" w:cs="Times New Roman"/>
          <w:sz w:val="24"/>
          <w:szCs w:val="24"/>
        </w:rPr>
        <w:t xml:space="preserve">the figure ROI of Al- </w:t>
      </w:r>
      <w:proofErr w:type="spellStart"/>
      <w:r w:rsidR="00B75790" w:rsidRPr="00605206">
        <w:rPr>
          <w:rFonts w:ascii="Times New Roman" w:hAnsi="Times New Roman" w:cs="Times New Roman"/>
          <w:sz w:val="24"/>
          <w:szCs w:val="24"/>
        </w:rPr>
        <w:t>Arafah</w:t>
      </w:r>
      <w:proofErr w:type="spellEnd"/>
      <w:r w:rsidR="00B75790" w:rsidRPr="00605206">
        <w:rPr>
          <w:rFonts w:ascii="Times New Roman" w:hAnsi="Times New Roman" w:cs="Times New Roman"/>
          <w:sz w:val="24"/>
          <w:szCs w:val="24"/>
        </w:rPr>
        <w:t xml:space="preserve"> Bank was highest in 2004 after that ROI was not increasing. Their invest return was not good. IN 2011 it was </w:t>
      </w:r>
      <w:r w:rsidR="00605206" w:rsidRPr="00605206">
        <w:rPr>
          <w:rFonts w:ascii="Times New Roman" w:hAnsi="Times New Roman" w:cs="Times New Roman"/>
          <w:sz w:val="24"/>
          <w:szCs w:val="24"/>
        </w:rPr>
        <w:t>0.95% that was so bad for company. Because of investor want</w:t>
      </w:r>
      <w:r w:rsidR="00605206">
        <w:rPr>
          <w:rFonts w:ascii="Times New Roman" w:hAnsi="Times New Roman" w:cs="Times New Roman"/>
          <w:sz w:val="24"/>
          <w:szCs w:val="24"/>
        </w:rPr>
        <w:t>s</w:t>
      </w:r>
      <w:r w:rsidR="00605206" w:rsidRPr="00605206">
        <w:rPr>
          <w:rFonts w:ascii="Times New Roman" w:hAnsi="Times New Roman" w:cs="Times New Roman"/>
          <w:sz w:val="24"/>
          <w:szCs w:val="24"/>
        </w:rPr>
        <w:t xml:space="preserve"> higher return.</w:t>
      </w:r>
      <w:r w:rsidR="00605206">
        <w:rPr>
          <w:rFonts w:ascii="Times New Roman" w:hAnsi="Times New Roman" w:cs="Times New Roman"/>
          <w:sz w:val="24"/>
          <w:szCs w:val="24"/>
        </w:rPr>
        <w:t xml:space="preserve"> ROE </w:t>
      </w:r>
      <w:r w:rsidR="00066152">
        <w:rPr>
          <w:rFonts w:ascii="Times New Roman" w:hAnsi="Times New Roman" w:cs="Times New Roman"/>
          <w:sz w:val="24"/>
          <w:szCs w:val="24"/>
        </w:rPr>
        <w:t>is</w:t>
      </w:r>
      <w:r w:rsidR="00605206">
        <w:rPr>
          <w:rFonts w:ascii="Times New Roman" w:hAnsi="Times New Roman" w:cs="Times New Roman"/>
          <w:sz w:val="24"/>
          <w:szCs w:val="24"/>
        </w:rPr>
        <w:t xml:space="preserve"> always good. But in 2018 was fallen comparatively others year. In 2006 their highest ROE was 27.81%.</w:t>
      </w:r>
      <w:r w:rsidR="00CC13BE">
        <w:rPr>
          <w:rFonts w:ascii="Times New Roman" w:hAnsi="Times New Roman" w:cs="Times New Roman"/>
          <w:sz w:val="24"/>
          <w:szCs w:val="24"/>
        </w:rPr>
        <w:t xml:space="preserve"> That’s why if we see the chart, ROE draw upper but at a certain year it was fallen down move. ROA was average. In 2005 it was 2.65% and in 2018 it was 0.73% that explains their asset did not profit</w:t>
      </w:r>
      <w:r w:rsidR="00052B4F">
        <w:rPr>
          <w:rFonts w:ascii="Times New Roman" w:hAnsi="Times New Roman" w:cs="Times New Roman"/>
          <w:sz w:val="24"/>
          <w:szCs w:val="24"/>
        </w:rPr>
        <w:t xml:space="preserve"> generates</w:t>
      </w:r>
      <w:r w:rsidR="00CC13BE">
        <w:rPr>
          <w:rFonts w:ascii="Times New Roman" w:hAnsi="Times New Roman" w:cs="Times New Roman"/>
          <w:sz w:val="24"/>
          <w:szCs w:val="24"/>
        </w:rPr>
        <w:t xml:space="preserve"> </w:t>
      </w:r>
      <w:r w:rsidR="00052B4F">
        <w:rPr>
          <w:rFonts w:ascii="Times New Roman" w:hAnsi="Times New Roman" w:cs="Times New Roman"/>
          <w:sz w:val="24"/>
          <w:szCs w:val="24"/>
        </w:rPr>
        <w:t>properly. Their</w:t>
      </w:r>
      <w:r w:rsidR="00CC13BE">
        <w:rPr>
          <w:rFonts w:ascii="Times New Roman" w:hAnsi="Times New Roman" w:cs="Times New Roman"/>
          <w:sz w:val="24"/>
          <w:szCs w:val="24"/>
        </w:rPr>
        <w:t xml:space="preserve"> </w:t>
      </w:r>
      <w:r w:rsidR="00052B4F">
        <w:rPr>
          <w:rFonts w:ascii="Times New Roman" w:hAnsi="Times New Roman" w:cs="Times New Roman"/>
          <w:sz w:val="24"/>
          <w:szCs w:val="24"/>
        </w:rPr>
        <w:t xml:space="preserve">ROCE was average. In 2007 it was 3.87% but in 2018 it was 2.89%. In chart its upper move. Higher ROCE means company </w:t>
      </w:r>
      <w:r w:rsidR="00161EED">
        <w:rPr>
          <w:rFonts w:ascii="Times New Roman" w:hAnsi="Times New Roman" w:cs="Times New Roman"/>
          <w:sz w:val="24"/>
          <w:szCs w:val="24"/>
        </w:rPr>
        <w:t>used it capital to generate profit. In 2006 EPS was highest 55.02 TK</w:t>
      </w:r>
      <w:r w:rsidR="00052B4F">
        <w:rPr>
          <w:rFonts w:ascii="Times New Roman" w:hAnsi="Times New Roman" w:cs="Times New Roman"/>
          <w:sz w:val="24"/>
          <w:szCs w:val="24"/>
        </w:rPr>
        <w:t xml:space="preserve"> </w:t>
      </w:r>
      <w:r w:rsidR="00161EED">
        <w:rPr>
          <w:rFonts w:ascii="Times New Roman" w:hAnsi="Times New Roman" w:cs="Times New Roman"/>
          <w:sz w:val="24"/>
          <w:szCs w:val="24"/>
        </w:rPr>
        <w:t xml:space="preserve">that means company earn profit comparatively others year.   </w:t>
      </w:r>
      <w:r w:rsidR="00052B4F">
        <w:rPr>
          <w:rFonts w:ascii="Times New Roman" w:hAnsi="Times New Roman" w:cs="Times New Roman"/>
          <w:sz w:val="24"/>
          <w:szCs w:val="24"/>
        </w:rPr>
        <w:t xml:space="preserve"> </w:t>
      </w:r>
    </w:p>
    <w:p w:rsidR="00C005D3" w:rsidRDefault="00C005D3"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A17F36" w:rsidRPr="00F502C3" w:rsidRDefault="00AC16C7" w:rsidP="00247E8C">
      <w:pPr>
        <w:jc w:val="center"/>
        <w:rPr>
          <w:rFonts w:ascii="Times New Roman" w:hAnsi="Times New Roman" w:cs="Times New Roman"/>
          <w:b/>
        </w:rPr>
      </w:pPr>
      <w:r w:rsidRPr="00F502C3">
        <w:rPr>
          <w:rFonts w:ascii="Times New Roman" w:hAnsi="Times New Roman" w:cs="Times New Roman"/>
          <w:b/>
        </w:rPr>
        <w:t>BRAC</w:t>
      </w:r>
      <w:r w:rsidR="003660B3" w:rsidRPr="00F502C3">
        <w:rPr>
          <w:rFonts w:ascii="Times New Roman" w:hAnsi="Times New Roman" w:cs="Times New Roman"/>
          <w:b/>
        </w:rPr>
        <w:t xml:space="preserve"> </w:t>
      </w:r>
      <w:r w:rsidR="006325D4" w:rsidRPr="00F502C3">
        <w:rPr>
          <w:rFonts w:ascii="Times New Roman" w:hAnsi="Times New Roman" w:cs="Times New Roman"/>
          <w:b/>
        </w:rPr>
        <w:t>BANK</w:t>
      </w:r>
      <w:r w:rsidR="00C005D3">
        <w:rPr>
          <w:rFonts w:ascii="Times New Roman" w:hAnsi="Times New Roman" w:cs="Times New Roman"/>
          <w:b/>
        </w:rPr>
        <w:t xml:space="preserve"> Ltd</w:t>
      </w:r>
    </w:p>
    <w:tbl>
      <w:tblPr>
        <w:tblStyle w:val="TableGrid"/>
        <w:tblW w:w="0" w:type="auto"/>
        <w:tblLook w:val="04A0" w:firstRow="1" w:lastRow="0" w:firstColumn="1" w:lastColumn="0" w:noHBand="0" w:noVBand="1"/>
      </w:tblPr>
      <w:tblGrid>
        <w:gridCol w:w="3443"/>
        <w:gridCol w:w="1109"/>
        <w:gridCol w:w="1109"/>
        <w:gridCol w:w="1109"/>
        <w:gridCol w:w="1109"/>
        <w:gridCol w:w="1109"/>
      </w:tblGrid>
      <w:tr w:rsidR="00E96FD9" w:rsidRPr="00F502C3" w:rsidTr="00247E8C">
        <w:trPr>
          <w:trHeight w:val="464"/>
        </w:trPr>
        <w:tc>
          <w:tcPr>
            <w:tcW w:w="3443" w:type="dxa"/>
            <w:noWrap/>
            <w:hideMark/>
          </w:tcPr>
          <w:p w:rsidR="00E96FD9" w:rsidRPr="00F502C3" w:rsidRDefault="00E96FD9" w:rsidP="00DD4D31">
            <w:pPr>
              <w:jc w:val="both"/>
              <w:rPr>
                <w:rFonts w:ascii="Times New Roman" w:hAnsi="Times New Roman" w:cs="Times New Roman"/>
                <w:b/>
                <w:bCs/>
              </w:rPr>
            </w:pPr>
            <w:r w:rsidRPr="00F502C3">
              <w:rPr>
                <w:rFonts w:ascii="Times New Roman" w:hAnsi="Times New Roman" w:cs="Times New Roman"/>
                <w:b/>
                <w:bCs/>
              </w:rPr>
              <w:t xml:space="preserve">Name of Bank Ltd. </w:t>
            </w:r>
          </w:p>
        </w:tc>
        <w:tc>
          <w:tcPr>
            <w:tcW w:w="1109" w:type="dxa"/>
            <w:noWrap/>
            <w:hideMark/>
          </w:tcPr>
          <w:p w:rsidR="00E96FD9" w:rsidRPr="00F502C3" w:rsidRDefault="00E96FD9" w:rsidP="00DD4D31">
            <w:pPr>
              <w:jc w:val="both"/>
              <w:rPr>
                <w:rFonts w:ascii="Times New Roman" w:hAnsi="Times New Roman" w:cs="Times New Roman"/>
                <w:b/>
                <w:bCs/>
              </w:rPr>
            </w:pPr>
            <w:r w:rsidRPr="00F502C3">
              <w:rPr>
                <w:rFonts w:ascii="Times New Roman" w:hAnsi="Times New Roman" w:cs="Times New Roman"/>
                <w:b/>
                <w:bCs/>
              </w:rPr>
              <w:t>ROI</w:t>
            </w:r>
          </w:p>
        </w:tc>
        <w:tc>
          <w:tcPr>
            <w:tcW w:w="1109" w:type="dxa"/>
            <w:noWrap/>
            <w:hideMark/>
          </w:tcPr>
          <w:p w:rsidR="00E96FD9" w:rsidRPr="00F502C3" w:rsidRDefault="00E96FD9" w:rsidP="00DD4D31">
            <w:pPr>
              <w:jc w:val="both"/>
              <w:rPr>
                <w:rFonts w:ascii="Times New Roman" w:hAnsi="Times New Roman" w:cs="Times New Roman"/>
                <w:b/>
                <w:bCs/>
              </w:rPr>
            </w:pPr>
            <w:r w:rsidRPr="00F502C3">
              <w:rPr>
                <w:rFonts w:ascii="Times New Roman" w:hAnsi="Times New Roman" w:cs="Times New Roman"/>
                <w:b/>
                <w:bCs/>
              </w:rPr>
              <w:t>ROE</w:t>
            </w:r>
          </w:p>
        </w:tc>
        <w:tc>
          <w:tcPr>
            <w:tcW w:w="1109" w:type="dxa"/>
            <w:noWrap/>
            <w:hideMark/>
          </w:tcPr>
          <w:p w:rsidR="00E96FD9" w:rsidRPr="00F502C3" w:rsidRDefault="00E96FD9" w:rsidP="00DD4D31">
            <w:pPr>
              <w:jc w:val="both"/>
              <w:rPr>
                <w:rFonts w:ascii="Times New Roman" w:hAnsi="Times New Roman" w:cs="Times New Roman"/>
                <w:b/>
                <w:bCs/>
              </w:rPr>
            </w:pPr>
            <w:r w:rsidRPr="00F502C3">
              <w:rPr>
                <w:rFonts w:ascii="Times New Roman" w:hAnsi="Times New Roman" w:cs="Times New Roman"/>
                <w:b/>
                <w:bCs/>
              </w:rPr>
              <w:t>ROA</w:t>
            </w:r>
          </w:p>
        </w:tc>
        <w:tc>
          <w:tcPr>
            <w:tcW w:w="1109" w:type="dxa"/>
            <w:noWrap/>
            <w:hideMark/>
          </w:tcPr>
          <w:p w:rsidR="00E96FD9" w:rsidRPr="00F502C3" w:rsidRDefault="00E96FD9" w:rsidP="00DD4D31">
            <w:pPr>
              <w:jc w:val="both"/>
              <w:rPr>
                <w:rFonts w:ascii="Times New Roman" w:hAnsi="Times New Roman" w:cs="Times New Roman"/>
                <w:b/>
                <w:bCs/>
              </w:rPr>
            </w:pPr>
            <w:r w:rsidRPr="00F502C3">
              <w:rPr>
                <w:rFonts w:ascii="Times New Roman" w:hAnsi="Times New Roman" w:cs="Times New Roman"/>
                <w:b/>
                <w:bCs/>
              </w:rPr>
              <w:t>EPS</w:t>
            </w:r>
          </w:p>
        </w:tc>
        <w:tc>
          <w:tcPr>
            <w:tcW w:w="1109" w:type="dxa"/>
            <w:noWrap/>
            <w:hideMark/>
          </w:tcPr>
          <w:p w:rsidR="00E96FD9" w:rsidRPr="00F502C3" w:rsidRDefault="00E96FD9" w:rsidP="00DD4D31">
            <w:pPr>
              <w:jc w:val="both"/>
              <w:rPr>
                <w:rFonts w:ascii="Times New Roman" w:hAnsi="Times New Roman" w:cs="Times New Roman"/>
                <w:b/>
                <w:bCs/>
              </w:rPr>
            </w:pPr>
            <w:r w:rsidRPr="00F502C3">
              <w:rPr>
                <w:rFonts w:ascii="Times New Roman" w:hAnsi="Times New Roman" w:cs="Times New Roman"/>
                <w:b/>
                <w:bCs/>
              </w:rPr>
              <w:t>ROCE</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2018</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9.00%</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19.25%</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1.87%</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5.17</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3.87%</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2017</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9.41%</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22.14%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2.02%</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4.91</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3.88%</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w:t>
            </w:r>
            <w:r w:rsidR="00066152" w:rsidRPr="00F502C3">
              <w:rPr>
                <w:rFonts w:ascii="Times New Roman" w:hAnsi="Times New Roman" w:cs="Times New Roman"/>
              </w:rPr>
              <w:t>Bank 2016</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9.20%</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22.16%</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1.89%</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5.23</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3.88%</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2015</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6.13%</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13.32%</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1.13%</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3.43</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2.98%</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2014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7.13%</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14.11%</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1.09%</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3.19</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2.90%</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2013</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1.51%</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11.46%</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0.72%</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2.81</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2.44%</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2012</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3.44%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5.47%</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0.35%</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1.14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1.22%</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2011</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11.41%</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17.90%</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1.36%</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4.29</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1.89%</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2010</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9.00%</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18.95%</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1.55%</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5.05</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3.66%</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2009</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12.30%</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19.19%</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1.56%</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3.94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2.34%</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2008</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12.61%</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22.88%</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1.64%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62.3</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3.90%</w:t>
            </w:r>
          </w:p>
        </w:tc>
      </w:tr>
      <w:tr w:rsidR="00E96FD9" w:rsidRPr="00F502C3" w:rsidTr="00247E8C">
        <w:trPr>
          <w:trHeight w:val="464"/>
        </w:trPr>
        <w:tc>
          <w:tcPr>
            <w:tcW w:w="3443" w:type="dxa"/>
            <w:noWrap/>
            <w:hideMark/>
          </w:tcPr>
          <w:p w:rsidR="00E96FD9" w:rsidRPr="00F502C3" w:rsidRDefault="00161EED" w:rsidP="00DD4D31">
            <w:pPr>
              <w:jc w:val="both"/>
              <w:rPr>
                <w:rFonts w:ascii="Times New Roman" w:hAnsi="Times New Roman" w:cs="Times New Roman"/>
              </w:rPr>
            </w:pPr>
            <w:r>
              <w:rPr>
                <w:rFonts w:ascii="Times New Roman" w:hAnsi="Times New Roman" w:cs="Times New Roman"/>
              </w:rPr>
              <w:t>BRA</w:t>
            </w:r>
            <w:r w:rsidR="00F12633">
              <w:rPr>
                <w:rFonts w:ascii="Times New Roman" w:hAnsi="Times New Roman" w:cs="Times New Roman"/>
              </w:rPr>
              <w:t>C</w:t>
            </w:r>
            <w:r w:rsidR="00E96FD9" w:rsidRPr="00F502C3">
              <w:rPr>
                <w:rFonts w:ascii="Times New Roman" w:hAnsi="Times New Roman" w:cs="Times New Roman"/>
              </w:rPr>
              <w:t xml:space="preserve"> Bank 2007</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11.64%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23.83%</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1.62%</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42.29</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2.67%</w:t>
            </w:r>
          </w:p>
        </w:tc>
      </w:tr>
      <w:tr w:rsidR="00E96FD9" w:rsidRPr="00F502C3" w:rsidTr="00247E8C">
        <w:trPr>
          <w:trHeight w:val="464"/>
        </w:trPr>
        <w:tc>
          <w:tcPr>
            <w:tcW w:w="3443" w:type="dxa"/>
            <w:noWrap/>
            <w:hideMark/>
          </w:tcPr>
          <w:p w:rsidR="00E96FD9" w:rsidRPr="00F502C3" w:rsidRDefault="00F12633"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2006</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9.69%</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23.05%</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1.43%</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29.38</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2.33%</w:t>
            </w:r>
          </w:p>
        </w:tc>
      </w:tr>
      <w:tr w:rsidR="00E96FD9" w:rsidRPr="00F502C3" w:rsidTr="00247E8C">
        <w:trPr>
          <w:trHeight w:val="464"/>
        </w:trPr>
        <w:tc>
          <w:tcPr>
            <w:tcW w:w="3443" w:type="dxa"/>
            <w:noWrap/>
            <w:hideMark/>
          </w:tcPr>
          <w:p w:rsidR="00E96FD9" w:rsidRPr="00F502C3" w:rsidRDefault="00F12633"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2005</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8.54%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28.06%</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1.43%</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38.54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3.78%</w:t>
            </w:r>
          </w:p>
        </w:tc>
      </w:tr>
      <w:tr w:rsidR="00E96FD9" w:rsidRPr="00F502C3" w:rsidTr="00247E8C">
        <w:trPr>
          <w:trHeight w:val="464"/>
        </w:trPr>
        <w:tc>
          <w:tcPr>
            <w:tcW w:w="3443" w:type="dxa"/>
            <w:noWrap/>
            <w:hideMark/>
          </w:tcPr>
          <w:p w:rsidR="00E96FD9" w:rsidRPr="00F502C3" w:rsidRDefault="00F12633" w:rsidP="00DD4D31">
            <w:pPr>
              <w:jc w:val="both"/>
              <w:rPr>
                <w:rFonts w:ascii="Times New Roman" w:hAnsi="Times New Roman" w:cs="Times New Roman"/>
              </w:rPr>
            </w:pPr>
            <w:r>
              <w:rPr>
                <w:rFonts w:ascii="Times New Roman" w:hAnsi="Times New Roman" w:cs="Times New Roman"/>
              </w:rPr>
              <w:t>BRAC</w:t>
            </w:r>
            <w:r w:rsidR="00E96FD9" w:rsidRPr="00F502C3">
              <w:rPr>
                <w:rFonts w:ascii="Times New Roman" w:hAnsi="Times New Roman" w:cs="Times New Roman"/>
              </w:rPr>
              <w:t xml:space="preserve"> Bank 2004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8.57%</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20.14%</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1.36%</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23.16</w:t>
            </w:r>
          </w:p>
        </w:tc>
        <w:tc>
          <w:tcPr>
            <w:tcW w:w="1109" w:type="dxa"/>
            <w:noWrap/>
            <w:hideMark/>
          </w:tcPr>
          <w:p w:rsidR="00E96FD9" w:rsidRPr="00F502C3" w:rsidRDefault="00E96FD9" w:rsidP="00DD4D31">
            <w:pPr>
              <w:jc w:val="both"/>
              <w:rPr>
                <w:rFonts w:ascii="Times New Roman" w:hAnsi="Times New Roman" w:cs="Times New Roman"/>
              </w:rPr>
            </w:pPr>
            <w:r w:rsidRPr="00F502C3">
              <w:rPr>
                <w:rFonts w:ascii="Times New Roman" w:hAnsi="Times New Roman" w:cs="Times New Roman"/>
              </w:rPr>
              <w:t>3.67%</w:t>
            </w:r>
          </w:p>
        </w:tc>
      </w:tr>
    </w:tbl>
    <w:p w:rsidR="00A17F36" w:rsidRPr="00F502C3" w:rsidRDefault="00A17F36" w:rsidP="00DD4D31">
      <w:pPr>
        <w:jc w:val="both"/>
        <w:rPr>
          <w:rFonts w:ascii="Times New Roman" w:hAnsi="Times New Roman" w:cs="Times New Roman"/>
        </w:rPr>
      </w:pPr>
    </w:p>
    <w:p w:rsidR="006E22C5" w:rsidRPr="00F502C3" w:rsidRDefault="00A17F36" w:rsidP="00DD4D31">
      <w:pPr>
        <w:jc w:val="both"/>
        <w:rPr>
          <w:rFonts w:ascii="Times New Roman" w:hAnsi="Times New Roman" w:cs="Times New Roman"/>
        </w:rPr>
      </w:pPr>
      <w:r w:rsidRPr="00F502C3">
        <w:rPr>
          <w:rFonts w:ascii="Times New Roman" w:hAnsi="Times New Roman" w:cs="Times New Roman"/>
        </w:rPr>
        <w:t xml:space="preserve">  </w:t>
      </w:r>
    </w:p>
    <w:p w:rsidR="006E22C5" w:rsidRPr="00F502C3" w:rsidRDefault="006E22C5" w:rsidP="00DD4D31">
      <w:pPr>
        <w:jc w:val="both"/>
        <w:rPr>
          <w:rFonts w:ascii="Times New Roman" w:hAnsi="Times New Roman" w:cs="Times New Roman"/>
        </w:rPr>
      </w:pPr>
    </w:p>
    <w:p w:rsidR="009F5391" w:rsidRPr="00F502C3" w:rsidRDefault="00F12633" w:rsidP="00DD4D31">
      <w:pPr>
        <w:pStyle w:val="NormalWeb"/>
        <w:spacing w:line="360" w:lineRule="auto"/>
        <w:jc w:val="both"/>
      </w:pPr>
      <w:r>
        <w:rPr>
          <w:noProof/>
        </w:rPr>
        <w:drawing>
          <wp:inline distT="0" distB="0" distL="0" distR="0" wp14:anchorId="345759D2" wp14:editId="0A343394">
            <wp:extent cx="5263116" cy="2690037"/>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005D3" w:rsidRPr="00971245" w:rsidRDefault="00F12633" w:rsidP="0017459C">
      <w:pPr>
        <w:spacing w:line="360" w:lineRule="auto"/>
        <w:jc w:val="both"/>
        <w:rPr>
          <w:rFonts w:ascii="Times New Roman" w:hAnsi="Times New Roman" w:cs="Times New Roman"/>
          <w:b/>
          <w:sz w:val="24"/>
          <w:szCs w:val="24"/>
        </w:rPr>
      </w:pPr>
      <w:r w:rsidRPr="00971245">
        <w:rPr>
          <w:rFonts w:ascii="Times New Roman" w:hAnsi="Times New Roman" w:cs="Times New Roman"/>
          <w:sz w:val="24"/>
          <w:szCs w:val="24"/>
        </w:rPr>
        <w:t xml:space="preserve">In 2008 Return </w:t>
      </w:r>
      <w:r w:rsidR="00796608" w:rsidRPr="00971245">
        <w:rPr>
          <w:rFonts w:ascii="Times New Roman" w:hAnsi="Times New Roman" w:cs="Times New Roman"/>
          <w:sz w:val="24"/>
          <w:szCs w:val="24"/>
        </w:rPr>
        <w:t xml:space="preserve">on Investment was highest ratio 12.61% and in 2013 it was 1.51%. In the chart we see that ROI fallen and in a certain time it was increasing and </w:t>
      </w:r>
      <w:r w:rsidR="0008728D" w:rsidRPr="00971245">
        <w:rPr>
          <w:rFonts w:ascii="Times New Roman" w:hAnsi="Times New Roman" w:cs="Times New Roman"/>
          <w:sz w:val="24"/>
          <w:szCs w:val="24"/>
        </w:rPr>
        <w:t>it’s</w:t>
      </w:r>
      <w:r w:rsidR="00796608" w:rsidRPr="00971245">
        <w:rPr>
          <w:rFonts w:ascii="Times New Roman" w:hAnsi="Times New Roman" w:cs="Times New Roman"/>
          <w:sz w:val="24"/>
          <w:szCs w:val="24"/>
        </w:rPr>
        <w:t xml:space="preserve"> going upper level. Return on equity highest in 2005 but lowest in 2012. And chart show</w:t>
      </w:r>
      <w:r w:rsidR="0008728D" w:rsidRPr="00971245">
        <w:rPr>
          <w:rFonts w:ascii="Times New Roman" w:hAnsi="Times New Roman" w:cs="Times New Roman"/>
          <w:sz w:val="24"/>
          <w:szCs w:val="24"/>
        </w:rPr>
        <w:t xml:space="preserve"> ROE</w:t>
      </w:r>
      <w:r w:rsidR="00796608" w:rsidRPr="00971245">
        <w:rPr>
          <w:rFonts w:ascii="Times New Roman" w:hAnsi="Times New Roman" w:cs="Times New Roman"/>
          <w:sz w:val="24"/>
          <w:szCs w:val="24"/>
        </w:rPr>
        <w:t xml:space="preserve"> </w:t>
      </w:r>
      <w:r w:rsidR="0008728D" w:rsidRPr="00971245">
        <w:rPr>
          <w:rFonts w:ascii="Times New Roman" w:hAnsi="Times New Roman" w:cs="Times New Roman"/>
          <w:sz w:val="24"/>
          <w:szCs w:val="24"/>
        </w:rPr>
        <w:t>upper move at a time it was decreasing but comparatively 20</w:t>
      </w:r>
      <w:r w:rsidR="00971245" w:rsidRPr="00971245">
        <w:rPr>
          <w:rFonts w:ascii="Times New Roman" w:hAnsi="Times New Roman" w:cs="Times New Roman"/>
          <w:sz w:val="24"/>
          <w:szCs w:val="24"/>
        </w:rPr>
        <w:t>04 and 2018 not fall</w:t>
      </w:r>
      <w:r w:rsidR="0008728D" w:rsidRPr="00971245">
        <w:rPr>
          <w:rFonts w:ascii="Times New Roman" w:hAnsi="Times New Roman" w:cs="Times New Roman"/>
          <w:sz w:val="24"/>
          <w:szCs w:val="24"/>
        </w:rPr>
        <w:t xml:space="preserve"> situation. </w:t>
      </w:r>
      <w:r w:rsidR="00971245" w:rsidRPr="00971245">
        <w:rPr>
          <w:rFonts w:ascii="Times New Roman" w:hAnsi="Times New Roman" w:cs="Times New Roman"/>
          <w:sz w:val="24"/>
          <w:szCs w:val="24"/>
        </w:rPr>
        <w:t xml:space="preserve">ROA in 2012 was lowest ratio 0.35% that was not good for company. ROA explain how efficiently asset generates profit. But BRAC Bank ROA was not good. And in the </w:t>
      </w:r>
      <w:r w:rsidR="00066152" w:rsidRPr="00971245">
        <w:rPr>
          <w:rFonts w:ascii="Times New Roman" w:hAnsi="Times New Roman" w:cs="Times New Roman"/>
          <w:sz w:val="24"/>
          <w:szCs w:val="24"/>
        </w:rPr>
        <w:t>chart,</w:t>
      </w:r>
      <w:r w:rsidR="00971245" w:rsidRPr="00971245">
        <w:rPr>
          <w:rFonts w:ascii="Times New Roman" w:hAnsi="Times New Roman" w:cs="Times New Roman"/>
          <w:sz w:val="24"/>
          <w:szCs w:val="24"/>
        </w:rPr>
        <w:t xml:space="preserve"> we see that ROA is not higher return on their economic life.</w:t>
      </w:r>
      <w:r w:rsidR="0008728D" w:rsidRPr="00971245">
        <w:rPr>
          <w:rFonts w:ascii="Times New Roman" w:hAnsi="Times New Roman" w:cs="Times New Roman"/>
          <w:sz w:val="24"/>
          <w:szCs w:val="24"/>
        </w:rPr>
        <w:t xml:space="preserve"> </w:t>
      </w:r>
      <w:r w:rsidR="00F17B4F">
        <w:rPr>
          <w:rFonts w:ascii="Times New Roman" w:hAnsi="Times New Roman" w:cs="Times New Roman"/>
          <w:sz w:val="24"/>
          <w:szCs w:val="24"/>
        </w:rPr>
        <w:t xml:space="preserve">ROCE was average on their company if we comparatively see before year. In 2017 and 2018 3.88% highest but in 2012 </w:t>
      </w:r>
      <w:r w:rsidR="00DD7F8C">
        <w:rPr>
          <w:rFonts w:ascii="Times New Roman" w:hAnsi="Times New Roman" w:cs="Times New Roman"/>
          <w:sz w:val="24"/>
          <w:szCs w:val="24"/>
        </w:rPr>
        <w:t xml:space="preserve">it was </w:t>
      </w:r>
      <w:r w:rsidR="00F17B4F">
        <w:rPr>
          <w:rFonts w:ascii="Times New Roman" w:hAnsi="Times New Roman" w:cs="Times New Roman"/>
          <w:sz w:val="24"/>
          <w:szCs w:val="24"/>
        </w:rPr>
        <w:t>1.22%.</w:t>
      </w:r>
      <w:r w:rsidR="00DD7F8C">
        <w:rPr>
          <w:rFonts w:ascii="Times New Roman" w:hAnsi="Times New Roman" w:cs="Times New Roman"/>
          <w:sz w:val="24"/>
          <w:szCs w:val="24"/>
        </w:rPr>
        <w:t xml:space="preserve"> EPS was not goof if we compare 2018 and before year. In 2008 it was 62 but 2018 it was 5.17 that means the company profit decreasing.</w:t>
      </w:r>
      <w:r w:rsidR="00F17B4F">
        <w:rPr>
          <w:rFonts w:ascii="Times New Roman" w:hAnsi="Times New Roman" w:cs="Times New Roman"/>
          <w:sz w:val="24"/>
          <w:szCs w:val="24"/>
        </w:rPr>
        <w:t xml:space="preserve">   </w:t>
      </w:r>
      <w:r w:rsidR="0008728D" w:rsidRPr="00971245">
        <w:rPr>
          <w:rFonts w:ascii="Times New Roman" w:hAnsi="Times New Roman" w:cs="Times New Roman"/>
          <w:sz w:val="24"/>
          <w:szCs w:val="24"/>
        </w:rPr>
        <w:t xml:space="preserve"> </w:t>
      </w: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C149FE" w:rsidRPr="00F502C3" w:rsidRDefault="006325D4" w:rsidP="00247E8C">
      <w:pPr>
        <w:jc w:val="center"/>
        <w:rPr>
          <w:rFonts w:ascii="Times New Roman" w:hAnsi="Times New Roman" w:cs="Times New Roman"/>
          <w:b/>
        </w:rPr>
      </w:pPr>
      <w:r w:rsidRPr="00F502C3">
        <w:rPr>
          <w:rFonts w:ascii="Times New Roman" w:hAnsi="Times New Roman" w:cs="Times New Roman"/>
          <w:b/>
        </w:rPr>
        <w:t>CITY</w:t>
      </w:r>
      <w:r w:rsidR="00C149FE" w:rsidRPr="00F502C3">
        <w:rPr>
          <w:rFonts w:ascii="Times New Roman" w:hAnsi="Times New Roman" w:cs="Times New Roman"/>
          <w:b/>
        </w:rPr>
        <w:t xml:space="preserve"> Bank</w:t>
      </w:r>
    </w:p>
    <w:tbl>
      <w:tblPr>
        <w:tblStyle w:val="TableGrid"/>
        <w:tblpPr w:leftFromText="180" w:rightFromText="180" w:vertAnchor="text" w:tblpY="1"/>
        <w:tblOverlap w:val="never"/>
        <w:tblW w:w="0" w:type="auto"/>
        <w:tblLook w:val="04A0" w:firstRow="1" w:lastRow="0" w:firstColumn="1" w:lastColumn="0" w:noHBand="0" w:noVBand="1"/>
      </w:tblPr>
      <w:tblGrid>
        <w:gridCol w:w="3496"/>
        <w:gridCol w:w="1126"/>
        <w:gridCol w:w="1126"/>
        <w:gridCol w:w="1126"/>
        <w:gridCol w:w="1126"/>
        <w:gridCol w:w="1126"/>
      </w:tblGrid>
      <w:tr w:rsidR="00C149FE" w:rsidRPr="00F502C3" w:rsidTr="00474AAF">
        <w:trPr>
          <w:trHeight w:val="349"/>
        </w:trPr>
        <w:tc>
          <w:tcPr>
            <w:tcW w:w="3496" w:type="dxa"/>
            <w:noWrap/>
            <w:hideMark/>
          </w:tcPr>
          <w:p w:rsidR="00C149FE" w:rsidRPr="00F502C3" w:rsidRDefault="00C149FE" w:rsidP="00DD4D31">
            <w:pPr>
              <w:jc w:val="both"/>
              <w:rPr>
                <w:rFonts w:ascii="Times New Roman" w:hAnsi="Times New Roman" w:cs="Times New Roman"/>
                <w:b/>
                <w:bCs/>
              </w:rPr>
            </w:pPr>
            <w:r w:rsidRPr="00F502C3">
              <w:rPr>
                <w:rFonts w:ascii="Times New Roman" w:hAnsi="Times New Roman" w:cs="Times New Roman"/>
                <w:b/>
                <w:bCs/>
              </w:rPr>
              <w:t xml:space="preserve">Name of Bank Ltd. </w:t>
            </w:r>
          </w:p>
        </w:tc>
        <w:tc>
          <w:tcPr>
            <w:tcW w:w="1126" w:type="dxa"/>
            <w:noWrap/>
            <w:hideMark/>
          </w:tcPr>
          <w:p w:rsidR="00C149FE" w:rsidRPr="00F502C3" w:rsidRDefault="00C149FE" w:rsidP="00DD4D31">
            <w:pPr>
              <w:jc w:val="both"/>
              <w:rPr>
                <w:rFonts w:ascii="Times New Roman" w:hAnsi="Times New Roman" w:cs="Times New Roman"/>
                <w:b/>
                <w:bCs/>
              </w:rPr>
            </w:pPr>
            <w:r w:rsidRPr="00F502C3">
              <w:rPr>
                <w:rFonts w:ascii="Times New Roman" w:hAnsi="Times New Roman" w:cs="Times New Roman"/>
                <w:b/>
                <w:bCs/>
              </w:rPr>
              <w:t>ROI</w:t>
            </w:r>
          </w:p>
        </w:tc>
        <w:tc>
          <w:tcPr>
            <w:tcW w:w="1126" w:type="dxa"/>
            <w:noWrap/>
            <w:hideMark/>
          </w:tcPr>
          <w:p w:rsidR="00C149FE" w:rsidRPr="00F502C3" w:rsidRDefault="00C149FE" w:rsidP="00DD4D31">
            <w:pPr>
              <w:jc w:val="both"/>
              <w:rPr>
                <w:rFonts w:ascii="Times New Roman" w:hAnsi="Times New Roman" w:cs="Times New Roman"/>
                <w:b/>
                <w:bCs/>
              </w:rPr>
            </w:pPr>
            <w:r w:rsidRPr="00F502C3">
              <w:rPr>
                <w:rFonts w:ascii="Times New Roman" w:hAnsi="Times New Roman" w:cs="Times New Roman"/>
                <w:b/>
                <w:bCs/>
              </w:rPr>
              <w:t>ROE</w:t>
            </w:r>
          </w:p>
        </w:tc>
        <w:tc>
          <w:tcPr>
            <w:tcW w:w="1126" w:type="dxa"/>
            <w:noWrap/>
            <w:hideMark/>
          </w:tcPr>
          <w:p w:rsidR="00C149FE" w:rsidRPr="00F502C3" w:rsidRDefault="00C149FE" w:rsidP="00DD4D31">
            <w:pPr>
              <w:jc w:val="both"/>
              <w:rPr>
                <w:rFonts w:ascii="Times New Roman" w:hAnsi="Times New Roman" w:cs="Times New Roman"/>
                <w:b/>
                <w:bCs/>
              </w:rPr>
            </w:pPr>
            <w:r w:rsidRPr="00F502C3">
              <w:rPr>
                <w:rFonts w:ascii="Times New Roman" w:hAnsi="Times New Roman" w:cs="Times New Roman"/>
                <w:b/>
                <w:bCs/>
              </w:rPr>
              <w:t>ROA</w:t>
            </w:r>
          </w:p>
        </w:tc>
        <w:tc>
          <w:tcPr>
            <w:tcW w:w="1126" w:type="dxa"/>
            <w:noWrap/>
            <w:hideMark/>
          </w:tcPr>
          <w:p w:rsidR="00C149FE" w:rsidRPr="00F502C3" w:rsidRDefault="00C149FE" w:rsidP="00DD4D31">
            <w:pPr>
              <w:jc w:val="both"/>
              <w:rPr>
                <w:rFonts w:ascii="Times New Roman" w:hAnsi="Times New Roman" w:cs="Times New Roman"/>
                <w:b/>
                <w:bCs/>
              </w:rPr>
            </w:pPr>
            <w:r w:rsidRPr="00F502C3">
              <w:rPr>
                <w:rFonts w:ascii="Times New Roman" w:hAnsi="Times New Roman" w:cs="Times New Roman"/>
                <w:b/>
                <w:bCs/>
              </w:rPr>
              <w:t>EPS</w:t>
            </w:r>
          </w:p>
        </w:tc>
        <w:tc>
          <w:tcPr>
            <w:tcW w:w="1126" w:type="dxa"/>
            <w:noWrap/>
            <w:hideMark/>
          </w:tcPr>
          <w:p w:rsidR="00C149FE" w:rsidRPr="00F502C3" w:rsidRDefault="00C149FE" w:rsidP="00DD4D31">
            <w:pPr>
              <w:jc w:val="both"/>
              <w:rPr>
                <w:rFonts w:ascii="Times New Roman" w:hAnsi="Times New Roman" w:cs="Times New Roman"/>
                <w:b/>
                <w:bCs/>
              </w:rPr>
            </w:pPr>
            <w:r w:rsidRPr="00F502C3">
              <w:rPr>
                <w:rFonts w:ascii="Times New Roman" w:hAnsi="Times New Roman" w:cs="Times New Roman"/>
                <w:b/>
                <w:bCs/>
              </w:rPr>
              <w:t>ROCE</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CITY</w:t>
            </w:r>
            <w:r w:rsidR="00C149FE" w:rsidRPr="00F502C3">
              <w:rPr>
                <w:rFonts w:ascii="Times New Roman" w:hAnsi="Times New Roman" w:cs="Times New Roman"/>
              </w:rPr>
              <w:t xml:space="preserve"> Bank 2018</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11%</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8.20%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0.70%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2.1</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3.76%</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 xml:space="preserve">CITY </w:t>
            </w:r>
            <w:r w:rsidR="00C149FE" w:rsidRPr="00F502C3">
              <w:rPr>
                <w:rFonts w:ascii="Times New Roman" w:hAnsi="Times New Roman" w:cs="Times New Roman"/>
              </w:rPr>
              <w:t xml:space="preserve"> Bank 2017</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12.34%</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15.90%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1.40%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4.1</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3.65%</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CITY</w:t>
            </w:r>
            <w:r w:rsidR="00C149FE" w:rsidRPr="00F502C3">
              <w:rPr>
                <w:rFonts w:ascii="Times New Roman" w:hAnsi="Times New Roman" w:cs="Times New Roman"/>
              </w:rPr>
              <w:t xml:space="preserve"> Bank 2016</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12.46%</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19.00%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17%</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4.5</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3.89%</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CITY</w:t>
            </w:r>
            <w:r w:rsidR="00C149FE" w:rsidRPr="00F502C3">
              <w:rPr>
                <w:rFonts w:ascii="Times New Roman" w:hAnsi="Times New Roman" w:cs="Times New Roman"/>
              </w:rPr>
              <w:t xml:space="preserve"> Bank 2015</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9.76%</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18.30%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19%</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4.1</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2.77%</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CITY</w:t>
            </w:r>
            <w:r w:rsidR="00C149FE" w:rsidRPr="00F502C3">
              <w:rPr>
                <w:rFonts w:ascii="Times New Roman" w:hAnsi="Times New Roman" w:cs="Times New Roman"/>
              </w:rPr>
              <w:t xml:space="preserve"> Bank 2014</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9.80%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13.40%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14%</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2.7</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2.87%</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CITY</w:t>
            </w:r>
            <w:r w:rsidR="00C149FE" w:rsidRPr="00F502C3">
              <w:rPr>
                <w:rFonts w:ascii="Times New Roman" w:hAnsi="Times New Roman" w:cs="Times New Roman"/>
              </w:rPr>
              <w:t xml:space="preserve"> Bank 2013</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11.67%</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6.30%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13%</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1.1</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1.89%</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CITY</w:t>
            </w:r>
            <w:r w:rsidR="00C149FE" w:rsidRPr="00F502C3">
              <w:rPr>
                <w:rFonts w:ascii="Times New Roman" w:hAnsi="Times New Roman" w:cs="Times New Roman"/>
              </w:rPr>
              <w:t xml:space="preserve"> Bank 2012</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9.09%</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4.30%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0.60%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1.21</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2.43%</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CITY</w:t>
            </w:r>
            <w:r w:rsidR="00C149FE" w:rsidRPr="00F502C3">
              <w:rPr>
                <w:rFonts w:ascii="Times New Roman" w:hAnsi="Times New Roman" w:cs="Times New Roman"/>
              </w:rPr>
              <w:t xml:space="preserve"> Bank 2011</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8.87%</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13.70%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2.00%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4</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2.65%</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CITY</w:t>
            </w:r>
            <w:r w:rsidR="00C149FE" w:rsidRPr="00F502C3">
              <w:rPr>
                <w:rFonts w:ascii="Times New Roman" w:hAnsi="Times New Roman" w:cs="Times New Roman"/>
              </w:rPr>
              <w:t xml:space="preserve"> Bank 2010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8.67%</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21.30%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2.20%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3.7</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1.95%</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CITY</w:t>
            </w:r>
            <w:r w:rsidR="00C149FE" w:rsidRPr="00F502C3">
              <w:rPr>
                <w:rFonts w:ascii="Times New Roman" w:hAnsi="Times New Roman" w:cs="Times New Roman"/>
              </w:rPr>
              <w:t xml:space="preserve"> Bank 2009</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11.98%</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16.20%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1.20%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52.1</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2.55%</w:t>
            </w:r>
          </w:p>
        </w:tc>
      </w:tr>
      <w:tr w:rsidR="00C149FE" w:rsidRPr="00F502C3" w:rsidTr="00474AAF">
        <w:trPr>
          <w:trHeight w:val="349"/>
        </w:trPr>
        <w:tc>
          <w:tcPr>
            <w:tcW w:w="3496" w:type="dxa"/>
            <w:noWrap/>
            <w:hideMark/>
          </w:tcPr>
          <w:p w:rsidR="00C149FE" w:rsidRPr="00F502C3" w:rsidRDefault="00B80877" w:rsidP="00DD4D31">
            <w:pPr>
              <w:jc w:val="both"/>
              <w:rPr>
                <w:rFonts w:ascii="Times New Roman" w:hAnsi="Times New Roman" w:cs="Times New Roman"/>
              </w:rPr>
            </w:pPr>
            <w:r>
              <w:rPr>
                <w:rFonts w:ascii="Times New Roman" w:hAnsi="Times New Roman" w:cs="Times New Roman"/>
              </w:rPr>
              <w:t>CITY</w:t>
            </w:r>
            <w:r w:rsidR="00C149FE" w:rsidRPr="00F502C3">
              <w:rPr>
                <w:rFonts w:ascii="Times New Roman" w:hAnsi="Times New Roman" w:cs="Times New Roman"/>
              </w:rPr>
              <w:t xml:space="preserve"> Bank 2008</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11.54%</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11.20%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0.80%</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25.3</w:t>
            </w:r>
          </w:p>
        </w:tc>
        <w:tc>
          <w:tcPr>
            <w:tcW w:w="1126" w:type="dxa"/>
            <w:noWrap/>
            <w:hideMark/>
          </w:tcPr>
          <w:p w:rsidR="00C149FE" w:rsidRPr="00F502C3" w:rsidRDefault="00C149FE" w:rsidP="00DD4D31">
            <w:pPr>
              <w:jc w:val="both"/>
              <w:rPr>
                <w:rFonts w:ascii="Times New Roman" w:hAnsi="Times New Roman" w:cs="Times New Roman"/>
              </w:rPr>
            </w:pPr>
            <w:r w:rsidRPr="00F502C3">
              <w:rPr>
                <w:rFonts w:ascii="Times New Roman" w:hAnsi="Times New Roman" w:cs="Times New Roman"/>
              </w:rPr>
              <w:t>2.32%</w:t>
            </w:r>
          </w:p>
        </w:tc>
      </w:tr>
    </w:tbl>
    <w:p w:rsidR="0017459C" w:rsidRDefault="00F407AF" w:rsidP="001745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407AF" w:rsidRDefault="00F407AF" w:rsidP="0017459C">
      <w:pPr>
        <w:spacing w:line="360" w:lineRule="auto"/>
        <w:jc w:val="both"/>
        <w:rPr>
          <w:rFonts w:ascii="Times New Roman" w:hAnsi="Times New Roman" w:cs="Times New Roman"/>
          <w:sz w:val="24"/>
          <w:szCs w:val="24"/>
        </w:rPr>
      </w:pPr>
      <w:r>
        <w:rPr>
          <w:noProof/>
        </w:rPr>
        <w:drawing>
          <wp:inline distT="0" distB="0" distL="0" distR="0" wp14:anchorId="7A96C281" wp14:editId="0D3B59FB">
            <wp:extent cx="5709684" cy="2806995"/>
            <wp:effectExtent l="0" t="0" r="5715"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407AF" w:rsidRDefault="00474AAF" w:rsidP="00F407AF">
      <w:pPr>
        <w:spacing w:line="360" w:lineRule="auto"/>
        <w:jc w:val="both"/>
        <w:rPr>
          <w:rFonts w:ascii="Times New Roman" w:hAnsi="Times New Roman" w:cs="Times New Roman"/>
          <w:sz w:val="24"/>
          <w:szCs w:val="24"/>
        </w:rPr>
      </w:pPr>
      <w:r w:rsidRPr="00F407AF">
        <w:rPr>
          <w:rFonts w:ascii="Times New Roman" w:hAnsi="Times New Roman" w:cs="Times New Roman"/>
          <w:sz w:val="24"/>
          <w:szCs w:val="24"/>
        </w:rPr>
        <w:t>In 201</w:t>
      </w:r>
      <w:r w:rsidR="00A0194C" w:rsidRPr="00F407AF">
        <w:rPr>
          <w:rFonts w:ascii="Times New Roman" w:hAnsi="Times New Roman" w:cs="Times New Roman"/>
          <w:sz w:val="24"/>
          <w:szCs w:val="24"/>
        </w:rPr>
        <w:t>6</w:t>
      </w:r>
      <w:r w:rsidRPr="00F407AF">
        <w:rPr>
          <w:rFonts w:ascii="Times New Roman" w:hAnsi="Times New Roman" w:cs="Times New Roman"/>
          <w:sz w:val="24"/>
          <w:szCs w:val="24"/>
        </w:rPr>
        <w:t xml:space="preserve"> ROI was</w:t>
      </w:r>
      <w:r w:rsidR="00A0194C" w:rsidRPr="00F407AF">
        <w:rPr>
          <w:rFonts w:ascii="Times New Roman" w:hAnsi="Times New Roman" w:cs="Times New Roman"/>
          <w:sz w:val="24"/>
          <w:szCs w:val="24"/>
        </w:rPr>
        <w:t xml:space="preserve"> 12.46%</w:t>
      </w:r>
      <w:r w:rsidRPr="00F407AF">
        <w:rPr>
          <w:rFonts w:ascii="Times New Roman" w:hAnsi="Times New Roman" w:cs="Times New Roman"/>
          <w:sz w:val="24"/>
          <w:szCs w:val="24"/>
        </w:rPr>
        <w:t xml:space="preserve"> good and others years return on investment also good. That means city bank </w:t>
      </w:r>
      <w:r w:rsidR="00A0194C" w:rsidRPr="00F407AF">
        <w:rPr>
          <w:rFonts w:ascii="Times New Roman" w:hAnsi="Times New Roman" w:cs="Times New Roman"/>
          <w:sz w:val="24"/>
          <w:szCs w:val="24"/>
        </w:rPr>
        <w:t>Investment feedback is good. Investors are satisfied and they want more investment. Investor want higher equity ratio so they compare ROE present and before year. In 2010 ROE was highest ratio 21.30%. And 2012 it was lowest</w:t>
      </w:r>
      <w:r w:rsidR="0017459C" w:rsidRPr="00F407AF">
        <w:rPr>
          <w:rFonts w:ascii="Times New Roman" w:hAnsi="Times New Roman" w:cs="Times New Roman"/>
          <w:sz w:val="24"/>
          <w:szCs w:val="24"/>
        </w:rPr>
        <w:t xml:space="preserve"> ratio</w:t>
      </w:r>
      <w:r w:rsidR="00A0194C" w:rsidRPr="00F407AF">
        <w:rPr>
          <w:rFonts w:ascii="Times New Roman" w:hAnsi="Times New Roman" w:cs="Times New Roman"/>
          <w:sz w:val="24"/>
          <w:szCs w:val="24"/>
        </w:rPr>
        <w:t xml:space="preserve"> 4.30%.</w:t>
      </w:r>
      <w:r w:rsidR="0017459C" w:rsidRPr="00F407AF">
        <w:rPr>
          <w:rFonts w:ascii="Times New Roman" w:hAnsi="Times New Roman" w:cs="Times New Roman"/>
          <w:sz w:val="24"/>
          <w:szCs w:val="24"/>
        </w:rPr>
        <w:t>ROA was highest in 2015 and lowest was 2018. ROA express how can profit generate from asset so 2018 say that 0.70% was not good for earn profit. ROCE</w:t>
      </w:r>
      <w:r w:rsidR="00F407AF" w:rsidRPr="00F407AF">
        <w:rPr>
          <w:rFonts w:ascii="Times New Roman" w:hAnsi="Times New Roman" w:cs="Times New Roman"/>
          <w:sz w:val="24"/>
          <w:szCs w:val="24"/>
        </w:rPr>
        <w:t xml:space="preserve"> was highest</w:t>
      </w:r>
      <w:r w:rsidR="0017459C" w:rsidRPr="00F407AF">
        <w:rPr>
          <w:rFonts w:ascii="Times New Roman" w:hAnsi="Times New Roman" w:cs="Times New Roman"/>
          <w:sz w:val="24"/>
          <w:szCs w:val="24"/>
        </w:rPr>
        <w:t xml:space="preserve"> on</w:t>
      </w:r>
      <w:r w:rsidR="00F407AF" w:rsidRPr="00F407AF">
        <w:rPr>
          <w:rFonts w:ascii="Times New Roman" w:hAnsi="Times New Roman" w:cs="Times New Roman"/>
          <w:sz w:val="24"/>
          <w:szCs w:val="24"/>
        </w:rPr>
        <w:t xml:space="preserve"> 3.89% in 2016. </w:t>
      </w:r>
    </w:p>
    <w:p w:rsidR="00481062" w:rsidRPr="00F407AF" w:rsidRDefault="00F407AF" w:rsidP="00F407AF">
      <w:pPr>
        <w:spacing w:line="360" w:lineRule="auto"/>
        <w:jc w:val="both"/>
        <w:rPr>
          <w:rFonts w:ascii="Times New Roman" w:hAnsi="Times New Roman" w:cs="Times New Roman"/>
          <w:sz w:val="24"/>
          <w:szCs w:val="24"/>
        </w:rPr>
      </w:pPr>
      <w:r w:rsidRPr="00F407AF">
        <w:rPr>
          <w:rFonts w:ascii="Times New Roman" w:hAnsi="Times New Roman" w:cs="Times New Roman"/>
          <w:sz w:val="24"/>
          <w:szCs w:val="24"/>
        </w:rPr>
        <w:t>Though every year consequently maintain almost ratio so ROCE was good.</w:t>
      </w:r>
      <w:r w:rsidR="00C005D3" w:rsidRPr="00F407AF">
        <w:rPr>
          <w:rFonts w:ascii="Times New Roman" w:hAnsi="Times New Roman" w:cs="Times New Roman"/>
          <w:sz w:val="24"/>
          <w:szCs w:val="24"/>
        </w:rPr>
        <w:br w:type="textWrapping" w:clear="all"/>
      </w:r>
    </w:p>
    <w:p w:rsidR="00A23D84" w:rsidRDefault="00A23D84" w:rsidP="00247E8C">
      <w:pPr>
        <w:jc w:val="center"/>
        <w:rPr>
          <w:rFonts w:ascii="Times New Roman" w:hAnsi="Times New Roman" w:cs="Times New Roman"/>
          <w:b/>
        </w:rPr>
      </w:pPr>
      <w:r>
        <w:rPr>
          <w:rFonts w:ascii="Times New Roman" w:hAnsi="Times New Roman" w:cs="Times New Roman"/>
          <w:b/>
        </w:rPr>
        <w:t>Du</w:t>
      </w:r>
      <w:r w:rsidR="00B80877">
        <w:rPr>
          <w:rFonts w:ascii="Times New Roman" w:hAnsi="Times New Roman" w:cs="Times New Roman"/>
          <w:b/>
        </w:rPr>
        <w:t>tch Bangla Bank Ltd</w:t>
      </w:r>
    </w:p>
    <w:tbl>
      <w:tblPr>
        <w:tblStyle w:val="TableGrid"/>
        <w:tblW w:w="10115" w:type="dxa"/>
        <w:tblLook w:val="04A0" w:firstRow="1" w:lastRow="0" w:firstColumn="1" w:lastColumn="0" w:noHBand="0" w:noVBand="1"/>
      </w:tblPr>
      <w:tblGrid>
        <w:gridCol w:w="3875"/>
        <w:gridCol w:w="1248"/>
        <w:gridCol w:w="1248"/>
        <w:gridCol w:w="1248"/>
        <w:gridCol w:w="1248"/>
        <w:gridCol w:w="1248"/>
      </w:tblGrid>
      <w:tr w:rsidR="00A23D84" w:rsidRPr="00A23D84" w:rsidTr="00247E8C">
        <w:trPr>
          <w:trHeight w:val="572"/>
        </w:trPr>
        <w:tc>
          <w:tcPr>
            <w:tcW w:w="3875" w:type="dxa"/>
            <w:noWrap/>
            <w:hideMark/>
          </w:tcPr>
          <w:p w:rsidR="00A23D84" w:rsidRPr="00A23D84" w:rsidRDefault="00A23D84" w:rsidP="00A23D84">
            <w:pPr>
              <w:jc w:val="both"/>
              <w:rPr>
                <w:rFonts w:ascii="Times New Roman" w:hAnsi="Times New Roman" w:cs="Times New Roman"/>
                <w:b/>
                <w:bCs/>
              </w:rPr>
            </w:pPr>
            <w:r w:rsidRPr="00A23D84">
              <w:rPr>
                <w:rFonts w:ascii="Times New Roman" w:hAnsi="Times New Roman" w:cs="Times New Roman"/>
                <w:b/>
                <w:bCs/>
              </w:rPr>
              <w:t xml:space="preserve">Name of Bank Ltd. </w:t>
            </w:r>
          </w:p>
        </w:tc>
        <w:tc>
          <w:tcPr>
            <w:tcW w:w="1248" w:type="dxa"/>
            <w:noWrap/>
            <w:hideMark/>
          </w:tcPr>
          <w:p w:rsidR="00A23D84" w:rsidRPr="00A23D84" w:rsidRDefault="00A23D84" w:rsidP="00A23D84">
            <w:pPr>
              <w:jc w:val="both"/>
              <w:rPr>
                <w:rFonts w:ascii="Times New Roman" w:hAnsi="Times New Roman" w:cs="Times New Roman"/>
                <w:b/>
                <w:bCs/>
              </w:rPr>
            </w:pPr>
            <w:r w:rsidRPr="00A23D84">
              <w:rPr>
                <w:rFonts w:ascii="Times New Roman" w:hAnsi="Times New Roman" w:cs="Times New Roman"/>
                <w:b/>
                <w:bCs/>
              </w:rPr>
              <w:t>ROI</w:t>
            </w:r>
          </w:p>
        </w:tc>
        <w:tc>
          <w:tcPr>
            <w:tcW w:w="1248" w:type="dxa"/>
            <w:noWrap/>
            <w:hideMark/>
          </w:tcPr>
          <w:p w:rsidR="00A23D84" w:rsidRPr="00A23D84" w:rsidRDefault="00A23D84" w:rsidP="00A23D84">
            <w:pPr>
              <w:jc w:val="both"/>
              <w:rPr>
                <w:rFonts w:ascii="Times New Roman" w:hAnsi="Times New Roman" w:cs="Times New Roman"/>
                <w:b/>
                <w:bCs/>
              </w:rPr>
            </w:pPr>
            <w:r w:rsidRPr="00A23D84">
              <w:rPr>
                <w:rFonts w:ascii="Times New Roman" w:hAnsi="Times New Roman" w:cs="Times New Roman"/>
                <w:b/>
                <w:bCs/>
              </w:rPr>
              <w:t>ROE</w:t>
            </w:r>
          </w:p>
        </w:tc>
        <w:tc>
          <w:tcPr>
            <w:tcW w:w="1248" w:type="dxa"/>
            <w:noWrap/>
            <w:hideMark/>
          </w:tcPr>
          <w:p w:rsidR="00A23D84" w:rsidRPr="00A23D84" w:rsidRDefault="00A23D84" w:rsidP="00A23D84">
            <w:pPr>
              <w:jc w:val="both"/>
              <w:rPr>
                <w:rFonts w:ascii="Times New Roman" w:hAnsi="Times New Roman" w:cs="Times New Roman"/>
                <w:b/>
                <w:bCs/>
              </w:rPr>
            </w:pPr>
            <w:r w:rsidRPr="00A23D84">
              <w:rPr>
                <w:rFonts w:ascii="Times New Roman" w:hAnsi="Times New Roman" w:cs="Times New Roman"/>
                <w:b/>
                <w:bCs/>
              </w:rPr>
              <w:t>ROA</w:t>
            </w:r>
          </w:p>
        </w:tc>
        <w:tc>
          <w:tcPr>
            <w:tcW w:w="1248" w:type="dxa"/>
            <w:noWrap/>
            <w:hideMark/>
          </w:tcPr>
          <w:p w:rsidR="00A23D84" w:rsidRPr="00A23D84" w:rsidRDefault="00A23D84" w:rsidP="00A23D84">
            <w:pPr>
              <w:jc w:val="both"/>
              <w:rPr>
                <w:rFonts w:ascii="Times New Roman" w:hAnsi="Times New Roman" w:cs="Times New Roman"/>
                <w:b/>
                <w:bCs/>
              </w:rPr>
            </w:pPr>
            <w:r w:rsidRPr="00A23D84">
              <w:rPr>
                <w:rFonts w:ascii="Times New Roman" w:hAnsi="Times New Roman" w:cs="Times New Roman"/>
                <w:b/>
                <w:bCs/>
              </w:rPr>
              <w:t>EPS</w:t>
            </w:r>
          </w:p>
        </w:tc>
        <w:tc>
          <w:tcPr>
            <w:tcW w:w="1248" w:type="dxa"/>
            <w:noWrap/>
            <w:hideMark/>
          </w:tcPr>
          <w:p w:rsidR="00A23D84" w:rsidRPr="00A23D84" w:rsidRDefault="00A23D84" w:rsidP="00A23D84">
            <w:pPr>
              <w:jc w:val="both"/>
              <w:rPr>
                <w:rFonts w:ascii="Times New Roman" w:hAnsi="Times New Roman" w:cs="Times New Roman"/>
                <w:b/>
                <w:bCs/>
              </w:rPr>
            </w:pPr>
            <w:r w:rsidRPr="00A23D84">
              <w:rPr>
                <w:rFonts w:ascii="Times New Roman" w:hAnsi="Times New Roman" w:cs="Times New Roman"/>
                <w:b/>
                <w:bCs/>
              </w:rPr>
              <w:t>ROCE</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2018</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6.90%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19.70%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1.30%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21</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2.20%</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2017</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7%</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13.20%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0.90%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12.3</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1.90%</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2016</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8%</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10.30%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0.70%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8.9</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2.30%</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2015</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10.40%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19.30%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1.30%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15.1</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1.00%</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2014</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10.80%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16.20%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1.30%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11</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2.03%</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2013</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10.80%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17.00%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1.20%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2.76%</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2012</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11.60%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23.40%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1.70%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11.6</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2.13%</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2011</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10.90%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27%</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1.90%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10.8</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1.89%</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2010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12.20%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35.30%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2.20%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1.45%</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2009</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14.60%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30.30%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1.60%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5.7</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2.76%</w:t>
            </w:r>
          </w:p>
        </w:tc>
      </w:tr>
      <w:tr w:rsidR="00A23D84" w:rsidRPr="00A23D84" w:rsidTr="00247E8C">
        <w:trPr>
          <w:trHeight w:val="572"/>
        </w:trPr>
        <w:tc>
          <w:tcPr>
            <w:tcW w:w="3875"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Dutch Bangla Bank 2010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9.70%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29.90%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1.50%</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5.5</w:t>
            </w:r>
          </w:p>
        </w:tc>
        <w:tc>
          <w:tcPr>
            <w:tcW w:w="1248" w:type="dxa"/>
            <w:noWrap/>
            <w:hideMark/>
          </w:tcPr>
          <w:p w:rsidR="00A23D84" w:rsidRPr="00247E8C" w:rsidRDefault="00A23D84" w:rsidP="00A23D84">
            <w:pPr>
              <w:jc w:val="both"/>
              <w:rPr>
                <w:rFonts w:ascii="Times New Roman" w:hAnsi="Times New Roman" w:cs="Times New Roman"/>
              </w:rPr>
            </w:pPr>
            <w:r w:rsidRPr="00247E8C">
              <w:rPr>
                <w:rFonts w:ascii="Times New Roman" w:hAnsi="Times New Roman" w:cs="Times New Roman"/>
              </w:rPr>
              <w:t>2.45%</w:t>
            </w:r>
          </w:p>
        </w:tc>
      </w:tr>
    </w:tbl>
    <w:p w:rsidR="00A23D84" w:rsidRDefault="00A23D84"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r>
        <w:rPr>
          <w:noProof/>
        </w:rPr>
        <w:drawing>
          <wp:anchor distT="0" distB="0" distL="114300" distR="114300" simplePos="0" relativeHeight="251665408" behindDoc="0" locked="0" layoutInCell="1" allowOverlap="1" wp14:anchorId="6515F288" wp14:editId="16064458">
            <wp:simplePos x="0" y="0"/>
            <wp:positionH relativeFrom="column">
              <wp:align>left</wp:align>
            </wp:positionH>
            <wp:positionV relativeFrom="paragraph">
              <wp:align>top</wp:align>
            </wp:positionV>
            <wp:extent cx="5953760" cy="3200400"/>
            <wp:effectExtent l="0" t="0" r="8890" b="0"/>
            <wp:wrapSquare wrapText="bothSides"/>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rsidR="00A23D84" w:rsidRDefault="00346852" w:rsidP="00DD4D31">
      <w:pPr>
        <w:jc w:val="both"/>
        <w:rPr>
          <w:rFonts w:ascii="Times New Roman" w:hAnsi="Times New Roman" w:cs="Times New Roman"/>
          <w:b/>
        </w:rPr>
      </w:pPr>
      <w:r>
        <w:rPr>
          <w:rFonts w:ascii="Times New Roman" w:hAnsi="Times New Roman" w:cs="Times New Roman"/>
          <w:b/>
        </w:rPr>
        <w:br w:type="textWrapping" w:clear="all"/>
      </w:r>
    </w:p>
    <w:p w:rsidR="00A23D84" w:rsidRPr="00996A06" w:rsidRDefault="00996A06" w:rsidP="00DD4D31">
      <w:pPr>
        <w:jc w:val="both"/>
        <w:rPr>
          <w:rFonts w:ascii="Times New Roman" w:hAnsi="Times New Roman" w:cs="Times New Roman"/>
          <w:sz w:val="24"/>
          <w:szCs w:val="24"/>
        </w:rPr>
      </w:pPr>
      <w:r>
        <w:rPr>
          <w:rFonts w:ascii="Times New Roman" w:hAnsi="Times New Roman" w:cs="Times New Roman"/>
          <w:sz w:val="24"/>
          <w:szCs w:val="24"/>
        </w:rPr>
        <w:t>Return on Investment in Dutch Bangla bank is good. In 2009 it was 14.60% that means efficiency of investment performance was good. But comparatively 2018 it was 6.90% that year bank did not effectively used their investment. And chart shows ROI fall down.</w:t>
      </w:r>
      <w:r w:rsidR="00346852">
        <w:rPr>
          <w:rFonts w:ascii="Times New Roman" w:hAnsi="Times New Roman" w:cs="Times New Roman"/>
          <w:sz w:val="24"/>
          <w:szCs w:val="24"/>
        </w:rPr>
        <w:t xml:space="preserve"> We see that ROE on the bank was positive or good. That means company net income and equity has positive relationship. In 2010 highest ratio was 2.20% and in 2016 </w:t>
      </w:r>
      <w:r w:rsidR="0067346D">
        <w:rPr>
          <w:rFonts w:ascii="Times New Roman" w:hAnsi="Times New Roman" w:cs="Times New Roman"/>
          <w:sz w:val="24"/>
          <w:szCs w:val="24"/>
        </w:rPr>
        <w:t>lowest ratio was .70%.</w:t>
      </w:r>
      <w:r>
        <w:rPr>
          <w:rFonts w:ascii="Times New Roman" w:hAnsi="Times New Roman" w:cs="Times New Roman"/>
          <w:sz w:val="24"/>
          <w:szCs w:val="24"/>
        </w:rPr>
        <w:t xml:space="preserve"> </w:t>
      </w:r>
      <w:r w:rsidR="0067346D">
        <w:rPr>
          <w:rFonts w:ascii="Times New Roman" w:hAnsi="Times New Roman" w:cs="Times New Roman"/>
          <w:sz w:val="24"/>
          <w:szCs w:val="24"/>
        </w:rPr>
        <w:t>EPS was goo in 2018. And it means 2018 profit earning</w:t>
      </w:r>
      <w:r w:rsidR="00276682">
        <w:rPr>
          <w:rFonts w:ascii="Times New Roman" w:hAnsi="Times New Roman" w:cs="Times New Roman"/>
          <w:sz w:val="24"/>
          <w:szCs w:val="24"/>
        </w:rPr>
        <w:t xml:space="preserve"> performance was good. ROCE </w:t>
      </w:r>
      <w:r w:rsidR="00CE434D">
        <w:rPr>
          <w:rFonts w:ascii="Times New Roman" w:hAnsi="Times New Roman" w:cs="Times New Roman"/>
          <w:sz w:val="24"/>
          <w:szCs w:val="24"/>
        </w:rPr>
        <w:t>measures company’s profitability and the efficiency by used capital</w:t>
      </w:r>
      <w:r w:rsidR="00861D3F">
        <w:rPr>
          <w:rFonts w:ascii="Times New Roman" w:hAnsi="Times New Roman" w:cs="Times New Roman"/>
          <w:sz w:val="24"/>
          <w:szCs w:val="24"/>
        </w:rPr>
        <w:t>. In 2013 it was 2.76% and lowest 2015 1.00%.</w:t>
      </w:r>
      <w:r w:rsidR="00CE434D">
        <w:rPr>
          <w:rFonts w:ascii="Times New Roman" w:hAnsi="Times New Roman" w:cs="Times New Roman"/>
          <w:sz w:val="24"/>
          <w:szCs w:val="24"/>
        </w:rPr>
        <w:t xml:space="preserve"> </w:t>
      </w:r>
      <w:r w:rsidR="00276682">
        <w:rPr>
          <w:rFonts w:ascii="Times New Roman" w:hAnsi="Times New Roman" w:cs="Times New Roman"/>
          <w:sz w:val="24"/>
          <w:szCs w:val="24"/>
        </w:rPr>
        <w:t xml:space="preserve"> </w:t>
      </w:r>
      <w:r w:rsidR="0067346D">
        <w:rPr>
          <w:rFonts w:ascii="Times New Roman" w:hAnsi="Times New Roman" w:cs="Times New Roman"/>
          <w:sz w:val="24"/>
          <w:szCs w:val="24"/>
        </w:rPr>
        <w:t xml:space="preserve"> </w:t>
      </w: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247E8C" w:rsidRDefault="00247E8C" w:rsidP="00DD4D31">
      <w:pPr>
        <w:jc w:val="both"/>
        <w:rPr>
          <w:rFonts w:ascii="Times New Roman" w:hAnsi="Times New Roman" w:cs="Times New Roman"/>
          <w:b/>
        </w:rPr>
      </w:pPr>
    </w:p>
    <w:p w:rsidR="00FA3DAD" w:rsidRPr="00F502C3" w:rsidRDefault="006325D4" w:rsidP="00247E8C">
      <w:pPr>
        <w:jc w:val="center"/>
        <w:rPr>
          <w:rFonts w:ascii="Times New Roman" w:hAnsi="Times New Roman" w:cs="Times New Roman"/>
          <w:b/>
        </w:rPr>
      </w:pPr>
      <w:r w:rsidRPr="00F502C3">
        <w:rPr>
          <w:rFonts w:ascii="Times New Roman" w:hAnsi="Times New Roman" w:cs="Times New Roman"/>
          <w:b/>
        </w:rPr>
        <w:t>EASTERN</w:t>
      </w:r>
      <w:r w:rsidR="00FA3DAD" w:rsidRPr="00F502C3">
        <w:rPr>
          <w:rFonts w:ascii="Times New Roman" w:hAnsi="Times New Roman" w:cs="Times New Roman"/>
          <w:b/>
        </w:rPr>
        <w:t xml:space="preserve"> </w:t>
      </w:r>
      <w:r w:rsidRPr="00F502C3">
        <w:rPr>
          <w:rFonts w:ascii="Times New Roman" w:hAnsi="Times New Roman" w:cs="Times New Roman"/>
          <w:b/>
        </w:rPr>
        <w:t>BANK</w:t>
      </w:r>
      <w:r w:rsidR="00FA3DAD" w:rsidRPr="00F502C3">
        <w:rPr>
          <w:rFonts w:ascii="Times New Roman" w:hAnsi="Times New Roman" w:cs="Times New Roman"/>
          <w:b/>
        </w:rPr>
        <w:t xml:space="preserve"> Ltd</w:t>
      </w:r>
    </w:p>
    <w:tbl>
      <w:tblPr>
        <w:tblStyle w:val="TableGrid"/>
        <w:tblW w:w="0" w:type="auto"/>
        <w:tblLook w:val="04A0" w:firstRow="1" w:lastRow="0" w:firstColumn="1" w:lastColumn="0" w:noHBand="0" w:noVBand="1"/>
      </w:tblPr>
      <w:tblGrid>
        <w:gridCol w:w="3572"/>
        <w:gridCol w:w="1151"/>
        <w:gridCol w:w="1151"/>
        <w:gridCol w:w="1151"/>
        <w:gridCol w:w="1151"/>
        <w:gridCol w:w="1151"/>
      </w:tblGrid>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b/>
                <w:bCs/>
              </w:rPr>
            </w:pPr>
            <w:r w:rsidRPr="00F502C3">
              <w:rPr>
                <w:rFonts w:ascii="Times New Roman" w:hAnsi="Times New Roman" w:cs="Times New Roman"/>
                <w:b/>
                <w:bCs/>
              </w:rPr>
              <w:t xml:space="preserve">Name of Bank Ltd. </w:t>
            </w:r>
          </w:p>
        </w:tc>
        <w:tc>
          <w:tcPr>
            <w:tcW w:w="1151" w:type="dxa"/>
            <w:noWrap/>
            <w:hideMark/>
          </w:tcPr>
          <w:p w:rsidR="00FA3DAD" w:rsidRPr="00F502C3" w:rsidRDefault="00FA3DAD" w:rsidP="00DD4D31">
            <w:pPr>
              <w:jc w:val="both"/>
              <w:rPr>
                <w:rFonts w:ascii="Times New Roman" w:hAnsi="Times New Roman" w:cs="Times New Roman"/>
                <w:b/>
                <w:bCs/>
              </w:rPr>
            </w:pPr>
            <w:r w:rsidRPr="00F502C3">
              <w:rPr>
                <w:rFonts w:ascii="Times New Roman" w:hAnsi="Times New Roman" w:cs="Times New Roman"/>
                <w:b/>
                <w:bCs/>
              </w:rPr>
              <w:t>ROI</w:t>
            </w:r>
          </w:p>
        </w:tc>
        <w:tc>
          <w:tcPr>
            <w:tcW w:w="1151" w:type="dxa"/>
            <w:noWrap/>
            <w:hideMark/>
          </w:tcPr>
          <w:p w:rsidR="00FA3DAD" w:rsidRPr="00F502C3" w:rsidRDefault="00FA3DAD" w:rsidP="00DD4D31">
            <w:pPr>
              <w:jc w:val="both"/>
              <w:rPr>
                <w:rFonts w:ascii="Times New Roman" w:hAnsi="Times New Roman" w:cs="Times New Roman"/>
                <w:b/>
                <w:bCs/>
              </w:rPr>
            </w:pPr>
            <w:r w:rsidRPr="00F502C3">
              <w:rPr>
                <w:rFonts w:ascii="Times New Roman" w:hAnsi="Times New Roman" w:cs="Times New Roman"/>
                <w:b/>
                <w:bCs/>
              </w:rPr>
              <w:t>ROE</w:t>
            </w:r>
          </w:p>
        </w:tc>
        <w:tc>
          <w:tcPr>
            <w:tcW w:w="1151" w:type="dxa"/>
            <w:noWrap/>
            <w:hideMark/>
          </w:tcPr>
          <w:p w:rsidR="00FA3DAD" w:rsidRPr="00F502C3" w:rsidRDefault="00FA3DAD" w:rsidP="00DD4D31">
            <w:pPr>
              <w:jc w:val="both"/>
              <w:rPr>
                <w:rFonts w:ascii="Times New Roman" w:hAnsi="Times New Roman" w:cs="Times New Roman"/>
                <w:b/>
                <w:bCs/>
              </w:rPr>
            </w:pPr>
            <w:r w:rsidRPr="00F502C3">
              <w:rPr>
                <w:rFonts w:ascii="Times New Roman" w:hAnsi="Times New Roman" w:cs="Times New Roman"/>
                <w:b/>
                <w:bCs/>
              </w:rPr>
              <w:t>ROA</w:t>
            </w:r>
          </w:p>
        </w:tc>
        <w:tc>
          <w:tcPr>
            <w:tcW w:w="1151" w:type="dxa"/>
            <w:noWrap/>
            <w:hideMark/>
          </w:tcPr>
          <w:p w:rsidR="00FA3DAD" w:rsidRPr="00F502C3" w:rsidRDefault="00FA3DAD" w:rsidP="00DD4D31">
            <w:pPr>
              <w:jc w:val="both"/>
              <w:rPr>
                <w:rFonts w:ascii="Times New Roman" w:hAnsi="Times New Roman" w:cs="Times New Roman"/>
                <w:b/>
                <w:bCs/>
              </w:rPr>
            </w:pPr>
            <w:r w:rsidRPr="00F502C3">
              <w:rPr>
                <w:rFonts w:ascii="Times New Roman" w:hAnsi="Times New Roman" w:cs="Times New Roman"/>
                <w:b/>
                <w:bCs/>
              </w:rPr>
              <w:t>EPS</w:t>
            </w:r>
          </w:p>
        </w:tc>
        <w:tc>
          <w:tcPr>
            <w:tcW w:w="1151" w:type="dxa"/>
            <w:noWrap/>
            <w:hideMark/>
          </w:tcPr>
          <w:p w:rsidR="00FA3DAD" w:rsidRPr="00F502C3" w:rsidRDefault="00FA3DAD" w:rsidP="00DD4D31">
            <w:pPr>
              <w:jc w:val="both"/>
              <w:rPr>
                <w:rFonts w:ascii="Times New Roman" w:hAnsi="Times New Roman" w:cs="Times New Roman"/>
                <w:b/>
                <w:bCs/>
              </w:rPr>
            </w:pPr>
            <w:r w:rsidRPr="00F502C3">
              <w:rPr>
                <w:rFonts w:ascii="Times New Roman" w:hAnsi="Times New Roman" w:cs="Times New Roman"/>
                <w:b/>
                <w:bCs/>
              </w:rPr>
              <w:t>ROCE</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2018</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1.09%</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13.83%</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1.15%</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4.17</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2.70%</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2017</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0.95%</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11.41%</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1.04%</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3.26</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2.56%</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2015</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1.20%</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12.94%</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1.33%</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3.78</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2.13%</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2014</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1.20%</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10.95%</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1.23%</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3.63</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1.32%</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2013</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1.40%</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10.93%</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1.28%</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3.45</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1.67%</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2012</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1.81%</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14.44%</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1.68%</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4.2</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0.70%</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2011</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1.62%</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14.44%</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1.72%</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3.72</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1.02%</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2010</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2.17%</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19.03%</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2.52%</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3.72</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2.30%</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2009</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3.06%</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23.64%</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3.19%</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5.36</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1.45%</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2008</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2.08%</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22.10%</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2.34%</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5</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1.00%</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2007</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2.29%</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18.64%</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1.68%</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57.52</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1.89%</w:t>
            </w:r>
          </w:p>
        </w:tc>
      </w:tr>
      <w:tr w:rsidR="00FA3DAD" w:rsidRPr="00F502C3" w:rsidTr="00861D3F">
        <w:trPr>
          <w:trHeight w:val="375"/>
        </w:trPr>
        <w:tc>
          <w:tcPr>
            <w:tcW w:w="3572"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Eastern Bank 2006</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2.49%</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11.73%</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1.10%</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30.22</w:t>
            </w:r>
          </w:p>
        </w:tc>
        <w:tc>
          <w:tcPr>
            <w:tcW w:w="1151" w:type="dxa"/>
            <w:noWrap/>
            <w:hideMark/>
          </w:tcPr>
          <w:p w:rsidR="00FA3DAD" w:rsidRPr="00F502C3" w:rsidRDefault="00FA3DAD" w:rsidP="00DD4D31">
            <w:pPr>
              <w:jc w:val="both"/>
              <w:rPr>
                <w:rFonts w:ascii="Times New Roman" w:hAnsi="Times New Roman" w:cs="Times New Roman"/>
              </w:rPr>
            </w:pPr>
            <w:r w:rsidRPr="00F502C3">
              <w:rPr>
                <w:rFonts w:ascii="Times New Roman" w:hAnsi="Times New Roman" w:cs="Times New Roman"/>
              </w:rPr>
              <w:t>2.67%</w:t>
            </w:r>
          </w:p>
        </w:tc>
      </w:tr>
    </w:tbl>
    <w:p w:rsidR="00FA3DAD" w:rsidRPr="00F502C3" w:rsidRDefault="00FA3DAD" w:rsidP="00DD4D31">
      <w:pPr>
        <w:jc w:val="both"/>
        <w:rPr>
          <w:rFonts w:ascii="Times New Roman" w:hAnsi="Times New Roman" w:cs="Times New Roman"/>
        </w:rPr>
      </w:pPr>
    </w:p>
    <w:p w:rsidR="00E96FD9" w:rsidRPr="00F502C3" w:rsidRDefault="00C149FE" w:rsidP="00DD4D31">
      <w:pPr>
        <w:jc w:val="both"/>
        <w:rPr>
          <w:rFonts w:ascii="Times New Roman" w:hAnsi="Times New Roman" w:cs="Times New Roman"/>
        </w:rPr>
      </w:pPr>
      <w:r w:rsidRPr="00F502C3">
        <w:rPr>
          <w:rFonts w:ascii="Times New Roman" w:hAnsi="Times New Roman" w:cs="Times New Roman"/>
        </w:rPr>
        <w:t xml:space="preserve">   </w:t>
      </w:r>
      <w:r w:rsidR="00861D3F">
        <w:rPr>
          <w:noProof/>
        </w:rPr>
        <w:drawing>
          <wp:inline distT="0" distB="0" distL="0" distR="0" wp14:anchorId="75383F46" wp14:editId="7FBFBA68">
            <wp:extent cx="5741581" cy="2817628"/>
            <wp:effectExtent l="0" t="0" r="0" b="190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E2DB0" w:rsidRDefault="009E2DB0" w:rsidP="00861D3F">
      <w:pPr>
        <w:rPr>
          <w:rFonts w:ascii="Times New Roman" w:hAnsi="Times New Roman" w:cs="Times New Roman"/>
          <w:sz w:val="24"/>
          <w:szCs w:val="24"/>
        </w:rPr>
      </w:pPr>
    </w:p>
    <w:p w:rsidR="003B73A9" w:rsidRPr="00861D3F" w:rsidRDefault="00AA3BAB" w:rsidP="00861D3F">
      <w:pPr>
        <w:rPr>
          <w:rFonts w:ascii="Times New Roman" w:hAnsi="Times New Roman" w:cs="Times New Roman"/>
          <w:sz w:val="24"/>
          <w:szCs w:val="24"/>
        </w:rPr>
      </w:pPr>
      <w:r>
        <w:rPr>
          <w:rFonts w:ascii="Times New Roman" w:hAnsi="Times New Roman" w:cs="Times New Roman"/>
          <w:sz w:val="24"/>
          <w:szCs w:val="24"/>
        </w:rPr>
        <w:t xml:space="preserve">In this Chart we see that ROI chart down move. </w:t>
      </w:r>
      <w:r w:rsidR="00066152">
        <w:rPr>
          <w:rFonts w:ascii="Times New Roman" w:hAnsi="Times New Roman" w:cs="Times New Roman"/>
          <w:sz w:val="24"/>
          <w:szCs w:val="24"/>
        </w:rPr>
        <w:t>Its</w:t>
      </w:r>
      <w:r>
        <w:rPr>
          <w:rFonts w:ascii="Times New Roman" w:hAnsi="Times New Roman" w:cs="Times New Roman"/>
          <w:sz w:val="24"/>
          <w:szCs w:val="24"/>
        </w:rPr>
        <w:t xml:space="preserve"> highest ratio was 3.06% in 2009.</w:t>
      </w:r>
      <w:r w:rsidR="000B2BF5">
        <w:rPr>
          <w:rFonts w:ascii="Times New Roman" w:hAnsi="Times New Roman" w:cs="Times New Roman"/>
          <w:sz w:val="24"/>
          <w:szCs w:val="24"/>
        </w:rPr>
        <w:t xml:space="preserve"> In 2017 it was decreasing and the ratio was 0.95%. ROE was good in the bank. Every year they maintain a good percentage. In 2009</w:t>
      </w:r>
      <w:r w:rsidR="009E2DB0">
        <w:rPr>
          <w:rFonts w:ascii="Times New Roman" w:hAnsi="Times New Roman" w:cs="Times New Roman"/>
          <w:sz w:val="24"/>
          <w:szCs w:val="24"/>
        </w:rPr>
        <w:t xml:space="preserve"> was</w:t>
      </w:r>
      <w:r w:rsidR="000B2BF5">
        <w:rPr>
          <w:rFonts w:ascii="Times New Roman" w:hAnsi="Times New Roman" w:cs="Times New Roman"/>
          <w:sz w:val="24"/>
          <w:szCs w:val="24"/>
        </w:rPr>
        <w:t xml:space="preserve"> </w:t>
      </w:r>
      <w:r w:rsidR="009E2DB0">
        <w:rPr>
          <w:rFonts w:ascii="Times New Roman" w:hAnsi="Times New Roman" w:cs="Times New Roman"/>
          <w:sz w:val="24"/>
          <w:szCs w:val="24"/>
        </w:rPr>
        <w:t>highest ratio</w:t>
      </w:r>
      <w:r w:rsidR="000B2BF5">
        <w:rPr>
          <w:rFonts w:ascii="Times New Roman" w:hAnsi="Times New Roman" w:cs="Times New Roman"/>
          <w:sz w:val="24"/>
          <w:szCs w:val="24"/>
        </w:rPr>
        <w:t xml:space="preserve"> </w:t>
      </w:r>
      <w:r w:rsidR="009E2DB0">
        <w:rPr>
          <w:rFonts w:ascii="Times New Roman" w:hAnsi="Times New Roman" w:cs="Times New Roman"/>
          <w:sz w:val="24"/>
          <w:szCs w:val="24"/>
        </w:rPr>
        <w:t xml:space="preserve">and </w:t>
      </w:r>
      <w:r w:rsidR="00066152">
        <w:rPr>
          <w:rFonts w:ascii="Times New Roman" w:hAnsi="Times New Roman" w:cs="Times New Roman"/>
          <w:sz w:val="24"/>
          <w:szCs w:val="24"/>
        </w:rPr>
        <w:t>in</w:t>
      </w:r>
      <w:r w:rsidR="009E2DB0">
        <w:rPr>
          <w:rFonts w:ascii="Times New Roman" w:hAnsi="Times New Roman" w:cs="Times New Roman"/>
          <w:sz w:val="24"/>
          <w:szCs w:val="24"/>
        </w:rPr>
        <w:t xml:space="preserve"> 2013 was lowest ratio. ROA In 2009 the highest ratio was 3.19%. Highest ROCE was 2.70% in 2018 but the graph </w:t>
      </w:r>
      <w:r w:rsidR="004A3885">
        <w:rPr>
          <w:rFonts w:ascii="Times New Roman" w:hAnsi="Times New Roman" w:cs="Times New Roman"/>
          <w:sz w:val="24"/>
          <w:szCs w:val="24"/>
        </w:rPr>
        <w:t>shows</w:t>
      </w:r>
      <w:r w:rsidR="009E2DB0">
        <w:rPr>
          <w:rFonts w:ascii="Times New Roman" w:hAnsi="Times New Roman" w:cs="Times New Roman"/>
          <w:sz w:val="24"/>
          <w:szCs w:val="24"/>
        </w:rPr>
        <w:t xml:space="preserve"> down move chart.  </w:t>
      </w:r>
      <w:r>
        <w:rPr>
          <w:rFonts w:ascii="Times New Roman" w:hAnsi="Times New Roman" w:cs="Times New Roman"/>
          <w:sz w:val="24"/>
          <w:szCs w:val="24"/>
        </w:rPr>
        <w:t xml:space="preserve"> </w:t>
      </w:r>
    </w:p>
    <w:p w:rsidR="00861D3F" w:rsidRDefault="00861D3F" w:rsidP="00DD4D31">
      <w:pPr>
        <w:jc w:val="both"/>
        <w:rPr>
          <w:rFonts w:ascii="Times New Roman" w:hAnsi="Times New Roman" w:cs="Times New Roman"/>
          <w:b/>
        </w:rPr>
      </w:pPr>
    </w:p>
    <w:p w:rsidR="003B73A9" w:rsidRPr="00E84D58" w:rsidRDefault="003B73A9" w:rsidP="00E84D58">
      <w:pPr>
        <w:jc w:val="center"/>
        <w:rPr>
          <w:rFonts w:ascii="Times New Roman" w:hAnsi="Times New Roman" w:cs="Times New Roman"/>
          <w:b/>
          <w:sz w:val="24"/>
          <w:szCs w:val="24"/>
        </w:rPr>
      </w:pPr>
      <w:r w:rsidRPr="00E84D58">
        <w:rPr>
          <w:rFonts w:ascii="Times New Roman" w:hAnsi="Times New Roman" w:cs="Times New Roman"/>
          <w:b/>
          <w:sz w:val="24"/>
          <w:szCs w:val="24"/>
        </w:rPr>
        <w:t>EXIM Bank Ltd.</w:t>
      </w:r>
    </w:p>
    <w:tbl>
      <w:tblPr>
        <w:tblStyle w:val="TableGrid"/>
        <w:tblW w:w="9891" w:type="dxa"/>
        <w:tblLook w:val="04A0" w:firstRow="1" w:lastRow="0" w:firstColumn="1" w:lastColumn="0" w:noHBand="0" w:noVBand="1"/>
      </w:tblPr>
      <w:tblGrid>
        <w:gridCol w:w="3791"/>
        <w:gridCol w:w="1220"/>
        <w:gridCol w:w="1220"/>
        <w:gridCol w:w="1220"/>
        <w:gridCol w:w="1220"/>
        <w:gridCol w:w="1220"/>
      </w:tblGrid>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b/>
                <w:bCs/>
              </w:rPr>
            </w:pPr>
            <w:r w:rsidRPr="00F502C3">
              <w:rPr>
                <w:rFonts w:ascii="Times New Roman" w:hAnsi="Times New Roman" w:cs="Times New Roman"/>
                <w:b/>
                <w:bCs/>
              </w:rPr>
              <w:t xml:space="preserve">Name of Bank Ltd. </w:t>
            </w:r>
          </w:p>
        </w:tc>
        <w:tc>
          <w:tcPr>
            <w:tcW w:w="1220" w:type="dxa"/>
            <w:noWrap/>
            <w:hideMark/>
          </w:tcPr>
          <w:p w:rsidR="003B73A9" w:rsidRPr="00F502C3" w:rsidRDefault="003B73A9" w:rsidP="00DD4D31">
            <w:pPr>
              <w:jc w:val="both"/>
              <w:rPr>
                <w:rFonts w:ascii="Times New Roman" w:hAnsi="Times New Roman" w:cs="Times New Roman"/>
                <w:b/>
                <w:bCs/>
              </w:rPr>
            </w:pPr>
            <w:r w:rsidRPr="00F502C3">
              <w:rPr>
                <w:rFonts w:ascii="Times New Roman" w:hAnsi="Times New Roman" w:cs="Times New Roman"/>
                <w:b/>
                <w:bCs/>
              </w:rPr>
              <w:t>ROI</w:t>
            </w:r>
          </w:p>
        </w:tc>
        <w:tc>
          <w:tcPr>
            <w:tcW w:w="1220" w:type="dxa"/>
            <w:noWrap/>
            <w:hideMark/>
          </w:tcPr>
          <w:p w:rsidR="003B73A9" w:rsidRPr="00F502C3" w:rsidRDefault="003B73A9" w:rsidP="00DD4D31">
            <w:pPr>
              <w:jc w:val="both"/>
              <w:rPr>
                <w:rFonts w:ascii="Times New Roman" w:hAnsi="Times New Roman" w:cs="Times New Roman"/>
                <w:b/>
                <w:bCs/>
              </w:rPr>
            </w:pPr>
            <w:r w:rsidRPr="00F502C3">
              <w:rPr>
                <w:rFonts w:ascii="Times New Roman" w:hAnsi="Times New Roman" w:cs="Times New Roman"/>
                <w:b/>
                <w:bCs/>
              </w:rPr>
              <w:t>ROE</w:t>
            </w:r>
          </w:p>
        </w:tc>
        <w:tc>
          <w:tcPr>
            <w:tcW w:w="1220" w:type="dxa"/>
            <w:noWrap/>
            <w:hideMark/>
          </w:tcPr>
          <w:p w:rsidR="003B73A9" w:rsidRPr="00F502C3" w:rsidRDefault="003B73A9" w:rsidP="00DD4D31">
            <w:pPr>
              <w:jc w:val="both"/>
              <w:rPr>
                <w:rFonts w:ascii="Times New Roman" w:hAnsi="Times New Roman" w:cs="Times New Roman"/>
                <w:b/>
                <w:bCs/>
              </w:rPr>
            </w:pPr>
            <w:r w:rsidRPr="00F502C3">
              <w:rPr>
                <w:rFonts w:ascii="Times New Roman" w:hAnsi="Times New Roman" w:cs="Times New Roman"/>
                <w:b/>
                <w:bCs/>
              </w:rPr>
              <w:t>ROA</w:t>
            </w:r>
          </w:p>
        </w:tc>
        <w:tc>
          <w:tcPr>
            <w:tcW w:w="1220" w:type="dxa"/>
            <w:noWrap/>
            <w:hideMark/>
          </w:tcPr>
          <w:p w:rsidR="003B73A9" w:rsidRPr="00F502C3" w:rsidRDefault="003B73A9" w:rsidP="00DD4D31">
            <w:pPr>
              <w:jc w:val="both"/>
              <w:rPr>
                <w:rFonts w:ascii="Times New Roman" w:hAnsi="Times New Roman" w:cs="Times New Roman"/>
                <w:b/>
                <w:bCs/>
              </w:rPr>
            </w:pPr>
            <w:r w:rsidRPr="00F502C3">
              <w:rPr>
                <w:rFonts w:ascii="Times New Roman" w:hAnsi="Times New Roman" w:cs="Times New Roman"/>
                <w:b/>
                <w:bCs/>
              </w:rPr>
              <w:t>EPS</w:t>
            </w:r>
          </w:p>
        </w:tc>
        <w:tc>
          <w:tcPr>
            <w:tcW w:w="1220" w:type="dxa"/>
            <w:noWrap/>
            <w:hideMark/>
          </w:tcPr>
          <w:p w:rsidR="003B73A9" w:rsidRPr="00F502C3" w:rsidRDefault="003B73A9" w:rsidP="00DD4D31">
            <w:pPr>
              <w:jc w:val="both"/>
              <w:rPr>
                <w:rFonts w:ascii="Times New Roman" w:hAnsi="Times New Roman" w:cs="Times New Roman"/>
                <w:b/>
                <w:bCs/>
              </w:rPr>
            </w:pPr>
            <w:r w:rsidRPr="00F502C3">
              <w:rPr>
                <w:rFonts w:ascii="Times New Roman" w:hAnsi="Times New Roman" w:cs="Times New Roman"/>
                <w:b/>
                <w:bCs/>
              </w:rPr>
              <w:t>ROCE</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2018</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0.62%</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8.35%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1.15%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1.65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3.09%</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2017</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0.98%</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12.19%</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0.84%</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2.36</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3.33%</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2016</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1.04%</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11.78%</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1.09%</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2.15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2.40%</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2015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0.78%</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8.68%</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1.06%</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1.48</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2.87%</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2014</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1.05%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11.34%</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0.66%</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1.92</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1.98%</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2013</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0.96%</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10.27%</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1.06%</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1.65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1.65%</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2012</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1.24%</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11.45%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1.45%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2.05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2.65%</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2011</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1.55%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9.75%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1.65%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2.18</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2.54%</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2010</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3.05%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10.37%</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3.54%</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3.77</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3.88%</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2009</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2.03%</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12.03%</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2.19%</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5.21</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3.00%</w:t>
            </w:r>
          </w:p>
        </w:tc>
      </w:tr>
      <w:tr w:rsidR="003B73A9" w:rsidRPr="00F502C3" w:rsidTr="00E84D58">
        <w:trPr>
          <w:trHeight w:val="550"/>
        </w:trPr>
        <w:tc>
          <w:tcPr>
            <w:tcW w:w="3791"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Exim Bank 2008</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3.08%</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11.77%</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1.83%</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40.95</w:t>
            </w:r>
          </w:p>
        </w:tc>
        <w:tc>
          <w:tcPr>
            <w:tcW w:w="1220" w:type="dxa"/>
            <w:noWrap/>
            <w:hideMark/>
          </w:tcPr>
          <w:p w:rsidR="003B73A9" w:rsidRPr="00F502C3" w:rsidRDefault="003B73A9" w:rsidP="00DD4D31">
            <w:pPr>
              <w:jc w:val="both"/>
              <w:rPr>
                <w:rFonts w:ascii="Times New Roman" w:hAnsi="Times New Roman" w:cs="Times New Roman"/>
              </w:rPr>
            </w:pPr>
            <w:r w:rsidRPr="00F502C3">
              <w:rPr>
                <w:rFonts w:ascii="Times New Roman" w:hAnsi="Times New Roman" w:cs="Times New Roman"/>
              </w:rPr>
              <w:t>2.30%</w:t>
            </w:r>
          </w:p>
        </w:tc>
      </w:tr>
    </w:tbl>
    <w:p w:rsidR="00141E60" w:rsidRPr="00F502C3" w:rsidRDefault="00141E60" w:rsidP="00DD4D31">
      <w:pPr>
        <w:tabs>
          <w:tab w:val="left" w:pos="250"/>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jc w:val="both"/>
        <w:rPr>
          <w:rFonts w:ascii="Times New Roman" w:hAnsi="Times New Roman" w:cs="Times New Roman"/>
        </w:rPr>
      </w:pPr>
    </w:p>
    <w:p w:rsidR="00E84D58" w:rsidRDefault="00AC1DA7" w:rsidP="00E84D58">
      <w:pPr>
        <w:tabs>
          <w:tab w:val="left" w:pos="250"/>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jc w:val="both"/>
        <w:rPr>
          <w:rFonts w:ascii="Times New Roman" w:hAnsi="Times New Roman" w:cs="Times New Roman"/>
        </w:rPr>
      </w:pPr>
      <w:r>
        <w:rPr>
          <w:noProof/>
        </w:rPr>
        <w:drawing>
          <wp:inline distT="0" distB="0" distL="0" distR="0" wp14:anchorId="5A6ABAF2" wp14:editId="4B92C63B">
            <wp:extent cx="5794744" cy="191386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3660B3" w:rsidRPr="00F502C3">
        <w:rPr>
          <w:rFonts w:ascii="Times New Roman" w:hAnsi="Times New Roman" w:cs="Times New Roman"/>
        </w:rPr>
        <w:tab/>
      </w:r>
    </w:p>
    <w:p w:rsidR="00155EFA" w:rsidRPr="00E84D58" w:rsidRDefault="00AC1DA7" w:rsidP="00E84D58">
      <w:pPr>
        <w:tabs>
          <w:tab w:val="left" w:pos="250"/>
          <w:tab w:val="left" w:pos="720"/>
          <w:tab w:val="left" w:pos="1440"/>
          <w:tab w:val="left" w:pos="2160"/>
          <w:tab w:val="left" w:pos="2880"/>
          <w:tab w:val="left" w:pos="3600"/>
          <w:tab w:val="left" w:pos="4320"/>
          <w:tab w:val="left" w:pos="5040"/>
          <w:tab w:val="left" w:pos="5760"/>
          <w:tab w:val="left" w:pos="6480"/>
          <w:tab w:val="left" w:pos="7200"/>
          <w:tab w:val="left" w:pos="7920"/>
          <w:tab w:val="right" w:pos="9360"/>
        </w:tabs>
        <w:jc w:val="both"/>
        <w:rPr>
          <w:rFonts w:ascii="Times New Roman" w:hAnsi="Times New Roman" w:cs="Times New Roman"/>
        </w:rPr>
      </w:pPr>
      <w:r>
        <w:rPr>
          <w:rFonts w:ascii="Times New Roman" w:hAnsi="Times New Roman" w:cs="Times New Roman"/>
          <w:sz w:val="24"/>
          <w:szCs w:val="24"/>
        </w:rPr>
        <w:t xml:space="preserve">The chart shows us that EPS was good when it had 40.95 profits in 2008 and it was fallen in 2018 the EPS was </w:t>
      </w:r>
      <w:r w:rsidR="00066152">
        <w:rPr>
          <w:rFonts w:ascii="Times New Roman" w:hAnsi="Times New Roman" w:cs="Times New Roman"/>
          <w:sz w:val="24"/>
          <w:szCs w:val="24"/>
        </w:rPr>
        <w:t>remaining</w:t>
      </w:r>
      <w:r>
        <w:rPr>
          <w:rFonts w:ascii="Times New Roman" w:hAnsi="Times New Roman" w:cs="Times New Roman"/>
          <w:sz w:val="24"/>
          <w:szCs w:val="24"/>
        </w:rPr>
        <w:t xml:space="preserve"> 1.65. That means the profitability fall </w:t>
      </w:r>
      <w:r w:rsidR="005A242D">
        <w:rPr>
          <w:rFonts w:ascii="Times New Roman" w:hAnsi="Times New Roman" w:cs="Times New Roman"/>
          <w:sz w:val="24"/>
          <w:szCs w:val="24"/>
        </w:rPr>
        <w:t>in.</w:t>
      </w:r>
      <w:r>
        <w:rPr>
          <w:rFonts w:ascii="Times New Roman" w:hAnsi="Times New Roman" w:cs="Times New Roman"/>
          <w:sz w:val="24"/>
          <w:szCs w:val="24"/>
        </w:rPr>
        <w:t xml:space="preserve"> </w:t>
      </w:r>
      <w:r w:rsidR="005A242D">
        <w:rPr>
          <w:rFonts w:ascii="Times New Roman" w:hAnsi="Times New Roman" w:cs="Times New Roman"/>
          <w:sz w:val="24"/>
          <w:szCs w:val="24"/>
        </w:rPr>
        <w:t>ROE highest in 2017 and lowest was in 2018. ROCE highest 3.88% in 2010 and lowest was 2014 in 1.98%.ROA was highest</w:t>
      </w:r>
      <w:r w:rsidR="00B50569">
        <w:rPr>
          <w:rFonts w:ascii="Times New Roman" w:hAnsi="Times New Roman" w:cs="Times New Roman"/>
          <w:sz w:val="24"/>
          <w:szCs w:val="24"/>
        </w:rPr>
        <w:t xml:space="preserve"> 3.54% in 2010.ROI lowest in 2018 percentage was 0.62%.  </w:t>
      </w:r>
      <w:r w:rsidR="005A242D">
        <w:rPr>
          <w:rFonts w:ascii="Times New Roman" w:hAnsi="Times New Roman" w:cs="Times New Roman"/>
          <w:sz w:val="24"/>
          <w:szCs w:val="24"/>
        </w:rPr>
        <w:t xml:space="preserve">    </w:t>
      </w:r>
    </w:p>
    <w:p w:rsidR="00141E60" w:rsidRPr="00F502C3" w:rsidRDefault="00141E60" w:rsidP="00DD4D31">
      <w:pPr>
        <w:spacing w:line="360" w:lineRule="auto"/>
        <w:jc w:val="both"/>
        <w:rPr>
          <w:rFonts w:ascii="Times New Roman" w:hAnsi="Times New Roman" w:cs="Times New Roman"/>
          <w:sz w:val="24"/>
          <w:szCs w:val="24"/>
        </w:rPr>
      </w:pPr>
    </w:p>
    <w:p w:rsidR="00C005D3" w:rsidRDefault="00C005D3" w:rsidP="00DD4D31">
      <w:pPr>
        <w:spacing w:line="360" w:lineRule="auto"/>
        <w:jc w:val="both"/>
        <w:rPr>
          <w:rFonts w:ascii="Times New Roman" w:hAnsi="Times New Roman" w:cs="Times New Roman"/>
          <w:b/>
          <w:sz w:val="24"/>
          <w:szCs w:val="24"/>
        </w:rPr>
      </w:pPr>
    </w:p>
    <w:p w:rsidR="00C005D3" w:rsidRDefault="00C005D3" w:rsidP="00E84D58">
      <w:pPr>
        <w:spacing w:line="360" w:lineRule="auto"/>
        <w:jc w:val="center"/>
        <w:rPr>
          <w:rFonts w:ascii="Times New Roman" w:hAnsi="Times New Roman" w:cs="Times New Roman"/>
          <w:b/>
          <w:sz w:val="24"/>
          <w:szCs w:val="24"/>
        </w:rPr>
      </w:pPr>
    </w:p>
    <w:p w:rsidR="006325D4" w:rsidRPr="00F502C3" w:rsidRDefault="00C20CFE" w:rsidP="00E84D58">
      <w:pPr>
        <w:spacing w:line="360" w:lineRule="auto"/>
        <w:jc w:val="center"/>
        <w:rPr>
          <w:rFonts w:ascii="Times New Roman" w:hAnsi="Times New Roman" w:cs="Times New Roman"/>
          <w:b/>
          <w:sz w:val="24"/>
          <w:szCs w:val="24"/>
        </w:rPr>
      </w:pPr>
      <w:r w:rsidRPr="00F502C3">
        <w:rPr>
          <w:rFonts w:ascii="Times New Roman" w:hAnsi="Times New Roman" w:cs="Times New Roman"/>
          <w:b/>
          <w:sz w:val="24"/>
          <w:szCs w:val="24"/>
        </w:rPr>
        <w:t>FIRST SECURITY ISLAMIC BANK Ltd</w:t>
      </w:r>
    </w:p>
    <w:tbl>
      <w:tblPr>
        <w:tblStyle w:val="TableGrid"/>
        <w:tblpPr w:leftFromText="180" w:rightFromText="180" w:vertAnchor="text" w:tblpY="1"/>
        <w:tblOverlap w:val="never"/>
        <w:tblW w:w="10320" w:type="dxa"/>
        <w:tblLook w:val="04A0" w:firstRow="1" w:lastRow="0" w:firstColumn="1" w:lastColumn="0" w:noHBand="0" w:noVBand="1"/>
      </w:tblPr>
      <w:tblGrid>
        <w:gridCol w:w="3955"/>
        <w:gridCol w:w="1273"/>
        <w:gridCol w:w="1273"/>
        <w:gridCol w:w="1273"/>
        <w:gridCol w:w="1273"/>
        <w:gridCol w:w="1273"/>
      </w:tblGrid>
      <w:tr w:rsidR="00F502C3" w:rsidRPr="00F502C3" w:rsidTr="00E84D58">
        <w:trPr>
          <w:trHeight w:val="651"/>
        </w:trPr>
        <w:tc>
          <w:tcPr>
            <w:tcW w:w="3955" w:type="dxa"/>
            <w:noWrap/>
            <w:hideMark/>
          </w:tcPr>
          <w:p w:rsidR="006325D4" w:rsidRPr="00F502C3" w:rsidRDefault="006325D4" w:rsidP="00DD4D31">
            <w:pPr>
              <w:spacing w:line="360" w:lineRule="auto"/>
              <w:jc w:val="both"/>
              <w:rPr>
                <w:rFonts w:ascii="Times New Roman" w:hAnsi="Times New Roman" w:cs="Times New Roman"/>
                <w:b/>
                <w:bCs/>
                <w:sz w:val="20"/>
                <w:szCs w:val="20"/>
              </w:rPr>
            </w:pPr>
            <w:r w:rsidRPr="00F502C3">
              <w:rPr>
                <w:rFonts w:ascii="Times New Roman" w:hAnsi="Times New Roman" w:cs="Times New Roman"/>
                <w:b/>
                <w:bCs/>
                <w:sz w:val="20"/>
                <w:szCs w:val="20"/>
              </w:rPr>
              <w:t xml:space="preserve">Name of Bank Ltd. </w:t>
            </w:r>
          </w:p>
        </w:tc>
        <w:tc>
          <w:tcPr>
            <w:tcW w:w="1273" w:type="dxa"/>
            <w:noWrap/>
            <w:hideMark/>
          </w:tcPr>
          <w:p w:rsidR="006325D4" w:rsidRPr="00F502C3" w:rsidRDefault="006325D4" w:rsidP="00DD4D31">
            <w:pPr>
              <w:spacing w:line="360" w:lineRule="auto"/>
              <w:jc w:val="both"/>
              <w:rPr>
                <w:rFonts w:ascii="Times New Roman" w:hAnsi="Times New Roman" w:cs="Times New Roman"/>
                <w:b/>
                <w:bCs/>
                <w:sz w:val="20"/>
                <w:szCs w:val="20"/>
              </w:rPr>
            </w:pPr>
            <w:r w:rsidRPr="00F502C3">
              <w:rPr>
                <w:rFonts w:ascii="Times New Roman" w:hAnsi="Times New Roman" w:cs="Times New Roman"/>
                <w:b/>
                <w:bCs/>
                <w:sz w:val="20"/>
                <w:szCs w:val="20"/>
              </w:rPr>
              <w:t>ROI</w:t>
            </w:r>
          </w:p>
        </w:tc>
        <w:tc>
          <w:tcPr>
            <w:tcW w:w="1273" w:type="dxa"/>
            <w:noWrap/>
            <w:hideMark/>
          </w:tcPr>
          <w:p w:rsidR="006325D4" w:rsidRPr="00F502C3" w:rsidRDefault="006325D4" w:rsidP="00DD4D31">
            <w:pPr>
              <w:spacing w:line="360" w:lineRule="auto"/>
              <w:jc w:val="both"/>
              <w:rPr>
                <w:rFonts w:ascii="Times New Roman" w:hAnsi="Times New Roman" w:cs="Times New Roman"/>
                <w:b/>
                <w:bCs/>
                <w:sz w:val="20"/>
                <w:szCs w:val="20"/>
              </w:rPr>
            </w:pPr>
            <w:r w:rsidRPr="00F502C3">
              <w:rPr>
                <w:rFonts w:ascii="Times New Roman" w:hAnsi="Times New Roman" w:cs="Times New Roman"/>
                <w:b/>
                <w:bCs/>
                <w:sz w:val="20"/>
                <w:szCs w:val="20"/>
              </w:rPr>
              <w:t>ROE</w:t>
            </w:r>
          </w:p>
        </w:tc>
        <w:tc>
          <w:tcPr>
            <w:tcW w:w="1273" w:type="dxa"/>
            <w:noWrap/>
            <w:hideMark/>
          </w:tcPr>
          <w:p w:rsidR="006325D4" w:rsidRPr="00F502C3" w:rsidRDefault="006325D4" w:rsidP="00DD4D31">
            <w:pPr>
              <w:spacing w:line="360" w:lineRule="auto"/>
              <w:jc w:val="both"/>
              <w:rPr>
                <w:rFonts w:ascii="Times New Roman" w:hAnsi="Times New Roman" w:cs="Times New Roman"/>
                <w:b/>
                <w:bCs/>
                <w:sz w:val="20"/>
                <w:szCs w:val="20"/>
              </w:rPr>
            </w:pPr>
            <w:r w:rsidRPr="00F502C3">
              <w:rPr>
                <w:rFonts w:ascii="Times New Roman" w:hAnsi="Times New Roman" w:cs="Times New Roman"/>
                <w:b/>
                <w:bCs/>
                <w:sz w:val="20"/>
                <w:szCs w:val="20"/>
              </w:rPr>
              <w:t>ROA</w:t>
            </w:r>
          </w:p>
        </w:tc>
        <w:tc>
          <w:tcPr>
            <w:tcW w:w="1273" w:type="dxa"/>
            <w:noWrap/>
            <w:hideMark/>
          </w:tcPr>
          <w:p w:rsidR="006325D4" w:rsidRPr="00F502C3" w:rsidRDefault="006325D4" w:rsidP="00DD4D31">
            <w:pPr>
              <w:spacing w:line="360" w:lineRule="auto"/>
              <w:jc w:val="both"/>
              <w:rPr>
                <w:rFonts w:ascii="Times New Roman" w:hAnsi="Times New Roman" w:cs="Times New Roman"/>
                <w:b/>
                <w:bCs/>
                <w:sz w:val="20"/>
                <w:szCs w:val="20"/>
              </w:rPr>
            </w:pPr>
            <w:r w:rsidRPr="00F502C3">
              <w:rPr>
                <w:rFonts w:ascii="Times New Roman" w:hAnsi="Times New Roman" w:cs="Times New Roman"/>
                <w:b/>
                <w:bCs/>
                <w:sz w:val="20"/>
                <w:szCs w:val="20"/>
              </w:rPr>
              <w:t>EPS</w:t>
            </w:r>
          </w:p>
        </w:tc>
        <w:tc>
          <w:tcPr>
            <w:tcW w:w="1273" w:type="dxa"/>
            <w:noWrap/>
            <w:hideMark/>
          </w:tcPr>
          <w:p w:rsidR="006325D4" w:rsidRPr="00F502C3" w:rsidRDefault="006325D4" w:rsidP="00DD4D31">
            <w:pPr>
              <w:spacing w:line="360" w:lineRule="auto"/>
              <w:jc w:val="both"/>
              <w:rPr>
                <w:rFonts w:ascii="Times New Roman" w:hAnsi="Times New Roman" w:cs="Times New Roman"/>
                <w:b/>
                <w:bCs/>
                <w:sz w:val="20"/>
                <w:szCs w:val="20"/>
              </w:rPr>
            </w:pPr>
            <w:r w:rsidRPr="00F502C3">
              <w:rPr>
                <w:rFonts w:ascii="Times New Roman" w:hAnsi="Times New Roman" w:cs="Times New Roman"/>
                <w:b/>
                <w:bCs/>
                <w:sz w:val="20"/>
                <w:szCs w:val="20"/>
              </w:rPr>
              <w:t>ROCE</w:t>
            </w:r>
          </w:p>
        </w:tc>
      </w:tr>
      <w:tr w:rsidR="00F502C3" w:rsidRPr="00F502C3" w:rsidTr="00E84D58">
        <w:trPr>
          <w:trHeight w:val="651"/>
        </w:trPr>
        <w:tc>
          <w:tcPr>
            <w:tcW w:w="3955" w:type="dxa"/>
            <w:noWrap/>
            <w:hideMark/>
          </w:tcPr>
          <w:p w:rsidR="006325D4" w:rsidRPr="00F502C3" w:rsidRDefault="00E84D58" w:rsidP="00DD4D31">
            <w:pPr>
              <w:spacing w:line="360" w:lineRule="auto"/>
              <w:jc w:val="both"/>
              <w:rPr>
                <w:rFonts w:ascii="Times New Roman" w:hAnsi="Times New Roman" w:cs="Times New Roman"/>
                <w:sz w:val="20"/>
                <w:szCs w:val="20"/>
              </w:rPr>
            </w:pPr>
            <w:r>
              <w:rPr>
                <w:rFonts w:ascii="Times New Roman" w:hAnsi="Times New Roman" w:cs="Times New Roman"/>
                <w:sz w:val="20"/>
                <w:szCs w:val="20"/>
              </w:rPr>
              <w:t>FIRST SECURITY ISLAMI</w:t>
            </w:r>
            <w:r w:rsidR="006325D4" w:rsidRPr="00F502C3">
              <w:rPr>
                <w:rFonts w:ascii="Times New Roman" w:hAnsi="Times New Roman" w:cs="Times New Roman"/>
                <w:sz w:val="20"/>
                <w:szCs w:val="20"/>
              </w:rPr>
              <w:t xml:space="preserve"> Bank 2018</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4.29%</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9.10%</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0.45%</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2.03</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3.33%</w:t>
            </w:r>
          </w:p>
        </w:tc>
      </w:tr>
      <w:tr w:rsidR="00F502C3" w:rsidRPr="00F502C3" w:rsidTr="00E84D58">
        <w:trPr>
          <w:trHeight w:val="651"/>
        </w:trPr>
        <w:tc>
          <w:tcPr>
            <w:tcW w:w="3955" w:type="dxa"/>
            <w:noWrap/>
            <w:hideMark/>
          </w:tcPr>
          <w:p w:rsidR="006325D4" w:rsidRPr="00F502C3" w:rsidRDefault="00E84D58" w:rsidP="00DD4D31">
            <w:pPr>
              <w:spacing w:line="360" w:lineRule="auto"/>
              <w:jc w:val="both"/>
              <w:rPr>
                <w:rFonts w:ascii="Times New Roman" w:hAnsi="Times New Roman" w:cs="Times New Roman"/>
                <w:sz w:val="20"/>
                <w:szCs w:val="20"/>
              </w:rPr>
            </w:pPr>
            <w:r>
              <w:rPr>
                <w:rFonts w:ascii="Times New Roman" w:hAnsi="Times New Roman" w:cs="Times New Roman"/>
                <w:sz w:val="20"/>
                <w:szCs w:val="20"/>
              </w:rPr>
              <w:t>FIRST SECURITY ISLAMI</w:t>
            </w:r>
            <w:r w:rsidR="006325D4" w:rsidRPr="00F502C3">
              <w:rPr>
                <w:rFonts w:ascii="Times New Roman" w:hAnsi="Times New Roman" w:cs="Times New Roman"/>
                <w:sz w:val="20"/>
                <w:szCs w:val="20"/>
              </w:rPr>
              <w:t xml:space="preserve"> Bank 2017</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3.11%</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11.80%</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0.41%</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1.89</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3.76%</w:t>
            </w:r>
          </w:p>
        </w:tc>
      </w:tr>
      <w:tr w:rsidR="00F502C3" w:rsidRPr="00F502C3" w:rsidTr="00E84D58">
        <w:trPr>
          <w:trHeight w:val="651"/>
        </w:trPr>
        <w:tc>
          <w:tcPr>
            <w:tcW w:w="3955" w:type="dxa"/>
            <w:noWrap/>
            <w:hideMark/>
          </w:tcPr>
          <w:p w:rsidR="006325D4" w:rsidRPr="00F502C3" w:rsidRDefault="00E84D58" w:rsidP="00DD4D31">
            <w:pPr>
              <w:spacing w:line="360" w:lineRule="auto"/>
              <w:jc w:val="both"/>
              <w:rPr>
                <w:rFonts w:ascii="Times New Roman" w:hAnsi="Times New Roman" w:cs="Times New Roman"/>
                <w:sz w:val="20"/>
                <w:szCs w:val="20"/>
              </w:rPr>
            </w:pPr>
            <w:r>
              <w:rPr>
                <w:rFonts w:ascii="Times New Roman" w:hAnsi="Times New Roman" w:cs="Times New Roman"/>
                <w:sz w:val="20"/>
                <w:szCs w:val="20"/>
              </w:rPr>
              <w:t>FIRST SECURITY ISLAMI</w:t>
            </w:r>
            <w:r w:rsidR="006325D4" w:rsidRPr="00F502C3">
              <w:rPr>
                <w:rFonts w:ascii="Times New Roman" w:hAnsi="Times New Roman" w:cs="Times New Roman"/>
                <w:sz w:val="20"/>
                <w:szCs w:val="20"/>
              </w:rPr>
              <w:t xml:space="preserve"> Bank 2016</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4.67%</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13.10%</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0.51%</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2.08</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2.09%</w:t>
            </w:r>
          </w:p>
        </w:tc>
      </w:tr>
      <w:tr w:rsidR="00F502C3" w:rsidRPr="00F502C3" w:rsidTr="00E84D58">
        <w:trPr>
          <w:trHeight w:val="651"/>
        </w:trPr>
        <w:tc>
          <w:tcPr>
            <w:tcW w:w="3955" w:type="dxa"/>
            <w:noWrap/>
            <w:hideMark/>
          </w:tcPr>
          <w:p w:rsidR="006325D4" w:rsidRPr="00F502C3" w:rsidRDefault="00E84D58" w:rsidP="00DD4D31">
            <w:pPr>
              <w:spacing w:line="360" w:lineRule="auto"/>
              <w:jc w:val="both"/>
              <w:rPr>
                <w:rFonts w:ascii="Times New Roman" w:hAnsi="Times New Roman" w:cs="Times New Roman"/>
                <w:sz w:val="20"/>
                <w:szCs w:val="20"/>
              </w:rPr>
            </w:pPr>
            <w:r>
              <w:rPr>
                <w:rFonts w:ascii="Times New Roman" w:hAnsi="Times New Roman" w:cs="Times New Roman"/>
                <w:sz w:val="20"/>
                <w:szCs w:val="20"/>
              </w:rPr>
              <w:t>FIRST SECURITY ISLAMI</w:t>
            </w:r>
            <w:r w:rsidR="006325D4" w:rsidRPr="00F502C3">
              <w:rPr>
                <w:rFonts w:ascii="Times New Roman" w:hAnsi="Times New Roman" w:cs="Times New Roman"/>
                <w:sz w:val="20"/>
                <w:szCs w:val="20"/>
              </w:rPr>
              <w:t xml:space="preserve"> Bank 2015</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5.80%</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10.43%</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0.31%</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1.26</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2.17%</w:t>
            </w:r>
          </w:p>
        </w:tc>
      </w:tr>
      <w:tr w:rsidR="00F502C3" w:rsidRPr="00F502C3" w:rsidTr="00E84D58">
        <w:trPr>
          <w:trHeight w:val="651"/>
        </w:trPr>
        <w:tc>
          <w:tcPr>
            <w:tcW w:w="3955" w:type="dxa"/>
            <w:noWrap/>
            <w:hideMark/>
          </w:tcPr>
          <w:p w:rsidR="006325D4" w:rsidRPr="00F502C3" w:rsidRDefault="00E84D58" w:rsidP="00DD4D31">
            <w:pPr>
              <w:spacing w:line="360" w:lineRule="auto"/>
              <w:jc w:val="both"/>
              <w:rPr>
                <w:rFonts w:ascii="Times New Roman" w:hAnsi="Times New Roman" w:cs="Times New Roman"/>
                <w:sz w:val="20"/>
                <w:szCs w:val="20"/>
              </w:rPr>
            </w:pPr>
            <w:r>
              <w:rPr>
                <w:rFonts w:ascii="Times New Roman" w:hAnsi="Times New Roman" w:cs="Times New Roman"/>
                <w:sz w:val="20"/>
                <w:szCs w:val="20"/>
              </w:rPr>
              <w:t>FIRST SECURITY ISLAMI</w:t>
            </w:r>
            <w:r w:rsidR="006325D4" w:rsidRPr="00F502C3">
              <w:rPr>
                <w:rFonts w:ascii="Times New Roman" w:hAnsi="Times New Roman" w:cs="Times New Roman"/>
                <w:sz w:val="20"/>
                <w:szCs w:val="20"/>
              </w:rPr>
              <w:t xml:space="preserve"> Bank 2014</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3.30%</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8.02%</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0.38%</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1.02</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3.76%</w:t>
            </w:r>
          </w:p>
        </w:tc>
      </w:tr>
      <w:tr w:rsidR="00F502C3" w:rsidRPr="00F502C3" w:rsidTr="00E84D58">
        <w:trPr>
          <w:trHeight w:val="651"/>
        </w:trPr>
        <w:tc>
          <w:tcPr>
            <w:tcW w:w="3955" w:type="dxa"/>
            <w:noWrap/>
            <w:hideMark/>
          </w:tcPr>
          <w:p w:rsidR="006325D4" w:rsidRPr="00F502C3" w:rsidRDefault="00E84D58" w:rsidP="00DD4D31">
            <w:pPr>
              <w:spacing w:line="360" w:lineRule="auto"/>
              <w:jc w:val="both"/>
              <w:rPr>
                <w:rFonts w:ascii="Times New Roman" w:hAnsi="Times New Roman" w:cs="Times New Roman"/>
                <w:sz w:val="20"/>
                <w:szCs w:val="20"/>
              </w:rPr>
            </w:pPr>
            <w:r>
              <w:rPr>
                <w:rFonts w:ascii="Times New Roman" w:hAnsi="Times New Roman" w:cs="Times New Roman"/>
                <w:sz w:val="20"/>
                <w:szCs w:val="20"/>
              </w:rPr>
              <w:t>First SECURITY ISLAMI Bank</w:t>
            </w:r>
            <w:r w:rsidR="006325D4" w:rsidRPr="00F502C3">
              <w:rPr>
                <w:rFonts w:ascii="Times New Roman" w:hAnsi="Times New Roman" w:cs="Times New Roman"/>
                <w:sz w:val="20"/>
                <w:szCs w:val="20"/>
              </w:rPr>
              <w:t xml:space="preserve"> 2013</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4.79%</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10.74%</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0.53%</w:t>
            </w:r>
          </w:p>
        </w:tc>
        <w:tc>
          <w:tcPr>
            <w:tcW w:w="1273" w:type="dxa"/>
            <w:noWrap/>
            <w:hideMark/>
          </w:tcPr>
          <w:p w:rsidR="006325D4" w:rsidRPr="00F502C3" w:rsidRDefault="00765452" w:rsidP="00DD4D31">
            <w:pPr>
              <w:spacing w:line="360" w:lineRule="auto"/>
              <w:jc w:val="both"/>
              <w:rPr>
                <w:rFonts w:ascii="Times New Roman" w:hAnsi="Times New Roman" w:cs="Times New Roman"/>
                <w:sz w:val="20"/>
                <w:szCs w:val="20"/>
              </w:rPr>
            </w:pPr>
            <w:r>
              <w:rPr>
                <w:rFonts w:ascii="Times New Roman" w:hAnsi="Times New Roman" w:cs="Times New Roman"/>
                <w:sz w:val="20"/>
                <w:szCs w:val="20"/>
              </w:rPr>
              <w:t>1.87</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3.74%</w:t>
            </w:r>
          </w:p>
        </w:tc>
      </w:tr>
      <w:tr w:rsidR="00F502C3" w:rsidRPr="00F502C3" w:rsidTr="00E84D58">
        <w:trPr>
          <w:trHeight w:val="651"/>
        </w:trPr>
        <w:tc>
          <w:tcPr>
            <w:tcW w:w="3955" w:type="dxa"/>
            <w:noWrap/>
            <w:hideMark/>
          </w:tcPr>
          <w:p w:rsidR="006325D4" w:rsidRPr="00F502C3" w:rsidRDefault="00E84D58" w:rsidP="00DD4D31">
            <w:pPr>
              <w:spacing w:line="360" w:lineRule="auto"/>
              <w:jc w:val="both"/>
              <w:rPr>
                <w:rFonts w:ascii="Times New Roman" w:hAnsi="Times New Roman" w:cs="Times New Roman"/>
                <w:sz w:val="20"/>
                <w:szCs w:val="20"/>
              </w:rPr>
            </w:pPr>
            <w:r>
              <w:rPr>
                <w:rFonts w:ascii="Times New Roman" w:hAnsi="Times New Roman" w:cs="Times New Roman"/>
                <w:sz w:val="20"/>
                <w:szCs w:val="20"/>
              </w:rPr>
              <w:t>First SECURITY ISLAMI Bank</w:t>
            </w:r>
            <w:r w:rsidR="006325D4" w:rsidRPr="00F502C3">
              <w:rPr>
                <w:rFonts w:ascii="Times New Roman" w:hAnsi="Times New Roman" w:cs="Times New Roman"/>
                <w:sz w:val="20"/>
                <w:szCs w:val="20"/>
              </w:rPr>
              <w:t xml:space="preserve"> 2012</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2.46%</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7.35%</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1.50%</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2.04</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2.22%</w:t>
            </w:r>
          </w:p>
        </w:tc>
      </w:tr>
      <w:tr w:rsidR="00F502C3" w:rsidRPr="00F502C3" w:rsidTr="00E84D58">
        <w:trPr>
          <w:trHeight w:val="651"/>
        </w:trPr>
        <w:tc>
          <w:tcPr>
            <w:tcW w:w="3955" w:type="dxa"/>
            <w:noWrap/>
            <w:hideMark/>
          </w:tcPr>
          <w:p w:rsidR="006325D4" w:rsidRPr="00F502C3" w:rsidRDefault="00E84D58" w:rsidP="00DD4D31">
            <w:pPr>
              <w:spacing w:line="360" w:lineRule="auto"/>
              <w:jc w:val="both"/>
              <w:rPr>
                <w:rFonts w:ascii="Times New Roman" w:hAnsi="Times New Roman" w:cs="Times New Roman"/>
                <w:sz w:val="20"/>
                <w:szCs w:val="20"/>
              </w:rPr>
            </w:pPr>
            <w:r>
              <w:rPr>
                <w:rFonts w:ascii="Times New Roman" w:hAnsi="Times New Roman" w:cs="Times New Roman"/>
                <w:sz w:val="20"/>
                <w:szCs w:val="20"/>
              </w:rPr>
              <w:t>First SECURITY ISLAMI Bank</w:t>
            </w:r>
            <w:r w:rsidR="006325D4" w:rsidRPr="00F502C3">
              <w:rPr>
                <w:rFonts w:ascii="Times New Roman" w:hAnsi="Times New Roman" w:cs="Times New Roman"/>
                <w:sz w:val="20"/>
                <w:szCs w:val="20"/>
              </w:rPr>
              <w:t xml:space="preserve"> 2011</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2.05%</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11.32%</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1.75%</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1.71</w:t>
            </w:r>
          </w:p>
        </w:tc>
        <w:tc>
          <w:tcPr>
            <w:tcW w:w="1273" w:type="dxa"/>
            <w:noWrap/>
            <w:hideMark/>
          </w:tcPr>
          <w:p w:rsidR="006325D4" w:rsidRPr="00F502C3" w:rsidRDefault="006325D4" w:rsidP="00DD4D31">
            <w:pPr>
              <w:spacing w:line="360" w:lineRule="auto"/>
              <w:jc w:val="both"/>
              <w:rPr>
                <w:rFonts w:ascii="Times New Roman" w:hAnsi="Times New Roman" w:cs="Times New Roman"/>
                <w:sz w:val="20"/>
                <w:szCs w:val="20"/>
              </w:rPr>
            </w:pPr>
            <w:r w:rsidRPr="00F502C3">
              <w:rPr>
                <w:rFonts w:ascii="Times New Roman" w:hAnsi="Times New Roman" w:cs="Times New Roman"/>
                <w:sz w:val="20"/>
                <w:szCs w:val="20"/>
              </w:rPr>
              <w:t>2.43%</w:t>
            </w:r>
          </w:p>
        </w:tc>
      </w:tr>
    </w:tbl>
    <w:p w:rsidR="00481062" w:rsidRPr="00F502C3" w:rsidRDefault="00481062" w:rsidP="00DD4D31">
      <w:pPr>
        <w:spacing w:line="360" w:lineRule="auto"/>
        <w:jc w:val="both"/>
        <w:rPr>
          <w:rFonts w:ascii="Times New Roman" w:hAnsi="Times New Roman" w:cs="Times New Roman"/>
          <w:sz w:val="24"/>
          <w:szCs w:val="24"/>
        </w:rPr>
      </w:pPr>
    </w:p>
    <w:p w:rsidR="00F502C3" w:rsidRDefault="00B43C50" w:rsidP="00DD4D31">
      <w:pPr>
        <w:spacing w:line="360" w:lineRule="auto"/>
        <w:jc w:val="both"/>
        <w:rPr>
          <w:rFonts w:ascii="Times New Roman" w:hAnsi="Times New Roman" w:cs="Times New Roman"/>
          <w:sz w:val="24"/>
          <w:szCs w:val="24"/>
        </w:rPr>
      </w:pPr>
      <w:r w:rsidRPr="00B43C50">
        <w:rPr>
          <w:noProof/>
          <w:color w:val="00B050"/>
        </w:rPr>
        <w:drawing>
          <wp:inline distT="0" distB="0" distL="0" distR="0" wp14:anchorId="71E95A0E" wp14:editId="2030CA3E">
            <wp:extent cx="6188149" cy="2923954"/>
            <wp:effectExtent l="0" t="0" r="3175"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F502C3" w:rsidRDefault="00B43C50" w:rsidP="00FC43E9">
      <w:pPr>
        <w:jc w:val="both"/>
        <w:rPr>
          <w:rFonts w:ascii="Times New Roman" w:hAnsi="Times New Roman" w:cs="Times New Roman"/>
          <w:sz w:val="24"/>
          <w:szCs w:val="24"/>
        </w:rPr>
      </w:pPr>
      <w:r>
        <w:rPr>
          <w:rFonts w:ascii="Times New Roman" w:hAnsi="Times New Roman" w:cs="Times New Roman"/>
          <w:sz w:val="24"/>
          <w:szCs w:val="24"/>
        </w:rPr>
        <w:t xml:space="preserve">5.80% was the highest ROI in 2015. And lowest was 2.05% was 2011. </w:t>
      </w:r>
      <w:r w:rsidR="000A2EB5">
        <w:rPr>
          <w:rFonts w:ascii="Times New Roman" w:hAnsi="Times New Roman" w:cs="Times New Roman"/>
          <w:sz w:val="24"/>
          <w:szCs w:val="24"/>
        </w:rPr>
        <w:t xml:space="preserve">ROE performance of the bank highest ratio was 13.10% and lowest was 7.35% in 2012. Every year the ratio </w:t>
      </w:r>
      <w:r w:rsidR="00765452">
        <w:rPr>
          <w:rFonts w:ascii="Times New Roman" w:hAnsi="Times New Roman" w:cs="Times New Roman"/>
          <w:sz w:val="24"/>
          <w:szCs w:val="24"/>
        </w:rPr>
        <w:t xml:space="preserve">was below 2. 1.75% was the highest ratio in 2011.EPS was not so good. That’s why we can say the profitability </w:t>
      </w:r>
      <w:r w:rsidR="00FC43E9">
        <w:rPr>
          <w:rFonts w:ascii="Times New Roman" w:hAnsi="Times New Roman" w:cs="Times New Roman"/>
          <w:sz w:val="24"/>
          <w:szCs w:val="24"/>
        </w:rPr>
        <w:t>was not good. ROCE was highest was 3.76 in 201</w:t>
      </w:r>
      <w:r w:rsidR="00F502C3">
        <w:rPr>
          <w:rFonts w:ascii="Times New Roman" w:hAnsi="Times New Roman" w:cs="Times New Roman"/>
          <w:sz w:val="24"/>
          <w:szCs w:val="24"/>
        </w:rPr>
        <w:t xml:space="preserve">First security Islamic Bank ltd. </w:t>
      </w:r>
    </w:p>
    <w:p w:rsidR="00FC43E9" w:rsidRPr="00E84D58" w:rsidRDefault="00FC43E9" w:rsidP="00E84D58">
      <w:pPr>
        <w:spacing w:line="360" w:lineRule="auto"/>
        <w:jc w:val="center"/>
        <w:rPr>
          <w:rFonts w:ascii="Times New Roman" w:hAnsi="Times New Roman" w:cs="Times New Roman"/>
          <w:b/>
          <w:sz w:val="24"/>
          <w:szCs w:val="24"/>
        </w:rPr>
      </w:pPr>
      <w:r w:rsidRPr="00E84D58">
        <w:rPr>
          <w:rFonts w:ascii="Times New Roman" w:hAnsi="Times New Roman" w:cs="Times New Roman"/>
          <w:b/>
          <w:sz w:val="24"/>
          <w:szCs w:val="24"/>
        </w:rPr>
        <w:t>ICB ISLAMI Bank Ltd</w:t>
      </w:r>
    </w:p>
    <w:tbl>
      <w:tblPr>
        <w:tblStyle w:val="TableGrid"/>
        <w:tblW w:w="9945" w:type="dxa"/>
        <w:tblLook w:val="04A0" w:firstRow="1" w:lastRow="0" w:firstColumn="1" w:lastColumn="0" w:noHBand="0" w:noVBand="1"/>
      </w:tblPr>
      <w:tblGrid>
        <w:gridCol w:w="3810"/>
        <w:gridCol w:w="1227"/>
        <w:gridCol w:w="1227"/>
        <w:gridCol w:w="1227"/>
        <w:gridCol w:w="1227"/>
        <w:gridCol w:w="1227"/>
      </w:tblGrid>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b/>
                <w:bCs/>
                <w:sz w:val="24"/>
                <w:szCs w:val="24"/>
              </w:rPr>
            </w:pPr>
            <w:r w:rsidRPr="00FC43E9">
              <w:rPr>
                <w:rFonts w:ascii="Times New Roman" w:hAnsi="Times New Roman" w:cs="Times New Roman"/>
                <w:b/>
                <w:bCs/>
                <w:sz w:val="24"/>
                <w:szCs w:val="24"/>
              </w:rPr>
              <w:t xml:space="preserve">Name of Bank Ltd. </w:t>
            </w:r>
          </w:p>
        </w:tc>
        <w:tc>
          <w:tcPr>
            <w:tcW w:w="1227" w:type="dxa"/>
            <w:noWrap/>
            <w:hideMark/>
          </w:tcPr>
          <w:p w:rsidR="00FC43E9" w:rsidRPr="00FC43E9" w:rsidRDefault="00FC43E9" w:rsidP="00FC43E9">
            <w:pPr>
              <w:spacing w:line="360" w:lineRule="auto"/>
              <w:jc w:val="both"/>
              <w:rPr>
                <w:rFonts w:ascii="Times New Roman" w:hAnsi="Times New Roman" w:cs="Times New Roman"/>
                <w:b/>
                <w:bCs/>
                <w:sz w:val="24"/>
                <w:szCs w:val="24"/>
              </w:rPr>
            </w:pPr>
            <w:r w:rsidRPr="00FC43E9">
              <w:rPr>
                <w:rFonts w:ascii="Times New Roman" w:hAnsi="Times New Roman" w:cs="Times New Roman"/>
                <w:b/>
                <w:bCs/>
                <w:sz w:val="24"/>
                <w:szCs w:val="24"/>
              </w:rPr>
              <w:t>ROI</w:t>
            </w:r>
          </w:p>
        </w:tc>
        <w:tc>
          <w:tcPr>
            <w:tcW w:w="1227" w:type="dxa"/>
            <w:noWrap/>
            <w:hideMark/>
          </w:tcPr>
          <w:p w:rsidR="00FC43E9" w:rsidRPr="00FC43E9" w:rsidRDefault="00FC43E9" w:rsidP="00FC43E9">
            <w:pPr>
              <w:spacing w:line="360" w:lineRule="auto"/>
              <w:jc w:val="both"/>
              <w:rPr>
                <w:rFonts w:ascii="Times New Roman" w:hAnsi="Times New Roman" w:cs="Times New Roman"/>
                <w:b/>
                <w:bCs/>
                <w:sz w:val="24"/>
                <w:szCs w:val="24"/>
              </w:rPr>
            </w:pPr>
            <w:r w:rsidRPr="00FC43E9">
              <w:rPr>
                <w:rFonts w:ascii="Times New Roman" w:hAnsi="Times New Roman" w:cs="Times New Roman"/>
                <w:b/>
                <w:bCs/>
                <w:sz w:val="24"/>
                <w:szCs w:val="24"/>
              </w:rPr>
              <w:t>ROE</w:t>
            </w:r>
          </w:p>
        </w:tc>
        <w:tc>
          <w:tcPr>
            <w:tcW w:w="1227" w:type="dxa"/>
            <w:noWrap/>
            <w:hideMark/>
          </w:tcPr>
          <w:p w:rsidR="00FC43E9" w:rsidRPr="00FC43E9" w:rsidRDefault="00FC43E9" w:rsidP="00FC43E9">
            <w:pPr>
              <w:spacing w:line="360" w:lineRule="auto"/>
              <w:jc w:val="both"/>
              <w:rPr>
                <w:rFonts w:ascii="Times New Roman" w:hAnsi="Times New Roman" w:cs="Times New Roman"/>
                <w:b/>
                <w:bCs/>
                <w:sz w:val="24"/>
                <w:szCs w:val="24"/>
              </w:rPr>
            </w:pPr>
            <w:r w:rsidRPr="00FC43E9">
              <w:rPr>
                <w:rFonts w:ascii="Times New Roman" w:hAnsi="Times New Roman" w:cs="Times New Roman"/>
                <w:b/>
                <w:bCs/>
                <w:sz w:val="24"/>
                <w:szCs w:val="24"/>
              </w:rPr>
              <w:t>ROA</w:t>
            </w:r>
          </w:p>
        </w:tc>
        <w:tc>
          <w:tcPr>
            <w:tcW w:w="1227" w:type="dxa"/>
            <w:noWrap/>
            <w:hideMark/>
          </w:tcPr>
          <w:p w:rsidR="00FC43E9" w:rsidRPr="00FC43E9" w:rsidRDefault="00FC43E9" w:rsidP="00FC43E9">
            <w:pPr>
              <w:spacing w:line="360" w:lineRule="auto"/>
              <w:jc w:val="both"/>
              <w:rPr>
                <w:rFonts w:ascii="Times New Roman" w:hAnsi="Times New Roman" w:cs="Times New Roman"/>
                <w:b/>
                <w:bCs/>
                <w:sz w:val="24"/>
                <w:szCs w:val="24"/>
              </w:rPr>
            </w:pPr>
            <w:r w:rsidRPr="00FC43E9">
              <w:rPr>
                <w:rFonts w:ascii="Times New Roman" w:hAnsi="Times New Roman" w:cs="Times New Roman"/>
                <w:b/>
                <w:bCs/>
                <w:sz w:val="24"/>
                <w:szCs w:val="24"/>
              </w:rPr>
              <w:t>EPS</w:t>
            </w:r>
          </w:p>
        </w:tc>
        <w:tc>
          <w:tcPr>
            <w:tcW w:w="1227" w:type="dxa"/>
            <w:noWrap/>
            <w:hideMark/>
          </w:tcPr>
          <w:p w:rsidR="00FC43E9" w:rsidRPr="00FC43E9" w:rsidRDefault="00FC43E9" w:rsidP="00FC43E9">
            <w:pPr>
              <w:spacing w:line="360" w:lineRule="auto"/>
              <w:jc w:val="both"/>
              <w:rPr>
                <w:rFonts w:ascii="Times New Roman" w:hAnsi="Times New Roman" w:cs="Times New Roman"/>
                <w:b/>
                <w:bCs/>
                <w:sz w:val="24"/>
                <w:szCs w:val="24"/>
              </w:rPr>
            </w:pPr>
            <w:r w:rsidRPr="00FC43E9">
              <w:rPr>
                <w:rFonts w:ascii="Times New Roman" w:hAnsi="Times New Roman" w:cs="Times New Roman"/>
                <w:b/>
                <w:bCs/>
                <w:sz w:val="24"/>
                <w:szCs w:val="24"/>
              </w:rPr>
              <w:t>ROCE</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2018</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3%</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4.43%</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-4.25%</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-0.73</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0.18%</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2017</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0.63%</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3.87%</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-3.44%</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-0.61</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0.88%</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2016</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2.13%</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2.69%</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-2.21%</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-0.41</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1.05%</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2015</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1.44%</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-1.11%</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-0.21</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0.90%</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2014</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3%</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2.97%</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-1.33%</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-0.43</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2.03%</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2013</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4%</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7.28%</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-4.76%</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-1.02</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2.11%</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2012</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12.18%</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-7.02%</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-1.6</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1.75%</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2011</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23.57%</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-9.97%</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-2.7</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0.98%</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2010</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3%</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23.39%</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-7.29%</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-2.04</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1.44%</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2009</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8%</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16.45%</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-10.92%</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-3.1</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1.56%</w:t>
            </w:r>
          </w:p>
        </w:tc>
      </w:tr>
      <w:tr w:rsidR="00FC43E9" w:rsidRPr="00FC43E9" w:rsidTr="00FC43E9">
        <w:trPr>
          <w:trHeight w:val="357"/>
        </w:trPr>
        <w:tc>
          <w:tcPr>
            <w:tcW w:w="3810" w:type="dxa"/>
            <w:noWrap/>
            <w:hideMark/>
          </w:tcPr>
          <w:p w:rsidR="00FC43E9" w:rsidRPr="00FC43E9" w:rsidRDefault="00FC43E9" w:rsidP="00FC43E9">
            <w:pPr>
              <w:spacing w:line="360" w:lineRule="auto"/>
              <w:jc w:val="both"/>
              <w:rPr>
                <w:rFonts w:ascii="Times New Roman" w:hAnsi="Times New Roman" w:cs="Times New Roman"/>
                <w:sz w:val="24"/>
                <w:szCs w:val="24"/>
              </w:rPr>
            </w:pPr>
            <w:r>
              <w:rPr>
                <w:rFonts w:ascii="Times New Roman" w:hAnsi="Times New Roman" w:cs="Times New Roman"/>
                <w:sz w:val="24"/>
                <w:szCs w:val="24"/>
              </w:rPr>
              <w:t>ICB ISLAMI</w:t>
            </w:r>
            <w:r w:rsidRPr="00FC43E9">
              <w:rPr>
                <w:rFonts w:ascii="Times New Roman" w:hAnsi="Times New Roman" w:cs="Times New Roman"/>
                <w:sz w:val="24"/>
                <w:szCs w:val="24"/>
              </w:rPr>
              <w:t xml:space="preserve"> Bank 2008</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15%</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11.70%</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-3.96%</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-156.64</w:t>
            </w:r>
          </w:p>
        </w:tc>
        <w:tc>
          <w:tcPr>
            <w:tcW w:w="1227" w:type="dxa"/>
            <w:noWrap/>
            <w:hideMark/>
          </w:tcPr>
          <w:p w:rsidR="00FC43E9" w:rsidRPr="00FC43E9" w:rsidRDefault="00FC43E9" w:rsidP="00FC43E9">
            <w:pPr>
              <w:spacing w:line="360" w:lineRule="auto"/>
              <w:jc w:val="both"/>
              <w:rPr>
                <w:rFonts w:ascii="Times New Roman" w:hAnsi="Times New Roman" w:cs="Times New Roman"/>
                <w:sz w:val="24"/>
                <w:szCs w:val="24"/>
              </w:rPr>
            </w:pPr>
            <w:r w:rsidRPr="00FC43E9">
              <w:rPr>
                <w:rFonts w:ascii="Times New Roman" w:hAnsi="Times New Roman" w:cs="Times New Roman"/>
                <w:sz w:val="24"/>
                <w:szCs w:val="24"/>
              </w:rPr>
              <w:t>1.33%</w:t>
            </w:r>
          </w:p>
        </w:tc>
      </w:tr>
    </w:tbl>
    <w:p w:rsidR="00F502C3" w:rsidRDefault="00F502C3" w:rsidP="00DD4D31">
      <w:pPr>
        <w:spacing w:line="360" w:lineRule="auto"/>
        <w:jc w:val="both"/>
        <w:rPr>
          <w:rFonts w:ascii="Times New Roman" w:hAnsi="Times New Roman" w:cs="Times New Roman"/>
          <w:sz w:val="24"/>
          <w:szCs w:val="24"/>
        </w:rPr>
      </w:pPr>
    </w:p>
    <w:p w:rsidR="00FC43E9" w:rsidRDefault="00FC43E9" w:rsidP="00DD4D31">
      <w:pPr>
        <w:spacing w:line="360" w:lineRule="auto"/>
        <w:jc w:val="both"/>
        <w:rPr>
          <w:rFonts w:ascii="Times New Roman" w:hAnsi="Times New Roman" w:cs="Times New Roman"/>
          <w:sz w:val="24"/>
          <w:szCs w:val="24"/>
        </w:rPr>
      </w:pPr>
      <w:r>
        <w:rPr>
          <w:noProof/>
        </w:rPr>
        <w:drawing>
          <wp:inline distT="0" distB="0" distL="0" distR="0" wp14:anchorId="5518FA57" wp14:editId="16621A2E">
            <wp:extent cx="6113721" cy="2275367"/>
            <wp:effectExtent l="0" t="0" r="1905"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502C3" w:rsidRDefault="00FC43E9"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see the graph many negative </w:t>
      </w:r>
      <w:r w:rsidR="00066152">
        <w:rPr>
          <w:rFonts w:ascii="Times New Roman" w:hAnsi="Times New Roman" w:cs="Times New Roman"/>
          <w:sz w:val="24"/>
          <w:szCs w:val="24"/>
        </w:rPr>
        <w:t>ratios</w:t>
      </w:r>
      <w:r>
        <w:rPr>
          <w:rFonts w:ascii="Times New Roman" w:hAnsi="Times New Roman" w:cs="Times New Roman"/>
          <w:sz w:val="24"/>
          <w:szCs w:val="24"/>
        </w:rPr>
        <w:t xml:space="preserve"> cause </w:t>
      </w:r>
      <w:r w:rsidR="00A229AA">
        <w:rPr>
          <w:rFonts w:ascii="Times New Roman" w:hAnsi="Times New Roman" w:cs="Times New Roman"/>
          <w:sz w:val="24"/>
          <w:szCs w:val="24"/>
        </w:rPr>
        <w:t>the chart fallen in and their move down in. ROA was negative percentage that means the profitability from asset are not generate. Profitability was bad. ROCE also shows negative percentage.</w:t>
      </w:r>
      <w:r w:rsidR="005A048C">
        <w:rPr>
          <w:rFonts w:ascii="Times New Roman" w:hAnsi="Times New Roman" w:cs="Times New Roman"/>
          <w:sz w:val="24"/>
          <w:szCs w:val="24"/>
        </w:rPr>
        <w:t xml:space="preserve"> </w:t>
      </w:r>
      <w:r w:rsidR="00A229AA">
        <w:rPr>
          <w:rFonts w:ascii="Times New Roman" w:hAnsi="Times New Roman" w:cs="Times New Roman"/>
          <w:sz w:val="24"/>
          <w:szCs w:val="24"/>
        </w:rPr>
        <w:t>That</w:t>
      </w:r>
      <w:r w:rsidR="005A048C">
        <w:rPr>
          <w:rFonts w:ascii="Times New Roman" w:hAnsi="Times New Roman" w:cs="Times New Roman"/>
          <w:sz w:val="24"/>
          <w:szCs w:val="24"/>
        </w:rPr>
        <w:t xml:space="preserve"> means capital not used properly to generate profit.</w:t>
      </w:r>
      <w:r w:rsidR="00A229AA">
        <w:rPr>
          <w:rFonts w:ascii="Times New Roman" w:hAnsi="Times New Roman" w:cs="Times New Roman"/>
          <w:sz w:val="24"/>
          <w:szCs w:val="24"/>
        </w:rPr>
        <w:t xml:space="preserve">   </w:t>
      </w:r>
    </w:p>
    <w:p w:rsidR="00F502C3" w:rsidRPr="00F502C3" w:rsidRDefault="00F502C3" w:rsidP="00DD4D31">
      <w:pPr>
        <w:spacing w:line="360" w:lineRule="auto"/>
        <w:jc w:val="both"/>
        <w:rPr>
          <w:rFonts w:ascii="Times New Roman" w:hAnsi="Times New Roman" w:cs="Times New Roman"/>
          <w:sz w:val="24"/>
          <w:szCs w:val="24"/>
        </w:rPr>
      </w:pPr>
    </w:p>
    <w:p w:rsidR="00C005D3" w:rsidRDefault="00C005D3" w:rsidP="00DD4D31">
      <w:pPr>
        <w:spacing w:line="360" w:lineRule="auto"/>
        <w:jc w:val="both"/>
        <w:rPr>
          <w:rFonts w:ascii="Times New Roman" w:hAnsi="Times New Roman" w:cs="Times New Roman"/>
          <w:b/>
          <w:sz w:val="24"/>
          <w:szCs w:val="24"/>
        </w:rPr>
      </w:pPr>
    </w:p>
    <w:p w:rsidR="001E5012" w:rsidRDefault="001E5012" w:rsidP="00DD4D31">
      <w:pPr>
        <w:spacing w:line="360" w:lineRule="auto"/>
        <w:jc w:val="both"/>
        <w:rPr>
          <w:rFonts w:ascii="Times New Roman" w:hAnsi="Times New Roman" w:cs="Times New Roman"/>
          <w:b/>
          <w:sz w:val="24"/>
          <w:szCs w:val="24"/>
        </w:rPr>
      </w:pPr>
    </w:p>
    <w:p w:rsidR="001E5012" w:rsidRDefault="001E5012" w:rsidP="00DD4D31">
      <w:pPr>
        <w:spacing w:line="360" w:lineRule="auto"/>
        <w:jc w:val="both"/>
        <w:rPr>
          <w:rFonts w:ascii="Times New Roman" w:hAnsi="Times New Roman" w:cs="Times New Roman"/>
          <w:b/>
          <w:sz w:val="24"/>
          <w:szCs w:val="24"/>
        </w:rPr>
      </w:pPr>
    </w:p>
    <w:p w:rsidR="001E5012" w:rsidRDefault="001E5012" w:rsidP="00DD4D31">
      <w:pPr>
        <w:spacing w:line="360" w:lineRule="auto"/>
        <w:jc w:val="both"/>
        <w:rPr>
          <w:rFonts w:ascii="Times New Roman" w:hAnsi="Times New Roman" w:cs="Times New Roman"/>
          <w:b/>
          <w:sz w:val="24"/>
          <w:szCs w:val="24"/>
        </w:rPr>
      </w:pPr>
    </w:p>
    <w:p w:rsidR="001E5012" w:rsidRDefault="001E5012" w:rsidP="00DD4D31">
      <w:pPr>
        <w:spacing w:line="360" w:lineRule="auto"/>
        <w:jc w:val="both"/>
        <w:rPr>
          <w:rFonts w:ascii="Times New Roman" w:hAnsi="Times New Roman" w:cs="Times New Roman"/>
          <w:b/>
          <w:sz w:val="24"/>
          <w:szCs w:val="24"/>
        </w:rPr>
      </w:pPr>
    </w:p>
    <w:p w:rsidR="00E84D58" w:rsidRDefault="00E84D58" w:rsidP="00DD4D31">
      <w:pPr>
        <w:spacing w:line="360" w:lineRule="auto"/>
        <w:jc w:val="both"/>
        <w:rPr>
          <w:rFonts w:ascii="Times New Roman" w:hAnsi="Times New Roman" w:cs="Times New Roman"/>
          <w:b/>
          <w:sz w:val="24"/>
          <w:szCs w:val="24"/>
        </w:rPr>
      </w:pPr>
    </w:p>
    <w:p w:rsidR="00E84D58" w:rsidRDefault="00E84D58" w:rsidP="00DD4D31">
      <w:pPr>
        <w:spacing w:line="360" w:lineRule="auto"/>
        <w:jc w:val="both"/>
        <w:rPr>
          <w:rFonts w:ascii="Times New Roman" w:hAnsi="Times New Roman" w:cs="Times New Roman"/>
          <w:b/>
          <w:sz w:val="24"/>
          <w:szCs w:val="24"/>
        </w:rPr>
      </w:pPr>
    </w:p>
    <w:p w:rsidR="00E84D58" w:rsidRDefault="00E84D58" w:rsidP="00DD4D31">
      <w:pPr>
        <w:spacing w:line="360" w:lineRule="auto"/>
        <w:jc w:val="both"/>
        <w:rPr>
          <w:rFonts w:ascii="Times New Roman" w:hAnsi="Times New Roman" w:cs="Times New Roman"/>
          <w:b/>
          <w:sz w:val="24"/>
          <w:szCs w:val="24"/>
        </w:rPr>
      </w:pPr>
    </w:p>
    <w:p w:rsidR="00E84D58" w:rsidRDefault="00E84D58" w:rsidP="00DD4D31">
      <w:pPr>
        <w:spacing w:line="360" w:lineRule="auto"/>
        <w:jc w:val="both"/>
        <w:rPr>
          <w:rFonts w:ascii="Times New Roman" w:hAnsi="Times New Roman" w:cs="Times New Roman"/>
          <w:b/>
          <w:sz w:val="24"/>
          <w:szCs w:val="24"/>
        </w:rPr>
      </w:pPr>
    </w:p>
    <w:p w:rsidR="001E5012" w:rsidRDefault="001E5012" w:rsidP="00E84D5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IFIC Bank Ltd</w:t>
      </w:r>
    </w:p>
    <w:tbl>
      <w:tblPr>
        <w:tblStyle w:val="TableGrid"/>
        <w:tblW w:w="9836" w:type="dxa"/>
        <w:tblLook w:val="04A0" w:firstRow="1" w:lastRow="0" w:firstColumn="1" w:lastColumn="0" w:noHBand="0" w:noVBand="1"/>
      </w:tblPr>
      <w:tblGrid>
        <w:gridCol w:w="3733"/>
        <w:gridCol w:w="1247"/>
        <w:gridCol w:w="1247"/>
        <w:gridCol w:w="1203"/>
        <w:gridCol w:w="1203"/>
        <w:gridCol w:w="1203"/>
      </w:tblGrid>
      <w:tr w:rsidR="005A048C" w:rsidRPr="005A048C" w:rsidTr="001545E9">
        <w:trPr>
          <w:trHeight w:val="367"/>
        </w:trPr>
        <w:tc>
          <w:tcPr>
            <w:tcW w:w="3733" w:type="dxa"/>
            <w:noWrap/>
            <w:hideMark/>
          </w:tcPr>
          <w:p w:rsidR="005A048C" w:rsidRPr="005A048C" w:rsidRDefault="005A048C" w:rsidP="005A048C">
            <w:pPr>
              <w:spacing w:line="360" w:lineRule="auto"/>
              <w:jc w:val="both"/>
              <w:rPr>
                <w:rFonts w:ascii="Times New Roman" w:hAnsi="Times New Roman" w:cs="Times New Roman"/>
                <w:b/>
                <w:bCs/>
                <w:sz w:val="24"/>
                <w:szCs w:val="24"/>
              </w:rPr>
            </w:pPr>
            <w:r w:rsidRPr="005A048C">
              <w:rPr>
                <w:rFonts w:ascii="Times New Roman" w:hAnsi="Times New Roman" w:cs="Times New Roman"/>
                <w:b/>
                <w:bCs/>
                <w:sz w:val="24"/>
                <w:szCs w:val="24"/>
              </w:rPr>
              <w:t xml:space="preserve">Name of Bank Ltd. </w:t>
            </w:r>
          </w:p>
        </w:tc>
        <w:tc>
          <w:tcPr>
            <w:tcW w:w="1247" w:type="dxa"/>
            <w:noWrap/>
            <w:hideMark/>
          </w:tcPr>
          <w:p w:rsidR="005A048C" w:rsidRPr="005A048C" w:rsidRDefault="005A048C" w:rsidP="005A048C">
            <w:pPr>
              <w:spacing w:line="360" w:lineRule="auto"/>
              <w:jc w:val="both"/>
              <w:rPr>
                <w:rFonts w:ascii="Times New Roman" w:hAnsi="Times New Roman" w:cs="Times New Roman"/>
                <w:b/>
                <w:bCs/>
                <w:sz w:val="24"/>
                <w:szCs w:val="24"/>
              </w:rPr>
            </w:pPr>
            <w:r w:rsidRPr="005A048C">
              <w:rPr>
                <w:rFonts w:ascii="Times New Roman" w:hAnsi="Times New Roman" w:cs="Times New Roman"/>
                <w:b/>
                <w:bCs/>
                <w:sz w:val="24"/>
                <w:szCs w:val="24"/>
              </w:rPr>
              <w:t>ROI</w:t>
            </w:r>
          </w:p>
        </w:tc>
        <w:tc>
          <w:tcPr>
            <w:tcW w:w="1247" w:type="dxa"/>
            <w:noWrap/>
            <w:hideMark/>
          </w:tcPr>
          <w:p w:rsidR="005A048C" w:rsidRPr="005A048C" w:rsidRDefault="005A048C" w:rsidP="005A048C">
            <w:pPr>
              <w:spacing w:line="360" w:lineRule="auto"/>
              <w:jc w:val="both"/>
              <w:rPr>
                <w:rFonts w:ascii="Times New Roman" w:hAnsi="Times New Roman" w:cs="Times New Roman"/>
                <w:b/>
                <w:bCs/>
                <w:sz w:val="24"/>
                <w:szCs w:val="24"/>
              </w:rPr>
            </w:pPr>
            <w:r w:rsidRPr="005A048C">
              <w:rPr>
                <w:rFonts w:ascii="Times New Roman" w:hAnsi="Times New Roman" w:cs="Times New Roman"/>
                <w:b/>
                <w:bCs/>
                <w:sz w:val="24"/>
                <w:szCs w:val="24"/>
              </w:rPr>
              <w:t>ROE</w:t>
            </w:r>
          </w:p>
        </w:tc>
        <w:tc>
          <w:tcPr>
            <w:tcW w:w="1203" w:type="dxa"/>
            <w:noWrap/>
            <w:hideMark/>
          </w:tcPr>
          <w:p w:rsidR="005A048C" w:rsidRPr="005A048C" w:rsidRDefault="005A048C" w:rsidP="005A048C">
            <w:pPr>
              <w:spacing w:line="360" w:lineRule="auto"/>
              <w:jc w:val="both"/>
              <w:rPr>
                <w:rFonts w:ascii="Times New Roman" w:hAnsi="Times New Roman" w:cs="Times New Roman"/>
                <w:b/>
                <w:bCs/>
                <w:sz w:val="24"/>
                <w:szCs w:val="24"/>
              </w:rPr>
            </w:pPr>
            <w:r w:rsidRPr="005A048C">
              <w:rPr>
                <w:rFonts w:ascii="Times New Roman" w:hAnsi="Times New Roman" w:cs="Times New Roman"/>
                <w:b/>
                <w:bCs/>
                <w:sz w:val="24"/>
                <w:szCs w:val="24"/>
              </w:rPr>
              <w:t>ROA</w:t>
            </w:r>
          </w:p>
        </w:tc>
        <w:tc>
          <w:tcPr>
            <w:tcW w:w="1203" w:type="dxa"/>
            <w:noWrap/>
            <w:hideMark/>
          </w:tcPr>
          <w:p w:rsidR="005A048C" w:rsidRPr="005A048C" w:rsidRDefault="005A048C" w:rsidP="005A048C">
            <w:pPr>
              <w:spacing w:line="360" w:lineRule="auto"/>
              <w:jc w:val="both"/>
              <w:rPr>
                <w:rFonts w:ascii="Times New Roman" w:hAnsi="Times New Roman" w:cs="Times New Roman"/>
                <w:b/>
                <w:bCs/>
                <w:sz w:val="24"/>
                <w:szCs w:val="24"/>
              </w:rPr>
            </w:pPr>
            <w:r w:rsidRPr="005A048C">
              <w:rPr>
                <w:rFonts w:ascii="Times New Roman" w:hAnsi="Times New Roman" w:cs="Times New Roman"/>
                <w:b/>
                <w:bCs/>
                <w:sz w:val="24"/>
                <w:szCs w:val="24"/>
              </w:rPr>
              <w:t>EPS</w:t>
            </w:r>
          </w:p>
        </w:tc>
        <w:tc>
          <w:tcPr>
            <w:tcW w:w="1203" w:type="dxa"/>
            <w:noWrap/>
            <w:hideMark/>
          </w:tcPr>
          <w:p w:rsidR="005A048C" w:rsidRPr="005A048C" w:rsidRDefault="005A048C" w:rsidP="005A048C">
            <w:pPr>
              <w:spacing w:line="360" w:lineRule="auto"/>
              <w:jc w:val="both"/>
              <w:rPr>
                <w:rFonts w:ascii="Times New Roman" w:hAnsi="Times New Roman" w:cs="Times New Roman"/>
                <w:b/>
                <w:bCs/>
                <w:sz w:val="24"/>
                <w:szCs w:val="24"/>
              </w:rPr>
            </w:pPr>
            <w:r w:rsidRPr="005A048C">
              <w:rPr>
                <w:rFonts w:ascii="Times New Roman" w:hAnsi="Times New Roman" w:cs="Times New Roman"/>
                <w:b/>
                <w:bCs/>
                <w:sz w:val="24"/>
                <w:szCs w:val="24"/>
              </w:rPr>
              <w:t>ROCE</w:t>
            </w:r>
          </w:p>
        </w:tc>
      </w:tr>
      <w:tr w:rsidR="005A048C" w:rsidRPr="005A048C" w:rsidTr="001545E9">
        <w:trPr>
          <w:trHeight w:val="367"/>
        </w:trPr>
        <w:tc>
          <w:tcPr>
            <w:tcW w:w="373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IFIC Bank 2018</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6.96%</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7.40%</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0.60%</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1.17</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3.80%</w:t>
            </w:r>
          </w:p>
        </w:tc>
      </w:tr>
      <w:tr w:rsidR="005A048C" w:rsidRPr="005A048C" w:rsidTr="001545E9">
        <w:trPr>
          <w:trHeight w:val="367"/>
        </w:trPr>
        <w:tc>
          <w:tcPr>
            <w:tcW w:w="373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IFIC Bank 2017</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10.84%</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12.40%</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0.90%</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1.54</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3.22%</w:t>
            </w:r>
          </w:p>
        </w:tc>
      </w:tr>
      <w:tr w:rsidR="005A048C" w:rsidRPr="005A048C" w:rsidTr="001545E9">
        <w:trPr>
          <w:trHeight w:val="367"/>
        </w:trPr>
        <w:tc>
          <w:tcPr>
            <w:tcW w:w="373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IFIC Bank 2016</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9.45%</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9.90%</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0.70%</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1.38</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3.25%</w:t>
            </w:r>
          </w:p>
        </w:tc>
      </w:tr>
      <w:tr w:rsidR="005A048C" w:rsidRPr="005A048C" w:rsidTr="001545E9">
        <w:trPr>
          <w:trHeight w:val="367"/>
        </w:trPr>
        <w:tc>
          <w:tcPr>
            <w:tcW w:w="373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IFIC Bank 2015</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8.54%</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8.00%</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0.50%</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1.57</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3.11%</w:t>
            </w:r>
          </w:p>
        </w:tc>
      </w:tr>
      <w:tr w:rsidR="005A048C" w:rsidRPr="005A048C" w:rsidTr="001545E9">
        <w:trPr>
          <w:trHeight w:val="367"/>
        </w:trPr>
        <w:tc>
          <w:tcPr>
            <w:tcW w:w="373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IFIC Bank 2014</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15.76%</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15.70%</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1.10%</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3.07</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2.88%</w:t>
            </w:r>
          </w:p>
        </w:tc>
      </w:tr>
      <w:tr w:rsidR="005A048C" w:rsidRPr="005A048C" w:rsidTr="001545E9">
        <w:trPr>
          <w:trHeight w:val="367"/>
        </w:trPr>
        <w:tc>
          <w:tcPr>
            <w:tcW w:w="373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IFIC Bank 2013</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16.54%</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15.98%</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1.09%</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3.53</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3.12%</w:t>
            </w:r>
          </w:p>
        </w:tc>
      </w:tr>
      <w:tr w:rsidR="005A048C" w:rsidRPr="005A048C" w:rsidTr="001545E9">
        <w:trPr>
          <w:trHeight w:val="367"/>
        </w:trPr>
        <w:tc>
          <w:tcPr>
            <w:tcW w:w="373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IFIC Bank 2012</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5.65%</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15.43%</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1.07%</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2.9</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2.78%</w:t>
            </w:r>
          </w:p>
        </w:tc>
      </w:tr>
      <w:tr w:rsidR="005A048C" w:rsidRPr="005A048C" w:rsidTr="001545E9">
        <w:trPr>
          <w:trHeight w:val="367"/>
        </w:trPr>
        <w:tc>
          <w:tcPr>
            <w:tcW w:w="373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IFIC Bank 2011</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11.32%</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12.15%</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0.93%</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2.16</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2.76%</w:t>
            </w:r>
          </w:p>
        </w:tc>
      </w:tr>
      <w:tr w:rsidR="005A048C" w:rsidRPr="005A048C" w:rsidTr="001545E9">
        <w:trPr>
          <w:trHeight w:val="367"/>
        </w:trPr>
        <w:tc>
          <w:tcPr>
            <w:tcW w:w="373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IFIC Bank 2010</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28.46%</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33.12%</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2.49%</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5.95</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2.65%</w:t>
            </w:r>
          </w:p>
        </w:tc>
      </w:tr>
      <w:tr w:rsidR="005A048C" w:rsidRPr="005A048C" w:rsidTr="001545E9">
        <w:trPr>
          <w:trHeight w:val="367"/>
        </w:trPr>
        <w:tc>
          <w:tcPr>
            <w:tcW w:w="373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IFIC Bank 2009</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21.43%</w:t>
            </w:r>
          </w:p>
        </w:tc>
        <w:tc>
          <w:tcPr>
            <w:tcW w:w="1247"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22.52%</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1.66%</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4.12</w:t>
            </w:r>
          </w:p>
        </w:tc>
        <w:tc>
          <w:tcPr>
            <w:tcW w:w="1203" w:type="dxa"/>
            <w:noWrap/>
            <w:hideMark/>
          </w:tcPr>
          <w:p w:rsidR="005A048C" w:rsidRPr="00E84D58" w:rsidRDefault="005A048C" w:rsidP="005A048C">
            <w:pPr>
              <w:spacing w:line="360" w:lineRule="auto"/>
              <w:jc w:val="both"/>
              <w:rPr>
                <w:rFonts w:ascii="Times New Roman" w:hAnsi="Times New Roman" w:cs="Times New Roman"/>
                <w:sz w:val="24"/>
                <w:szCs w:val="24"/>
              </w:rPr>
            </w:pPr>
            <w:r w:rsidRPr="00E84D58">
              <w:rPr>
                <w:rFonts w:ascii="Times New Roman" w:hAnsi="Times New Roman" w:cs="Times New Roman"/>
                <w:sz w:val="24"/>
                <w:szCs w:val="24"/>
              </w:rPr>
              <w:t>2.80%</w:t>
            </w:r>
          </w:p>
        </w:tc>
      </w:tr>
    </w:tbl>
    <w:p w:rsidR="005A048C" w:rsidRDefault="005A048C" w:rsidP="00DD4D31">
      <w:pPr>
        <w:spacing w:line="360" w:lineRule="auto"/>
        <w:jc w:val="both"/>
        <w:rPr>
          <w:rFonts w:ascii="Times New Roman" w:hAnsi="Times New Roman" w:cs="Times New Roman"/>
          <w:b/>
          <w:sz w:val="24"/>
          <w:szCs w:val="24"/>
        </w:rPr>
      </w:pPr>
    </w:p>
    <w:p w:rsidR="003F754B" w:rsidRDefault="003F754B" w:rsidP="00DD4D31">
      <w:pPr>
        <w:spacing w:line="360" w:lineRule="auto"/>
        <w:jc w:val="both"/>
        <w:rPr>
          <w:rFonts w:ascii="Times New Roman" w:hAnsi="Times New Roman" w:cs="Times New Roman"/>
          <w:b/>
          <w:sz w:val="24"/>
          <w:szCs w:val="24"/>
        </w:rPr>
      </w:pPr>
      <w:r>
        <w:rPr>
          <w:noProof/>
        </w:rPr>
        <w:drawing>
          <wp:inline distT="0" distB="0" distL="0" distR="0" wp14:anchorId="0D3ABD1D" wp14:editId="3B606941">
            <wp:extent cx="6124353" cy="2668773"/>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5A048C" w:rsidRPr="003F754B" w:rsidRDefault="003F754B"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In 2010 the highest</w:t>
      </w:r>
      <w:r w:rsidR="000B2E9F">
        <w:rPr>
          <w:rFonts w:ascii="Times New Roman" w:hAnsi="Times New Roman" w:cs="Times New Roman"/>
          <w:sz w:val="24"/>
          <w:szCs w:val="24"/>
        </w:rPr>
        <w:t xml:space="preserve"> ROI</w:t>
      </w:r>
      <w:r>
        <w:rPr>
          <w:rFonts w:ascii="Times New Roman" w:hAnsi="Times New Roman" w:cs="Times New Roman"/>
          <w:sz w:val="24"/>
          <w:szCs w:val="24"/>
        </w:rPr>
        <w:t xml:space="preserve"> ratio was </w:t>
      </w:r>
      <w:r w:rsidR="000B2E9F">
        <w:rPr>
          <w:rFonts w:ascii="Times New Roman" w:hAnsi="Times New Roman" w:cs="Times New Roman"/>
          <w:sz w:val="24"/>
          <w:szCs w:val="24"/>
        </w:rPr>
        <w:t>28.46%. And 2012 the lowest ROI ratio was 5.65</w:t>
      </w:r>
      <w:r w:rsidR="00066152">
        <w:rPr>
          <w:rFonts w:ascii="Times New Roman" w:hAnsi="Times New Roman" w:cs="Times New Roman"/>
          <w:sz w:val="24"/>
          <w:szCs w:val="24"/>
        </w:rPr>
        <w:t>%. That’s</w:t>
      </w:r>
      <w:r w:rsidR="000B2E9F">
        <w:rPr>
          <w:rFonts w:ascii="Times New Roman" w:hAnsi="Times New Roman" w:cs="Times New Roman"/>
          <w:sz w:val="24"/>
          <w:szCs w:val="24"/>
        </w:rPr>
        <w:t xml:space="preserve"> why in 2012 chat flow down and in 2010 chart flow up. Highest ROE was 33.12% in 2010. ROA was highest in 2010 2.49%. ROCE was highest in 2018 and EPS was highest in 2010.    </w:t>
      </w:r>
    </w:p>
    <w:p w:rsidR="005A048C" w:rsidRDefault="005A048C" w:rsidP="00DD4D31">
      <w:pPr>
        <w:spacing w:line="360" w:lineRule="auto"/>
        <w:jc w:val="both"/>
        <w:rPr>
          <w:rFonts w:ascii="Times New Roman" w:hAnsi="Times New Roman" w:cs="Times New Roman"/>
          <w:b/>
          <w:sz w:val="24"/>
          <w:szCs w:val="24"/>
        </w:rPr>
      </w:pPr>
    </w:p>
    <w:p w:rsidR="00BD7406" w:rsidRDefault="00BD7406" w:rsidP="00E84D58">
      <w:pPr>
        <w:spacing w:line="360" w:lineRule="auto"/>
        <w:jc w:val="center"/>
        <w:rPr>
          <w:rFonts w:ascii="Times New Roman" w:hAnsi="Times New Roman" w:cs="Times New Roman"/>
          <w:b/>
          <w:sz w:val="24"/>
          <w:szCs w:val="24"/>
        </w:rPr>
      </w:pPr>
    </w:p>
    <w:p w:rsidR="00C005D3" w:rsidRDefault="00BD7406" w:rsidP="00E84D5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AB Bank Ltd.</w:t>
      </w:r>
    </w:p>
    <w:tbl>
      <w:tblPr>
        <w:tblStyle w:val="TableGrid"/>
        <w:tblpPr w:leftFromText="180" w:rightFromText="180" w:vertAnchor="text" w:horzAnchor="page" w:tblpX="812" w:tblpY="454"/>
        <w:tblW w:w="11344" w:type="dxa"/>
        <w:tblLook w:val="04A0" w:firstRow="1" w:lastRow="0" w:firstColumn="1" w:lastColumn="0" w:noHBand="0" w:noVBand="1"/>
      </w:tblPr>
      <w:tblGrid>
        <w:gridCol w:w="1659"/>
        <w:gridCol w:w="1163"/>
        <w:gridCol w:w="1070"/>
        <w:gridCol w:w="857"/>
        <w:gridCol w:w="1034"/>
        <w:gridCol w:w="1378"/>
        <w:gridCol w:w="1483"/>
        <w:gridCol w:w="1350"/>
        <w:gridCol w:w="1350"/>
      </w:tblGrid>
      <w:tr w:rsidR="00BD7406" w:rsidRPr="00F502C3" w:rsidTr="00BD7406">
        <w:trPr>
          <w:trHeight w:val="398"/>
        </w:trPr>
        <w:tc>
          <w:tcPr>
            <w:tcW w:w="1659" w:type="dxa"/>
            <w:noWrap/>
            <w:hideMark/>
          </w:tcPr>
          <w:p w:rsidR="00BD7406" w:rsidRPr="000B2E9F" w:rsidRDefault="00BD7406" w:rsidP="00BD740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Name of </w:t>
            </w:r>
            <w:r w:rsidRPr="000B2E9F">
              <w:rPr>
                <w:rFonts w:ascii="Times New Roman" w:hAnsi="Times New Roman" w:cs="Times New Roman"/>
                <w:b/>
                <w:bCs/>
                <w:sz w:val="24"/>
                <w:szCs w:val="24"/>
              </w:rPr>
              <w:t xml:space="preserve">Bank Ltd. </w:t>
            </w:r>
          </w:p>
        </w:tc>
        <w:tc>
          <w:tcPr>
            <w:tcW w:w="1163" w:type="dxa"/>
            <w:noWrap/>
            <w:hideMark/>
          </w:tcPr>
          <w:p w:rsidR="00BD7406" w:rsidRPr="000B2E9F" w:rsidRDefault="00BD7406" w:rsidP="00BD7406">
            <w:pPr>
              <w:spacing w:line="360" w:lineRule="auto"/>
              <w:jc w:val="both"/>
              <w:rPr>
                <w:rFonts w:ascii="Times New Roman" w:hAnsi="Times New Roman" w:cs="Times New Roman"/>
                <w:b/>
                <w:bCs/>
                <w:sz w:val="24"/>
                <w:szCs w:val="24"/>
              </w:rPr>
            </w:pPr>
            <w:r w:rsidRPr="000B2E9F">
              <w:rPr>
                <w:rFonts w:ascii="Times New Roman" w:hAnsi="Times New Roman" w:cs="Times New Roman"/>
                <w:b/>
                <w:bCs/>
                <w:sz w:val="24"/>
                <w:szCs w:val="24"/>
              </w:rPr>
              <w:t>Leverage</w:t>
            </w:r>
          </w:p>
        </w:tc>
        <w:tc>
          <w:tcPr>
            <w:tcW w:w="1070" w:type="dxa"/>
            <w:noWrap/>
            <w:hideMark/>
          </w:tcPr>
          <w:p w:rsidR="00BD7406" w:rsidRPr="000B2E9F" w:rsidRDefault="00BD7406" w:rsidP="00BD7406">
            <w:pPr>
              <w:spacing w:line="360" w:lineRule="auto"/>
              <w:jc w:val="both"/>
              <w:rPr>
                <w:rFonts w:ascii="Times New Roman" w:hAnsi="Times New Roman" w:cs="Times New Roman"/>
                <w:b/>
                <w:bCs/>
                <w:sz w:val="24"/>
                <w:szCs w:val="24"/>
              </w:rPr>
            </w:pPr>
            <w:r w:rsidRPr="000B2E9F">
              <w:rPr>
                <w:rFonts w:ascii="Times New Roman" w:hAnsi="Times New Roman" w:cs="Times New Roman"/>
                <w:b/>
                <w:bCs/>
                <w:sz w:val="24"/>
                <w:szCs w:val="24"/>
              </w:rPr>
              <w:t>Religion</w:t>
            </w:r>
          </w:p>
        </w:tc>
        <w:tc>
          <w:tcPr>
            <w:tcW w:w="857" w:type="dxa"/>
            <w:noWrap/>
            <w:hideMark/>
          </w:tcPr>
          <w:p w:rsidR="00BD7406" w:rsidRPr="000B2E9F" w:rsidRDefault="00BD7406" w:rsidP="00BD7406">
            <w:pPr>
              <w:spacing w:line="360" w:lineRule="auto"/>
              <w:jc w:val="both"/>
              <w:rPr>
                <w:rFonts w:ascii="Times New Roman" w:hAnsi="Times New Roman" w:cs="Times New Roman"/>
                <w:b/>
                <w:bCs/>
                <w:sz w:val="24"/>
                <w:szCs w:val="24"/>
              </w:rPr>
            </w:pPr>
            <w:r w:rsidRPr="000B2E9F">
              <w:rPr>
                <w:rFonts w:ascii="Times New Roman" w:hAnsi="Times New Roman" w:cs="Times New Roman"/>
                <w:b/>
                <w:bCs/>
                <w:sz w:val="24"/>
                <w:szCs w:val="24"/>
              </w:rPr>
              <w:t>Board Size</w:t>
            </w:r>
          </w:p>
        </w:tc>
        <w:tc>
          <w:tcPr>
            <w:tcW w:w="1034" w:type="dxa"/>
            <w:noWrap/>
            <w:hideMark/>
          </w:tcPr>
          <w:p w:rsidR="00BD7406" w:rsidRPr="000B2E9F" w:rsidRDefault="00BD7406" w:rsidP="00BD7406">
            <w:pPr>
              <w:spacing w:line="360" w:lineRule="auto"/>
              <w:jc w:val="both"/>
              <w:rPr>
                <w:rFonts w:ascii="Times New Roman" w:hAnsi="Times New Roman" w:cs="Times New Roman"/>
                <w:b/>
                <w:bCs/>
                <w:sz w:val="24"/>
                <w:szCs w:val="24"/>
              </w:rPr>
            </w:pPr>
            <w:r w:rsidRPr="000B2E9F">
              <w:rPr>
                <w:rFonts w:ascii="Times New Roman" w:hAnsi="Times New Roman" w:cs="Times New Roman"/>
                <w:b/>
                <w:bCs/>
                <w:sz w:val="24"/>
                <w:szCs w:val="24"/>
              </w:rPr>
              <w:t xml:space="preserve">Woman on Board </w:t>
            </w:r>
          </w:p>
        </w:tc>
        <w:tc>
          <w:tcPr>
            <w:tcW w:w="1378" w:type="dxa"/>
            <w:noWrap/>
            <w:hideMark/>
          </w:tcPr>
          <w:p w:rsidR="00BD7406" w:rsidRPr="000B2E9F" w:rsidRDefault="00BD7406" w:rsidP="00BD7406">
            <w:pPr>
              <w:spacing w:line="360" w:lineRule="auto"/>
              <w:jc w:val="both"/>
              <w:rPr>
                <w:rFonts w:ascii="Times New Roman" w:hAnsi="Times New Roman" w:cs="Times New Roman"/>
                <w:b/>
                <w:bCs/>
                <w:sz w:val="24"/>
                <w:szCs w:val="24"/>
              </w:rPr>
            </w:pPr>
            <w:r w:rsidRPr="000B2E9F">
              <w:rPr>
                <w:rFonts w:ascii="Times New Roman" w:hAnsi="Times New Roman" w:cs="Times New Roman"/>
                <w:b/>
                <w:bCs/>
                <w:sz w:val="24"/>
                <w:szCs w:val="24"/>
              </w:rPr>
              <w:t>Foreign member on Board</w:t>
            </w:r>
          </w:p>
        </w:tc>
        <w:tc>
          <w:tcPr>
            <w:tcW w:w="1483" w:type="dxa"/>
            <w:noWrap/>
            <w:hideMark/>
          </w:tcPr>
          <w:p w:rsidR="00BD7406" w:rsidRPr="000B2E9F" w:rsidRDefault="00BD7406" w:rsidP="00BD7406">
            <w:pPr>
              <w:spacing w:line="360" w:lineRule="auto"/>
              <w:jc w:val="both"/>
              <w:rPr>
                <w:rFonts w:ascii="Times New Roman" w:hAnsi="Times New Roman" w:cs="Times New Roman"/>
                <w:b/>
                <w:bCs/>
                <w:sz w:val="24"/>
                <w:szCs w:val="24"/>
              </w:rPr>
            </w:pPr>
            <w:r w:rsidRPr="000B2E9F">
              <w:rPr>
                <w:rFonts w:ascii="Times New Roman" w:hAnsi="Times New Roman" w:cs="Times New Roman"/>
                <w:b/>
                <w:bCs/>
                <w:sz w:val="24"/>
                <w:szCs w:val="24"/>
              </w:rPr>
              <w:t>Family Member's on Board</w:t>
            </w:r>
          </w:p>
        </w:tc>
        <w:tc>
          <w:tcPr>
            <w:tcW w:w="1350" w:type="dxa"/>
            <w:noWrap/>
            <w:hideMark/>
          </w:tcPr>
          <w:p w:rsidR="00BD7406" w:rsidRPr="000B2E9F" w:rsidRDefault="00BD7406" w:rsidP="00BD7406">
            <w:pPr>
              <w:spacing w:line="360" w:lineRule="auto"/>
              <w:jc w:val="both"/>
              <w:rPr>
                <w:rFonts w:ascii="Times New Roman" w:hAnsi="Times New Roman" w:cs="Times New Roman"/>
                <w:b/>
                <w:bCs/>
                <w:sz w:val="24"/>
                <w:szCs w:val="24"/>
              </w:rPr>
            </w:pPr>
            <w:r w:rsidRPr="000B2E9F">
              <w:rPr>
                <w:rFonts w:ascii="Times New Roman" w:hAnsi="Times New Roman" w:cs="Times New Roman"/>
                <w:b/>
                <w:bCs/>
                <w:sz w:val="24"/>
                <w:szCs w:val="24"/>
              </w:rPr>
              <w:t xml:space="preserve">Foreign Ownership </w:t>
            </w:r>
          </w:p>
        </w:tc>
        <w:tc>
          <w:tcPr>
            <w:tcW w:w="1350" w:type="dxa"/>
            <w:noWrap/>
            <w:hideMark/>
          </w:tcPr>
          <w:p w:rsidR="00BD7406" w:rsidRPr="000B2E9F" w:rsidRDefault="00BD7406" w:rsidP="00BD7406">
            <w:pPr>
              <w:spacing w:line="360" w:lineRule="auto"/>
              <w:jc w:val="both"/>
              <w:rPr>
                <w:rFonts w:ascii="Times New Roman" w:hAnsi="Times New Roman" w:cs="Times New Roman"/>
                <w:b/>
                <w:bCs/>
                <w:sz w:val="24"/>
                <w:szCs w:val="24"/>
              </w:rPr>
            </w:pPr>
            <w:r w:rsidRPr="000B2E9F">
              <w:rPr>
                <w:rFonts w:ascii="Times New Roman" w:hAnsi="Times New Roman" w:cs="Times New Roman"/>
                <w:b/>
                <w:bCs/>
                <w:sz w:val="24"/>
                <w:szCs w:val="24"/>
              </w:rPr>
              <w:t>Family Ownership</w:t>
            </w:r>
          </w:p>
        </w:tc>
      </w:tr>
      <w:tr w:rsidR="00BD7406" w:rsidRPr="00F502C3" w:rsidTr="00BD7406">
        <w:trPr>
          <w:trHeight w:val="398"/>
        </w:trPr>
        <w:tc>
          <w:tcPr>
            <w:tcW w:w="1659" w:type="dxa"/>
            <w:noWrap/>
            <w:hideMark/>
          </w:tcPr>
          <w:p w:rsidR="00BD7406" w:rsidRPr="000B2E9F" w:rsidRDefault="00BD7406" w:rsidP="00BD7406">
            <w:pPr>
              <w:spacing w:line="360" w:lineRule="auto"/>
              <w:jc w:val="both"/>
              <w:rPr>
                <w:rFonts w:ascii="Times New Roman" w:hAnsi="Times New Roman" w:cs="Times New Roman"/>
                <w:sz w:val="24"/>
                <w:szCs w:val="24"/>
              </w:rPr>
            </w:pPr>
            <w:r>
              <w:rPr>
                <w:rFonts w:ascii="Times New Roman" w:hAnsi="Times New Roman" w:cs="Times New Roman"/>
                <w:sz w:val="24"/>
                <w:szCs w:val="24"/>
              </w:rPr>
              <w:t>AB</w:t>
            </w:r>
            <w:r w:rsidRPr="000B2E9F">
              <w:rPr>
                <w:rFonts w:ascii="Times New Roman" w:hAnsi="Times New Roman" w:cs="Times New Roman"/>
                <w:sz w:val="24"/>
                <w:szCs w:val="24"/>
              </w:rPr>
              <w:t xml:space="preserve"> Bank 2018</w:t>
            </w:r>
          </w:p>
        </w:tc>
        <w:tc>
          <w:tcPr>
            <w:tcW w:w="116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92.98%</w:t>
            </w:r>
          </w:p>
        </w:tc>
        <w:tc>
          <w:tcPr>
            <w:tcW w:w="107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857"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9</w:t>
            </w:r>
          </w:p>
        </w:tc>
        <w:tc>
          <w:tcPr>
            <w:tcW w:w="1034"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78"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48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0.18%</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0.04%</w:t>
            </w:r>
          </w:p>
        </w:tc>
      </w:tr>
      <w:tr w:rsidR="00BD7406" w:rsidRPr="00F502C3" w:rsidTr="00BD7406">
        <w:trPr>
          <w:trHeight w:val="398"/>
        </w:trPr>
        <w:tc>
          <w:tcPr>
            <w:tcW w:w="1659" w:type="dxa"/>
            <w:noWrap/>
            <w:hideMark/>
          </w:tcPr>
          <w:p w:rsidR="00BD7406" w:rsidRPr="000B2E9F" w:rsidRDefault="00BD7406" w:rsidP="00BD7406">
            <w:pPr>
              <w:spacing w:line="360" w:lineRule="auto"/>
              <w:jc w:val="both"/>
              <w:rPr>
                <w:rFonts w:ascii="Times New Roman" w:hAnsi="Times New Roman" w:cs="Times New Roman"/>
                <w:sz w:val="24"/>
                <w:szCs w:val="24"/>
              </w:rPr>
            </w:pPr>
            <w:r>
              <w:rPr>
                <w:rFonts w:ascii="Times New Roman" w:hAnsi="Times New Roman" w:cs="Times New Roman"/>
                <w:sz w:val="24"/>
                <w:szCs w:val="24"/>
              </w:rPr>
              <w:t>AB</w:t>
            </w:r>
            <w:r w:rsidRPr="000B2E9F">
              <w:rPr>
                <w:rFonts w:ascii="Times New Roman" w:hAnsi="Times New Roman" w:cs="Times New Roman"/>
                <w:sz w:val="24"/>
                <w:szCs w:val="24"/>
              </w:rPr>
              <w:t xml:space="preserve"> Bank 2017</w:t>
            </w:r>
          </w:p>
        </w:tc>
        <w:tc>
          <w:tcPr>
            <w:tcW w:w="116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92.76%</w:t>
            </w:r>
          </w:p>
        </w:tc>
        <w:tc>
          <w:tcPr>
            <w:tcW w:w="107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857"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12</w:t>
            </w:r>
          </w:p>
        </w:tc>
        <w:tc>
          <w:tcPr>
            <w:tcW w:w="1034"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1378"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48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0.31%</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0.04%</w:t>
            </w:r>
          </w:p>
        </w:tc>
      </w:tr>
      <w:tr w:rsidR="00BD7406" w:rsidRPr="00F502C3" w:rsidTr="00BD7406">
        <w:trPr>
          <w:trHeight w:val="398"/>
        </w:trPr>
        <w:tc>
          <w:tcPr>
            <w:tcW w:w="1659" w:type="dxa"/>
            <w:noWrap/>
            <w:hideMark/>
          </w:tcPr>
          <w:p w:rsidR="00BD7406" w:rsidRPr="000B2E9F" w:rsidRDefault="00BD7406" w:rsidP="00BD7406">
            <w:pPr>
              <w:spacing w:line="360" w:lineRule="auto"/>
              <w:jc w:val="both"/>
              <w:rPr>
                <w:rFonts w:ascii="Times New Roman" w:hAnsi="Times New Roman" w:cs="Times New Roman"/>
                <w:sz w:val="24"/>
                <w:szCs w:val="24"/>
              </w:rPr>
            </w:pPr>
            <w:r>
              <w:rPr>
                <w:rFonts w:ascii="Times New Roman" w:hAnsi="Times New Roman" w:cs="Times New Roman"/>
                <w:sz w:val="24"/>
                <w:szCs w:val="24"/>
              </w:rPr>
              <w:t>AB</w:t>
            </w:r>
            <w:r w:rsidRPr="000B2E9F">
              <w:rPr>
                <w:rFonts w:ascii="Times New Roman" w:hAnsi="Times New Roman" w:cs="Times New Roman"/>
                <w:sz w:val="24"/>
                <w:szCs w:val="24"/>
              </w:rPr>
              <w:t xml:space="preserve"> Bank 2016</w:t>
            </w:r>
          </w:p>
        </w:tc>
        <w:tc>
          <w:tcPr>
            <w:tcW w:w="116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60.72%</w:t>
            </w:r>
          </w:p>
        </w:tc>
        <w:tc>
          <w:tcPr>
            <w:tcW w:w="107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857"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12</w:t>
            </w:r>
          </w:p>
        </w:tc>
        <w:tc>
          <w:tcPr>
            <w:tcW w:w="1034"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78"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48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0.19%</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0.09%</w:t>
            </w:r>
          </w:p>
        </w:tc>
      </w:tr>
      <w:tr w:rsidR="00BD7406" w:rsidRPr="00F502C3" w:rsidTr="00BD7406">
        <w:trPr>
          <w:trHeight w:val="398"/>
        </w:trPr>
        <w:tc>
          <w:tcPr>
            <w:tcW w:w="1659" w:type="dxa"/>
            <w:noWrap/>
            <w:hideMark/>
          </w:tcPr>
          <w:p w:rsidR="00BD7406" w:rsidRPr="000B2E9F" w:rsidRDefault="00BD7406" w:rsidP="00BD7406">
            <w:pPr>
              <w:spacing w:line="360" w:lineRule="auto"/>
              <w:jc w:val="both"/>
              <w:rPr>
                <w:rFonts w:ascii="Times New Roman" w:hAnsi="Times New Roman" w:cs="Times New Roman"/>
                <w:sz w:val="24"/>
                <w:szCs w:val="24"/>
              </w:rPr>
            </w:pPr>
            <w:r>
              <w:rPr>
                <w:rFonts w:ascii="Times New Roman" w:hAnsi="Times New Roman" w:cs="Times New Roman"/>
                <w:sz w:val="24"/>
                <w:szCs w:val="24"/>
              </w:rPr>
              <w:t>AB</w:t>
            </w:r>
            <w:r w:rsidRPr="000B2E9F">
              <w:rPr>
                <w:rFonts w:ascii="Times New Roman" w:hAnsi="Times New Roman" w:cs="Times New Roman"/>
                <w:sz w:val="24"/>
                <w:szCs w:val="24"/>
              </w:rPr>
              <w:t xml:space="preserve"> Bank 2015</w:t>
            </w:r>
          </w:p>
        </w:tc>
        <w:tc>
          <w:tcPr>
            <w:tcW w:w="116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65.91%</w:t>
            </w:r>
          </w:p>
        </w:tc>
        <w:tc>
          <w:tcPr>
            <w:tcW w:w="107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857"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14</w:t>
            </w:r>
          </w:p>
        </w:tc>
        <w:tc>
          <w:tcPr>
            <w:tcW w:w="1034"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78"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48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0.24%</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0.09%</w:t>
            </w:r>
          </w:p>
        </w:tc>
      </w:tr>
      <w:tr w:rsidR="00BD7406" w:rsidRPr="00F502C3" w:rsidTr="00BD7406">
        <w:trPr>
          <w:trHeight w:val="398"/>
        </w:trPr>
        <w:tc>
          <w:tcPr>
            <w:tcW w:w="1659" w:type="dxa"/>
            <w:noWrap/>
            <w:hideMark/>
          </w:tcPr>
          <w:p w:rsidR="00BD7406" w:rsidRPr="000B2E9F" w:rsidRDefault="00BD7406" w:rsidP="00BD7406">
            <w:pPr>
              <w:spacing w:line="360" w:lineRule="auto"/>
              <w:jc w:val="both"/>
              <w:rPr>
                <w:rFonts w:ascii="Times New Roman" w:hAnsi="Times New Roman" w:cs="Times New Roman"/>
                <w:sz w:val="24"/>
                <w:szCs w:val="24"/>
              </w:rPr>
            </w:pPr>
            <w:r>
              <w:rPr>
                <w:rFonts w:ascii="Times New Roman" w:hAnsi="Times New Roman" w:cs="Times New Roman"/>
                <w:sz w:val="24"/>
                <w:szCs w:val="24"/>
              </w:rPr>
              <w:t>AB</w:t>
            </w:r>
            <w:r w:rsidRPr="000B2E9F">
              <w:rPr>
                <w:rFonts w:ascii="Times New Roman" w:hAnsi="Times New Roman" w:cs="Times New Roman"/>
                <w:sz w:val="24"/>
                <w:szCs w:val="24"/>
              </w:rPr>
              <w:t xml:space="preserve"> Bank 2014</w:t>
            </w:r>
          </w:p>
        </w:tc>
        <w:tc>
          <w:tcPr>
            <w:tcW w:w="116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92.87%</w:t>
            </w:r>
          </w:p>
        </w:tc>
        <w:tc>
          <w:tcPr>
            <w:tcW w:w="107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857"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13</w:t>
            </w:r>
          </w:p>
        </w:tc>
        <w:tc>
          <w:tcPr>
            <w:tcW w:w="1034"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78"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48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0.61%</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0.09%</w:t>
            </w:r>
          </w:p>
        </w:tc>
      </w:tr>
      <w:tr w:rsidR="00BD7406" w:rsidRPr="00F502C3" w:rsidTr="00BD7406">
        <w:trPr>
          <w:trHeight w:val="398"/>
        </w:trPr>
        <w:tc>
          <w:tcPr>
            <w:tcW w:w="1659" w:type="dxa"/>
            <w:noWrap/>
            <w:hideMark/>
          </w:tcPr>
          <w:p w:rsidR="00BD7406" w:rsidRPr="000B2E9F" w:rsidRDefault="00BD7406" w:rsidP="00BD7406">
            <w:pPr>
              <w:spacing w:line="360" w:lineRule="auto"/>
              <w:jc w:val="both"/>
              <w:rPr>
                <w:rFonts w:ascii="Times New Roman" w:hAnsi="Times New Roman" w:cs="Times New Roman"/>
                <w:sz w:val="24"/>
                <w:szCs w:val="24"/>
              </w:rPr>
            </w:pPr>
            <w:r>
              <w:rPr>
                <w:rFonts w:ascii="Times New Roman" w:hAnsi="Times New Roman" w:cs="Times New Roman"/>
                <w:sz w:val="24"/>
                <w:szCs w:val="24"/>
              </w:rPr>
              <w:t>AB</w:t>
            </w:r>
            <w:r w:rsidRPr="000B2E9F">
              <w:rPr>
                <w:rFonts w:ascii="Times New Roman" w:hAnsi="Times New Roman" w:cs="Times New Roman"/>
                <w:sz w:val="24"/>
                <w:szCs w:val="24"/>
              </w:rPr>
              <w:t xml:space="preserve"> Bank 2013</w:t>
            </w:r>
          </w:p>
        </w:tc>
        <w:tc>
          <w:tcPr>
            <w:tcW w:w="116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91.86%</w:t>
            </w:r>
          </w:p>
        </w:tc>
        <w:tc>
          <w:tcPr>
            <w:tcW w:w="107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857"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16</w:t>
            </w:r>
          </w:p>
        </w:tc>
        <w:tc>
          <w:tcPr>
            <w:tcW w:w="1034"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1378"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48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0.35%</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0.09%</w:t>
            </w:r>
          </w:p>
        </w:tc>
      </w:tr>
      <w:tr w:rsidR="00BD7406" w:rsidRPr="00F502C3" w:rsidTr="00BD7406">
        <w:trPr>
          <w:trHeight w:val="398"/>
        </w:trPr>
        <w:tc>
          <w:tcPr>
            <w:tcW w:w="1659" w:type="dxa"/>
            <w:noWrap/>
            <w:hideMark/>
          </w:tcPr>
          <w:p w:rsidR="00BD7406" w:rsidRPr="000B2E9F" w:rsidRDefault="00BD7406" w:rsidP="00BD7406">
            <w:pPr>
              <w:spacing w:line="360" w:lineRule="auto"/>
              <w:jc w:val="both"/>
              <w:rPr>
                <w:rFonts w:ascii="Times New Roman" w:hAnsi="Times New Roman" w:cs="Times New Roman"/>
                <w:sz w:val="24"/>
                <w:szCs w:val="24"/>
              </w:rPr>
            </w:pPr>
            <w:r>
              <w:rPr>
                <w:rFonts w:ascii="Times New Roman" w:hAnsi="Times New Roman" w:cs="Times New Roman"/>
                <w:sz w:val="24"/>
                <w:szCs w:val="24"/>
              </w:rPr>
              <w:t>AB</w:t>
            </w:r>
            <w:r w:rsidRPr="000B2E9F">
              <w:rPr>
                <w:rFonts w:ascii="Times New Roman" w:hAnsi="Times New Roman" w:cs="Times New Roman"/>
                <w:sz w:val="24"/>
                <w:szCs w:val="24"/>
              </w:rPr>
              <w:t xml:space="preserve"> Bank 2012</w:t>
            </w:r>
          </w:p>
        </w:tc>
        <w:tc>
          <w:tcPr>
            <w:tcW w:w="116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90.78%</w:t>
            </w:r>
          </w:p>
        </w:tc>
        <w:tc>
          <w:tcPr>
            <w:tcW w:w="107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857"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15</w:t>
            </w:r>
          </w:p>
        </w:tc>
        <w:tc>
          <w:tcPr>
            <w:tcW w:w="1034"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1378"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48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0.33%</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0.09%</w:t>
            </w:r>
          </w:p>
        </w:tc>
      </w:tr>
      <w:tr w:rsidR="00BD7406" w:rsidRPr="00F502C3" w:rsidTr="00BD7406">
        <w:trPr>
          <w:trHeight w:val="398"/>
        </w:trPr>
        <w:tc>
          <w:tcPr>
            <w:tcW w:w="1659" w:type="dxa"/>
            <w:noWrap/>
            <w:hideMark/>
          </w:tcPr>
          <w:p w:rsidR="00BD7406" w:rsidRPr="000B2E9F" w:rsidRDefault="00BD7406" w:rsidP="00BD7406">
            <w:pPr>
              <w:spacing w:line="360" w:lineRule="auto"/>
              <w:jc w:val="both"/>
              <w:rPr>
                <w:rFonts w:ascii="Times New Roman" w:hAnsi="Times New Roman" w:cs="Times New Roman"/>
                <w:sz w:val="24"/>
                <w:szCs w:val="24"/>
              </w:rPr>
            </w:pPr>
            <w:r>
              <w:rPr>
                <w:rFonts w:ascii="Times New Roman" w:hAnsi="Times New Roman" w:cs="Times New Roman"/>
                <w:sz w:val="24"/>
                <w:szCs w:val="24"/>
              </w:rPr>
              <w:t>AB</w:t>
            </w:r>
            <w:r w:rsidRPr="000B2E9F">
              <w:rPr>
                <w:rFonts w:ascii="Times New Roman" w:hAnsi="Times New Roman" w:cs="Times New Roman"/>
                <w:sz w:val="24"/>
                <w:szCs w:val="24"/>
              </w:rPr>
              <w:t xml:space="preserve"> Bank 2011</w:t>
            </w:r>
          </w:p>
        </w:tc>
        <w:tc>
          <w:tcPr>
            <w:tcW w:w="116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90.29%</w:t>
            </w:r>
          </w:p>
        </w:tc>
        <w:tc>
          <w:tcPr>
            <w:tcW w:w="107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857"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15</w:t>
            </w:r>
          </w:p>
        </w:tc>
        <w:tc>
          <w:tcPr>
            <w:tcW w:w="1034"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1</w:t>
            </w:r>
          </w:p>
        </w:tc>
        <w:tc>
          <w:tcPr>
            <w:tcW w:w="1378"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483"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0.35%</w:t>
            </w:r>
          </w:p>
        </w:tc>
        <w:tc>
          <w:tcPr>
            <w:tcW w:w="1350" w:type="dxa"/>
            <w:noWrap/>
            <w:hideMark/>
          </w:tcPr>
          <w:p w:rsidR="00BD7406" w:rsidRPr="000B2E9F" w:rsidRDefault="00BD7406" w:rsidP="00BD7406">
            <w:pPr>
              <w:spacing w:line="360" w:lineRule="auto"/>
              <w:jc w:val="both"/>
              <w:rPr>
                <w:rFonts w:ascii="Times New Roman" w:hAnsi="Times New Roman" w:cs="Times New Roman"/>
                <w:sz w:val="24"/>
                <w:szCs w:val="24"/>
              </w:rPr>
            </w:pPr>
            <w:r w:rsidRPr="000B2E9F">
              <w:rPr>
                <w:rFonts w:ascii="Times New Roman" w:hAnsi="Times New Roman" w:cs="Times New Roman"/>
                <w:sz w:val="24"/>
                <w:szCs w:val="24"/>
              </w:rPr>
              <w:t>0.09%</w:t>
            </w:r>
          </w:p>
        </w:tc>
      </w:tr>
    </w:tbl>
    <w:p w:rsidR="00F63922" w:rsidRDefault="00F63922" w:rsidP="00DD4D31">
      <w:pPr>
        <w:tabs>
          <w:tab w:val="center" w:pos="1691"/>
        </w:tabs>
        <w:spacing w:line="360" w:lineRule="auto"/>
        <w:jc w:val="both"/>
        <w:rPr>
          <w:rFonts w:ascii="Times New Roman" w:hAnsi="Times New Roman" w:cs="Times New Roman"/>
          <w:b/>
          <w:sz w:val="24"/>
          <w:szCs w:val="24"/>
        </w:rPr>
      </w:pPr>
    </w:p>
    <w:p w:rsidR="00BD7406" w:rsidRDefault="00F63922" w:rsidP="00DD4D31">
      <w:pPr>
        <w:tabs>
          <w:tab w:val="center" w:pos="1691"/>
        </w:tabs>
        <w:spacing w:line="360" w:lineRule="auto"/>
        <w:jc w:val="both"/>
        <w:rPr>
          <w:rFonts w:ascii="Times New Roman" w:hAnsi="Times New Roman" w:cs="Times New Roman"/>
          <w:b/>
          <w:sz w:val="24"/>
          <w:szCs w:val="24"/>
        </w:rPr>
      </w:pPr>
      <w:r>
        <w:rPr>
          <w:noProof/>
        </w:rPr>
        <w:drawing>
          <wp:inline distT="0" distB="0" distL="0" distR="0" wp14:anchorId="7854E2A0" wp14:editId="35664BD2">
            <wp:extent cx="6517758" cy="1935126"/>
            <wp:effectExtent l="0" t="0" r="0" b="825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E5012" w:rsidRDefault="00132879" w:rsidP="00DD4D31">
      <w:pPr>
        <w:tabs>
          <w:tab w:val="center" w:pos="1691"/>
        </w:tabs>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Here we see that AB bank in 2013 leverage ratio, Religion 1, Bo</w:t>
      </w:r>
      <w:r w:rsidR="008E49E4">
        <w:rPr>
          <w:rFonts w:ascii="Times New Roman" w:hAnsi="Times New Roman" w:cs="Times New Roman"/>
          <w:sz w:val="24"/>
          <w:szCs w:val="24"/>
        </w:rPr>
        <w:t xml:space="preserve">ard size and others </w:t>
      </w:r>
      <w:r w:rsidRPr="00F502C3">
        <w:rPr>
          <w:rFonts w:ascii="Times New Roman" w:hAnsi="Times New Roman" w:cs="Times New Roman"/>
          <w:sz w:val="24"/>
          <w:szCs w:val="24"/>
        </w:rPr>
        <w:t>was highest position. But other years such as 2018, 2017 ownership, foreign member comparatively less.</w:t>
      </w:r>
      <w:r>
        <w:rPr>
          <w:rFonts w:ascii="Times New Roman" w:hAnsi="Times New Roman" w:cs="Times New Roman"/>
          <w:sz w:val="24"/>
          <w:szCs w:val="24"/>
        </w:rPr>
        <w:t xml:space="preserve"> Highest leverage ratio was 92.98% in 2018 and lowest ratio was 60.72%. 2016 to 2011 banks maintain same family ownership 0.09%. Board size highest was 14 in 2015 and lowest 9 in 2018.</w:t>
      </w:r>
      <w:r w:rsidR="008E49E4">
        <w:rPr>
          <w:rFonts w:ascii="Times New Roman" w:hAnsi="Times New Roman" w:cs="Times New Roman"/>
          <w:sz w:val="24"/>
          <w:szCs w:val="24"/>
        </w:rPr>
        <w:t xml:space="preserve">Family member was express 1 and they minted it every year. </w:t>
      </w:r>
      <w:r>
        <w:rPr>
          <w:rFonts w:ascii="Times New Roman" w:hAnsi="Times New Roman" w:cs="Times New Roman"/>
          <w:sz w:val="24"/>
          <w:szCs w:val="24"/>
        </w:rPr>
        <w:t xml:space="preserve"> </w:t>
      </w:r>
    </w:p>
    <w:p w:rsidR="00F502C3" w:rsidRPr="001E5012" w:rsidRDefault="001E5012" w:rsidP="001E5012">
      <w:pPr>
        <w:tabs>
          <w:tab w:val="center" w:pos="1691"/>
        </w:tabs>
        <w:spacing w:line="360" w:lineRule="auto"/>
        <w:jc w:val="center"/>
        <w:rPr>
          <w:rFonts w:ascii="Times New Roman" w:hAnsi="Times New Roman" w:cs="Times New Roman"/>
          <w:sz w:val="24"/>
          <w:szCs w:val="24"/>
        </w:rPr>
      </w:pPr>
      <w:r>
        <w:rPr>
          <w:rFonts w:ascii="Times New Roman" w:hAnsi="Times New Roman" w:cs="Times New Roman"/>
          <w:b/>
          <w:sz w:val="24"/>
          <w:szCs w:val="24"/>
        </w:rPr>
        <w:t>AL –ARAFAH Bank Ltd</w:t>
      </w:r>
    </w:p>
    <w:tbl>
      <w:tblPr>
        <w:tblStyle w:val="TableGrid"/>
        <w:tblpPr w:leftFromText="180" w:rightFromText="180" w:vertAnchor="text" w:horzAnchor="margin" w:tblpXSpec="center" w:tblpY="352"/>
        <w:tblW w:w="11284" w:type="dxa"/>
        <w:tblLook w:val="04A0" w:firstRow="1" w:lastRow="0" w:firstColumn="1" w:lastColumn="0" w:noHBand="0" w:noVBand="1"/>
      </w:tblPr>
      <w:tblGrid>
        <w:gridCol w:w="1632"/>
        <w:gridCol w:w="1156"/>
        <w:gridCol w:w="1064"/>
        <w:gridCol w:w="852"/>
        <w:gridCol w:w="1024"/>
        <w:gridCol w:w="1416"/>
        <w:gridCol w:w="1456"/>
        <w:gridCol w:w="1342"/>
        <w:gridCol w:w="1342"/>
      </w:tblGrid>
      <w:tr w:rsidR="00902BA4" w:rsidRPr="00F502C3" w:rsidTr="00902BA4">
        <w:trPr>
          <w:trHeight w:val="284"/>
        </w:trPr>
        <w:tc>
          <w:tcPr>
            <w:tcW w:w="1632" w:type="dxa"/>
            <w:noWrap/>
            <w:hideMark/>
          </w:tcPr>
          <w:p w:rsidR="00871EA9" w:rsidRPr="00902BA4" w:rsidRDefault="00871EA9" w:rsidP="00871EA9">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 xml:space="preserve">Name of Bank Ltd. </w:t>
            </w:r>
          </w:p>
        </w:tc>
        <w:tc>
          <w:tcPr>
            <w:tcW w:w="1156" w:type="dxa"/>
            <w:noWrap/>
            <w:hideMark/>
          </w:tcPr>
          <w:p w:rsidR="00871EA9" w:rsidRPr="00902BA4" w:rsidRDefault="00871EA9" w:rsidP="00871EA9">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Leverage</w:t>
            </w:r>
          </w:p>
        </w:tc>
        <w:tc>
          <w:tcPr>
            <w:tcW w:w="1064" w:type="dxa"/>
            <w:noWrap/>
            <w:hideMark/>
          </w:tcPr>
          <w:p w:rsidR="00871EA9" w:rsidRPr="00902BA4" w:rsidRDefault="00871EA9" w:rsidP="00871EA9">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Religion</w:t>
            </w:r>
          </w:p>
        </w:tc>
        <w:tc>
          <w:tcPr>
            <w:tcW w:w="852" w:type="dxa"/>
            <w:noWrap/>
            <w:hideMark/>
          </w:tcPr>
          <w:p w:rsidR="00871EA9" w:rsidRPr="00902BA4" w:rsidRDefault="00871EA9" w:rsidP="00871EA9">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Board Size</w:t>
            </w:r>
          </w:p>
        </w:tc>
        <w:tc>
          <w:tcPr>
            <w:tcW w:w="1024" w:type="dxa"/>
            <w:noWrap/>
            <w:hideMark/>
          </w:tcPr>
          <w:p w:rsidR="00871EA9" w:rsidRPr="00902BA4" w:rsidRDefault="00871EA9" w:rsidP="00871EA9">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 xml:space="preserve">Woman on Board </w:t>
            </w:r>
          </w:p>
        </w:tc>
        <w:tc>
          <w:tcPr>
            <w:tcW w:w="1416" w:type="dxa"/>
            <w:noWrap/>
            <w:hideMark/>
          </w:tcPr>
          <w:p w:rsidR="00871EA9" w:rsidRPr="00902BA4" w:rsidRDefault="00871EA9" w:rsidP="00871EA9">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Foreign member on Board</w:t>
            </w:r>
          </w:p>
        </w:tc>
        <w:tc>
          <w:tcPr>
            <w:tcW w:w="1456" w:type="dxa"/>
            <w:noWrap/>
            <w:hideMark/>
          </w:tcPr>
          <w:p w:rsidR="00871EA9" w:rsidRPr="00902BA4" w:rsidRDefault="00871EA9" w:rsidP="00871EA9">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Family Member's on Board</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 xml:space="preserve">Foreign Ownership </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Family Ownership</w:t>
            </w:r>
          </w:p>
        </w:tc>
      </w:tr>
      <w:tr w:rsidR="00902BA4" w:rsidRPr="00F502C3" w:rsidTr="00902BA4">
        <w:trPr>
          <w:trHeight w:val="284"/>
        </w:trPr>
        <w:tc>
          <w:tcPr>
            <w:tcW w:w="163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Al-ARAF</w:t>
            </w:r>
            <w:r w:rsidR="001E5012" w:rsidRPr="00902BA4">
              <w:rPr>
                <w:rFonts w:ascii="Times New Roman" w:hAnsi="Times New Roman" w:cs="Times New Roman"/>
                <w:sz w:val="20"/>
                <w:szCs w:val="20"/>
              </w:rPr>
              <w:t>A</w:t>
            </w:r>
            <w:r w:rsidRPr="00902BA4">
              <w:rPr>
                <w:rFonts w:ascii="Times New Roman" w:hAnsi="Times New Roman" w:cs="Times New Roman"/>
                <w:sz w:val="20"/>
                <w:szCs w:val="20"/>
              </w:rPr>
              <w:t>H Bank 2018</w:t>
            </w:r>
          </w:p>
        </w:tc>
        <w:tc>
          <w:tcPr>
            <w:tcW w:w="115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93.52%</w:t>
            </w:r>
          </w:p>
        </w:tc>
        <w:tc>
          <w:tcPr>
            <w:tcW w:w="106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85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20</w:t>
            </w:r>
          </w:p>
        </w:tc>
        <w:tc>
          <w:tcPr>
            <w:tcW w:w="102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1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56" w:type="dxa"/>
            <w:noWrap/>
            <w:hideMark/>
          </w:tcPr>
          <w:p w:rsidR="00871EA9" w:rsidRPr="00902BA4" w:rsidRDefault="00902BA4" w:rsidP="00871EA9">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7.55%</w:t>
            </w:r>
          </w:p>
        </w:tc>
      </w:tr>
      <w:tr w:rsidR="00902BA4" w:rsidRPr="00F502C3" w:rsidTr="00902BA4">
        <w:trPr>
          <w:trHeight w:val="284"/>
        </w:trPr>
        <w:tc>
          <w:tcPr>
            <w:tcW w:w="163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Al-ARAFAH Bank 2017</w:t>
            </w:r>
          </w:p>
        </w:tc>
        <w:tc>
          <w:tcPr>
            <w:tcW w:w="115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93.43%</w:t>
            </w:r>
          </w:p>
        </w:tc>
        <w:tc>
          <w:tcPr>
            <w:tcW w:w="106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85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20</w:t>
            </w:r>
          </w:p>
        </w:tc>
        <w:tc>
          <w:tcPr>
            <w:tcW w:w="102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1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56" w:type="dxa"/>
            <w:noWrap/>
            <w:hideMark/>
          </w:tcPr>
          <w:p w:rsidR="00871EA9" w:rsidRPr="00902BA4" w:rsidRDefault="00902BA4" w:rsidP="00871EA9">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7.55%</w:t>
            </w:r>
          </w:p>
        </w:tc>
      </w:tr>
      <w:tr w:rsidR="00902BA4" w:rsidRPr="00F502C3" w:rsidTr="00902BA4">
        <w:trPr>
          <w:trHeight w:val="284"/>
        </w:trPr>
        <w:tc>
          <w:tcPr>
            <w:tcW w:w="163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Al-ARA</w:t>
            </w:r>
            <w:r w:rsidR="001E5012" w:rsidRPr="00902BA4">
              <w:rPr>
                <w:rFonts w:ascii="Times New Roman" w:hAnsi="Times New Roman" w:cs="Times New Roman"/>
                <w:sz w:val="20"/>
                <w:szCs w:val="20"/>
              </w:rPr>
              <w:t>FH</w:t>
            </w:r>
            <w:r w:rsidRPr="00902BA4">
              <w:rPr>
                <w:rFonts w:ascii="Times New Roman" w:hAnsi="Times New Roman" w:cs="Times New Roman"/>
                <w:sz w:val="20"/>
                <w:szCs w:val="20"/>
              </w:rPr>
              <w:t xml:space="preserve"> Bank 2016</w:t>
            </w:r>
          </w:p>
        </w:tc>
        <w:tc>
          <w:tcPr>
            <w:tcW w:w="115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80.75%</w:t>
            </w:r>
          </w:p>
        </w:tc>
        <w:tc>
          <w:tcPr>
            <w:tcW w:w="106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85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20</w:t>
            </w:r>
          </w:p>
        </w:tc>
        <w:tc>
          <w:tcPr>
            <w:tcW w:w="102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1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56" w:type="dxa"/>
            <w:noWrap/>
            <w:hideMark/>
          </w:tcPr>
          <w:p w:rsidR="00871EA9" w:rsidRPr="00902BA4" w:rsidRDefault="00902BA4" w:rsidP="00871EA9">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24.15%</w:t>
            </w:r>
          </w:p>
        </w:tc>
      </w:tr>
      <w:tr w:rsidR="00902BA4" w:rsidRPr="00F502C3" w:rsidTr="00902BA4">
        <w:trPr>
          <w:trHeight w:val="284"/>
        </w:trPr>
        <w:tc>
          <w:tcPr>
            <w:tcW w:w="1632" w:type="dxa"/>
            <w:noWrap/>
            <w:hideMark/>
          </w:tcPr>
          <w:p w:rsidR="00871EA9" w:rsidRPr="00902BA4" w:rsidRDefault="001E5012"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Al-ARAFH</w:t>
            </w:r>
            <w:r w:rsidR="00871EA9" w:rsidRPr="00902BA4">
              <w:rPr>
                <w:rFonts w:ascii="Times New Roman" w:hAnsi="Times New Roman" w:cs="Times New Roman"/>
                <w:sz w:val="20"/>
                <w:szCs w:val="20"/>
              </w:rPr>
              <w:t xml:space="preserve"> Bank 2015</w:t>
            </w:r>
          </w:p>
        </w:tc>
        <w:tc>
          <w:tcPr>
            <w:tcW w:w="115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80.14%</w:t>
            </w:r>
          </w:p>
        </w:tc>
        <w:tc>
          <w:tcPr>
            <w:tcW w:w="106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85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18</w:t>
            </w:r>
          </w:p>
        </w:tc>
        <w:tc>
          <w:tcPr>
            <w:tcW w:w="102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1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56" w:type="dxa"/>
            <w:noWrap/>
            <w:hideMark/>
          </w:tcPr>
          <w:p w:rsidR="00871EA9" w:rsidRPr="00902BA4" w:rsidRDefault="00902BA4" w:rsidP="00871EA9">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8.15%</w:t>
            </w:r>
          </w:p>
        </w:tc>
      </w:tr>
      <w:tr w:rsidR="00902BA4" w:rsidRPr="00F502C3" w:rsidTr="00902BA4">
        <w:trPr>
          <w:trHeight w:val="284"/>
        </w:trPr>
        <w:tc>
          <w:tcPr>
            <w:tcW w:w="1632" w:type="dxa"/>
            <w:noWrap/>
            <w:hideMark/>
          </w:tcPr>
          <w:p w:rsidR="00871EA9" w:rsidRPr="00902BA4" w:rsidRDefault="001E5012"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Al-ARAFAH Bank</w:t>
            </w:r>
            <w:r w:rsidR="00871EA9" w:rsidRPr="00902BA4">
              <w:rPr>
                <w:rFonts w:ascii="Times New Roman" w:hAnsi="Times New Roman" w:cs="Times New Roman"/>
                <w:sz w:val="20"/>
                <w:szCs w:val="20"/>
              </w:rPr>
              <w:t xml:space="preserve"> 2014</w:t>
            </w:r>
          </w:p>
        </w:tc>
        <w:tc>
          <w:tcPr>
            <w:tcW w:w="115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91.37%</w:t>
            </w:r>
          </w:p>
        </w:tc>
        <w:tc>
          <w:tcPr>
            <w:tcW w:w="106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85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18</w:t>
            </w:r>
          </w:p>
        </w:tc>
        <w:tc>
          <w:tcPr>
            <w:tcW w:w="102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1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56" w:type="dxa"/>
            <w:noWrap/>
            <w:hideMark/>
          </w:tcPr>
          <w:p w:rsidR="00871EA9" w:rsidRPr="00902BA4" w:rsidRDefault="00902BA4" w:rsidP="00871EA9">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8.67%</w:t>
            </w:r>
          </w:p>
        </w:tc>
      </w:tr>
      <w:tr w:rsidR="00902BA4" w:rsidRPr="00F502C3" w:rsidTr="00902BA4">
        <w:trPr>
          <w:trHeight w:val="284"/>
        </w:trPr>
        <w:tc>
          <w:tcPr>
            <w:tcW w:w="1632" w:type="dxa"/>
            <w:noWrap/>
            <w:hideMark/>
          </w:tcPr>
          <w:p w:rsidR="00871EA9" w:rsidRPr="00902BA4" w:rsidRDefault="001E5012"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Al-ARAFAH</w:t>
            </w:r>
            <w:r w:rsidR="00871EA9" w:rsidRPr="00902BA4">
              <w:rPr>
                <w:rFonts w:ascii="Times New Roman" w:hAnsi="Times New Roman" w:cs="Times New Roman"/>
                <w:sz w:val="20"/>
                <w:szCs w:val="20"/>
              </w:rPr>
              <w:t xml:space="preserve"> Bank 2013</w:t>
            </w:r>
          </w:p>
        </w:tc>
        <w:tc>
          <w:tcPr>
            <w:tcW w:w="115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90.71%</w:t>
            </w:r>
          </w:p>
        </w:tc>
        <w:tc>
          <w:tcPr>
            <w:tcW w:w="106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85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18</w:t>
            </w:r>
          </w:p>
        </w:tc>
        <w:tc>
          <w:tcPr>
            <w:tcW w:w="102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1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56" w:type="dxa"/>
            <w:noWrap/>
            <w:hideMark/>
          </w:tcPr>
          <w:p w:rsidR="00871EA9" w:rsidRPr="00902BA4" w:rsidRDefault="00902BA4" w:rsidP="00871EA9">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2.39%</w:t>
            </w:r>
          </w:p>
        </w:tc>
      </w:tr>
      <w:tr w:rsidR="00902BA4" w:rsidRPr="00F502C3" w:rsidTr="00902BA4">
        <w:trPr>
          <w:trHeight w:val="284"/>
        </w:trPr>
        <w:tc>
          <w:tcPr>
            <w:tcW w:w="1632" w:type="dxa"/>
            <w:noWrap/>
            <w:hideMark/>
          </w:tcPr>
          <w:p w:rsidR="00871EA9" w:rsidRPr="00902BA4" w:rsidRDefault="001E5012"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Al-ARAFAH Bank</w:t>
            </w:r>
            <w:r w:rsidR="00871EA9" w:rsidRPr="00902BA4">
              <w:rPr>
                <w:rFonts w:ascii="Times New Roman" w:hAnsi="Times New Roman" w:cs="Times New Roman"/>
                <w:sz w:val="20"/>
                <w:szCs w:val="20"/>
              </w:rPr>
              <w:t xml:space="preserve"> 2012</w:t>
            </w:r>
          </w:p>
        </w:tc>
        <w:tc>
          <w:tcPr>
            <w:tcW w:w="115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90.59%</w:t>
            </w:r>
          </w:p>
        </w:tc>
        <w:tc>
          <w:tcPr>
            <w:tcW w:w="106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85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19</w:t>
            </w:r>
          </w:p>
        </w:tc>
        <w:tc>
          <w:tcPr>
            <w:tcW w:w="1024"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16"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56" w:type="dxa"/>
            <w:noWrap/>
            <w:hideMark/>
          </w:tcPr>
          <w:p w:rsidR="00871EA9" w:rsidRPr="00902BA4" w:rsidRDefault="00902BA4" w:rsidP="00871EA9">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342" w:type="dxa"/>
            <w:noWrap/>
            <w:hideMark/>
          </w:tcPr>
          <w:p w:rsidR="00871EA9" w:rsidRPr="00902BA4" w:rsidRDefault="00871EA9" w:rsidP="00871EA9">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0.60%</w:t>
            </w:r>
          </w:p>
        </w:tc>
      </w:tr>
    </w:tbl>
    <w:p w:rsidR="00902BA4" w:rsidRDefault="00902BA4" w:rsidP="001E5012">
      <w:pPr>
        <w:tabs>
          <w:tab w:val="center" w:pos="1691"/>
        </w:tabs>
        <w:spacing w:line="360" w:lineRule="auto"/>
        <w:rPr>
          <w:rFonts w:ascii="Times New Roman" w:hAnsi="Times New Roman" w:cs="Times New Roman"/>
          <w:b/>
          <w:sz w:val="24"/>
          <w:szCs w:val="24"/>
        </w:rPr>
      </w:pPr>
    </w:p>
    <w:p w:rsidR="00612C92" w:rsidRDefault="00902BA4" w:rsidP="00902BA4">
      <w:pPr>
        <w:tabs>
          <w:tab w:val="center" w:pos="1691"/>
        </w:tabs>
        <w:spacing w:line="360" w:lineRule="auto"/>
        <w:rPr>
          <w:rFonts w:ascii="Times New Roman" w:hAnsi="Times New Roman" w:cs="Times New Roman"/>
          <w:b/>
          <w:sz w:val="24"/>
          <w:szCs w:val="24"/>
        </w:rPr>
      </w:pPr>
      <w:r>
        <w:rPr>
          <w:noProof/>
        </w:rPr>
        <w:drawing>
          <wp:inline distT="0" distB="0" distL="0" distR="0" wp14:anchorId="499650E6" wp14:editId="26AA5A21">
            <wp:extent cx="6124353" cy="2743200"/>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0031EF" w:rsidRPr="00902BA4" w:rsidRDefault="00902BA4" w:rsidP="00612C92">
      <w:pPr>
        <w:tabs>
          <w:tab w:val="center" w:pos="1691"/>
        </w:tabs>
        <w:spacing w:line="360" w:lineRule="auto"/>
        <w:jc w:val="both"/>
        <w:rPr>
          <w:rFonts w:ascii="Times New Roman" w:hAnsi="Times New Roman" w:cs="Times New Roman"/>
          <w:b/>
          <w:sz w:val="24"/>
          <w:szCs w:val="24"/>
        </w:rPr>
      </w:pPr>
      <w:r>
        <w:rPr>
          <w:rFonts w:ascii="Times New Roman" w:hAnsi="Times New Roman" w:cs="Times New Roman"/>
          <w:sz w:val="24"/>
          <w:szCs w:val="24"/>
        </w:rPr>
        <w:t>Here we see that family member on board 1 every year that means there is a family member on their board.</w:t>
      </w:r>
      <w:r w:rsidR="00132879" w:rsidRPr="00F502C3">
        <w:rPr>
          <w:rFonts w:ascii="Times New Roman" w:hAnsi="Times New Roman" w:cs="Times New Roman"/>
          <w:sz w:val="24"/>
          <w:szCs w:val="24"/>
        </w:rPr>
        <w:t xml:space="preserve"> </w:t>
      </w:r>
      <w:r>
        <w:rPr>
          <w:rFonts w:ascii="Times New Roman" w:hAnsi="Times New Roman" w:cs="Times New Roman"/>
          <w:sz w:val="24"/>
          <w:szCs w:val="24"/>
        </w:rPr>
        <w:t xml:space="preserve">Foreign member, </w:t>
      </w:r>
      <w:r w:rsidR="00132879" w:rsidRPr="00F502C3">
        <w:rPr>
          <w:rFonts w:ascii="Times New Roman" w:hAnsi="Times New Roman" w:cs="Times New Roman"/>
          <w:sz w:val="24"/>
          <w:szCs w:val="24"/>
        </w:rPr>
        <w:t>women on board, foreign ownership was 0 every year. But leverage ratio, family ownership every year good position on chart.</w:t>
      </w:r>
      <w:r w:rsidR="00132879">
        <w:rPr>
          <w:rFonts w:ascii="Times New Roman" w:hAnsi="Times New Roman" w:cs="Times New Roman"/>
          <w:sz w:val="24"/>
          <w:szCs w:val="24"/>
        </w:rPr>
        <w:t xml:space="preserve"> Highest leverage ratio was 93.52% and lowest ratio was 80.14% in 2015. Family ownership was highest was 24.15% and lowest ratio was 0.60% in 2012. </w:t>
      </w:r>
    </w:p>
    <w:p w:rsidR="00C005D3" w:rsidRPr="00902BA4" w:rsidRDefault="00902BA4" w:rsidP="00902BA4">
      <w:pPr>
        <w:tabs>
          <w:tab w:val="center" w:pos="1691"/>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BRAC Bank Ltd</w:t>
      </w:r>
    </w:p>
    <w:tbl>
      <w:tblPr>
        <w:tblStyle w:val="TableGrid"/>
        <w:tblpPr w:leftFromText="180" w:rightFromText="180" w:vertAnchor="text" w:horzAnchor="margin" w:tblpXSpec="center" w:tblpY="503"/>
        <w:tblW w:w="11072" w:type="dxa"/>
        <w:tblLook w:val="04A0" w:firstRow="1" w:lastRow="0" w:firstColumn="1" w:lastColumn="0" w:noHBand="0" w:noVBand="1"/>
      </w:tblPr>
      <w:tblGrid>
        <w:gridCol w:w="1672"/>
        <w:gridCol w:w="1087"/>
        <w:gridCol w:w="1002"/>
        <w:gridCol w:w="805"/>
        <w:gridCol w:w="1042"/>
        <w:gridCol w:w="1451"/>
        <w:gridCol w:w="1493"/>
        <w:gridCol w:w="1260"/>
        <w:gridCol w:w="1260"/>
      </w:tblGrid>
      <w:tr w:rsidR="00902BA4" w:rsidRPr="00902BA4" w:rsidTr="00DC06AD">
        <w:trPr>
          <w:trHeight w:val="332"/>
        </w:trPr>
        <w:tc>
          <w:tcPr>
            <w:tcW w:w="1672" w:type="dxa"/>
            <w:noWrap/>
            <w:hideMark/>
          </w:tcPr>
          <w:p w:rsidR="00902BA4" w:rsidRPr="00902BA4" w:rsidRDefault="00902BA4" w:rsidP="00902BA4">
            <w:pPr>
              <w:tabs>
                <w:tab w:val="center" w:pos="1691"/>
              </w:tabs>
              <w:spacing w:line="360" w:lineRule="auto"/>
              <w:rPr>
                <w:rFonts w:ascii="Times New Roman" w:hAnsi="Times New Roman" w:cs="Times New Roman"/>
                <w:b/>
                <w:bCs/>
                <w:sz w:val="20"/>
                <w:szCs w:val="20"/>
              </w:rPr>
            </w:pPr>
            <w:r w:rsidRPr="00902BA4">
              <w:rPr>
                <w:rFonts w:ascii="Times New Roman" w:hAnsi="Times New Roman" w:cs="Times New Roman"/>
                <w:b/>
                <w:bCs/>
                <w:sz w:val="20"/>
                <w:szCs w:val="20"/>
              </w:rPr>
              <w:t xml:space="preserve">Name of Bank Ltd. </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Leverage</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Religion</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Board Size</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 xml:space="preserve">Woman on Board </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Foreign member on Board</w:t>
            </w:r>
          </w:p>
        </w:tc>
        <w:tc>
          <w:tcPr>
            <w:tcW w:w="1493" w:type="dxa"/>
            <w:noWrap/>
            <w:hideMark/>
          </w:tcPr>
          <w:p w:rsidR="00902BA4" w:rsidRPr="00902BA4" w:rsidRDefault="00902BA4" w:rsidP="00902BA4">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Family Member's on Board</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 xml:space="preserve">Foreign Ownership </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b/>
                <w:bCs/>
                <w:sz w:val="20"/>
                <w:szCs w:val="20"/>
              </w:rPr>
            </w:pPr>
            <w:r w:rsidRPr="00902BA4">
              <w:rPr>
                <w:rFonts w:ascii="Times New Roman" w:hAnsi="Times New Roman" w:cs="Times New Roman"/>
                <w:b/>
                <w:bCs/>
                <w:sz w:val="20"/>
                <w:szCs w:val="20"/>
              </w:rPr>
              <w:t>Family Ownership</w:t>
            </w:r>
          </w:p>
        </w:tc>
      </w:tr>
      <w:tr w:rsidR="00902BA4" w:rsidRPr="00902BA4" w:rsidTr="00DC06AD">
        <w:trPr>
          <w:trHeight w:val="332"/>
        </w:trPr>
        <w:tc>
          <w:tcPr>
            <w:tcW w:w="1672" w:type="dxa"/>
            <w:noWrap/>
            <w:hideMark/>
          </w:tcPr>
          <w:p w:rsidR="00902BA4" w:rsidRPr="00902BA4" w:rsidRDefault="00C831CD" w:rsidP="00902BA4">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BRAC</w:t>
            </w:r>
            <w:r w:rsidR="00902BA4" w:rsidRPr="00902BA4">
              <w:rPr>
                <w:rFonts w:ascii="Times New Roman" w:hAnsi="Times New Roman" w:cs="Times New Roman"/>
                <w:sz w:val="20"/>
                <w:szCs w:val="20"/>
              </w:rPr>
              <w:t xml:space="preserve"> Bank 2018</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88.35%</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0.02%</w:t>
            </w:r>
          </w:p>
        </w:tc>
      </w:tr>
      <w:tr w:rsidR="00902BA4" w:rsidRPr="00902BA4" w:rsidTr="00DC06AD">
        <w:trPr>
          <w:trHeight w:val="332"/>
        </w:trPr>
        <w:tc>
          <w:tcPr>
            <w:tcW w:w="1672" w:type="dxa"/>
            <w:noWrap/>
            <w:hideMark/>
          </w:tcPr>
          <w:p w:rsidR="00902BA4" w:rsidRPr="00902BA4" w:rsidRDefault="00902BA4" w:rsidP="00902BA4">
            <w:pPr>
              <w:tabs>
                <w:tab w:val="center" w:pos="1691"/>
              </w:tabs>
              <w:spacing w:line="360" w:lineRule="auto"/>
              <w:rPr>
                <w:rFonts w:ascii="Times New Roman" w:hAnsi="Times New Roman" w:cs="Times New Roman"/>
                <w:sz w:val="20"/>
                <w:szCs w:val="20"/>
              </w:rPr>
            </w:pPr>
            <w:r w:rsidRPr="00902BA4">
              <w:rPr>
                <w:rFonts w:ascii="Times New Roman" w:hAnsi="Times New Roman" w:cs="Times New Roman"/>
                <w:sz w:val="20"/>
                <w:szCs w:val="20"/>
              </w:rPr>
              <w:t>BRAC Bank 2017</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91.10%</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8</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0.01%</w:t>
            </w:r>
          </w:p>
        </w:tc>
      </w:tr>
      <w:tr w:rsidR="00902BA4" w:rsidRPr="00902BA4" w:rsidTr="00DC06AD">
        <w:trPr>
          <w:trHeight w:val="568"/>
        </w:trPr>
        <w:tc>
          <w:tcPr>
            <w:tcW w:w="1672" w:type="dxa"/>
            <w:noWrap/>
            <w:hideMark/>
          </w:tcPr>
          <w:p w:rsidR="00902BA4" w:rsidRPr="00902BA4" w:rsidRDefault="00902BA4" w:rsidP="00902BA4">
            <w:pPr>
              <w:tabs>
                <w:tab w:val="center" w:pos="1691"/>
              </w:tabs>
              <w:spacing w:line="360" w:lineRule="auto"/>
              <w:rPr>
                <w:rFonts w:ascii="Times New Roman" w:hAnsi="Times New Roman" w:cs="Times New Roman"/>
                <w:sz w:val="20"/>
                <w:szCs w:val="20"/>
              </w:rPr>
            </w:pPr>
            <w:r w:rsidRPr="00902BA4">
              <w:rPr>
                <w:rFonts w:ascii="Times New Roman" w:hAnsi="Times New Roman" w:cs="Times New Roman"/>
                <w:sz w:val="20"/>
                <w:szCs w:val="20"/>
              </w:rPr>
              <w:t>BRAC Bank  2016</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91.15%</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5</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r>
      <w:tr w:rsidR="00902BA4" w:rsidRPr="00902BA4" w:rsidTr="00DC06AD">
        <w:trPr>
          <w:trHeight w:val="332"/>
        </w:trPr>
        <w:tc>
          <w:tcPr>
            <w:tcW w:w="1672" w:type="dxa"/>
            <w:noWrap/>
            <w:hideMark/>
          </w:tcPr>
          <w:p w:rsidR="00902BA4" w:rsidRPr="00902BA4" w:rsidRDefault="00902BA4" w:rsidP="00902BA4">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BRAC</w:t>
            </w:r>
            <w:r w:rsidR="00C831CD">
              <w:rPr>
                <w:rFonts w:ascii="Times New Roman" w:hAnsi="Times New Roman" w:cs="Times New Roman"/>
                <w:sz w:val="20"/>
                <w:szCs w:val="20"/>
              </w:rPr>
              <w:t xml:space="preserve"> </w:t>
            </w:r>
            <w:r w:rsidRPr="00902BA4">
              <w:rPr>
                <w:rFonts w:ascii="Times New Roman" w:hAnsi="Times New Roman" w:cs="Times New Roman"/>
                <w:sz w:val="20"/>
                <w:szCs w:val="20"/>
              </w:rPr>
              <w:t xml:space="preserve"> Bank 2015</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90.73%</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7</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r>
      <w:tr w:rsidR="00902BA4" w:rsidRPr="00902BA4" w:rsidTr="00DC06AD">
        <w:trPr>
          <w:trHeight w:val="332"/>
        </w:trPr>
        <w:tc>
          <w:tcPr>
            <w:tcW w:w="1672" w:type="dxa"/>
            <w:noWrap/>
            <w:hideMark/>
          </w:tcPr>
          <w:p w:rsidR="00902BA4" w:rsidRPr="00902BA4" w:rsidRDefault="00C831CD" w:rsidP="00902BA4">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BRAC</w:t>
            </w:r>
            <w:r w:rsidR="00902BA4" w:rsidRPr="00902BA4">
              <w:rPr>
                <w:rFonts w:ascii="Times New Roman" w:hAnsi="Times New Roman" w:cs="Times New Roman"/>
                <w:sz w:val="20"/>
                <w:szCs w:val="20"/>
              </w:rPr>
              <w:t xml:space="preserve"> Bank 2014</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90.21%</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6</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r>
      <w:tr w:rsidR="00902BA4" w:rsidRPr="00902BA4" w:rsidTr="00DC06AD">
        <w:trPr>
          <w:trHeight w:val="332"/>
        </w:trPr>
        <w:tc>
          <w:tcPr>
            <w:tcW w:w="1672" w:type="dxa"/>
            <w:noWrap/>
            <w:hideMark/>
          </w:tcPr>
          <w:p w:rsidR="00902BA4" w:rsidRPr="00902BA4" w:rsidRDefault="00C831CD" w:rsidP="00902BA4">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BRAC</w:t>
            </w:r>
            <w:r w:rsidR="00902BA4" w:rsidRPr="00902BA4">
              <w:rPr>
                <w:rFonts w:ascii="Times New Roman" w:hAnsi="Times New Roman" w:cs="Times New Roman"/>
                <w:sz w:val="20"/>
                <w:szCs w:val="20"/>
              </w:rPr>
              <w:t xml:space="preserve"> Bank 2013</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92.52%</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5</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r>
      <w:tr w:rsidR="00902BA4" w:rsidRPr="00902BA4" w:rsidTr="00DC06AD">
        <w:trPr>
          <w:trHeight w:val="332"/>
        </w:trPr>
        <w:tc>
          <w:tcPr>
            <w:tcW w:w="1672" w:type="dxa"/>
            <w:noWrap/>
            <w:hideMark/>
          </w:tcPr>
          <w:p w:rsidR="00902BA4" w:rsidRPr="00902BA4" w:rsidRDefault="00C831CD" w:rsidP="00902BA4">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BRAC</w:t>
            </w:r>
            <w:r w:rsidR="00902BA4" w:rsidRPr="00902BA4">
              <w:rPr>
                <w:rFonts w:ascii="Times New Roman" w:hAnsi="Times New Roman" w:cs="Times New Roman"/>
                <w:sz w:val="20"/>
                <w:szCs w:val="20"/>
              </w:rPr>
              <w:t xml:space="preserve"> Bank 2012</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93.64%</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6</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r>
      <w:tr w:rsidR="00902BA4" w:rsidRPr="00902BA4" w:rsidTr="00DC06AD">
        <w:trPr>
          <w:trHeight w:val="332"/>
        </w:trPr>
        <w:tc>
          <w:tcPr>
            <w:tcW w:w="1672" w:type="dxa"/>
            <w:noWrap/>
            <w:hideMark/>
          </w:tcPr>
          <w:p w:rsidR="00902BA4" w:rsidRPr="00902BA4" w:rsidRDefault="00C831CD" w:rsidP="00902BA4">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BRAC</w:t>
            </w:r>
            <w:r w:rsidR="00902BA4" w:rsidRPr="00902BA4">
              <w:rPr>
                <w:rFonts w:ascii="Times New Roman" w:hAnsi="Times New Roman" w:cs="Times New Roman"/>
                <w:sz w:val="20"/>
                <w:szCs w:val="20"/>
              </w:rPr>
              <w:t xml:space="preserve"> Bank 2011</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92.56%</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6</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r>
      <w:tr w:rsidR="00902BA4" w:rsidRPr="00902BA4" w:rsidTr="00DC06AD">
        <w:trPr>
          <w:trHeight w:val="332"/>
        </w:trPr>
        <w:tc>
          <w:tcPr>
            <w:tcW w:w="1672" w:type="dxa"/>
            <w:noWrap/>
            <w:hideMark/>
          </w:tcPr>
          <w:p w:rsidR="00902BA4" w:rsidRPr="00902BA4" w:rsidRDefault="00C831CD" w:rsidP="00902BA4">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BRAC</w:t>
            </w:r>
            <w:r w:rsidR="00902BA4" w:rsidRPr="00902BA4">
              <w:rPr>
                <w:rFonts w:ascii="Times New Roman" w:hAnsi="Times New Roman" w:cs="Times New Roman"/>
                <w:sz w:val="20"/>
                <w:szCs w:val="20"/>
              </w:rPr>
              <w:t xml:space="preserve"> Bank 2010</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91.40%</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6</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0"/>
                <w:szCs w:val="20"/>
              </w:rPr>
            </w:pPr>
            <w:r w:rsidRPr="00902BA4">
              <w:rPr>
                <w:rFonts w:ascii="Times New Roman" w:hAnsi="Times New Roman" w:cs="Times New Roman"/>
                <w:sz w:val="20"/>
                <w:szCs w:val="20"/>
              </w:rPr>
              <w:t>0</w:t>
            </w:r>
          </w:p>
        </w:tc>
      </w:tr>
      <w:tr w:rsidR="00902BA4" w:rsidRPr="00902BA4" w:rsidTr="00DC06AD">
        <w:trPr>
          <w:trHeight w:val="332"/>
        </w:trPr>
        <w:tc>
          <w:tcPr>
            <w:tcW w:w="1672" w:type="dxa"/>
            <w:noWrap/>
            <w:hideMark/>
          </w:tcPr>
          <w:p w:rsidR="00902BA4" w:rsidRPr="00902BA4" w:rsidRDefault="00C831CD" w:rsidP="00902BA4">
            <w:pPr>
              <w:tabs>
                <w:tab w:val="center" w:pos="1691"/>
              </w:tabs>
              <w:spacing w:line="360" w:lineRule="auto"/>
              <w:rPr>
                <w:rFonts w:ascii="Times New Roman" w:hAnsi="Times New Roman" w:cs="Times New Roman"/>
                <w:sz w:val="24"/>
                <w:szCs w:val="24"/>
              </w:rPr>
            </w:pPr>
            <w:r>
              <w:rPr>
                <w:rFonts w:ascii="Times New Roman" w:hAnsi="Times New Roman" w:cs="Times New Roman"/>
                <w:sz w:val="24"/>
                <w:szCs w:val="24"/>
              </w:rPr>
              <w:t>BRAC</w:t>
            </w:r>
            <w:r w:rsidR="00902BA4" w:rsidRPr="00902BA4">
              <w:rPr>
                <w:rFonts w:ascii="Times New Roman" w:hAnsi="Times New Roman" w:cs="Times New Roman"/>
                <w:sz w:val="24"/>
                <w:szCs w:val="24"/>
              </w:rPr>
              <w:t xml:space="preserve"> Bank 2009</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90.72%</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7</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0</w:t>
            </w:r>
          </w:p>
        </w:tc>
      </w:tr>
      <w:tr w:rsidR="00902BA4" w:rsidRPr="00902BA4" w:rsidTr="00DC06AD">
        <w:trPr>
          <w:trHeight w:val="271"/>
        </w:trPr>
        <w:tc>
          <w:tcPr>
            <w:tcW w:w="1672" w:type="dxa"/>
            <w:noWrap/>
            <w:hideMark/>
          </w:tcPr>
          <w:p w:rsidR="00902BA4" w:rsidRPr="00902BA4" w:rsidRDefault="00C831CD" w:rsidP="00902BA4">
            <w:pPr>
              <w:tabs>
                <w:tab w:val="center" w:pos="1691"/>
              </w:tabs>
              <w:spacing w:line="360" w:lineRule="auto"/>
              <w:rPr>
                <w:rFonts w:ascii="Times New Roman" w:hAnsi="Times New Roman" w:cs="Times New Roman"/>
                <w:sz w:val="24"/>
                <w:szCs w:val="24"/>
              </w:rPr>
            </w:pPr>
            <w:r>
              <w:rPr>
                <w:rFonts w:ascii="Times New Roman" w:hAnsi="Times New Roman" w:cs="Times New Roman"/>
                <w:sz w:val="24"/>
                <w:szCs w:val="24"/>
              </w:rPr>
              <w:t>BRAC</w:t>
            </w:r>
            <w:r w:rsidR="00DC06AD">
              <w:rPr>
                <w:rFonts w:ascii="Times New Roman" w:hAnsi="Times New Roman" w:cs="Times New Roman"/>
                <w:sz w:val="24"/>
                <w:szCs w:val="24"/>
              </w:rPr>
              <w:t xml:space="preserve"> 2</w:t>
            </w:r>
            <w:r w:rsidR="00902BA4" w:rsidRPr="00902BA4">
              <w:rPr>
                <w:rFonts w:ascii="Times New Roman" w:hAnsi="Times New Roman" w:cs="Times New Roman"/>
                <w:sz w:val="24"/>
                <w:szCs w:val="24"/>
              </w:rPr>
              <w:t>008</w:t>
            </w:r>
          </w:p>
        </w:tc>
        <w:tc>
          <w:tcPr>
            <w:tcW w:w="1087"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92.50%</w:t>
            </w:r>
          </w:p>
        </w:tc>
        <w:tc>
          <w:tcPr>
            <w:tcW w:w="1002"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0</w:t>
            </w:r>
          </w:p>
        </w:tc>
        <w:tc>
          <w:tcPr>
            <w:tcW w:w="805"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7</w:t>
            </w:r>
          </w:p>
        </w:tc>
        <w:tc>
          <w:tcPr>
            <w:tcW w:w="1042"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1</w:t>
            </w:r>
          </w:p>
        </w:tc>
        <w:tc>
          <w:tcPr>
            <w:tcW w:w="1451"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0</w:t>
            </w:r>
          </w:p>
        </w:tc>
        <w:tc>
          <w:tcPr>
            <w:tcW w:w="1493" w:type="dxa"/>
            <w:noWrap/>
            <w:hideMark/>
          </w:tcPr>
          <w:p w:rsidR="00902BA4" w:rsidRPr="00902BA4" w:rsidRDefault="00DC06AD" w:rsidP="00902BA4">
            <w:pPr>
              <w:tabs>
                <w:tab w:val="center" w:pos="1691"/>
              </w:tabs>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0</w:t>
            </w:r>
          </w:p>
        </w:tc>
        <w:tc>
          <w:tcPr>
            <w:tcW w:w="1260" w:type="dxa"/>
            <w:noWrap/>
            <w:hideMark/>
          </w:tcPr>
          <w:p w:rsidR="00902BA4" w:rsidRPr="00902BA4" w:rsidRDefault="00902BA4" w:rsidP="00902BA4">
            <w:pPr>
              <w:tabs>
                <w:tab w:val="center" w:pos="1691"/>
              </w:tabs>
              <w:spacing w:line="360" w:lineRule="auto"/>
              <w:jc w:val="both"/>
              <w:rPr>
                <w:rFonts w:ascii="Times New Roman" w:hAnsi="Times New Roman" w:cs="Times New Roman"/>
                <w:sz w:val="24"/>
                <w:szCs w:val="24"/>
              </w:rPr>
            </w:pPr>
            <w:r w:rsidRPr="00902BA4">
              <w:rPr>
                <w:rFonts w:ascii="Times New Roman" w:hAnsi="Times New Roman" w:cs="Times New Roman"/>
                <w:sz w:val="24"/>
                <w:szCs w:val="24"/>
              </w:rPr>
              <w:t>0</w:t>
            </w:r>
          </w:p>
        </w:tc>
      </w:tr>
    </w:tbl>
    <w:p w:rsidR="00132879" w:rsidRDefault="00DC06AD" w:rsidP="00DD4D31">
      <w:pPr>
        <w:tabs>
          <w:tab w:val="center" w:pos="1691"/>
        </w:tabs>
        <w:spacing w:line="360" w:lineRule="auto"/>
        <w:jc w:val="both"/>
        <w:rPr>
          <w:rFonts w:ascii="Times New Roman" w:hAnsi="Times New Roman" w:cs="Times New Roman"/>
          <w:sz w:val="24"/>
          <w:szCs w:val="24"/>
        </w:rPr>
      </w:pPr>
      <w:r>
        <w:rPr>
          <w:noProof/>
        </w:rPr>
        <w:drawing>
          <wp:inline distT="0" distB="0" distL="0" distR="0" wp14:anchorId="2913AA2E" wp14:editId="727479CE">
            <wp:extent cx="6315740" cy="2987749"/>
            <wp:effectExtent l="0" t="0" r="8890" b="317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12C92" w:rsidRDefault="00612C92" w:rsidP="00612C92">
      <w:pPr>
        <w:tabs>
          <w:tab w:val="center" w:pos="1691"/>
        </w:tabs>
        <w:spacing w:line="360" w:lineRule="auto"/>
        <w:jc w:val="both"/>
        <w:rPr>
          <w:rFonts w:ascii="Times New Roman" w:hAnsi="Times New Roman" w:cs="Times New Roman"/>
          <w:sz w:val="24"/>
          <w:szCs w:val="24"/>
        </w:rPr>
      </w:pPr>
    </w:p>
    <w:p w:rsidR="003D7F26" w:rsidRPr="00F502C3" w:rsidRDefault="003D7F26" w:rsidP="00612C92">
      <w:pPr>
        <w:tabs>
          <w:tab w:val="center" w:pos="1691"/>
        </w:tabs>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We see that here Religion 0 every year. Leverage always high 2018 to 2010.Every year woman was on board. Foreign</w:t>
      </w:r>
      <w:r w:rsidR="00DC06AD">
        <w:rPr>
          <w:rFonts w:ascii="Times New Roman" w:hAnsi="Times New Roman" w:cs="Times New Roman"/>
          <w:sz w:val="24"/>
          <w:szCs w:val="24"/>
        </w:rPr>
        <w:t xml:space="preserve"> member,</w:t>
      </w:r>
      <w:r w:rsidRPr="00F502C3">
        <w:rPr>
          <w:rFonts w:ascii="Times New Roman" w:hAnsi="Times New Roman" w:cs="Times New Roman"/>
          <w:sz w:val="24"/>
          <w:szCs w:val="24"/>
        </w:rPr>
        <w:t xml:space="preserve"> foreign ownership was 0.</w:t>
      </w:r>
      <w:r w:rsidR="00DC06AD">
        <w:rPr>
          <w:rFonts w:ascii="Times New Roman" w:hAnsi="Times New Roman" w:cs="Times New Roman"/>
          <w:sz w:val="24"/>
          <w:szCs w:val="24"/>
        </w:rPr>
        <w:t xml:space="preserve"> </w:t>
      </w:r>
      <w:r w:rsidR="004110AD">
        <w:rPr>
          <w:rFonts w:ascii="Times New Roman" w:hAnsi="Times New Roman" w:cs="Times New Roman"/>
          <w:sz w:val="24"/>
          <w:szCs w:val="24"/>
        </w:rPr>
        <w:t xml:space="preserve">And they have </w:t>
      </w:r>
      <w:r w:rsidR="00DC06AD">
        <w:rPr>
          <w:rFonts w:ascii="Times New Roman" w:hAnsi="Times New Roman" w:cs="Times New Roman"/>
          <w:sz w:val="24"/>
          <w:szCs w:val="24"/>
        </w:rPr>
        <w:t>Family member</w:t>
      </w:r>
      <w:r w:rsidR="008C4A3B">
        <w:rPr>
          <w:rFonts w:ascii="Times New Roman" w:hAnsi="Times New Roman" w:cs="Times New Roman"/>
          <w:sz w:val="24"/>
          <w:szCs w:val="24"/>
        </w:rPr>
        <w:t xml:space="preserve"> </w:t>
      </w:r>
      <w:r w:rsidR="004110AD">
        <w:rPr>
          <w:rFonts w:ascii="Times New Roman" w:hAnsi="Times New Roman" w:cs="Times New Roman"/>
          <w:sz w:val="24"/>
          <w:szCs w:val="24"/>
        </w:rPr>
        <w:t xml:space="preserve">so we can use </w:t>
      </w:r>
      <w:r w:rsidR="00DC06AD">
        <w:rPr>
          <w:rFonts w:ascii="Times New Roman" w:hAnsi="Times New Roman" w:cs="Times New Roman"/>
          <w:sz w:val="24"/>
          <w:szCs w:val="24"/>
        </w:rPr>
        <w:t>1.</w:t>
      </w:r>
      <w:r w:rsidRPr="00F502C3">
        <w:rPr>
          <w:rFonts w:ascii="Times New Roman" w:hAnsi="Times New Roman" w:cs="Times New Roman"/>
          <w:sz w:val="24"/>
          <w:szCs w:val="24"/>
        </w:rPr>
        <w:t xml:space="preserve"> But </w:t>
      </w:r>
      <w:r w:rsidR="008C4A3B">
        <w:rPr>
          <w:rFonts w:ascii="Times New Roman" w:hAnsi="Times New Roman" w:cs="Times New Roman"/>
          <w:sz w:val="24"/>
          <w:szCs w:val="24"/>
        </w:rPr>
        <w:t>family share was 0.02 and 0.01 in 2018 and 2017.</w:t>
      </w:r>
      <w:r>
        <w:rPr>
          <w:rFonts w:ascii="Times New Roman" w:hAnsi="Times New Roman" w:cs="Times New Roman"/>
          <w:sz w:val="24"/>
          <w:szCs w:val="24"/>
        </w:rPr>
        <w:t>Highest leverage ratio was 93.64% in 2012.</w:t>
      </w:r>
      <w:r w:rsidR="00132879">
        <w:rPr>
          <w:rFonts w:ascii="Times New Roman" w:hAnsi="Times New Roman" w:cs="Times New Roman"/>
          <w:sz w:val="24"/>
          <w:szCs w:val="24"/>
        </w:rPr>
        <w:t xml:space="preserve"> Highest board size 9 in 2018 and lowest size was 5 in 2015.</w:t>
      </w:r>
      <w:r>
        <w:rPr>
          <w:rFonts w:ascii="Times New Roman" w:hAnsi="Times New Roman" w:cs="Times New Roman"/>
          <w:sz w:val="24"/>
          <w:szCs w:val="24"/>
        </w:rPr>
        <w:t xml:space="preserve">  </w:t>
      </w:r>
      <w:r w:rsidRPr="00F502C3">
        <w:rPr>
          <w:rFonts w:ascii="Times New Roman" w:hAnsi="Times New Roman" w:cs="Times New Roman"/>
          <w:sz w:val="24"/>
          <w:szCs w:val="24"/>
        </w:rPr>
        <w:t xml:space="preserve"> </w:t>
      </w:r>
    </w:p>
    <w:p w:rsidR="009C6661" w:rsidRPr="00936AC8" w:rsidRDefault="009C6661" w:rsidP="00936AC8">
      <w:pPr>
        <w:tabs>
          <w:tab w:val="left" w:pos="7588"/>
        </w:tabs>
        <w:spacing w:line="360" w:lineRule="auto"/>
        <w:jc w:val="both"/>
        <w:rPr>
          <w:rFonts w:ascii="Times New Roman" w:hAnsi="Times New Roman" w:cs="Times New Roman"/>
          <w:sz w:val="24"/>
          <w:szCs w:val="24"/>
        </w:rPr>
      </w:pPr>
    </w:p>
    <w:p w:rsidR="00C005D3" w:rsidRDefault="00C005D3" w:rsidP="00DD4D31">
      <w:pPr>
        <w:tabs>
          <w:tab w:val="center" w:pos="1691"/>
        </w:tabs>
        <w:spacing w:line="360" w:lineRule="auto"/>
        <w:jc w:val="both"/>
        <w:rPr>
          <w:rFonts w:ascii="Times New Roman" w:hAnsi="Times New Roman" w:cs="Times New Roman"/>
          <w:b/>
          <w:sz w:val="24"/>
          <w:szCs w:val="24"/>
        </w:rPr>
      </w:pPr>
    </w:p>
    <w:p w:rsidR="00936AC8" w:rsidRDefault="00936AC8" w:rsidP="00DD4D31">
      <w:pPr>
        <w:tabs>
          <w:tab w:val="center" w:pos="1691"/>
        </w:tabs>
        <w:spacing w:line="360" w:lineRule="auto"/>
        <w:jc w:val="both"/>
        <w:rPr>
          <w:rFonts w:ascii="Times New Roman" w:hAnsi="Times New Roman" w:cs="Times New Roman"/>
          <w:b/>
          <w:sz w:val="24"/>
          <w:szCs w:val="24"/>
        </w:rPr>
      </w:pPr>
    </w:p>
    <w:p w:rsidR="00936AC8" w:rsidRDefault="00936AC8" w:rsidP="00DD4D31">
      <w:pPr>
        <w:tabs>
          <w:tab w:val="center" w:pos="1691"/>
        </w:tabs>
        <w:spacing w:line="360" w:lineRule="auto"/>
        <w:jc w:val="both"/>
        <w:rPr>
          <w:rFonts w:ascii="Times New Roman" w:hAnsi="Times New Roman" w:cs="Times New Roman"/>
          <w:b/>
          <w:sz w:val="24"/>
          <w:szCs w:val="24"/>
        </w:rPr>
      </w:pPr>
    </w:p>
    <w:p w:rsidR="00936AC8" w:rsidRDefault="00936AC8" w:rsidP="00DD4D31">
      <w:pPr>
        <w:tabs>
          <w:tab w:val="center" w:pos="1691"/>
        </w:tabs>
        <w:spacing w:line="360" w:lineRule="auto"/>
        <w:jc w:val="both"/>
        <w:rPr>
          <w:rFonts w:ascii="Times New Roman" w:hAnsi="Times New Roman" w:cs="Times New Roman"/>
          <w:b/>
          <w:sz w:val="24"/>
          <w:szCs w:val="24"/>
        </w:rPr>
      </w:pPr>
    </w:p>
    <w:p w:rsidR="00936AC8" w:rsidRDefault="00936AC8" w:rsidP="00DD4D31">
      <w:pPr>
        <w:tabs>
          <w:tab w:val="center" w:pos="1691"/>
        </w:tabs>
        <w:spacing w:line="360" w:lineRule="auto"/>
        <w:jc w:val="both"/>
        <w:rPr>
          <w:rFonts w:ascii="Times New Roman" w:hAnsi="Times New Roman" w:cs="Times New Roman"/>
          <w:b/>
          <w:sz w:val="24"/>
          <w:szCs w:val="24"/>
        </w:rPr>
      </w:pPr>
    </w:p>
    <w:p w:rsidR="00936AC8" w:rsidRDefault="00936AC8" w:rsidP="00DD4D31">
      <w:pPr>
        <w:tabs>
          <w:tab w:val="center" w:pos="1691"/>
        </w:tabs>
        <w:spacing w:line="360" w:lineRule="auto"/>
        <w:jc w:val="both"/>
        <w:rPr>
          <w:rFonts w:ascii="Times New Roman" w:hAnsi="Times New Roman" w:cs="Times New Roman"/>
          <w:b/>
          <w:sz w:val="24"/>
          <w:szCs w:val="24"/>
        </w:rPr>
      </w:pPr>
    </w:p>
    <w:p w:rsidR="00936AC8" w:rsidRDefault="00936AC8" w:rsidP="00DD4D31">
      <w:pPr>
        <w:tabs>
          <w:tab w:val="center" w:pos="1691"/>
        </w:tabs>
        <w:spacing w:line="360" w:lineRule="auto"/>
        <w:jc w:val="both"/>
        <w:rPr>
          <w:rFonts w:ascii="Times New Roman" w:hAnsi="Times New Roman" w:cs="Times New Roman"/>
          <w:b/>
          <w:sz w:val="24"/>
          <w:szCs w:val="24"/>
        </w:rPr>
      </w:pPr>
    </w:p>
    <w:p w:rsidR="00936AC8" w:rsidRDefault="00936AC8" w:rsidP="00DD4D31">
      <w:pPr>
        <w:tabs>
          <w:tab w:val="center" w:pos="1691"/>
        </w:tabs>
        <w:spacing w:line="360" w:lineRule="auto"/>
        <w:jc w:val="both"/>
        <w:rPr>
          <w:rFonts w:ascii="Times New Roman" w:hAnsi="Times New Roman" w:cs="Times New Roman"/>
          <w:b/>
          <w:sz w:val="24"/>
          <w:szCs w:val="24"/>
        </w:rPr>
      </w:pPr>
    </w:p>
    <w:p w:rsidR="00936AC8" w:rsidRDefault="00936AC8" w:rsidP="00DD4D31">
      <w:pPr>
        <w:tabs>
          <w:tab w:val="center" w:pos="1691"/>
        </w:tabs>
        <w:spacing w:line="360" w:lineRule="auto"/>
        <w:jc w:val="both"/>
        <w:rPr>
          <w:rFonts w:ascii="Times New Roman" w:hAnsi="Times New Roman" w:cs="Times New Roman"/>
          <w:b/>
          <w:sz w:val="24"/>
          <w:szCs w:val="24"/>
        </w:rPr>
      </w:pPr>
    </w:p>
    <w:tbl>
      <w:tblPr>
        <w:tblStyle w:val="TableGrid"/>
        <w:tblpPr w:leftFromText="180" w:rightFromText="180" w:vertAnchor="text" w:horzAnchor="margin" w:tblpXSpec="center" w:tblpY="747"/>
        <w:tblW w:w="10985" w:type="dxa"/>
        <w:tblLook w:val="04A0" w:firstRow="1" w:lastRow="0" w:firstColumn="1" w:lastColumn="0" w:noHBand="0" w:noVBand="1"/>
      </w:tblPr>
      <w:tblGrid>
        <w:gridCol w:w="1621"/>
        <w:gridCol w:w="1109"/>
        <w:gridCol w:w="1043"/>
        <w:gridCol w:w="803"/>
        <w:gridCol w:w="1011"/>
        <w:gridCol w:w="1409"/>
        <w:gridCol w:w="1449"/>
        <w:gridCol w:w="1270"/>
        <w:gridCol w:w="1270"/>
      </w:tblGrid>
      <w:tr w:rsidR="00936AC8" w:rsidRPr="00936AC8" w:rsidTr="00936AC8">
        <w:trPr>
          <w:trHeight w:val="144"/>
        </w:trPr>
        <w:tc>
          <w:tcPr>
            <w:tcW w:w="1621" w:type="dxa"/>
            <w:noWrap/>
            <w:hideMark/>
          </w:tcPr>
          <w:p w:rsidR="00936AC8" w:rsidRPr="00936AC8" w:rsidRDefault="00936AC8" w:rsidP="00936AC8">
            <w:pPr>
              <w:tabs>
                <w:tab w:val="center" w:pos="1691"/>
              </w:tabs>
              <w:spacing w:line="360" w:lineRule="auto"/>
              <w:jc w:val="both"/>
              <w:rPr>
                <w:rFonts w:ascii="Times New Roman" w:hAnsi="Times New Roman" w:cs="Times New Roman"/>
                <w:bCs/>
                <w:sz w:val="24"/>
                <w:szCs w:val="24"/>
              </w:rPr>
            </w:pPr>
            <w:r w:rsidRPr="00936AC8">
              <w:rPr>
                <w:rFonts w:ascii="Times New Roman" w:hAnsi="Times New Roman" w:cs="Times New Roman"/>
                <w:bCs/>
                <w:sz w:val="24"/>
                <w:szCs w:val="24"/>
              </w:rPr>
              <w:t xml:space="preserve">Name of Bank Ltd. </w:t>
            </w:r>
          </w:p>
        </w:tc>
        <w:tc>
          <w:tcPr>
            <w:tcW w:w="1109" w:type="dxa"/>
            <w:noWrap/>
            <w:hideMark/>
          </w:tcPr>
          <w:p w:rsidR="00936AC8" w:rsidRPr="00936AC8" w:rsidRDefault="00936AC8" w:rsidP="00936AC8">
            <w:pPr>
              <w:tabs>
                <w:tab w:val="center" w:pos="1691"/>
              </w:tabs>
              <w:spacing w:line="360" w:lineRule="auto"/>
              <w:jc w:val="both"/>
              <w:rPr>
                <w:rFonts w:ascii="Times New Roman" w:hAnsi="Times New Roman" w:cs="Times New Roman"/>
                <w:bCs/>
                <w:sz w:val="24"/>
                <w:szCs w:val="24"/>
              </w:rPr>
            </w:pPr>
            <w:r w:rsidRPr="00936AC8">
              <w:rPr>
                <w:rFonts w:ascii="Times New Roman" w:hAnsi="Times New Roman" w:cs="Times New Roman"/>
                <w:bCs/>
                <w:sz w:val="24"/>
                <w:szCs w:val="24"/>
              </w:rPr>
              <w:t>Leverage</w:t>
            </w:r>
          </w:p>
        </w:tc>
        <w:tc>
          <w:tcPr>
            <w:tcW w:w="1043" w:type="dxa"/>
            <w:noWrap/>
            <w:hideMark/>
          </w:tcPr>
          <w:p w:rsidR="00936AC8" w:rsidRPr="00936AC8" w:rsidRDefault="00936AC8" w:rsidP="00936AC8">
            <w:pPr>
              <w:tabs>
                <w:tab w:val="center" w:pos="1691"/>
              </w:tabs>
              <w:spacing w:line="360" w:lineRule="auto"/>
              <w:jc w:val="both"/>
              <w:rPr>
                <w:rFonts w:ascii="Times New Roman" w:hAnsi="Times New Roman" w:cs="Times New Roman"/>
                <w:bCs/>
                <w:sz w:val="24"/>
                <w:szCs w:val="24"/>
              </w:rPr>
            </w:pPr>
            <w:r w:rsidRPr="00936AC8">
              <w:rPr>
                <w:rFonts w:ascii="Times New Roman" w:hAnsi="Times New Roman" w:cs="Times New Roman"/>
                <w:bCs/>
                <w:sz w:val="24"/>
                <w:szCs w:val="24"/>
              </w:rPr>
              <w:t>Religion</w:t>
            </w:r>
          </w:p>
        </w:tc>
        <w:tc>
          <w:tcPr>
            <w:tcW w:w="803" w:type="dxa"/>
            <w:noWrap/>
            <w:hideMark/>
          </w:tcPr>
          <w:p w:rsidR="00936AC8" w:rsidRPr="00936AC8" w:rsidRDefault="00936AC8" w:rsidP="00936AC8">
            <w:pPr>
              <w:tabs>
                <w:tab w:val="center" w:pos="1691"/>
              </w:tabs>
              <w:spacing w:line="360" w:lineRule="auto"/>
              <w:jc w:val="both"/>
              <w:rPr>
                <w:rFonts w:ascii="Times New Roman" w:hAnsi="Times New Roman" w:cs="Times New Roman"/>
                <w:bCs/>
                <w:sz w:val="24"/>
                <w:szCs w:val="24"/>
              </w:rPr>
            </w:pPr>
            <w:r w:rsidRPr="00936AC8">
              <w:rPr>
                <w:rFonts w:ascii="Times New Roman" w:hAnsi="Times New Roman" w:cs="Times New Roman"/>
                <w:bCs/>
                <w:sz w:val="24"/>
                <w:szCs w:val="24"/>
              </w:rPr>
              <w:t>Board Size</w:t>
            </w:r>
          </w:p>
        </w:tc>
        <w:tc>
          <w:tcPr>
            <w:tcW w:w="1011" w:type="dxa"/>
            <w:noWrap/>
            <w:hideMark/>
          </w:tcPr>
          <w:p w:rsidR="00936AC8" w:rsidRPr="00936AC8" w:rsidRDefault="00936AC8" w:rsidP="00936AC8">
            <w:pPr>
              <w:tabs>
                <w:tab w:val="center" w:pos="1691"/>
              </w:tabs>
              <w:spacing w:line="360" w:lineRule="auto"/>
              <w:jc w:val="both"/>
              <w:rPr>
                <w:rFonts w:ascii="Times New Roman" w:hAnsi="Times New Roman" w:cs="Times New Roman"/>
                <w:bCs/>
                <w:sz w:val="24"/>
                <w:szCs w:val="24"/>
              </w:rPr>
            </w:pPr>
            <w:r w:rsidRPr="00936AC8">
              <w:rPr>
                <w:rFonts w:ascii="Times New Roman" w:hAnsi="Times New Roman" w:cs="Times New Roman"/>
                <w:bCs/>
                <w:sz w:val="24"/>
                <w:szCs w:val="24"/>
              </w:rPr>
              <w:t xml:space="preserve">Woman on Board </w:t>
            </w:r>
          </w:p>
        </w:tc>
        <w:tc>
          <w:tcPr>
            <w:tcW w:w="1409" w:type="dxa"/>
            <w:noWrap/>
            <w:hideMark/>
          </w:tcPr>
          <w:p w:rsidR="00936AC8" w:rsidRPr="00936AC8" w:rsidRDefault="00936AC8" w:rsidP="00936AC8">
            <w:pPr>
              <w:tabs>
                <w:tab w:val="center" w:pos="1691"/>
              </w:tabs>
              <w:spacing w:line="360" w:lineRule="auto"/>
              <w:jc w:val="both"/>
              <w:rPr>
                <w:rFonts w:ascii="Times New Roman" w:hAnsi="Times New Roman" w:cs="Times New Roman"/>
                <w:bCs/>
                <w:sz w:val="24"/>
                <w:szCs w:val="24"/>
              </w:rPr>
            </w:pPr>
            <w:r w:rsidRPr="00936AC8">
              <w:rPr>
                <w:rFonts w:ascii="Times New Roman" w:hAnsi="Times New Roman" w:cs="Times New Roman"/>
                <w:bCs/>
                <w:sz w:val="24"/>
                <w:szCs w:val="24"/>
              </w:rPr>
              <w:t>Foreign member on Board</w:t>
            </w:r>
          </w:p>
        </w:tc>
        <w:tc>
          <w:tcPr>
            <w:tcW w:w="1449" w:type="dxa"/>
            <w:noWrap/>
            <w:hideMark/>
          </w:tcPr>
          <w:p w:rsidR="00936AC8" w:rsidRPr="00936AC8" w:rsidRDefault="00936AC8" w:rsidP="00936AC8">
            <w:pPr>
              <w:tabs>
                <w:tab w:val="center" w:pos="1691"/>
              </w:tabs>
              <w:spacing w:line="360" w:lineRule="auto"/>
              <w:jc w:val="both"/>
              <w:rPr>
                <w:rFonts w:ascii="Times New Roman" w:hAnsi="Times New Roman" w:cs="Times New Roman"/>
                <w:bCs/>
                <w:sz w:val="24"/>
                <w:szCs w:val="24"/>
              </w:rPr>
            </w:pPr>
            <w:r w:rsidRPr="00936AC8">
              <w:rPr>
                <w:rFonts w:ascii="Times New Roman" w:hAnsi="Times New Roman" w:cs="Times New Roman"/>
                <w:bCs/>
                <w:sz w:val="24"/>
                <w:szCs w:val="24"/>
              </w:rPr>
              <w:t>Family Member's on Board</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bCs/>
                <w:sz w:val="24"/>
                <w:szCs w:val="24"/>
              </w:rPr>
            </w:pPr>
            <w:r w:rsidRPr="00936AC8">
              <w:rPr>
                <w:rFonts w:ascii="Times New Roman" w:hAnsi="Times New Roman" w:cs="Times New Roman"/>
                <w:bCs/>
                <w:sz w:val="24"/>
                <w:szCs w:val="24"/>
              </w:rPr>
              <w:t xml:space="preserve">Foreign Ownership </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bCs/>
                <w:sz w:val="24"/>
                <w:szCs w:val="24"/>
              </w:rPr>
            </w:pPr>
            <w:r w:rsidRPr="00936AC8">
              <w:rPr>
                <w:rFonts w:ascii="Times New Roman" w:hAnsi="Times New Roman" w:cs="Times New Roman"/>
                <w:bCs/>
                <w:sz w:val="24"/>
                <w:szCs w:val="24"/>
              </w:rPr>
              <w:t>Family Ownership</w:t>
            </w:r>
          </w:p>
        </w:tc>
      </w:tr>
      <w:tr w:rsidR="00936AC8" w:rsidRPr="00936AC8" w:rsidTr="00936AC8">
        <w:trPr>
          <w:trHeight w:val="144"/>
        </w:trPr>
        <w:tc>
          <w:tcPr>
            <w:tcW w:w="1621" w:type="dxa"/>
            <w:noWrap/>
            <w:hideMark/>
          </w:tcPr>
          <w:p w:rsidR="00936AC8" w:rsidRPr="00936AC8" w:rsidRDefault="00936AC8" w:rsidP="00936AC8">
            <w:pPr>
              <w:tabs>
                <w:tab w:val="center" w:pos="1691"/>
              </w:tabs>
              <w:spacing w:line="360" w:lineRule="auto"/>
              <w:rPr>
                <w:rFonts w:ascii="Times New Roman" w:hAnsi="Times New Roman" w:cs="Times New Roman"/>
                <w:sz w:val="24"/>
                <w:szCs w:val="24"/>
              </w:rPr>
            </w:pPr>
            <w:r w:rsidRPr="00936AC8">
              <w:rPr>
                <w:rFonts w:ascii="Times New Roman" w:hAnsi="Times New Roman" w:cs="Times New Roman"/>
                <w:sz w:val="24"/>
                <w:szCs w:val="24"/>
              </w:rPr>
              <w:t>City Bank 2018</w:t>
            </w:r>
          </w:p>
        </w:tc>
        <w:tc>
          <w:tcPr>
            <w:tcW w:w="11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92.38%</w:t>
            </w:r>
          </w:p>
        </w:tc>
        <w:tc>
          <w:tcPr>
            <w:tcW w:w="104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80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14</w:t>
            </w:r>
          </w:p>
        </w:tc>
        <w:tc>
          <w:tcPr>
            <w:tcW w:w="1011"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4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44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12.55%</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r>
      <w:tr w:rsidR="00936AC8" w:rsidRPr="00936AC8" w:rsidTr="00936AC8">
        <w:trPr>
          <w:trHeight w:val="144"/>
        </w:trPr>
        <w:tc>
          <w:tcPr>
            <w:tcW w:w="1621" w:type="dxa"/>
            <w:noWrap/>
            <w:hideMark/>
          </w:tcPr>
          <w:p w:rsidR="00936AC8" w:rsidRPr="00936AC8" w:rsidRDefault="00936AC8" w:rsidP="00936AC8">
            <w:pPr>
              <w:tabs>
                <w:tab w:val="center" w:pos="1691"/>
              </w:tabs>
              <w:spacing w:line="360" w:lineRule="auto"/>
              <w:rPr>
                <w:rFonts w:ascii="Times New Roman" w:hAnsi="Times New Roman" w:cs="Times New Roman"/>
                <w:sz w:val="24"/>
                <w:szCs w:val="24"/>
              </w:rPr>
            </w:pPr>
            <w:r w:rsidRPr="00936AC8">
              <w:rPr>
                <w:rFonts w:ascii="Times New Roman" w:hAnsi="Times New Roman" w:cs="Times New Roman"/>
                <w:sz w:val="24"/>
                <w:szCs w:val="24"/>
              </w:rPr>
              <w:t>City Bank 2017</w:t>
            </w:r>
          </w:p>
        </w:tc>
        <w:tc>
          <w:tcPr>
            <w:tcW w:w="11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90.59%</w:t>
            </w:r>
          </w:p>
        </w:tc>
        <w:tc>
          <w:tcPr>
            <w:tcW w:w="104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80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13</w:t>
            </w:r>
          </w:p>
        </w:tc>
        <w:tc>
          <w:tcPr>
            <w:tcW w:w="1011"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4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44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15.16%</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r>
      <w:tr w:rsidR="00936AC8" w:rsidRPr="00936AC8" w:rsidTr="00936AC8">
        <w:trPr>
          <w:trHeight w:val="144"/>
        </w:trPr>
        <w:tc>
          <w:tcPr>
            <w:tcW w:w="1621" w:type="dxa"/>
            <w:noWrap/>
            <w:hideMark/>
          </w:tcPr>
          <w:p w:rsidR="00936AC8" w:rsidRPr="00936AC8" w:rsidRDefault="00936AC8" w:rsidP="00936AC8">
            <w:pPr>
              <w:tabs>
                <w:tab w:val="center" w:pos="1691"/>
              </w:tabs>
              <w:spacing w:line="360" w:lineRule="auto"/>
              <w:rPr>
                <w:rFonts w:ascii="Times New Roman" w:hAnsi="Times New Roman" w:cs="Times New Roman"/>
                <w:sz w:val="24"/>
                <w:szCs w:val="24"/>
              </w:rPr>
            </w:pPr>
            <w:r w:rsidRPr="00936AC8">
              <w:rPr>
                <w:rFonts w:ascii="Times New Roman" w:hAnsi="Times New Roman" w:cs="Times New Roman"/>
                <w:sz w:val="24"/>
                <w:szCs w:val="24"/>
              </w:rPr>
              <w:t>City Bank 2016</w:t>
            </w:r>
          </w:p>
        </w:tc>
        <w:tc>
          <w:tcPr>
            <w:tcW w:w="11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90.55%</w:t>
            </w:r>
          </w:p>
        </w:tc>
        <w:tc>
          <w:tcPr>
            <w:tcW w:w="104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80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14</w:t>
            </w:r>
          </w:p>
        </w:tc>
        <w:tc>
          <w:tcPr>
            <w:tcW w:w="1011"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4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44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r>
      <w:tr w:rsidR="00936AC8" w:rsidRPr="00936AC8" w:rsidTr="00936AC8">
        <w:trPr>
          <w:trHeight w:val="144"/>
        </w:trPr>
        <w:tc>
          <w:tcPr>
            <w:tcW w:w="1621" w:type="dxa"/>
            <w:noWrap/>
            <w:hideMark/>
          </w:tcPr>
          <w:p w:rsidR="00936AC8" w:rsidRPr="00936AC8" w:rsidRDefault="00936AC8" w:rsidP="00936AC8">
            <w:pPr>
              <w:tabs>
                <w:tab w:val="center" w:pos="1691"/>
              </w:tabs>
              <w:spacing w:line="360" w:lineRule="auto"/>
              <w:rPr>
                <w:rFonts w:ascii="Times New Roman" w:hAnsi="Times New Roman" w:cs="Times New Roman"/>
                <w:sz w:val="24"/>
                <w:szCs w:val="24"/>
              </w:rPr>
            </w:pPr>
            <w:r w:rsidRPr="00936AC8">
              <w:rPr>
                <w:rFonts w:ascii="Times New Roman" w:hAnsi="Times New Roman" w:cs="Times New Roman"/>
                <w:sz w:val="24"/>
                <w:szCs w:val="24"/>
              </w:rPr>
              <w:t>City Bank 2015</w:t>
            </w:r>
          </w:p>
        </w:tc>
        <w:tc>
          <w:tcPr>
            <w:tcW w:w="11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88.52%</w:t>
            </w:r>
          </w:p>
        </w:tc>
        <w:tc>
          <w:tcPr>
            <w:tcW w:w="104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80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13</w:t>
            </w:r>
          </w:p>
        </w:tc>
        <w:tc>
          <w:tcPr>
            <w:tcW w:w="1011"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4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44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r>
      <w:tr w:rsidR="00936AC8" w:rsidRPr="00936AC8" w:rsidTr="00936AC8">
        <w:trPr>
          <w:trHeight w:val="144"/>
        </w:trPr>
        <w:tc>
          <w:tcPr>
            <w:tcW w:w="1621" w:type="dxa"/>
            <w:noWrap/>
            <w:hideMark/>
          </w:tcPr>
          <w:p w:rsidR="00936AC8" w:rsidRPr="00936AC8" w:rsidRDefault="00936AC8" w:rsidP="00936AC8">
            <w:pPr>
              <w:tabs>
                <w:tab w:val="center" w:pos="1691"/>
              </w:tabs>
              <w:spacing w:line="360" w:lineRule="auto"/>
              <w:rPr>
                <w:rFonts w:ascii="Times New Roman" w:hAnsi="Times New Roman" w:cs="Times New Roman"/>
                <w:sz w:val="24"/>
                <w:szCs w:val="24"/>
              </w:rPr>
            </w:pPr>
            <w:r w:rsidRPr="00936AC8">
              <w:rPr>
                <w:rFonts w:ascii="Times New Roman" w:hAnsi="Times New Roman" w:cs="Times New Roman"/>
                <w:sz w:val="24"/>
                <w:szCs w:val="24"/>
              </w:rPr>
              <w:t>City Bank 2014</w:t>
            </w:r>
          </w:p>
        </w:tc>
        <w:tc>
          <w:tcPr>
            <w:tcW w:w="11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87.39%</w:t>
            </w:r>
          </w:p>
        </w:tc>
        <w:tc>
          <w:tcPr>
            <w:tcW w:w="104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80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15</w:t>
            </w:r>
          </w:p>
        </w:tc>
        <w:tc>
          <w:tcPr>
            <w:tcW w:w="1011"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4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44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r>
      <w:tr w:rsidR="00936AC8" w:rsidRPr="00936AC8" w:rsidTr="00936AC8">
        <w:trPr>
          <w:trHeight w:val="144"/>
        </w:trPr>
        <w:tc>
          <w:tcPr>
            <w:tcW w:w="1621" w:type="dxa"/>
            <w:noWrap/>
            <w:hideMark/>
          </w:tcPr>
          <w:p w:rsidR="00936AC8" w:rsidRPr="00936AC8" w:rsidRDefault="00936AC8" w:rsidP="00936AC8">
            <w:pPr>
              <w:tabs>
                <w:tab w:val="center" w:pos="1691"/>
              </w:tabs>
              <w:spacing w:line="360" w:lineRule="auto"/>
              <w:rPr>
                <w:rFonts w:ascii="Times New Roman" w:hAnsi="Times New Roman" w:cs="Times New Roman"/>
                <w:sz w:val="24"/>
                <w:szCs w:val="24"/>
              </w:rPr>
            </w:pPr>
            <w:r w:rsidRPr="00936AC8">
              <w:rPr>
                <w:rFonts w:ascii="Times New Roman" w:hAnsi="Times New Roman" w:cs="Times New Roman"/>
                <w:sz w:val="24"/>
                <w:szCs w:val="24"/>
              </w:rPr>
              <w:t>City Bank 2013</w:t>
            </w:r>
          </w:p>
        </w:tc>
        <w:tc>
          <w:tcPr>
            <w:tcW w:w="11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87.67%</w:t>
            </w:r>
          </w:p>
        </w:tc>
        <w:tc>
          <w:tcPr>
            <w:tcW w:w="104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80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14</w:t>
            </w:r>
          </w:p>
        </w:tc>
        <w:tc>
          <w:tcPr>
            <w:tcW w:w="1011"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4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44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r>
      <w:tr w:rsidR="00936AC8" w:rsidRPr="00936AC8" w:rsidTr="00936AC8">
        <w:trPr>
          <w:trHeight w:val="144"/>
        </w:trPr>
        <w:tc>
          <w:tcPr>
            <w:tcW w:w="1621" w:type="dxa"/>
            <w:noWrap/>
            <w:hideMark/>
          </w:tcPr>
          <w:p w:rsidR="00936AC8" w:rsidRPr="00936AC8" w:rsidRDefault="00936AC8" w:rsidP="00936AC8">
            <w:pPr>
              <w:tabs>
                <w:tab w:val="center" w:pos="1691"/>
              </w:tabs>
              <w:spacing w:line="360" w:lineRule="auto"/>
              <w:rPr>
                <w:rFonts w:ascii="Times New Roman" w:hAnsi="Times New Roman" w:cs="Times New Roman"/>
                <w:sz w:val="24"/>
                <w:szCs w:val="24"/>
              </w:rPr>
            </w:pPr>
            <w:r w:rsidRPr="00936AC8">
              <w:rPr>
                <w:rFonts w:ascii="Times New Roman" w:hAnsi="Times New Roman" w:cs="Times New Roman"/>
                <w:sz w:val="24"/>
                <w:szCs w:val="24"/>
              </w:rPr>
              <w:t>City Bank 2012</w:t>
            </w:r>
          </w:p>
        </w:tc>
        <w:tc>
          <w:tcPr>
            <w:tcW w:w="11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88.29%</w:t>
            </w:r>
          </w:p>
        </w:tc>
        <w:tc>
          <w:tcPr>
            <w:tcW w:w="104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80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14</w:t>
            </w:r>
          </w:p>
        </w:tc>
        <w:tc>
          <w:tcPr>
            <w:tcW w:w="1011"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4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44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r>
      <w:tr w:rsidR="00936AC8" w:rsidRPr="00936AC8" w:rsidTr="00936AC8">
        <w:trPr>
          <w:trHeight w:val="144"/>
        </w:trPr>
        <w:tc>
          <w:tcPr>
            <w:tcW w:w="1621" w:type="dxa"/>
            <w:noWrap/>
            <w:hideMark/>
          </w:tcPr>
          <w:p w:rsidR="00936AC8" w:rsidRPr="00936AC8" w:rsidRDefault="00936AC8" w:rsidP="00936AC8">
            <w:pPr>
              <w:tabs>
                <w:tab w:val="center" w:pos="1691"/>
              </w:tabs>
              <w:spacing w:line="360" w:lineRule="auto"/>
              <w:rPr>
                <w:rFonts w:ascii="Times New Roman" w:hAnsi="Times New Roman" w:cs="Times New Roman"/>
                <w:sz w:val="24"/>
                <w:szCs w:val="24"/>
              </w:rPr>
            </w:pPr>
            <w:r w:rsidRPr="00936AC8">
              <w:rPr>
                <w:rFonts w:ascii="Times New Roman" w:hAnsi="Times New Roman" w:cs="Times New Roman"/>
                <w:sz w:val="24"/>
                <w:szCs w:val="24"/>
              </w:rPr>
              <w:t>City Bank 2011</w:t>
            </w:r>
          </w:p>
        </w:tc>
        <w:tc>
          <w:tcPr>
            <w:tcW w:w="11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87.25%</w:t>
            </w:r>
          </w:p>
        </w:tc>
        <w:tc>
          <w:tcPr>
            <w:tcW w:w="104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80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14</w:t>
            </w:r>
          </w:p>
        </w:tc>
        <w:tc>
          <w:tcPr>
            <w:tcW w:w="1011"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4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44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r>
      <w:tr w:rsidR="00936AC8" w:rsidRPr="00936AC8" w:rsidTr="00936AC8">
        <w:trPr>
          <w:trHeight w:val="144"/>
        </w:trPr>
        <w:tc>
          <w:tcPr>
            <w:tcW w:w="1621" w:type="dxa"/>
            <w:noWrap/>
            <w:hideMark/>
          </w:tcPr>
          <w:p w:rsidR="00936AC8" w:rsidRPr="00936AC8" w:rsidRDefault="00936AC8" w:rsidP="00936AC8">
            <w:pPr>
              <w:tabs>
                <w:tab w:val="center" w:pos="1691"/>
              </w:tabs>
              <w:spacing w:line="360" w:lineRule="auto"/>
              <w:rPr>
                <w:rFonts w:ascii="Times New Roman" w:hAnsi="Times New Roman" w:cs="Times New Roman"/>
                <w:sz w:val="24"/>
                <w:szCs w:val="24"/>
              </w:rPr>
            </w:pPr>
            <w:r w:rsidRPr="00936AC8">
              <w:rPr>
                <w:rFonts w:ascii="Times New Roman" w:hAnsi="Times New Roman" w:cs="Times New Roman"/>
                <w:sz w:val="24"/>
                <w:szCs w:val="24"/>
              </w:rPr>
              <w:t>City Bank 2010</w:t>
            </w:r>
          </w:p>
        </w:tc>
        <w:tc>
          <w:tcPr>
            <w:tcW w:w="11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87.12%</w:t>
            </w:r>
          </w:p>
        </w:tc>
        <w:tc>
          <w:tcPr>
            <w:tcW w:w="104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803"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15</w:t>
            </w:r>
          </w:p>
        </w:tc>
        <w:tc>
          <w:tcPr>
            <w:tcW w:w="1011"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40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449"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1</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c>
          <w:tcPr>
            <w:tcW w:w="1270" w:type="dxa"/>
            <w:noWrap/>
            <w:hideMark/>
          </w:tcPr>
          <w:p w:rsidR="00936AC8" w:rsidRPr="00936AC8" w:rsidRDefault="00936AC8" w:rsidP="00936AC8">
            <w:pPr>
              <w:tabs>
                <w:tab w:val="center" w:pos="1691"/>
              </w:tabs>
              <w:spacing w:line="360" w:lineRule="auto"/>
              <w:jc w:val="both"/>
              <w:rPr>
                <w:rFonts w:ascii="Times New Roman" w:hAnsi="Times New Roman" w:cs="Times New Roman"/>
                <w:sz w:val="24"/>
                <w:szCs w:val="24"/>
              </w:rPr>
            </w:pPr>
            <w:r w:rsidRPr="00936AC8">
              <w:rPr>
                <w:rFonts w:ascii="Times New Roman" w:hAnsi="Times New Roman" w:cs="Times New Roman"/>
                <w:sz w:val="24"/>
                <w:szCs w:val="24"/>
              </w:rPr>
              <w:t>0</w:t>
            </w:r>
          </w:p>
        </w:tc>
      </w:tr>
    </w:tbl>
    <w:p w:rsidR="0077437C" w:rsidRDefault="00936AC8" w:rsidP="00612C92">
      <w:pPr>
        <w:tabs>
          <w:tab w:val="center" w:pos="1691"/>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City Bank Ltd.</w:t>
      </w:r>
    </w:p>
    <w:p w:rsidR="0077437C" w:rsidRPr="0077437C" w:rsidRDefault="0077437C" w:rsidP="0077437C">
      <w:pPr>
        <w:rPr>
          <w:rFonts w:ascii="Times New Roman" w:hAnsi="Times New Roman" w:cs="Times New Roman"/>
          <w:sz w:val="24"/>
          <w:szCs w:val="24"/>
        </w:rPr>
      </w:pPr>
    </w:p>
    <w:p w:rsidR="0077437C" w:rsidRPr="0077437C" w:rsidRDefault="0077437C" w:rsidP="0077437C">
      <w:pPr>
        <w:ind w:firstLine="720"/>
        <w:rPr>
          <w:rFonts w:ascii="Times New Roman" w:hAnsi="Times New Roman" w:cs="Times New Roman"/>
          <w:sz w:val="24"/>
          <w:szCs w:val="24"/>
        </w:rPr>
      </w:pPr>
    </w:p>
    <w:p w:rsidR="0077437C" w:rsidRPr="0077437C" w:rsidRDefault="0077437C" w:rsidP="0077437C">
      <w:pPr>
        <w:rPr>
          <w:rFonts w:ascii="Times New Roman" w:hAnsi="Times New Roman" w:cs="Times New Roman"/>
          <w:sz w:val="24"/>
          <w:szCs w:val="24"/>
        </w:rPr>
      </w:pPr>
      <w:r>
        <w:rPr>
          <w:noProof/>
        </w:rPr>
        <w:drawing>
          <wp:inline distT="0" distB="0" distL="0" distR="0" wp14:anchorId="21B419A9" wp14:editId="15492996">
            <wp:extent cx="5890437" cy="2849526"/>
            <wp:effectExtent l="0" t="0" r="0" b="825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7437C" w:rsidRPr="0077437C" w:rsidRDefault="0077437C" w:rsidP="0077437C">
      <w:pPr>
        <w:rPr>
          <w:rFonts w:ascii="Times New Roman" w:hAnsi="Times New Roman" w:cs="Times New Roman"/>
          <w:sz w:val="24"/>
          <w:szCs w:val="24"/>
        </w:rPr>
      </w:pPr>
    </w:p>
    <w:p w:rsidR="0077437C" w:rsidRPr="00902BA4" w:rsidRDefault="0077437C" w:rsidP="00612C92">
      <w:pPr>
        <w:tabs>
          <w:tab w:val="center" w:pos="1691"/>
        </w:tabs>
        <w:spacing w:line="360" w:lineRule="auto"/>
        <w:jc w:val="both"/>
        <w:rPr>
          <w:rFonts w:ascii="Times New Roman" w:hAnsi="Times New Roman" w:cs="Times New Roman"/>
          <w:b/>
          <w:sz w:val="24"/>
          <w:szCs w:val="24"/>
        </w:rPr>
      </w:pPr>
      <w:r>
        <w:rPr>
          <w:rFonts w:ascii="Times New Roman" w:hAnsi="Times New Roman" w:cs="Times New Roman"/>
          <w:sz w:val="24"/>
          <w:szCs w:val="24"/>
        </w:rPr>
        <w:t>We see that here was a family member on board and we express it by 1 every year that means there is a family member on their board.</w:t>
      </w:r>
      <w:r w:rsidRPr="00F502C3">
        <w:rPr>
          <w:rFonts w:ascii="Times New Roman" w:hAnsi="Times New Roman" w:cs="Times New Roman"/>
          <w:sz w:val="24"/>
          <w:szCs w:val="24"/>
        </w:rPr>
        <w:t xml:space="preserve"> </w:t>
      </w:r>
      <w:r>
        <w:rPr>
          <w:rFonts w:ascii="Times New Roman" w:hAnsi="Times New Roman" w:cs="Times New Roman"/>
          <w:sz w:val="24"/>
          <w:szCs w:val="24"/>
        </w:rPr>
        <w:t xml:space="preserve">Foreign member on board was </w:t>
      </w:r>
      <w:r w:rsidR="00066152">
        <w:rPr>
          <w:rFonts w:ascii="Times New Roman" w:hAnsi="Times New Roman" w:cs="Times New Roman"/>
          <w:sz w:val="24"/>
          <w:szCs w:val="24"/>
        </w:rPr>
        <w:t>0. This</w:t>
      </w:r>
      <w:r>
        <w:rPr>
          <w:rFonts w:ascii="Times New Roman" w:hAnsi="Times New Roman" w:cs="Times New Roman"/>
          <w:sz w:val="24"/>
          <w:szCs w:val="24"/>
        </w:rPr>
        <w:t xml:space="preserve"> bank has women on board. Foreign ownership has found 2018 and 2017 and it was 12.55% and 15.16%</w:t>
      </w:r>
      <w:r w:rsidRPr="00F502C3">
        <w:rPr>
          <w:rFonts w:ascii="Times New Roman" w:hAnsi="Times New Roman" w:cs="Times New Roman"/>
          <w:sz w:val="24"/>
          <w:szCs w:val="24"/>
        </w:rPr>
        <w:t xml:space="preserve">. But </w:t>
      </w:r>
      <w:r>
        <w:rPr>
          <w:rFonts w:ascii="Times New Roman" w:hAnsi="Times New Roman" w:cs="Times New Roman"/>
          <w:sz w:val="24"/>
          <w:szCs w:val="24"/>
        </w:rPr>
        <w:t>leverage ratio</w:t>
      </w:r>
      <w:r w:rsidRPr="00F502C3">
        <w:rPr>
          <w:rFonts w:ascii="Times New Roman" w:hAnsi="Times New Roman" w:cs="Times New Roman"/>
          <w:sz w:val="24"/>
          <w:szCs w:val="24"/>
        </w:rPr>
        <w:t xml:space="preserve"> every year good position on chart.</w:t>
      </w:r>
      <w:r>
        <w:rPr>
          <w:rFonts w:ascii="Times New Roman" w:hAnsi="Times New Roman" w:cs="Times New Roman"/>
          <w:sz w:val="24"/>
          <w:szCs w:val="24"/>
        </w:rPr>
        <w:t xml:space="preserve"> family share 0 every year. Highest leverage ratio was 93.28% and lowest ratio was 87.12% in 2010. </w:t>
      </w:r>
    </w:p>
    <w:p w:rsidR="0077437C" w:rsidRPr="0077437C" w:rsidRDefault="0077437C" w:rsidP="0077437C">
      <w:pPr>
        <w:rPr>
          <w:rFonts w:ascii="Times New Roman" w:hAnsi="Times New Roman" w:cs="Times New Roman"/>
          <w:sz w:val="24"/>
          <w:szCs w:val="24"/>
        </w:rPr>
      </w:pPr>
    </w:p>
    <w:p w:rsidR="0077437C" w:rsidRPr="0077437C" w:rsidRDefault="0077437C" w:rsidP="0077437C">
      <w:pPr>
        <w:rPr>
          <w:rFonts w:ascii="Times New Roman" w:hAnsi="Times New Roman" w:cs="Times New Roman"/>
          <w:sz w:val="24"/>
          <w:szCs w:val="24"/>
        </w:rPr>
      </w:pPr>
    </w:p>
    <w:p w:rsidR="0077437C" w:rsidRPr="0077437C" w:rsidRDefault="0077437C" w:rsidP="0077437C">
      <w:pPr>
        <w:rPr>
          <w:rFonts w:ascii="Times New Roman" w:hAnsi="Times New Roman" w:cs="Times New Roman"/>
          <w:sz w:val="24"/>
          <w:szCs w:val="24"/>
        </w:rPr>
      </w:pPr>
    </w:p>
    <w:p w:rsidR="0077437C" w:rsidRPr="0077437C" w:rsidRDefault="0077437C" w:rsidP="0077437C">
      <w:pPr>
        <w:rPr>
          <w:rFonts w:ascii="Times New Roman" w:hAnsi="Times New Roman" w:cs="Times New Roman"/>
          <w:sz w:val="24"/>
          <w:szCs w:val="24"/>
        </w:rPr>
      </w:pPr>
    </w:p>
    <w:p w:rsidR="0077437C" w:rsidRPr="0077437C" w:rsidRDefault="0077437C" w:rsidP="0077437C">
      <w:pPr>
        <w:rPr>
          <w:rFonts w:ascii="Times New Roman" w:hAnsi="Times New Roman" w:cs="Times New Roman"/>
          <w:sz w:val="24"/>
          <w:szCs w:val="24"/>
        </w:rPr>
      </w:pPr>
    </w:p>
    <w:p w:rsidR="0077437C" w:rsidRPr="0077437C" w:rsidRDefault="0077437C" w:rsidP="0077437C">
      <w:pPr>
        <w:rPr>
          <w:rFonts w:ascii="Times New Roman" w:hAnsi="Times New Roman" w:cs="Times New Roman"/>
          <w:sz w:val="24"/>
          <w:szCs w:val="24"/>
        </w:rPr>
      </w:pPr>
    </w:p>
    <w:p w:rsidR="001C5E30" w:rsidRDefault="001C5E30" w:rsidP="00DD4D31">
      <w:pPr>
        <w:tabs>
          <w:tab w:val="center" w:pos="1691"/>
        </w:tabs>
        <w:spacing w:line="360" w:lineRule="auto"/>
        <w:jc w:val="both"/>
        <w:rPr>
          <w:rFonts w:ascii="Times New Roman" w:hAnsi="Times New Roman" w:cs="Times New Roman"/>
          <w:sz w:val="24"/>
          <w:szCs w:val="24"/>
        </w:rPr>
      </w:pPr>
    </w:p>
    <w:p w:rsidR="001C5E30" w:rsidRDefault="001C5E30" w:rsidP="001C5E30">
      <w:pPr>
        <w:tabs>
          <w:tab w:val="left" w:pos="6212"/>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1C5E30" w:rsidRDefault="001C5E30" w:rsidP="00DD4D31">
      <w:pPr>
        <w:tabs>
          <w:tab w:val="center" w:pos="1691"/>
        </w:tabs>
        <w:spacing w:line="360" w:lineRule="auto"/>
        <w:jc w:val="both"/>
        <w:rPr>
          <w:rFonts w:ascii="Times New Roman" w:hAnsi="Times New Roman" w:cs="Times New Roman"/>
          <w:sz w:val="24"/>
          <w:szCs w:val="24"/>
        </w:rPr>
      </w:pPr>
    </w:p>
    <w:p w:rsidR="001C5E30" w:rsidRDefault="001C5E30" w:rsidP="00DD4D31">
      <w:pPr>
        <w:tabs>
          <w:tab w:val="center" w:pos="1691"/>
        </w:tabs>
        <w:spacing w:line="360" w:lineRule="auto"/>
        <w:jc w:val="both"/>
        <w:rPr>
          <w:rFonts w:ascii="Times New Roman" w:hAnsi="Times New Roman" w:cs="Times New Roman"/>
          <w:b/>
          <w:sz w:val="24"/>
          <w:szCs w:val="24"/>
        </w:rPr>
      </w:pPr>
    </w:p>
    <w:p w:rsidR="001C5E30" w:rsidRDefault="001C5E30" w:rsidP="00612C92">
      <w:pPr>
        <w:tabs>
          <w:tab w:val="center" w:pos="1691"/>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Dutch Bangla Bank</w:t>
      </w:r>
    </w:p>
    <w:tbl>
      <w:tblPr>
        <w:tblStyle w:val="TableGrid"/>
        <w:tblW w:w="9648" w:type="dxa"/>
        <w:tblLook w:val="04A0" w:firstRow="1" w:lastRow="0" w:firstColumn="1" w:lastColumn="0" w:noHBand="0" w:noVBand="1"/>
      </w:tblPr>
      <w:tblGrid>
        <w:gridCol w:w="1362"/>
        <w:gridCol w:w="1010"/>
        <w:gridCol w:w="937"/>
        <w:gridCol w:w="767"/>
        <w:gridCol w:w="927"/>
        <w:gridCol w:w="1099"/>
        <w:gridCol w:w="1225"/>
        <w:gridCol w:w="1165"/>
        <w:gridCol w:w="1156"/>
      </w:tblGrid>
      <w:tr w:rsidR="006172D7" w:rsidRPr="006172D7" w:rsidTr="006172D7">
        <w:trPr>
          <w:trHeight w:val="300"/>
        </w:trPr>
        <w:tc>
          <w:tcPr>
            <w:tcW w:w="1362" w:type="dxa"/>
            <w:noWrap/>
            <w:hideMark/>
          </w:tcPr>
          <w:p w:rsidR="006172D7" w:rsidRPr="006172D7" w:rsidRDefault="006172D7" w:rsidP="006172D7">
            <w:pPr>
              <w:tabs>
                <w:tab w:val="center" w:pos="1691"/>
              </w:tabs>
              <w:spacing w:line="360" w:lineRule="auto"/>
              <w:rPr>
                <w:rFonts w:ascii="Times New Roman" w:hAnsi="Times New Roman" w:cs="Times New Roman"/>
                <w:bCs/>
                <w:sz w:val="20"/>
                <w:szCs w:val="20"/>
              </w:rPr>
            </w:pPr>
            <w:r w:rsidRPr="006172D7">
              <w:rPr>
                <w:rFonts w:ascii="Times New Roman" w:hAnsi="Times New Roman" w:cs="Times New Roman"/>
                <w:bCs/>
                <w:sz w:val="20"/>
                <w:szCs w:val="20"/>
              </w:rPr>
              <w:t xml:space="preserve">Name of Bank Ltd. </w:t>
            </w:r>
          </w:p>
        </w:tc>
        <w:tc>
          <w:tcPr>
            <w:tcW w:w="1010" w:type="dxa"/>
            <w:noWrap/>
            <w:hideMark/>
          </w:tcPr>
          <w:p w:rsidR="006172D7" w:rsidRPr="006172D7" w:rsidRDefault="006172D7" w:rsidP="006172D7">
            <w:pPr>
              <w:tabs>
                <w:tab w:val="center" w:pos="1691"/>
              </w:tabs>
              <w:spacing w:line="360" w:lineRule="auto"/>
              <w:rPr>
                <w:rFonts w:ascii="Times New Roman" w:hAnsi="Times New Roman" w:cs="Times New Roman"/>
                <w:bCs/>
                <w:sz w:val="20"/>
                <w:szCs w:val="20"/>
              </w:rPr>
            </w:pPr>
            <w:r w:rsidRPr="006172D7">
              <w:rPr>
                <w:rFonts w:ascii="Times New Roman" w:hAnsi="Times New Roman" w:cs="Times New Roman"/>
                <w:bCs/>
                <w:sz w:val="20"/>
                <w:szCs w:val="20"/>
              </w:rPr>
              <w:t>Leverage</w:t>
            </w:r>
          </w:p>
        </w:tc>
        <w:tc>
          <w:tcPr>
            <w:tcW w:w="937" w:type="dxa"/>
            <w:noWrap/>
            <w:hideMark/>
          </w:tcPr>
          <w:p w:rsidR="006172D7" w:rsidRPr="006172D7" w:rsidRDefault="006172D7" w:rsidP="006172D7">
            <w:pPr>
              <w:tabs>
                <w:tab w:val="center" w:pos="1691"/>
              </w:tabs>
              <w:spacing w:line="360" w:lineRule="auto"/>
              <w:rPr>
                <w:rFonts w:ascii="Times New Roman" w:hAnsi="Times New Roman" w:cs="Times New Roman"/>
                <w:bCs/>
                <w:sz w:val="20"/>
                <w:szCs w:val="20"/>
              </w:rPr>
            </w:pPr>
            <w:r w:rsidRPr="006172D7">
              <w:rPr>
                <w:rFonts w:ascii="Times New Roman" w:hAnsi="Times New Roman" w:cs="Times New Roman"/>
                <w:bCs/>
                <w:sz w:val="20"/>
                <w:szCs w:val="20"/>
              </w:rPr>
              <w:t>Religion</w:t>
            </w:r>
          </w:p>
        </w:tc>
        <w:tc>
          <w:tcPr>
            <w:tcW w:w="767" w:type="dxa"/>
            <w:noWrap/>
            <w:hideMark/>
          </w:tcPr>
          <w:p w:rsidR="006172D7" w:rsidRPr="006172D7" w:rsidRDefault="006172D7" w:rsidP="006172D7">
            <w:pPr>
              <w:tabs>
                <w:tab w:val="center" w:pos="1691"/>
              </w:tabs>
              <w:spacing w:line="360" w:lineRule="auto"/>
              <w:rPr>
                <w:rFonts w:ascii="Times New Roman" w:hAnsi="Times New Roman" w:cs="Times New Roman"/>
                <w:bCs/>
                <w:sz w:val="20"/>
                <w:szCs w:val="20"/>
              </w:rPr>
            </w:pPr>
            <w:r w:rsidRPr="006172D7">
              <w:rPr>
                <w:rFonts w:ascii="Times New Roman" w:hAnsi="Times New Roman" w:cs="Times New Roman"/>
                <w:bCs/>
                <w:sz w:val="20"/>
                <w:szCs w:val="20"/>
              </w:rPr>
              <w:t>Board Size</w:t>
            </w:r>
          </w:p>
        </w:tc>
        <w:tc>
          <w:tcPr>
            <w:tcW w:w="927" w:type="dxa"/>
            <w:noWrap/>
            <w:hideMark/>
          </w:tcPr>
          <w:p w:rsidR="006172D7" w:rsidRPr="006172D7" w:rsidRDefault="006172D7" w:rsidP="006172D7">
            <w:pPr>
              <w:tabs>
                <w:tab w:val="center" w:pos="1691"/>
              </w:tabs>
              <w:spacing w:line="360" w:lineRule="auto"/>
              <w:rPr>
                <w:rFonts w:ascii="Times New Roman" w:hAnsi="Times New Roman" w:cs="Times New Roman"/>
                <w:bCs/>
                <w:sz w:val="20"/>
                <w:szCs w:val="20"/>
              </w:rPr>
            </w:pPr>
            <w:r w:rsidRPr="006172D7">
              <w:rPr>
                <w:rFonts w:ascii="Times New Roman" w:hAnsi="Times New Roman" w:cs="Times New Roman"/>
                <w:bCs/>
                <w:sz w:val="20"/>
                <w:szCs w:val="20"/>
              </w:rPr>
              <w:t xml:space="preserve">Woman on Board </w:t>
            </w:r>
          </w:p>
        </w:tc>
        <w:tc>
          <w:tcPr>
            <w:tcW w:w="1099" w:type="dxa"/>
            <w:noWrap/>
            <w:hideMark/>
          </w:tcPr>
          <w:p w:rsidR="006172D7" w:rsidRPr="006172D7" w:rsidRDefault="006172D7" w:rsidP="006172D7">
            <w:pPr>
              <w:tabs>
                <w:tab w:val="center" w:pos="1691"/>
              </w:tabs>
              <w:spacing w:line="360" w:lineRule="auto"/>
              <w:rPr>
                <w:rFonts w:ascii="Times New Roman" w:hAnsi="Times New Roman" w:cs="Times New Roman"/>
                <w:bCs/>
                <w:sz w:val="20"/>
                <w:szCs w:val="20"/>
              </w:rPr>
            </w:pPr>
            <w:r w:rsidRPr="006172D7">
              <w:rPr>
                <w:rFonts w:ascii="Times New Roman" w:hAnsi="Times New Roman" w:cs="Times New Roman"/>
                <w:bCs/>
                <w:sz w:val="20"/>
                <w:szCs w:val="20"/>
              </w:rPr>
              <w:t>Foreign member on Board</w:t>
            </w:r>
          </w:p>
        </w:tc>
        <w:tc>
          <w:tcPr>
            <w:tcW w:w="1225" w:type="dxa"/>
            <w:noWrap/>
            <w:hideMark/>
          </w:tcPr>
          <w:p w:rsidR="006172D7" w:rsidRPr="006172D7" w:rsidRDefault="006172D7" w:rsidP="006172D7">
            <w:pPr>
              <w:tabs>
                <w:tab w:val="center" w:pos="1691"/>
              </w:tabs>
              <w:spacing w:line="360" w:lineRule="auto"/>
              <w:rPr>
                <w:rFonts w:ascii="Times New Roman" w:hAnsi="Times New Roman" w:cs="Times New Roman"/>
                <w:bCs/>
                <w:sz w:val="20"/>
                <w:szCs w:val="20"/>
              </w:rPr>
            </w:pPr>
            <w:r w:rsidRPr="006172D7">
              <w:rPr>
                <w:rFonts w:ascii="Times New Roman" w:hAnsi="Times New Roman" w:cs="Times New Roman"/>
                <w:bCs/>
                <w:sz w:val="20"/>
                <w:szCs w:val="20"/>
              </w:rPr>
              <w:t>Family Member's on Board</w:t>
            </w:r>
          </w:p>
        </w:tc>
        <w:tc>
          <w:tcPr>
            <w:tcW w:w="1165" w:type="dxa"/>
            <w:noWrap/>
            <w:hideMark/>
          </w:tcPr>
          <w:p w:rsidR="006172D7" w:rsidRPr="006172D7" w:rsidRDefault="006172D7" w:rsidP="006172D7">
            <w:pPr>
              <w:tabs>
                <w:tab w:val="center" w:pos="1691"/>
              </w:tabs>
              <w:spacing w:line="360" w:lineRule="auto"/>
              <w:rPr>
                <w:rFonts w:ascii="Times New Roman" w:hAnsi="Times New Roman" w:cs="Times New Roman"/>
                <w:bCs/>
                <w:sz w:val="20"/>
                <w:szCs w:val="20"/>
              </w:rPr>
            </w:pPr>
            <w:r w:rsidRPr="006172D7">
              <w:rPr>
                <w:rFonts w:ascii="Times New Roman" w:hAnsi="Times New Roman" w:cs="Times New Roman"/>
                <w:bCs/>
                <w:sz w:val="20"/>
                <w:szCs w:val="20"/>
              </w:rPr>
              <w:t xml:space="preserve">Foreign Ownership </w:t>
            </w:r>
          </w:p>
        </w:tc>
        <w:tc>
          <w:tcPr>
            <w:tcW w:w="1156" w:type="dxa"/>
            <w:noWrap/>
            <w:hideMark/>
          </w:tcPr>
          <w:p w:rsidR="006172D7" w:rsidRPr="006172D7" w:rsidRDefault="006172D7" w:rsidP="006172D7">
            <w:pPr>
              <w:tabs>
                <w:tab w:val="center" w:pos="1691"/>
              </w:tabs>
              <w:spacing w:line="360" w:lineRule="auto"/>
              <w:rPr>
                <w:rFonts w:ascii="Times New Roman" w:hAnsi="Times New Roman" w:cs="Times New Roman"/>
                <w:bCs/>
                <w:sz w:val="20"/>
                <w:szCs w:val="20"/>
              </w:rPr>
            </w:pPr>
            <w:r w:rsidRPr="006172D7">
              <w:rPr>
                <w:rFonts w:ascii="Times New Roman" w:hAnsi="Times New Roman" w:cs="Times New Roman"/>
                <w:bCs/>
                <w:sz w:val="20"/>
                <w:szCs w:val="20"/>
              </w:rPr>
              <w:t>Family Ownership</w:t>
            </w:r>
          </w:p>
        </w:tc>
      </w:tr>
      <w:tr w:rsidR="006172D7" w:rsidRPr="006172D7" w:rsidTr="006172D7">
        <w:trPr>
          <w:trHeight w:val="300"/>
        </w:trPr>
        <w:tc>
          <w:tcPr>
            <w:tcW w:w="1362"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Dutch Bangla Bank 2018</w:t>
            </w:r>
          </w:p>
        </w:tc>
        <w:tc>
          <w:tcPr>
            <w:tcW w:w="1010"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93.33%</w:t>
            </w:r>
          </w:p>
        </w:tc>
        <w:tc>
          <w:tcPr>
            <w:tcW w:w="93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76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7</w:t>
            </w:r>
          </w:p>
        </w:tc>
        <w:tc>
          <w:tcPr>
            <w:tcW w:w="92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1099"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1</w:t>
            </w:r>
          </w:p>
        </w:tc>
        <w:tc>
          <w:tcPr>
            <w:tcW w:w="1225" w:type="dxa"/>
            <w:noWrap/>
            <w:hideMark/>
          </w:tcPr>
          <w:p w:rsidR="005900FC" w:rsidRPr="006172D7" w:rsidRDefault="005900FC" w:rsidP="006172D7">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1</w:t>
            </w:r>
          </w:p>
        </w:tc>
        <w:tc>
          <w:tcPr>
            <w:tcW w:w="1165"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25.70%</w:t>
            </w:r>
          </w:p>
        </w:tc>
        <w:tc>
          <w:tcPr>
            <w:tcW w:w="1156"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r>
      <w:tr w:rsidR="006172D7" w:rsidRPr="006172D7" w:rsidTr="006172D7">
        <w:trPr>
          <w:trHeight w:val="300"/>
        </w:trPr>
        <w:tc>
          <w:tcPr>
            <w:tcW w:w="1362"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Dutch Bangla Bank 2017</w:t>
            </w:r>
          </w:p>
        </w:tc>
        <w:tc>
          <w:tcPr>
            <w:tcW w:w="1010"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93.76%</w:t>
            </w:r>
          </w:p>
        </w:tc>
        <w:tc>
          <w:tcPr>
            <w:tcW w:w="93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76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7</w:t>
            </w:r>
          </w:p>
        </w:tc>
        <w:tc>
          <w:tcPr>
            <w:tcW w:w="92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1099"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1</w:t>
            </w:r>
          </w:p>
        </w:tc>
        <w:tc>
          <w:tcPr>
            <w:tcW w:w="1225" w:type="dxa"/>
            <w:noWrap/>
            <w:hideMark/>
          </w:tcPr>
          <w:p w:rsidR="006172D7" w:rsidRPr="006172D7" w:rsidRDefault="005900FC" w:rsidP="006172D7">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1</w:t>
            </w:r>
          </w:p>
        </w:tc>
        <w:tc>
          <w:tcPr>
            <w:tcW w:w="1165"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25.70%</w:t>
            </w:r>
          </w:p>
        </w:tc>
        <w:tc>
          <w:tcPr>
            <w:tcW w:w="1156"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r>
      <w:tr w:rsidR="006172D7" w:rsidRPr="006172D7" w:rsidTr="006172D7">
        <w:trPr>
          <w:trHeight w:val="300"/>
        </w:trPr>
        <w:tc>
          <w:tcPr>
            <w:tcW w:w="1362"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Dutch Bangla Bank 2016</w:t>
            </w:r>
          </w:p>
        </w:tc>
        <w:tc>
          <w:tcPr>
            <w:tcW w:w="1010"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93.39%</w:t>
            </w:r>
          </w:p>
        </w:tc>
        <w:tc>
          <w:tcPr>
            <w:tcW w:w="93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76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7</w:t>
            </w:r>
          </w:p>
        </w:tc>
        <w:tc>
          <w:tcPr>
            <w:tcW w:w="92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1099"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1</w:t>
            </w:r>
          </w:p>
        </w:tc>
        <w:tc>
          <w:tcPr>
            <w:tcW w:w="1225" w:type="dxa"/>
            <w:noWrap/>
            <w:hideMark/>
          </w:tcPr>
          <w:p w:rsidR="006172D7" w:rsidRPr="006172D7" w:rsidRDefault="005900FC" w:rsidP="006172D7">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1</w:t>
            </w:r>
          </w:p>
        </w:tc>
        <w:tc>
          <w:tcPr>
            <w:tcW w:w="1165"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25.70%</w:t>
            </w:r>
          </w:p>
        </w:tc>
        <w:tc>
          <w:tcPr>
            <w:tcW w:w="1156"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r>
      <w:tr w:rsidR="006172D7" w:rsidRPr="006172D7" w:rsidTr="006172D7">
        <w:trPr>
          <w:trHeight w:val="300"/>
        </w:trPr>
        <w:tc>
          <w:tcPr>
            <w:tcW w:w="1362"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Dutch Bangla Bank 2015</w:t>
            </w:r>
          </w:p>
        </w:tc>
        <w:tc>
          <w:tcPr>
            <w:tcW w:w="1010"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93.14%</w:t>
            </w:r>
          </w:p>
        </w:tc>
        <w:tc>
          <w:tcPr>
            <w:tcW w:w="93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76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7</w:t>
            </w:r>
          </w:p>
        </w:tc>
        <w:tc>
          <w:tcPr>
            <w:tcW w:w="92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1099"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1</w:t>
            </w:r>
          </w:p>
        </w:tc>
        <w:tc>
          <w:tcPr>
            <w:tcW w:w="1225" w:type="dxa"/>
            <w:noWrap/>
            <w:hideMark/>
          </w:tcPr>
          <w:p w:rsidR="006172D7" w:rsidRPr="006172D7" w:rsidRDefault="005900FC" w:rsidP="006172D7">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1</w:t>
            </w:r>
          </w:p>
        </w:tc>
        <w:tc>
          <w:tcPr>
            <w:tcW w:w="1165"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25.70%</w:t>
            </w:r>
          </w:p>
        </w:tc>
        <w:tc>
          <w:tcPr>
            <w:tcW w:w="1156"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r>
      <w:tr w:rsidR="006172D7" w:rsidRPr="006172D7" w:rsidTr="006172D7">
        <w:trPr>
          <w:trHeight w:val="300"/>
        </w:trPr>
        <w:tc>
          <w:tcPr>
            <w:tcW w:w="1362"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Dutch Bangla Bank 2014</w:t>
            </w:r>
          </w:p>
        </w:tc>
        <w:tc>
          <w:tcPr>
            <w:tcW w:w="1010"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93.25%</w:t>
            </w:r>
          </w:p>
        </w:tc>
        <w:tc>
          <w:tcPr>
            <w:tcW w:w="93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76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7</w:t>
            </w:r>
          </w:p>
        </w:tc>
        <w:tc>
          <w:tcPr>
            <w:tcW w:w="92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1099"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1</w:t>
            </w:r>
          </w:p>
        </w:tc>
        <w:tc>
          <w:tcPr>
            <w:tcW w:w="1225" w:type="dxa"/>
            <w:noWrap/>
            <w:hideMark/>
          </w:tcPr>
          <w:p w:rsidR="006172D7" w:rsidRPr="006172D7" w:rsidRDefault="005900FC" w:rsidP="006172D7">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1</w:t>
            </w:r>
          </w:p>
        </w:tc>
        <w:tc>
          <w:tcPr>
            <w:tcW w:w="1165"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25.70%</w:t>
            </w:r>
          </w:p>
        </w:tc>
        <w:tc>
          <w:tcPr>
            <w:tcW w:w="1156"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r>
      <w:tr w:rsidR="006172D7" w:rsidRPr="006172D7" w:rsidTr="006172D7">
        <w:trPr>
          <w:trHeight w:val="300"/>
        </w:trPr>
        <w:tc>
          <w:tcPr>
            <w:tcW w:w="1362"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Dutch Bangla Bank 2013</w:t>
            </w:r>
          </w:p>
        </w:tc>
        <w:tc>
          <w:tcPr>
            <w:tcW w:w="1010"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93.19%</w:t>
            </w:r>
          </w:p>
        </w:tc>
        <w:tc>
          <w:tcPr>
            <w:tcW w:w="93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76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7</w:t>
            </w:r>
          </w:p>
        </w:tc>
        <w:tc>
          <w:tcPr>
            <w:tcW w:w="92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1099"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1</w:t>
            </w:r>
          </w:p>
        </w:tc>
        <w:tc>
          <w:tcPr>
            <w:tcW w:w="1225" w:type="dxa"/>
            <w:noWrap/>
            <w:hideMark/>
          </w:tcPr>
          <w:p w:rsidR="006172D7" w:rsidRPr="006172D7" w:rsidRDefault="005900FC" w:rsidP="006172D7">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1</w:t>
            </w:r>
          </w:p>
        </w:tc>
        <w:tc>
          <w:tcPr>
            <w:tcW w:w="1165"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25.75%</w:t>
            </w:r>
          </w:p>
        </w:tc>
        <w:tc>
          <w:tcPr>
            <w:tcW w:w="1156"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r>
      <w:tr w:rsidR="006172D7" w:rsidRPr="006172D7" w:rsidTr="006172D7">
        <w:trPr>
          <w:trHeight w:val="300"/>
        </w:trPr>
        <w:tc>
          <w:tcPr>
            <w:tcW w:w="1362"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Dutch Bangla Bank 2012</w:t>
            </w:r>
          </w:p>
        </w:tc>
        <w:tc>
          <w:tcPr>
            <w:tcW w:w="1010"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93.45%</w:t>
            </w:r>
          </w:p>
        </w:tc>
        <w:tc>
          <w:tcPr>
            <w:tcW w:w="93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76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9</w:t>
            </w:r>
          </w:p>
        </w:tc>
        <w:tc>
          <w:tcPr>
            <w:tcW w:w="92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1099"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1</w:t>
            </w:r>
          </w:p>
        </w:tc>
        <w:tc>
          <w:tcPr>
            <w:tcW w:w="1225" w:type="dxa"/>
            <w:noWrap/>
            <w:hideMark/>
          </w:tcPr>
          <w:p w:rsidR="006172D7" w:rsidRPr="006172D7" w:rsidRDefault="005900FC" w:rsidP="006172D7">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1</w:t>
            </w:r>
          </w:p>
        </w:tc>
        <w:tc>
          <w:tcPr>
            <w:tcW w:w="1165"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25.75%</w:t>
            </w:r>
          </w:p>
        </w:tc>
        <w:tc>
          <w:tcPr>
            <w:tcW w:w="1156"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r>
      <w:tr w:rsidR="006172D7" w:rsidRPr="006172D7" w:rsidTr="006172D7">
        <w:trPr>
          <w:trHeight w:val="300"/>
        </w:trPr>
        <w:tc>
          <w:tcPr>
            <w:tcW w:w="1362"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Dutch Bangla Bank 2011</w:t>
            </w:r>
          </w:p>
        </w:tc>
        <w:tc>
          <w:tcPr>
            <w:tcW w:w="1010"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93.20%</w:t>
            </w:r>
          </w:p>
        </w:tc>
        <w:tc>
          <w:tcPr>
            <w:tcW w:w="93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76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9</w:t>
            </w:r>
          </w:p>
        </w:tc>
        <w:tc>
          <w:tcPr>
            <w:tcW w:w="927"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c>
          <w:tcPr>
            <w:tcW w:w="1099"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1</w:t>
            </w:r>
          </w:p>
        </w:tc>
        <w:tc>
          <w:tcPr>
            <w:tcW w:w="1225" w:type="dxa"/>
            <w:noWrap/>
            <w:hideMark/>
          </w:tcPr>
          <w:p w:rsidR="006172D7" w:rsidRPr="006172D7" w:rsidRDefault="005900FC" w:rsidP="006172D7">
            <w:pPr>
              <w:tabs>
                <w:tab w:val="center" w:pos="1691"/>
              </w:tabs>
              <w:spacing w:line="360" w:lineRule="auto"/>
              <w:rPr>
                <w:rFonts w:ascii="Times New Roman" w:hAnsi="Times New Roman" w:cs="Times New Roman"/>
                <w:sz w:val="20"/>
                <w:szCs w:val="20"/>
              </w:rPr>
            </w:pPr>
            <w:r>
              <w:rPr>
                <w:rFonts w:ascii="Times New Roman" w:hAnsi="Times New Roman" w:cs="Times New Roman"/>
                <w:sz w:val="20"/>
                <w:szCs w:val="20"/>
              </w:rPr>
              <w:t>1</w:t>
            </w:r>
          </w:p>
        </w:tc>
        <w:tc>
          <w:tcPr>
            <w:tcW w:w="1165"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25.75%</w:t>
            </w:r>
          </w:p>
        </w:tc>
        <w:tc>
          <w:tcPr>
            <w:tcW w:w="1156" w:type="dxa"/>
            <w:noWrap/>
            <w:hideMark/>
          </w:tcPr>
          <w:p w:rsidR="006172D7" w:rsidRPr="006172D7" w:rsidRDefault="006172D7" w:rsidP="006172D7">
            <w:pPr>
              <w:tabs>
                <w:tab w:val="center" w:pos="1691"/>
              </w:tabs>
              <w:spacing w:line="360" w:lineRule="auto"/>
              <w:rPr>
                <w:rFonts w:ascii="Times New Roman" w:hAnsi="Times New Roman" w:cs="Times New Roman"/>
                <w:sz w:val="20"/>
                <w:szCs w:val="20"/>
              </w:rPr>
            </w:pPr>
            <w:r w:rsidRPr="006172D7">
              <w:rPr>
                <w:rFonts w:ascii="Times New Roman" w:hAnsi="Times New Roman" w:cs="Times New Roman"/>
                <w:sz w:val="20"/>
                <w:szCs w:val="20"/>
              </w:rPr>
              <w:t>0</w:t>
            </w:r>
          </w:p>
        </w:tc>
      </w:tr>
    </w:tbl>
    <w:p w:rsidR="00C241B6" w:rsidRDefault="00C241B6" w:rsidP="00DD4D31">
      <w:pPr>
        <w:tabs>
          <w:tab w:val="center" w:pos="1691"/>
        </w:tabs>
        <w:spacing w:line="360" w:lineRule="auto"/>
        <w:jc w:val="both"/>
        <w:rPr>
          <w:rFonts w:ascii="Times New Roman" w:hAnsi="Times New Roman" w:cs="Times New Roman"/>
          <w:b/>
          <w:sz w:val="24"/>
          <w:szCs w:val="24"/>
        </w:rPr>
      </w:pPr>
    </w:p>
    <w:p w:rsidR="001C5E30" w:rsidRDefault="00C241B6" w:rsidP="00DD4D31">
      <w:pPr>
        <w:tabs>
          <w:tab w:val="center" w:pos="1691"/>
        </w:tabs>
        <w:spacing w:line="360" w:lineRule="auto"/>
        <w:jc w:val="both"/>
        <w:rPr>
          <w:rFonts w:ascii="Times New Roman" w:hAnsi="Times New Roman" w:cs="Times New Roman"/>
          <w:b/>
          <w:sz w:val="24"/>
          <w:szCs w:val="24"/>
        </w:rPr>
      </w:pPr>
      <w:r>
        <w:rPr>
          <w:noProof/>
        </w:rPr>
        <w:drawing>
          <wp:inline distT="0" distB="0" distL="0" distR="0" wp14:anchorId="2120398D" wp14:editId="53E034EF">
            <wp:extent cx="6007395" cy="2115879"/>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C5E30" w:rsidRPr="006172D7" w:rsidRDefault="006172D7" w:rsidP="00DD4D31">
      <w:pPr>
        <w:tabs>
          <w:tab w:val="center" w:pos="1691"/>
        </w:tabs>
        <w:spacing w:line="360" w:lineRule="auto"/>
        <w:jc w:val="both"/>
        <w:rPr>
          <w:rFonts w:ascii="Times New Roman" w:hAnsi="Times New Roman" w:cs="Times New Roman"/>
          <w:sz w:val="24"/>
          <w:szCs w:val="24"/>
        </w:rPr>
      </w:pPr>
      <w:r>
        <w:rPr>
          <w:rFonts w:ascii="Times New Roman" w:hAnsi="Times New Roman" w:cs="Times New Roman"/>
          <w:sz w:val="24"/>
          <w:szCs w:val="24"/>
        </w:rPr>
        <w:t>Here we see that the highest leverage ratio was 93.76% in 2018. Not religion that’s why we used 0. Board size always 7</w:t>
      </w:r>
      <w:r w:rsidR="005900FC">
        <w:rPr>
          <w:rFonts w:ascii="Times New Roman" w:hAnsi="Times New Roman" w:cs="Times New Roman"/>
          <w:sz w:val="24"/>
          <w:szCs w:val="24"/>
        </w:rPr>
        <w:t xml:space="preserve"> but in 2012 and 2011 was </w:t>
      </w:r>
      <w:r w:rsidR="00066152">
        <w:rPr>
          <w:rFonts w:ascii="Times New Roman" w:hAnsi="Times New Roman" w:cs="Times New Roman"/>
          <w:sz w:val="24"/>
          <w:szCs w:val="24"/>
        </w:rPr>
        <w:t>9. Women</w:t>
      </w:r>
      <w:r w:rsidR="005900FC">
        <w:rPr>
          <w:rFonts w:ascii="Times New Roman" w:hAnsi="Times New Roman" w:cs="Times New Roman"/>
          <w:sz w:val="24"/>
          <w:szCs w:val="24"/>
        </w:rPr>
        <w:t xml:space="preserve"> on board always 0. Foreign member on board were found that’s why it’s expressed by 1. </w:t>
      </w:r>
      <w:r w:rsidR="00C241B6">
        <w:rPr>
          <w:rFonts w:ascii="Times New Roman" w:hAnsi="Times New Roman" w:cs="Times New Roman"/>
          <w:sz w:val="24"/>
          <w:szCs w:val="24"/>
        </w:rPr>
        <w:t xml:space="preserve">Family members on board found so its express by </w:t>
      </w:r>
      <w:r w:rsidR="00066152">
        <w:rPr>
          <w:rFonts w:ascii="Times New Roman" w:hAnsi="Times New Roman" w:cs="Times New Roman"/>
          <w:sz w:val="24"/>
          <w:szCs w:val="24"/>
        </w:rPr>
        <w:t>1. First</w:t>
      </w:r>
      <w:r w:rsidR="00C241B6">
        <w:rPr>
          <w:rFonts w:ascii="Times New Roman" w:hAnsi="Times New Roman" w:cs="Times New Roman"/>
          <w:sz w:val="24"/>
          <w:szCs w:val="24"/>
        </w:rPr>
        <w:t xml:space="preserve"> four years foreigner ownership were 25.70% and last 3 year it was 25.75%. Family ownership was 0 every year.</w:t>
      </w:r>
    </w:p>
    <w:p w:rsidR="00B112EB" w:rsidRPr="00F502C3" w:rsidRDefault="00B112EB" w:rsidP="00612C92">
      <w:pPr>
        <w:tabs>
          <w:tab w:val="left" w:pos="1691"/>
        </w:tabs>
        <w:spacing w:line="360" w:lineRule="auto"/>
        <w:jc w:val="center"/>
        <w:rPr>
          <w:rFonts w:ascii="Times New Roman" w:hAnsi="Times New Roman" w:cs="Times New Roman"/>
          <w:b/>
          <w:sz w:val="24"/>
          <w:szCs w:val="24"/>
        </w:rPr>
      </w:pPr>
      <w:r w:rsidRPr="00F502C3">
        <w:rPr>
          <w:rFonts w:ascii="Times New Roman" w:hAnsi="Times New Roman" w:cs="Times New Roman"/>
          <w:b/>
          <w:sz w:val="24"/>
          <w:szCs w:val="24"/>
        </w:rPr>
        <w:t>EXIM Bank Ltd.</w:t>
      </w:r>
    </w:p>
    <w:tbl>
      <w:tblPr>
        <w:tblStyle w:val="TableGrid"/>
        <w:tblW w:w="0" w:type="auto"/>
        <w:tblLook w:val="04A0" w:firstRow="1" w:lastRow="0" w:firstColumn="1" w:lastColumn="0" w:noHBand="0" w:noVBand="1"/>
      </w:tblPr>
      <w:tblGrid>
        <w:gridCol w:w="1243"/>
        <w:gridCol w:w="1073"/>
        <w:gridCol w:w="1014"/>
        <w:gridCol w:w="747"/>
        <w:gridCol w:w="914"/>
        <w:gridCol w:w="1089"/>
        <w:gridCol w:w="1118"/>
        <w:gridCol w:w="1189"/>
        <w:gridCol w:w="1189"/>
      </w:tblGrid>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b/>
                <w:bCs/>
                <w:sz w:val="20"/>
                <w:szCs w:val="20"/>
              </w:rPr>
            </w:pPr>
            <w:r w:rsidRPr="00C241B6">
              <w:rPr>
                <w:rFonts w:ascii="Times New Roman" w:hAnsi="Times New Roman" w:cs="Times New Roman"/>
                <w:b/>
                <w:bCs/>
                <w:sz w:val="20"/>
                <w:szCs w:val="20"/>
              </w:rPr>
              <w:t xml:space="preserve">Name of Bank Ltd. </w:t>
            </w:r>
          </w:p>
        </w:tc>
        <w:tc>
          <w:tcPr>
            <w:tcW w:w="1079" w:type="dxa"/>
            <w:noWrap/>
            <w:hideMark/>
          </w:tcPr>
          <w:p w:rsidR="00B112EB" w:rsidRPr="00C241B6" w:rsidRDefault="00C241B6" w:rsidP="00DD4D31">
            <w:pPr>
              <w:tabs>
                <w:tab w:val="center" w:pos="1691"/>
              </w:tabs>
              <w:spacing w:line="360" w:lineRule="auto"/>
              <w:jc w:val="both"/>
              <w:rPr>
                <w:rFonts w:ascii="Times New Roman" w:hAnsi="Times New Roman" w:cs="Times New Roman"/>
                <w:b/>
                <w:bCs/>
                <w:sz w:val="20"/>
                <w:szCs w:val="20"/>
              </w:rPr>
            </w:pPr>
            <w:r w:rsidRPr="00C241B6">
              <w:rPr>
                <w:rFonts w:ascii="Times New Roman" w:hAnsi="Times New Roman" w:cs="Times New Roman"/>
                <w:b/>
                <w:bCs/>
                <w:sz w:val="20"/>
                <w:szCs w:val="20"/>
              </w:rPr>
              <w:t>Leverage</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b/>
                <w:bCs/>
                <w:sz w:val="20"/>
                <w:szCs w:val="20"/>
              </w:rPr>
            </w:pPr>
            <w:r w:rsidRPr="00C241B6">
              <w:rPr>
                <w:rFonts w:ascii="Times New Roman" w:hAnsi="Times New Roman" w:cs="Times New Roman"/>
                <w:b/>
                <w:bCs/>
                <w:sz w:val="20"/>
                <w:szCs w:val="20"/>
              </w:rPr>
              <w:t>Religion</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b/>
                <w:bCs/>
                <w:sz w:val="20"/>
                <w:szCs w:val="20"/>
              </w:rPr>
            </w:pPr>
            <w:r w:rsidRPr="00C241B6">
              <w:rPr>
                <w:rFonts w:ascii="Times New Roman" w:hAnsi="Times New Roman" w:cs="Times New Roman"/>
                <w:b/>
                <w:bCs/>
                <w:sz w:val="20"/>
                <w:szCs w:val="20"/>
              </w:rPr>
              <w:t>Board Size</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b/>
                <w:bCs/>
                <w:sz w:val="20"/>
                <w:szCs w:val="20"/>
              </w:rPr>
            </w:pPr>
            <w:r w:rsidRPr="00C241B6">
              <w:rPr>
                <w:rFonts w:ascii="Times New Roman" w:hAnsi="Times New Roman" w:cs="Times New Roman"/>
                <w:b/>
                <w:bCs/>
                <w:sz w:val="20"/>
                <w:szCs w:val="20"/>
              </w:rPr>
              <w:t xml:space="preserve">Woman on Board </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b/>
                <w:bCs/>
                <w:sz w:val="20"/>
                <w:szCs w:val="20"/>
              </w:rPr>
            </w:pPr>
            <w:r w:rsidRPr="00C241B6">
              <w:rPr>
                <w:rFonts w:ascii="Times New Roman" w:hAnsi="Times New Roman" w:cs="Times New Roman"/>
                <w:b/>
                <w:bCs/>
                <w:sz w:val="20"/>
                <w:szCs w:val="20"/>
              </w:rPr>
              <w:t>Foreign member on Board</w:t>
            </w:r>
          </w:p>
        </w:tc>
        <w:tc>
          <w:tcPr>
            <w:tcW w:w="1124" w:type="dxa"/>
            <w:noWrap/>
            <w:hideMark/>
          </w:tcPr>
          <w:p w:rsidR="00B112EB" w:rsidRPr="00C241B6" w:rsidRDefault="00B112EB" w:rsidP="00DD4D31">
            <w:pPr>
              <w:tabs>
                <w:tab w:val="center" w:pos="1691"/>
              </w:tabs>
              <w:spacing w:line="360" w:lineRule="auto"/>
              <w:jc w:val="both"/>
              <w:rPr>
                <w:rFonts w:ascii="Times New Roman" w:hAnsi="Times New Roman" w:cs="Times New Roman"/>
                <w:b/>
                <w:bCs/>
                <w:sz w:val="20"/>
                <w:szCs w:val="20"/>
              </w:rPr>
            </w:pPr>
            <w:r w:rsidRPr="00C241B6">
              <w:rPr>
                <w:rFonts w:ascii="Times New Roman" w:hAnsi="Times New Roman" w:cs="Times New Roman"/>
                <w:b/>
                <w:bCs/>
                <w:sz w:val="20"/>
                <w:szCs w:val="20"/>
              </w:rPr>
              <w:t>Family Member's on Board</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b/>
                <w:bCs/>
                <w:sz w:val="20"/>
                <w:szCs w:val="20"/>
              </w:rPr>
            </w:pPr>
            <w:r w:rsidRPr="00C241B6">
              <w:rPr>
                <w:rFonts w:ascii="Times New Roman" w:hAnsi="Times New Roman" w:cs="Times New Roman"/>
                <w:b/>
                <w:bCs/>
                <w:sz w:val="20"/>
                <w:szCs w:val="20"/>
              </w:rPr>
              <w:t xml:space="preserve">Foreign Ownership </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b/>
                <w:bCs/>
                <w:sz w:val="20"/>
                <w:szCs w:val="20"/>
              </w:rPr>
            </w:pPr>
            <w:r w:rsidRPr="00C241B6">
              <w:rPr>
                <w:rFonts w:ascii="Times New Roman" w:hAnsi="Times New Roman" w:cs="Times New Roman"/>
                <w:b/>
                <w:bCs/>
                <w:sz w:val="20"/>
                <w:szCs w:val="20"/>
              </w:rPr>
              <w:t>Family Ownership</w:t>
            </w:r>
          </w:p>
        </w:tc>
      </w:tr>
      <w:tr w:rsidR="00B112EB" w:rsidRPr="00F502C3" w:rsidTr="00C241B6">
        <w:trPr>
          <w:trHeight w:val="300"/>
        </w:trPr>
        <w:tc>
          <w:tcPr>
            <w:tcW w:w="1250" w:type="dxa"/>
            <w:noWrap/>
            <w:hideMark/>
          </w:tcPr>
          <w:p w:rsidR="001C5E30" w:rsidRPr="00C241B6" w:rsidRDefault="001C5E30" w:rsidP="00C241B6">
            <w:pPr>
              <w:tabs>
                <w:tab w:val="center" w:pos="1691"/>
              </w:tabs>
              <w:spacing w:line="360" w:lineRule="auto"/>
              <w:rPr>
                <w:rFonts w:ascii="Times New Roman" w:hAnsi="Times New Roman" w:cs="Times New Roman"/>
                <w:sz w:val="20"/>
                <w:szCs w:val="20"/>
              </w:rPr>
            </w:pPr>
          </w:p>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2018</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93.04%</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15</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0.70%</w:t>
            </w:r>
          </w:p>
        </w:tc>
      </w:tr>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2017</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93.56%</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15</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0.70%</w:t>
            </w:r>
          </w:p>
        </w:tc>
      </w:tr>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2016</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93.87%</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15</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0.50%</w:t>
            </w:r>
          </w:p>
        </w:tc>
      </w:tr>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2015</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92.88%</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15</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0.50%</w:t>
            </w:r>
          </w:p>
        </w:tc>
      </w:tr>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2014</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92.67%</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16</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0.43%</w:t>
            </w:r>
          </w:p>
        </w:tc>
      </w:tr>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2013</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91.33%</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16</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0.45%</w:t>
            </w:r>
          </w:p>
        </w:tc>
      </w:tr>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2012</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92.55%</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16</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0.33%</w:t>
            </w:r>
          </w:p>
        </w:tc>
      </w:tr>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2011</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92.89%</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15</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0.00%</w:t>
            </w:r>
          </w:p>
        </w:tc>
      </w:tr>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2010</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91.09%</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16</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0.23%</w:t>
            </w:r>
          </w:p>
        </w:tc>
      </w:tr>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2009</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91.66%</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16</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0.56%</w:t>
            </w:r>
          </w:p>
        </w:tc>
      </w:tr>
      <w:tr w:rsidR="00B112EB" w:rsidRPr="00F502C3" w:rsidTr="00C241B6">
        <w:trPr>
          <w:trHeight w:val="300"/>
        </w:trPr>
        <w:tc>
          <w:tcPr>
            <w:tcW w:w="1250" w:type="dxa"/>
            <w:noWrap/>
            <w:hideMark/>
          </w:tcPr>
          <w:p w:rsidR="00B112EB" w:rsidRPr="00C241B6" w:rsidRDefault="00B112EB" w:rsidP="00C241B6">
            <w:pPr>
              <w:tabs>
                <w:tab w:val="center" w:pos="1691"/>
              </w:tabs>
              <w:spacing w:line="360" w:lineRule="auto"/>
              <w:rPr>
                <w:rFonts w:ascii="Times New Roman" w:hAnsi="Times New Roman" w:cs="Times New Roman"/>
                <w:sz w:val="20"/>
                <w:szCs w:val="20"/>
              </w:rPr>
            </w:pPr>
            <w:r w:rsidRPr="00C241B6">
              <w:rPr>
                <w:rFonts w:ascii="Times New Roman" w:hAnsi="Times New Roman" w:cs="Times New Roman"/>
                <w:sz w:val="20"/>
                <w:szCs w:val="20"/>
              </w:rPr>
              <w:t>Exim Bank 2008</w:t>
            </w:r>
          </w:p>
        </w:tc>
        <w:tc>
          <w:tcPr>
            <w:tcW w:w="107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92.85%</w:t>
            </w:r>
          </w:p>
        </w:tc>
        <w:tc>
          <w:tcPr>
            <w:tcW w:w="1019"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702"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16</w:t>
            </w:r>
          </w:p>
        </w:tc>
        <w:tc>
          <w:tcPr>
            <w:tcW w:w="918"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1</w:t>
            </w:r>
          </w:p>
        </w:tc>
        <w:tc>
          <w:tcPr>
            <w:tcW w:w="1094"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24" w:type="dxa"/>
            <w:noWrap/>
            <w:hideMark/>
          </w:tcPr>
          <w:p w:rsidR="00B112EB" w:rsidRPr="00C241B6" w:rsidRDefault="00C76886"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w:t>
            </w:r>
          </w:p>
        </w:tc>
        <w:tc>
          <w:tcPr>
            <w:tcW w:w="1195" w:type="dxa"/>
            <w:noWrap/>
            <w:hideMark/>
          </w:tcPr>
          <w:p w:rsidR="00B112EB" w:rsidRPr="00C241B6" w:rsidRDefault="00B112EB" w:rsidP="00DD4D31">
            <w:pPr>
              <w:tabs>
                <w:tab w:val="center" w:pos="1691"/>
              </w:tabs>
              <w:spacing w:line="360" w:lineRule="auto"/>
              <w:jc w:val="both"/>
              <w:rPr>
                <w:rFonts w:ascii="Times New Roman" w:hAnsi="Times New Roman" w:cs="Times New Roman"/>
                <w:sz w:val="20"/>
                <w:szCs w:val="20"/>
              </w:rPr>
            </w:pPr>
            <w:r w:rsidRPr="00C241B6">
              <w:rPr>
                <w:rFonts w:ascii="Times New Roman" w:hAnsi="Times New Roman" w:cs="Times New Roman"/>
                <w:sz w:val="20"/>
                <w:szCs w:val="20"/>
              </w:rPr>
              <w:t>0.56%</w:t>
            </w:r>
          </w:p>
        </w:tc>
      </w:tr>
    </w:tbl>
    <w:p w:rsidR="00C76886" w:rsidRDefault="00C76886" w:rsidP="00DD4D31">
      <w:pPr>
        <w:tabs>
          <w:tab w:val="center" w:pos="1691"/>
        </w:tabs>
        <w:spacing w:line="360" w:lineRule="auto"/>
        <w:jc w:val="both"/>
        <w:rPr>
          <w:rFonts w:ascii="Times New Roman" w:hAnsi="Times New Roman" w:cs="Times New Roman"/>
          <w:sz w:val="24"/>
          <w:szCs w:val="24"/>
        </w:rPr>
      </w:pPr>
    </w:p>
    <w:p w:rsidR="00C76886" w:rsidRDefault="00C76886" w:rsidP="00DD4D31">
      <w:pPr>
        <w:tabs>
          <w:tab w:val="center" w:pos="1691"/>
        </w:tabs>
        <w:spacing w:line="360" w:lineRule="auto"/>
        <w:jc w:val="both"/>
        <w:rPr>
          <w:rFonts w:ascii="Times New Roman" w:hAnsi="Times New Roman" w:cs="Times New Roman"/>
          <w:sz w:val="24"/>
          <w:szCs w:val="24"/>
        </w:rPr>
      </w:pPr>
    </w:p>
    <w:p w:rsidR="00C76886" w:rsidRDefault="00C76886" w:rsidP="00DD4D31">
      <w:pPr>
        <w:tabs>
          <w:tab w:val="center" w:pos="1691"/>
        </w:tabs>
        <w:spacing w:line="360" w:lineRule="auto"/>
        <w:jc w:val="both"/>
        <w:rPr>
          <w:rFonts w:ascii="Times New Roman" w:hAnsi="Times New Roman" w:cs="Times New Roman"/>
          <w:sz w:val="24"/>
          <w:szCs w:val="24"/>
        </w:rPr>
      </w:pPr>
      <w:r>
        <w:rPr>
          <w:noProof/>
        </w:rPr>
        <w:drawing>
          <wp:inline distT="0" distB="0" distL="0" distR="0" wp14:anchorId="085D7137" wp14:editId="6A1402A1">
            <wp:extent cx="5518298" cy="2743200"/>
            <wp:effectExtent l="0" t="0" r="63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3D7F26" w:rsidRDefault="003D7F26" w:rsidP="00DD4D31">
      <w:pPr>
        <w:tabs>
          <w:tab w:val="center" w:pos="1691"/>
        </w:tabs>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Here we see that foreign me</w:t>
      </w:r>
      <w:r w:rsidR="00C76886">
        <w:rPr>
          <w:rFonts w:ascii="Times New Roman" w:hAnsi="Times New Roman" w:cs="Times New Roman"/>
          <w:sz w:val="24"/>
          <w:szCs w:val="24"/>
        </w:rPr>
        <w:t>mber and</w:t>
      </w:r>
      <w:r w:rsidRPr="00F502C3">
        <w:rPr>
          <w:rFonts w:ascii="Times New Roman" w:hAnsi="Times New Roman" w:cs="Times New Roman"/>
          <w:sz w:val="24"/>
          <w:szCs w:val="24"/>
        </w:rPr>
        <w:t xml:space="preserve"> foreign share was 0. And women on board were 1every year. Board size always high but not cross the Bangladesh Bank rules. Leverage ratio was good. </w:t>
      </w:r>
      <w:r>
        <w:rPr>
          <w:rFonts w:ascii="Times New Roman" w:hAnsi="Times New Roman" w:cs="Times New Roman"/>
          <w:sz w:val="24"/>
          <w:szCs w:val="24"/>
        </w:rPr>
        <w:t>Highest leverage ratio was 93.56% in 2017 and lowest ratio was 91.09% in 2010.Board size 16 was highest in 2016 and lowest 15 in 2018.</w:t>
      </w:r>
      <w:r w:rsidR="00C76886">
        <w:rPr>
          <w:rFonts w:ascii="Times New Roman" w:hAnsi="Times New Roman" w:cs="Times New Roman"/>
          <w:sz w:val="24"/>
          <w:szCs w:val="24"/>
        </w:rPr>
        <w:t xml:space="preserve">Fmily member on board always used 1 because family member present on the board. We see the chart that board member sometimes </w:t>
      </w:r>
      <w:r w:rsidR="00066152">
        <w:rPr>
          <w:rFonts w:ascii="Times New Roman" w:hAnsi="Times New Roman" w:cs="Times New Roman"/>
          <w:sz w:val="24"/>
          <w:szCs w:val="24"/>
        </w:rPr>
        <w:t>increases</w:t>
      </w:r>
      <w:r w:rsidR="00C76886">
        <w:rPr>
          <w:rFonts w:ascii="Times New Roman" w:hAnsi="Times New Roman" w:cs="Times New Roman"/>
          <w:sz w:val="24"/>
          <w:szCs w:val="24"/>
        </w:rPr>
        <w:t xml:space="preserve"> and sometimes up but they follow the rules of Bangladesh bank.</w:t>
      </w:r>
      <w:r>
        <w:rPr>
          <w:rFonts w:ascii="Times New Roman" w:hAnsi="Times New Roman" w:cs="Times New Roman"/>
          <w:sz w:val="24"/>
          <w:szCs w:val="24"/>
        </w:rPr>
        <w:t xml:space="preserve">  </w:t>
      </w:r>
      <w:r w:rsidRPr="00F502C3">
        <w:rPr>
          <w:rFonts w:ascii="Times New Roman" w:hAnsi="Times New Roman" w:cs="Times New Roman"/>
          <w:sz w:val="24"/>
          <w:szCs w:val="24"/>
        </w:rPr>
        <w:t xml:space="preserve">  </w:t>
      </w:r>
    </w:p>
    <w:p w:rsidR="00515D3A" w:rsidRPr="00F502C3" w:rsidRDefault="00515D3A" w:rsidP="00DD4D31">
      <w:pPr>
        <w:jc w:val="both"/>
      </w:pPr>
    </w:p>
    <w:p w:rsidR="00B112EB" w:rsidRPr="00F502C3" w:rsidRDefault="00B112EB" w:rsidP="00DD4D31">
      <w:pPr>
        <w:tabs>
          <w:tab w:val="center" w:pos="1691"/>
        </w:tabs>
        <w:spacing w:line="360" w:lineRule="auto"/>
        <w:jc w:val="both"/>
        <w:rPr>
          <w:rFonts w:ascii="Times New Roman" w:hAnsi="Times New Roman" w:cs="Times New Roman"/>
          <w:sz w:val="24"/>
          <w:szCs w:val="24"/>
        </w:rPr>
      </w:pPr>
    </w:p>
    <w:p w:rsidR="003D7F26" w:rsidRPr="003D7F26" w:rsidRDefault="003D7F26" w:rsidP="00DD4D31">
      <w:pPr>
        <w:tabs>
          <w:tab w:val="center" w:pos="1691"/>
        </w:tabs>
        <w:spacing w:line="360" w:lineRule="auto"/>
        <w:jc w:val="both"/>
        <w:rPr>
          <w:rFonts w:ascii="Times New Roman" w:hAnsi="Times New Roman" w:cs="Times New Roman"/>
          <w:b/>
          <w:sz w:val="24"/>
          <w:szCs w:val="24"/>
        </w:rPr>
      </w:pPr>
    </w:p>
    <w:p w:rsidR="00C005D3" w:rsidRDefault="00C005D3" w:rsidP="00DD4D31">
      <w:pPr>
        <w:tabs>
          <w:tab w:val="center" w:pos="1691"/>
        </w:tabs>
        <w:spacing w:line="360" w:lineRule="auto"/>
        <w:jc w:val="both"/>
        <w:rPr>
          <w:rFonts w:ascii="Times New Roman" w:hAnsi="Times New Roman" w:cs="Times New Roman"/>
          <w:b/>
          <w:sz w:val="24"/>
          <w:szCs w:val="24"/>
        </w:rPr>
      </w:pPr>
    </w:p>
    <w:p w:rsidR="00C76886" w:rsidRDefault="00C76886" w:rsidP="00DD4D31">
      <w:pPr>
        <w:tabs>
          <w:tab w:val="center" w:pos="1691"/>
        </w:tabs>
        <w:spacing w:line="360" w:lineRule="auto"/>
        <w:jc w:val="both"/>
        <w:rPr>
          <w:rFonts w:ascii="Times New Roman" w:hAnsi="Times New Roman" w:cs="Times New Roman"/>
          <w:b/>
          <w:sz w:val="24"/>
          <w:szCs w:val="24"/>
        </w:rPr>
      </w:pPr>
    </w:p>
    <w:p w:rsidR="00C76886" w:rsidRDefault="00C76886" w:rsidP="00DD4D31">
      <w:pPr>
        <w:tabs>
          <w:tab w:val="center" w:pos="1691"/>
        </w:tabs>
        <w:spacing w:line="360" w:lineRule="auto"/>
        <w:jc w:val="both"/>
        <w:rPr>
          <w:rFonts w:ascii="Times New Roman" w:hAnsi="Times New Roman" w:cs="Times New Roman"/>
          <w:b/>
          <w:sz w:val="24"/>
          <w:szCs w:val="24"/>
        </w:rPr>
      </w:pPr>
    </w:p>
    <w:p w:rsidR="00764954" w:rsidRDefault="00764954" w:rsidP="00DD4D31">
      <w:pPr>
        <w:tabs>
          <w:tab w:val="center" w:pos="1691"/>
        </w:tabs>
        <w:spacing w:line="360" w:lineRule="auto"/>
        <w:jc w:val="both"/>
        <w:rPr>
          <w:rFonts w:ascii="Times New Roman" w:hAnsi="Times New Roman" w:cs="Times New Roman"/>
          <w:b/>
          <w:sz w:val="24"/>
          <w:szCs w:val="24"/>
        </w:rPr>
      </w:pPr>
    </w:p>
    <w:p w:rsidR="007E11EF" w:rsidRDefault="007E11EF" w:rsidP="002A7BBF">
      <w:pPr>
        <w:tabs>
          <w:tab w:val="center" w:pos="1691"/>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Eastern Bank Ltd</w:t>
      </w:r>
    </w:p>
    <w:tbl>
      <w:tblPr>
        <w:tblStyle w:val="TableGrid"/>
        <w:tblW w:w="9935" w:type="dxa"/>
        <w:tblLook w:val="04A0" w:firstRow="1" w:lastRow="0" w:firstColumn="1" w:lastColumn="0" w:noHBand="0" w:noVBand="1"/>
      </w:tblPr>
      <w:tblGrid>
        <w:gridCol w:w="923"/>
        <w:gridCol w:w="1090"/>
        <w:gridCol w:w="1004"/>
        <w:gridCol w:w="879"/>
        <w:gridCol w:w="1185"/>
        <w:gridCol w:w="1034"/>
        <w:gridCol w:w="1175"/>
        <w:gridCol w:w="1262"/>
        <w:gridCol w:w="1383"/>
      </w:tblGrid>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b/>
                <w:bCs/>
                <w:sz w:val="18"/>
                <w:szCs w:val="18"/>
              </w:rPr>
            </w:pPr>
            <w:r w:rsidRPr="00764954">
              <w:rPr>
                <w:rFonts w:ascii="Times New Roman" w:hAnsi="Times New Roman" w:cs="Times New Roman"/>
                <w:b/>
                <w:bCs/>
                <w:sz w:val="18"/>
                <w:szCs w:val="18"/>
              </w:rPr>
              <w:t xml:space="preserve">Name of Bank Ltd. </w:t>
            </w:r>
          </w:p>
        </w:tc>
        <w:tc>
          <w:tcPr>
            <w:tcW w:w="1090" w:type="dxa"/>
            <w:noWrap/>
            <w:hideMark/>
          </w:tcPr>
          <w:p w:rsidR="007E11EF" w:rsidRPr="00764954" w:rsidRDefault="007E11EF" w:rsidP="007E11EF">
            <w:pPr>
              <w:tabs>
                <w:tab w:val="center" w:pos="1691"/>
              </w:tabs>
              <w:spacing w:line="360" w:lineRule="auto"/>
              <w:rPr>
                <w:rFonts w:ascii="Times New Roman" w:hAnsi="Times New Roman" w:cs="Times New Roman"/>
                <w:b/>
                <w:bCs/>
                <w:sz w:val="18"/>
                <w:szCs w:val="18"/>
              </w:rPr>
            </w:pPr>
            <w:r w:rsidRPr="00764954">
              <w:rPr>
                <w:rFonts w:ascii="Times New Roman" w:hAnsi="Times New Roman" w:cs="Times New Roman"/>
                <w:b/>
                <w:bCs/>
                <w:sz w:val="18"/>
                <w:szCs w:val="18"/>
              </w:rPr>
              <w:t>Leverage</w:t>
            </w:r>
          </w:p>
        </w:tc>
        <w:tc>
          <w:tcPr>
            <w:tcW w:w="1004" w:type="dxa"/>
            <w:noWrap/>
            <w:hideMark/>
          </w:tcPr>
          <w:p w:rsidR="007E11EF" w:rsidRPr="00764954" w:rsidRDefault="007E11EF" w:rsidP="007E11EF">
            <w:pPr>
              <w:tabs>
                <w:tab w:val="center" w:pos="1691"/>
              </w:tabs>
              <w:spacing w:line="360" w:lineRule="auto"/>
              <w:rPr>
                <w:rFonts w:ascii="Times New Roman" w:hAnsi="Times New Roman" w:cs="Times New Roman"/>
                <w:b/>
                <w:bCs/>
                <w:sz w:val="18"/>
                <w:szCs w:val="18"/>
              </w:rPr>
            </w:pPr>
            <w:r w:rsidRPr="00764954">
              <w:rPr>
                <w:rFonts w:ascii="Times New Roman" w:hAnsi="Times New Roman" w:cs="Times New Roman"/>
                <w:b/>
                <w:bCs/>
                <w:sz w:val="18"/>
                <w:szCs w:val="18"/>
              </w:rPr>
              <w:t>Religion</w:t>
            </w:r>
          </w:p>
        </w:tc>
        <w:tc>
          <w:tcPr>
            <w:tcW w:w="879" w:type="dxa"/>
            <w:noWrap/>
            <w:hideMark/>
          </w:tcPr>
          <w:p w:rsidR="007E11EF" w:rsidRPr="00764954" w:rsidRDefault="007E11EF" w:rsidP="007E11EF">
            <w:pPr>
              <w:tabs>
                <w:tab w:val="center" w:pos="1691"/>
              </w:tabs>
              <w:spacing w:line="360" w:lineRule="auto"/>
              <w:rPr>
                <w:rFonts w:ascii="Times New Roman" w:hAnsi="Times New Roman" w:cs="Times New Roman"/>
                <w:b/>
                <w:bCs/>
                <w:sz w:val="18"/>
                <w:szCs w:val="18"/>
              </w:rPr>
            </w:pPr>
            <w:r w:rsidRPr="00764954">
              <w:rPr>
                <w:rFonts w:ascii="Times New Roman" w:hAnsi="Times New Roman" w:cs="Times New Roman"/>
                <w:b/>
                <w:bCs/>
                <w:sz w:val="18"/>
                <w:szCs w:val="18"/>
              </w:rPr>
              <w:t>Board Size</w:t>
            </w:r>
          </w:p>
        </w:tc>
        <w:tc>
          <w:tcPr>
            <w:tcW w:w="1185" w:type="dxa"/>
            <w:noWrap/>
            <w:hideMark/>
          </w:tcPr>
          <w:p w:rsidR="007E11EF" w:rsidRPr="00764954" w:rsidRDefault="007E11EF" w:rsidP="007E11EF">
            <w:pPr>
              <w:tabs>
                <w:tab w:val="center" w:pos="1691"/>
              </w:tabs>
              <w:spacing w:line="360" w:lineRule="auto"/>
              <w:rPr>
                <w:rFonts w:ascii="Times New Roman" w:hAnsi="Times New Roman" w:cs="Times New Roman"/>
                <w:b/>
                <w:bCs/>
                <w:sz w:val="18"/>
                <w:szCs w:val="18"/>
              </w:rPr>
            </w:pPr>
            <w:r w:rsidRPr="00764954">
              <w:rPr>
                <w:rFonts w:ascii="Times New Roman" w:hAnsi="Times New Roman" w:cs="Times New Roman"/>
                <w:b/>
                <w:bCs/>
                <w:sz w:val="18"/>
                <w:szCs w:val="18"/>
              </w:rPr>
              <w:t xml:space="preserve">Woman on Board </w:t>
            </w:r>
          </w:p>
        </w:tc>
        <w:tc>
          <w:tcPr>
            <w:tcW w:w="1034" w:type="dxa"/>
            <w:noWrap/>
            <w:hideMark/>
          </w:tcPr>
          <w:p w:rsidR="007E11EF" w:rsidRPr="00764954" w:rsidRDefault="007E11EF" w:rsidP="007E11EF">
            <w:pPr>
              <w:tabs>
                <w:tab w:val="center" w:pos="1691"/>
              </w:tabs>
              <w:spacing w:line="360" w:lineRule="auto"/>
              <w:rPr>
                <w:rFonts w:ascii="Times New Roman" w:hAnsi="Times New Roman" w:cs="Times New Roman"/>
                <w:b/>
                <w:bCs/>
                <w:sz w:val="18"/>
                <w:szCs w:val="18"/>
              </w:rPr>
            </w:pPr>
            <w:r w:rsidRPr="00764954">
              <w:rPr>
                <w:rFonts w:ascii="Times New Roman" w:hAnsi="Times New Roman" w:cs="Times New Roman"/>
                <w:b/>
                <w:bCs/>
                <w:sz w:val="18"/>
                <w:szCs w:val="18"/>
              </w:rPr>
              <w:t>Foreign member on Board</w:t>
            </w:r>
          </w:p>
        </w:tc>
        <w:tc>
          <w:tcPr>
            <w:tcW w:w="1175" w:type="dxa"/>
            <w:noWrap/>
            <w:hideMark/>
          </w:tcPr>
          <w:p w:rsidR="007E11EF" w:rsidRPr="00764954" w:rsidRDefault="007E11EF" w:rsidP="007E11EF">
            <w:pPr>
              <w:tabs>
                <w:tab w:val="center" w:pos="1691"/>
              </w:tabs>
              <w:spacing w:line="360" w:lineRule="auto"/>
              <w:rPr>
                <w:rFonts w:ascii="Times New Roman" w:hAnsi="Times New Roman" w:cs="Times New Roman"/>
                <w:b/>
                <w:bCs/>
                <w:sz w:val="18"/>
                <w:szCs w:val="18"/>
              </w:rPr>
            </w:pPr>
            <w:r w:rsidRPr="00764954">
              <w:rPr>
                <w:rFonts w:ascii="Times New Roman" w:hAnsi="Times New Roman" w:cs="Times New Roman"/>
                <w:b/>
                <w:bCs/>
                <w:sz w:val="18"/>
                <w:szCs w:val="18"/>
              </w:rPr>
              <w:t>Family Member's on Board</w:t>
            </w:r>
          </w:p>
        </w:tc>
        <w:tc>
          <w:tcPr>
            <w:tcW w:w="1262" w:type="dxa"/>
            <w:noWrap/>
            <w:hideMark/>
          </w:tcPr>
          <w:p w:rsidR="007E11EF" w:rsidRPr="00764954" w:rsidRDefault="007E11EF" w:rsidP="007E11EF">
            <w:pPr>
              <w:tabs>
                <w:tab w:val="center" w:pos="1691"/>
              </w:tabs>
              <w:spacing w:line="360" w:lineRule="auto"/>
              <w:rPr>
                <w:rFonts w:ascii="Times New Roman" w:hAnsi="Times New Roman" w:cs="Times New Roman"/>
                <w:b/>
                <w:bCs/>
                <w:sz w:val="18"/>
                <w:szCs w:val="18"/>
              </w:rPr>
            </w:pPr>
            <w:r w:rsidRPr="00764954">
              <w:rPr>
                <w:rFonts w:ascii="Times New Roman" w:hAnsi="Times New Roman" w:cs="Times New Roman"/>
                <w:b/>
                <w:bCs/>
                <w:sz w:val="18"/>
                <w:szCs w:val="18"/>
              </w:rPr>
              <w:t xml:space="preserve">Foreign Ownership </w:t>
            </w:r>
          </w:p>
        </w:tc>
        <w:tc>
          <w:tcPr>
            <w:tcW w:w="1383" w:type="dxa"/>
            <w:noWrap/>
            <w:hideMark/>
          </w:tcPr>
          <w:p w:rsidR="007E11EF" w:rsidRPr="00764954" w:rsidRDefault="007E11EF" w:rsidP="007E11EF">
            <w:pPr>
              <w:tabs>
                <w:tab w:val="center" w:pos="1691"/>
              </w:tabs>
              <w:spacing w:line="360" w:lineRule="auto"/>
              <w:rPr>
                <w:rFonts w:ascii="Times New Roman" w:hAnsi="Times New Roman" w:cs="Times New Roman"/>
                <w:b/>
                <w:bCs/>
                <w:sz w:val="18"/>
                <w:szCs w:val="18"/>
              </w:rPr>
            </w:pPr>
            <w:r w:rsidRPr="00764954">
              <w:rPr>
                <w:rFonts w:ascii="Times New Roman" w:hAnsi="Times New Roman" w:cs="Times New Roman"/>
                <w:b/>
                <w:bCs/>
                <w:sz w:val="18"/>
                <w:szCs w:val="18"/>
              </w:rPr>
              <w:t>Family Ownership</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2018</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91.81%</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2017</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91.45%</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2015</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92.76%</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2014</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92.09%</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2013</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91.93%</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2012</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91.87%</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2011</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93.45%</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2010</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93.09%</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2009</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92.66%</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2008</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91.76%</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r w:rsidR="00764954" w:rsidRPr="00764954" w:rsidTr="00764954">
        <w:trPr>
          <w:trHeight w:val="275"/>
        </w:trPr>
        <w:tc>
          <w:tcPr>
            <w:tcW w:w="923" w:type="dxa"/>
            <w:noWrap/>
            <w:hideMark/>
          </w:tcPr>
          <w:p w:rsidR="007E11EF" w:rsidRPr="00764954" w:rsidRDefault="007E11EF" w:rsidP="007E11EF">
            <w:pPr>
              <w:tabs>
                <w:tab w:val="center" w:pos="1691"/>
              </w:tabs>
              <w:spacing w:line="360" w:lineRule="auto"/>
              <w:rPr>
                <w:rFonts w:ascii="Times New Roman" w:hAnsi="Times New Roman" w:cs="Times New Roman"/>
                <w:sz w:val="18"/>
                <w:szCs w:val="18"/>
              </w:rPr>
            </w:pPr>
            <w:r w:rsidRPr="00764954">
              <w:rPr>
                <w:rFonts w:ascii="Times New Roman" w:hAnsi="Times New Roman" w:cs="Times New Roman"/>
                <w:sz w:val="18"/>
                <w:szCs w:val="18"/>
              </w:rPr>
              <w:t>Eastern Bank 2007</w:t>
            </w:r>
          </w:p>
        </w:tc>
        <w:tc>
          <w:tcPr>
            <w:tcW w:w="1090"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91.32%</w:t>
            </w:r>
          </w:p>
        </w:tc>
        <w:tc>
          <w:tcPr>
            <w:tcW w:w="100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879"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11</w:t>
            </w:r>
          </w:p>
        </w:tc>
        <w:tc>
          <w:tcPr>
            <w:tcW w:w="118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034"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175"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1</w:t>
            </w:r>
          </w:p>
        </w:tc>
        <w:tc>
          <w:tcPr>
            <w:tcW w:w="1262"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c>
          <w:tcPr>
            <w:tcW w:w="1383" w:type="dxa"/>
            <w:noWrap/>
            <w:hideMark/>
          </w:tcPr>
          <w:p w:rsidR="007E11EF" w:rsidRPr="00764954" w:rsidRDefault="007E11EF" w:rsidP="007E11EF">
            <w:pPr>
              <w:tabs>
                <w:tab w:val="center" w:pos="1691"/>
              </w:tabs>
              <w:spacing w:line="360" w:lineRule="auto"/>
              <w:jc w:val="both"/>
              <w:rPr>
                <w:rFonts w:ascii="Times New Roman" w:hAnsi="Times New Roman" w:cs="Times New Roman"/>
                <w:sz w:val="18"/>
                <w:szCs w:val="18"/>
              </w:rPr>
            </w:pPr>
            <w:r w:rsidRPr="00764954">
              <w:rPr>
                <w:rFonts w:ascii="Times New Roman" w:hAnsi="Times New Roman" w:cs="Times New Roman"/>
                <w:sz w:val="18"/>
                <w:szCs w:val="18"/>
              </w:rPr>
              <w:t>0</w:t>
            </w:r>
          </w:p>
        </w:tc>
      </w:tr>
    </w:tbl>
    <w:p w:rsidR="007E11EF" w:rsidRDefault="007E11EF" w:rsidP="00DD4D31">
      <w:pPr>
        <w:tabs>
          <w:tab w:val="center" w:pos="1691"/>
        </w:tabs>
        <w:spacing w:line="360" w:lineRule="auto"/>
        <w:jc w:val="both"/>
        <w:rPr>
          <w:rFonts w:ascii="Times New Roman" w:hAnsi="Times New Roman" w:cs="Times New Roman"/>
          <w:b/>
          <w:sz w:val="24"/>
          <w:szCs w:val="24"/>
        </w:rPr>
      </w:pPr>
    </w:p>
    <w:p w:rsidR="005C3C17" w:rsidRDefault="005C3C17" w:rsidP="00DD4D31">
      <w:pPr>
        <w:tabs>
          <w:tab w:val="center" w:pos="1691"/>
        </w:tabs>
        <w:spacing w:line="360" w:lineRule="auto"/>
        <w:jc w:val="both"/>
        <w:rPr>
          <w:rFonts w:ascii="Times New Roman" w:hAnsi="Times New Roman" w:cs="Times New Roman"/>
          <w:sz w:val="24"/>
          <w:szCs w:val="24"/>
        </w:rPr>
      </w:pPr>
      <w:r>
        <w:rPr>
          <w:noProof/>
        </w:rPr>
        <w:drawing>
          <wp:inline distT="0" distB="0" distL="0" distR="0" wp14:anchorId="64B225E5" wp14:editId="2C8EC766">
            <wp:extent cx="5986130" cy="2679405"/>
            <wp:effectExtent l="0" t="0" r="0" b="698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7E11EF" w:rsidRPr="00764954" w:rsidRDefault="00764954" w:rsidP="00DD4D31">
      <w:pPr>
        <w:tabs>
          <w:tab w:val="center" w:pos="169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Highest leverage ratio was 93.45% in 2011 and lowest ratio was 2007. Religion was 0 that means they are not Islamic bank. They always maintain board size 11. They have woman on the board. They have no foreign member on the board. They have family member on the board. But the foreign share and family share 0.  </w:t>
      </w:r>
    </w:p>
    <w:p w:rsidR="00D84C1F" w:rsidRDefault="00D84C1F" w:rsidP="00DD4D31">
      <w:pPr>
        <w:tabs>
          <w:tab w:val="center" w:pos="1691"/>
        </w:tabs>
        <w:spacing w:line="360" w:lineRule="auto"/>
        <w:jc w:val="both"/>
        <w:rPr>
          <w:rFonts w:ascii="Times New Roman" w:hAnsi="Times New Roman" w:cs="Times New Roman"/>
          <w:b/>
          <w:sz w:val="24"/>
          <w:szCs w:val="24"/>
        </w:rPr>
      </w:pPr>
    </w:p>
    <w:p w:rsidR="00D84C1F" w:rsidRDefault="00D84C1F" w:rsidP="00DD4D31">
      <w:pPr>
        <w:tabs>
          <w:tab w:val="center" w:pos="1691"/>
        </w:tabs>
        <w:spacing w:line="360" w:lineRule="auto"/>
        <w:jc w:val="both"/>
        <w:rPr>
          <w:rFonts w:ascii="Times New Roman" w:hAnsi="Times New Roman" w:cs="Times New Roman"/>
          <w:b/>
          <w:sz w:val="24"/>
          <w:szCs w:val="24"/>
        </w:rPr>
      </w:pPr>
    </w:p>
    <w:p w:rsidR="00D84C1F" w:rsidRDefault="00D84C1F" w:rsidP="00DD4D31">
      <w:pPr>
        <w:tabs>
          <w:tab w:val="center" w:pos="1691"/>
        </w:tabs>
        <w:spacing w:line="360" w:lineRule="auto"/>
        <w:jc w:val="both"/>
        <w:rPr>
          <w:rFonts w:ascii="Times New Roman" w:hAnsi="Times New Roman" w:cs="Times New Roman"/>
          <w:b/>
          <w:sz w:val="24"/>
          <w:szCs w:val="24"/>
        </w:rPr>
      </w:pPr>
    </w:p>
    <w:p w:rsidR="00D84C1F" w:rsidRDefault="00D84C1F" w:rsidP="00DD4D31">
      <w:pPr>
        <w:tabs>
          <w:tab w:val="center" w:pos="1691"/>
        </w:tabs>
        <w:spacing w:line="360" w:lineRule="auto"/>
        <w:jc w:val="both"/>
        <w:rPr>
          <w:rFonts w:ascii="Times New Roman" w:hAnsi="Times New Roman" w:cs="Times New Roman"/>
          <w:b/>
          <w:sz w:val="24"/>
          <w:szCs w:val="24"/>
        </w:rPr>
      </w:pPr>
    </w:p>
    <w:p w:rsidR="00D84C1F" w:rsidRDefault="00D84C1F" w:rsidP="00DD4D31">
      <w:pPr>
        <w:tabs>
          <w:tab w:val="center" w:pos="1691"/>
        </w:tabs>
        <w:spacing w:line="360" w:lineRule="auto"/>
        <w:jc w:val="both"/>
        <w:rPr>
          <w:rFonts w:ascii="Times New Roman" w:hAnsi="Times New Roman" w:cs="Times New Roman"/>
          <w:b/>
          <w:sz w:val="24"/>
          <w:szCs w:val="24"/>
        </w:rPr>
      </w:pPr>
    </w:p>
    <w:p w:rsidR="00D84C1F" w:rsidRDefault="00D84C1F" w:rsidP="00DD4D31">
      <w:pPr>
        <w:tabs>
          <w:tab w:val="center" w:pos="1691"/>
        </w:tabs>
        <w:spacing w:line="360" w:lineRule="auto"/>
        <w:jc w:val="both"/>
        <w:rPr>
          <w:rFonts w:ascii="Times New Roman" w:hAnsi="Times New Roman" w:cs="Times New Roman"/>
          <w:b/>
          <w:sz w:val="24"/>
          <w:szCs w:val="24"/>
        </w:rPr>
      </w:pPr>
    </w:p>
    <w:p w:rsidR="00D84C1F" w:rsidRDefault="00D84C1F" w:rsidP="00DD4D31">
      <w:pPr>
        <w:tabs>
          <w:tab w:val="center" w:pos="1691"/>
        </w:tabs>
        <w:spacing w:line="360" w:lineRule="auto"/>
        <w:jc w:val="both"/>
        <w:rPr>
          <w:rFonts w:ascii="Times New Roman" w:hAnsi="Times New Roman" w:cs="Times New Roman"/>
          <w:b/>
          <w:sz w:val="24"/>
          <w:szCs w:val="24"/>
        </w:rPr>
      </w:pPr>
    </w:p>
    <w:p w:rsidR="00D84C1F" w:rsidRDefault="00D84C1F" w:rsidP="00DD4D31">
      <w:pPr>
        <w:tabs>
          <w:tab w:val="center" w:pos="1691"/>
        </w:tabs>
        <w:spacing w:line="360" w:lineRule="auto"/>
        <w:jc w:val="both"/>
        <w:rPr>
          <w:rFonts w:ascii="Times New Roman" w:hAnsi="Times New Roman" w:cs="Times New Roman"/>
          <w:b/>
          <w:sz w:val="24"/>
          <w:szCs w:val="24"/>
        </w:rPr>
      </w:pPr>
    </w:p>
    <w:p w:rsidR="00D84C1F" w:rsidRDefault="00D84C1F" w:rsidP="00DD4D31">
      <w:pPr>
        <w:tabs>
          <w:tab w:val="center" w:pos="1691"/>
        </w:tabs>
        <w:spacing w:line="360" w:lineRule="auto"/>
        <w:jc w:val="both"/>
        <w:rPr>
          <w:rFonts w:ascii="Times New Roman" w:hAnsi="Times New Roman" w:cs="Times New Roman"/>
          <w:b/>
          <w:sz w:val="24"/>
          <w:szCs w:val="24"/>
        </w:rPr>
      </w:pPr>
    </w:p>
    <w:p w:rsidR="00D84C1F" w:rsidRDefault="00D84C1F" w:rsidP="00DD4D31">
      <w:pPr>
        <w:tabs>
          <w:tab w:val="center" w:pos="1691"/>
        </w:tabs>
        <w:spacing w:line="360" w:lineRule="auto"/>
        <w:jc w:val="both"/>
        <w:rPr>
          <w:rFonts w:ascii="Times New Roman" w:hAnsi="Times New Roman" w:cs="Times New Roman"/>
          <w:b/>
          <w:sz w:val="24"/>
          <w:szCs w:val="24"/>
        </w:rPr>
      </w:pPr>
    </w:p>
    <w:p w:rsidR="00D84C1F" w:rsidRDefault="00D84C1F" w:rsidP="002A7BBF">
      <w:pPr>
        <w:tabs>
          <w:tab w:val="center" w:pos="1691"/>
        </w:tabs>
        <w:spacing w:line="360" w:lineRule="auto"/>
        <w:jc w:val="center"/>
        <w:rPr>
          <w:rFonts w:ascii="Times New Roman" w:hAnsi="Times New Roman" w:cs="Times New Roman"/>
          <w:b/>
          <w:sz w:val="24"/>
          <w:szCs w:val="24"/>
        </w:rPr>
      </w:pPr>
    </w:p>
    <w:p w:rsidR="007E11EF" w:rsidRDefault="005C3C17" w:rsidP="002A7BBF">
      <w:pPr>
        <w:tabs>
          <w:tab w:val="center" w:pos="1691"/>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FIRST SECURITY ISLAMI BANK Ltd</w:t>
      </w:r>
    </w:p>
    <w:tbl>
      <w:tblPr>
        <w:tblStyle w:val="TableGrid"/>
        <w:tblW w:w="9731" w:type="dxa"/>
        <w:tblLook w:val="04A0" w:firstRow="1" w:lastRow="0" w:firstColumn="1" w:lastColumn="0" w:noHBand="0" w:noVBand="1"/>
      </w:tblPr>
      <w:tblGrid>
        <w:gridCol w:w="1177"/>
        <w:gridCol w:w="960"/>
        <w:gridCol w:w="995"/>
        <w:gridCol w:w="1087"/>
        <w:gridCol w:w="959"/>
        <w:gridCol w:w="1087"/>
        <w:gridCol w:w="1141"/>
        <w:gridCol w:w="1094"/>
        <w:gridCol w:w="1238"/>
      </w:tblGrid>
      <w:tr w:rsidR="00D84C1F" w:rsidRPr="005C3C17" w:rsidTr="00D84C1F">
        <w:trPr>
          <w:trHeight w:val="278"/>
        </w:trPr>
        <w:tc>
          <w:tcPr>
            <w:tcW w:w="1177" w:type="dxa"/>
            <w:noWrap/>
            <w:hideMark/>
          </w:tcPr>
          <w:p w:rsidR="005C3C17" w:rsidRPr="00D84C1F" w:rsidRDefault="005C3C17" w:rsidP="005C3C17">
            <w:pPr>
              <w:tabs>
                <w:tab w:val="center" w:pos="1691"/>
              </w:tabs>
              <w:spacing w:line="360" w:lineRule="auto"/>
              <w:rPr>
                <w:rFonts w:ascii="Times New Roman" w:hAnsi="Times New Roman" w:cs="Times New Roman"/>
                <w:bCs/>
                <w:sz w:val="18"/>
                <w:szCs w:val="18"/>
              </w:rPr>
            </w:pPr>
            <w:r w:rsidRPr="00D84C1F">
              <w:rPr>
                <w:rFonts w:ascii="Times New Roman" w:hAnsi="Times New Roman" w:cs="Times New Roman"/>
                <w:bCs/>
                <w:sz w:val="18"/>
                <w:szCs w:val="18"/>
              </w:rPr>
              <w:t xml:space="preserve">Name of Bank Ltd. </w:t>
            </w:r>
          </w:p>
        </w:tc>
        <w:tc>
          <w:tcPr>
            <w:tcW w:w="957" w:type="dxa"/>
            <w:noWrap/>
            <w:hideMark/>
          </w:tcPr>
          <w:p w:rsidR="005C3C17" w:rsidRPr="005C3C17" w:rsidRDefault="005C3C17" w:rsidP="005C3C17">
            <w:pPr>
              <w:tabs>
                <w:tab w:val="center" w:pos="1691"/>
              </w:tabs>
              <w:spacing w:line="360" w:lineRule="auto"/>
              <w:jc w:val="both"/>
              <w:rPr>
                <w:rFonts w:ascii="Times New Roman" w:hAnsi="Times New Roman" w:cs="Times New Roman"/>
                <w:bCs/>
                <w:sz w:val="20"/>
                <w:szCs w:val="20"/>
              </w:rPr>
            </w:pPr>
            <w:r w:rsidRPr="005C3C17">
              <w:rPr>
                <w:rFonts w:ascii="Times New Roman" w:hAnsi="Times New Roman" w:cs="Times New Roman"/>
                <w:bCs/>
                <w:sz w:val="20"/>
                <w:szCs w:val="20"/>
              </w:rPr>
              <w:t>Leverage</w:t>
            </w:r>
          </w:p>
        </w:tc>
        <w:tc>
          <w:tcPr>
            <w:tcW w:w="995" w:type="dxa"/>
            <w:noWrap/>
            <w:hideMark/>
          </w:tcPr>
          <w:p w:rsidR="005C3C17" w:rsidRPr="005C3C17" w:rsidRDefault="005C3C17" w:rsidP="005C3C17">
            <w:pPr>
              <w:tabs>
                <w:tab w:val="center" w:pos="1691"/>
              </w:tabs>
              <w:spacing w:line="360" w:lineRule="auto"/>
              <w:jc w:val="both"/>
              <w:rPr>
                <w:rFonts w:ascii="Times New Roman" w:hAnsi="Times New Roman" w:cs="Times New Roman"/>
                <w:bCs/>
                <w:sz w:val="20"/>
                <w:szCs w:val="20"/>
              </w:rPr>
            </w:pPr>
            <w:r w:rsidRPr="005C3C17">
              <w:rPr>
                <w:rFonts w:ascii="Times New Roman" w:hAnsi="Times New Roman" w:cs="Times New Roman"/>
                <w:bCs/>
                <w:sz w:val="20"/>
                <w:szCs w:val="20"/>
              </w:rPr>
              <w:t>Religion</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bCs/>
                <w:sz w:val="20"/>
                <w:szCs w:val="20"/>
              </w:rPr>
            </w:pPr>
            <w:r w:rsidRPr="005C3C17">
              <w:rPr>
                <w:rFonts w:ascii="Times New Roman" w:hAnsi="Times New Roman" w:cs="Times New Roman"/>
                <w:bCs/>
                <w:sz w:val="20"/>
                <w:szCs w:val="20"/>
              </w:rPr>
              <w:t>Board Size</w:t>
            </w:r>
          </w:p>
        </w:tc>
        <w:tc>
          <w:tcPr>
            <w:tcW w:w="959" w:type="dxa"/>
            <w:noWrap/>
            <w:hideMark/>
          </w:tcPr>
          <w:p w:rsidR="005C3C17" w:rsidRPr="005C3C17" w:rsidRDefault="005C3C17" w:rsidP="005C3C17">
            <w:pPr>
              <w:tabs>
                <w:tab w:val="center" w:pos="1691"/>
              </w:tabs>
              <w:spacing w:line="360" w:lineRule="auto"/>
              <w:jc w:val="both"/>
              <w:rPr>
                <w:rFonts w:ascii="Times New Roman" w:hAnsi="Times New Roman" w:cs="Times New Roman"/>
                <w:bCs/>
                <w:sz w:val="20"/>
                <w:szCs w:val="20"/>
              </w:rPr>
            </w:pPr>
            <w:r w:rsidRPr="005C3C17">
              <w:rPr>
                <w:rFonts w:ascii="Times New Roman" w:hAnsi="Times New Roman" w:cs="Times New Roman"/>
                <w:bCs/>
                <w:sz w:val="20"/>
                <w:szCs w:val="20"/>
              </w:rPr>
              <w:t xml:space="preserve">Woman on Board </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bCs/>
                <w:sz w:val="20"/>
                <w:szCs w:val="20"/>
              </w:rPr>
            </w:pPr>
            <w:r w:rsidRPr="005C3C17">
              <w:rPr>
                <w:rFonts w:ascii="Times New Roman" w:hAnsi="Times New Roman" w:cs="Times New Roman"/>
                <w:bCs/>
                <w:sz w:val="20"/>
                <w:szCs w:val="20"/>
              </w:rPr>
              <w:t>Foreign member on Board</w:t>
            </w:r>
          </w:p>
        </w:tc>
        <w:tc>
          <w:tcPr>
            <w:tcW w:w="1141" w:type="dxa"/>
            <w:noWrap/>
            <w:hideMark/>
          </w:tcPr>
          <w:p w:rsidR="005C3C17" w:rsidRPr="005C3C17" w:rsidRDefault="005C3C17" w:rsidP="005C3C17">
            <w:pPr>
              <w:tabs>
                <w:tab w:val="center" w:pos="1691"/>
              </w:tabs>
              <w:spacing w:line="360" w:lineRule="auto"/>
              <w:jc w:val="both"/>
              <w:rPr>
                <w:rFonts w:ascii="Times New Roman" w:hAnsi="Times New Roman" w:cs="Times New Roman"/>
                <w:bCs/>
                <w:sz w:val="20"/>
                <w:szCs w:val="20"/>
              </w:rPr>
            </w:pPr>
            <w:r w:rsidRPr="005C3C17">
              <w:rPr>
                <w:rFonts w:ascii="Times New Roman" w:hAnsi="Times New Roman" w:cs="Times New Roman"/>
                <w:bCs/>
                <w:sz w:val="20"/>
                <w:szCs w:val="20"/>
              </w:rPr>
              <w:t>Family Member's on Board</w:t>
            </w:r>
          </w:p>
        </w:tc>
        <w:tc>
          <w:tcPr>
            <w:tcW w:w="1090" w:type="dxa"/>
            <w:noWrap/>
            <w:hideMark/>
          </w:tcPr>
          <w:p w:rsidR="005C3C17" w:rsidRPr="005C3C17" w:rsidRDefault="005C3C17" w:rsidP="005C3C17">
            <w:pPr>
              <w:tabs>
                <w:tab w:val="center" w:pos="1691"/>
              </w:tabs>
              <w:spacing w:line="360" w:lineRule="auto"/>
              <w:jc w:val="both"/>
              <w:rPr>
                <w:rFonts w:ascii="Times New Roman" w:hAnsi="Times New Roman" w:cs="Times New Roman"/>
                <w:bCs/>
                <w:sz w:val="20"/>
                <w:szCs w:val="20"/>
              </w:rPr>
            </w:pPr>
            <w:r w:rsidRPr="005C3C17">
              <w:rPr>
                <w:rFonts w:ascii="Times New Roman" w:hAnsi="Times New Roman" w:cs="Times New Roman"/>
                <w:bCs/>
                <w:sz w:val="20"/>
                <w:szCs w:val="20"/>
              </w:rPr>
              <w:t xml:space="preserve">Foreign Ownership </w:t>
            </w:r>
          </w:p>
        </w:tc>
        <w:tc>
          <w:tcPr>
            <w:tcW w:w="1238" w:type="dxa"/>
            <w:noWrap/>
            <w:hideMark/>
          </w:tcPr>
          <w:p w:rsidR="005C3C17" w:rsidRPr="005C3C17" w:rsidRDefault="005C3C17" w:rsidP="005C3C17">
            <w:pPr>
              <w:tabs>
                <w:tab w:val="center" w:pos="1691"/>
              </w:tabs>
              <w:spacing w:line="360" w:lineRule="auto"/>
              <w:jc w:val="both"/>
              <w:rPr>
                <w:rFonts w:ascii="Times New Roman" w:hAnsi="Times New Roman" w:cs="Times New Roman"/>
                <w:bCs/>
                <w:sz w:val="20"/>
                <w:szCs w:val="20"/>
              </w:rPr>
            </w:pPr>
            <w:r w:rsidRPr="005C3C17">
              <w:rPr>
                <w:rFonts w:ascii="Times New Roman" w:hAnsi="Times New Roman" w:cs="Times New Roman"/>
                <w:bCs/>
                <w:sz w:val="20"/>
                <w:szCs w:val="20"/>
              </w:rPr>
              <w:t>Family Ownership</w:t>
            </w:r>
          </w:p>
        </w:tc>
      </w:tr>
      <w:tr w:rsidR="005C3C17" w:rsidRPr="005C3C17" w:rsidTr="00D84C1F">
        <w:trPr>
          <w:trHeight w:val="278"/>
        </w:trPr>
        <w:tc>
          <w:tcPr>
            <w:tcW w:w="1177" w:type="dxa"/>
            <w:noWrap/>
            <w:hideMark/>
          </w:tcPr>
          <w:p w:rsidR="005C3C17" w:rsidRPr="00D84C1F" w:rsidRDefault="005C3C17" w:rsidP="005C3C17">
            <w:pPr>
              <w:tabs>
                <w:tab w:val="center" w:pos="1691"/>
              </w:tabs>
              <w:spacing w:line="360" w:lineRule="auto"/>
              <w:rPr>
                <w:rFonts w:ascii="Times New Roman" w:hAnsi="Times New Roman" w:cs="Times New Roman"/>
                <w:sz w:val="18"/>
                <w:szCs w:val="18"/>
              </w:rPr>
            </w:pPr>
            <w:r w:rsidRPr="00D84C1F">
              <w:rPr>
                <w:rFonts w:ascii="Times New Roman" w:hAnsi="Times New Roman" w:cs="Times New Roman"/>
                <w:sz w:val="18"/>
                <w:szCs w:val="18"/>
              </w:rPr>
              <w:t xml:space="preserve">First </w:t>
            </w:r>
            <w:r w:rsidR="00066152" w:rsidRPr="00D84C1F">
              <w:rPr>
                <w:rFonts w:ascii="Times New Roman" w:hAnsi="Times New Roman" w:cs="Times New Roman"/>
                <w:sz w:val="18"/>
                <w:szCs w:val="18"/>
              </w:rPr>
              <w:t xml:space="preserve">Security </w:t>
            </w:r>
            <w:proofErr w:type="spellStart"/>
            <w:r w:rsidR="00066152" w:rsidRPr="00D84C1F">
              <w:rPr>
                <w:rFonts w:ascii="Times New Roman" w:hAnsi="Times New Roman" w:cs="Times New Roman"/>
                <w:sz w:val="18"/>
                <w:szCs w:val="18"/>
              </w:rPr>
              <w:t>Islami</w:t>
            </w:r>
            <w:proofErr w:type="spellEnd"/>
            <w:r w:rsidRPr="00D84C1F">
              <w:rPr>
                <w:rFonts w:ascii="Times New Roman" w:hAnsi="Times New Roman" w:cs="Times New Roman"/>
                <w:sz w:val="18"/>
                <w:szCs w:val="18"/>
              </w:rPr>
              <w:t xml:space="preserve"> Bank 2018</w:t>
            </w:r>
          </w:p>
        </w:tc>
        <w:tc>
          <w:tcPr>
            <w:tcW w:w="95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91.90%</w:t>
            </w:r>
          </w:p>
        </w:tc>
        <w:tc>
          <w:tcPr>
            <w:tcW w:w="995"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14</w:t>
            </w:r>
          </w:p>
        </w:tc>
        <w:tc>
          <w:tcPr>
            <w:tcW w:w="959"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141"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090"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238"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0.25%</w:t>
            </w:r>
          </w:p>
        </w:tc>
      </w:tr>
      <w:tr w:rsidR="005C3C17" w:rsidRPr="005C3C17" w:rsidTr="00D84C1F">
        <w:trPr>
          <w:trHeight w:val="278"/>
        </w:trPr>
        <w:tc>
          <w:tcPr>
            <w:tcW w:w="1177" w:type="dxa"/>
            <w:noWrap/>
            <w:hideMark/>
          </w:tcPr>
          <w:p w:rsidR="005C3C17" w:rsidRPr="00D84C1F" w:rsidRDefault="005C3C17" w:rsidP="005C3C17">
            <w:pPr>
              <w:tabs>
                <w:tab w:val="center" w:pos="1691"/>
              </w:tabs>
              <w:spacing w:line="360" w:lineRule="auto"/>
              <w:rPr>
                <w:rFonts w:ascii="Times New Roman" w:hAnsi="Times New Roman" w:cs="Times New Roman"/>
                <w:sz w:val="18"/>
                <w:szCs w:val="18"/>
              </w:rPr>
            </w:pPr>
            <w:r w:rsidRPr="00D84C1F">
              <w:rPr>
                <w:rFonts w:ascii="Times New Roman" w:hAnsi="Times New Roman" w:cs="Times New Roman"/>
                <w:sz w:val="18"/>
                <w:szCs w:val="18"/>
              </w:rPr>
              <w:t xml:space="preserve">First </w:t>
            </w:r>
            <w:r w:rsidR="00066152" w:rsidRPr="00D84C1F">
              <w:rPr>
                <w:rFonts w:ascii="Times New Roman" w:hAnsi="Times New Roman" w:cs="Times New Roman"/>
                <w:sz w:val="18"/>
                <w:szCs w:val="18"/>
              </w:rPr>
              <w:t xml:space="preserve">Security </w:t>
            </w:r>
            <w:proofErr w:type="spellStart"/>
            <w:r w:rsidR="00066152" w:rsidRPr="00D84C1F">
              <w:rPr>
                <w:rFonts w:ascii="Times New Roman" w:hAnsi="Times New Roman" w:cs="Times New Roman"/>
                <w:sz w:val="18"/>
                <w:szCs w:val="18"/>
              </w:rPr>
              <w:t>Islami</w:t>
            </w:r>
            <w:proofErr w:type="spellEnd"/>
            <w:r w:rsidRPr="00D84C1F">
              <w:rPr>
                <w:rFonts w:ascii="Times New Roman" w:hAnsi="Times New Roman" w:cs="Times New Roman"/>
                <w:sz w:val="18"/>
                <w:szCs w:val="18"/>
              </w:rPr>
              <w:t xml:space="preserve"> Bank 2017</w:t>
            </w:r>
          </w:p>
        </w:tc>
        <w:tc>
          <w:tcPr>
            <w:tcW w:w="95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89.88%</w:t>
            </w:r>
          </w:p>
        </w:tc>
        <w:tc>
          <w:tcPr>
            <w:tcW w:w="995"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12</w:t>
            </w:r>
          </w:p>
        </w:tc>
        <w:tc>
          <w:tcPr>
            <w:tcW w:w="959"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141"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090"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238"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0.32%</w:t>
            </w:r>
          </w:p>
        </w:tc>
      </w:tr>
      <w:tr w:rsidR="005C3C17" w:rsidRPr="005C3C17" w:rsidTr="00D84C1F">
        <w:trPr>
          <w:trHeight w:val="278"/>
        </w:trPr>
        <w:tc>
          <w:tcPr>
            <w:tcW w:w="1177" w:type="dxa"/>
            <w:noWrap/>
            <w:hideMark/>
          </w:tcPr>
          <w:p w:rsidR="005C3C17" w:rsidRPr="00D84C1F" w:rsidRDefault="005C3C17" w:rsidP="005C3C17">
            <w:pPr>
              <w:tabs>
                <w:tab w:val="center" w:pos="1691"/>
              </w:tabs>
              <w:spacing w:line="360" w:lineRule="auto"/>
              <w:rPr>
                <w:rFonts w:ascii="Times New Roman" w:hAnsi="Times New Roman" w:cs="Times New Roman"/>
                <w:sz w:val="18"/>
                <w:szCs w:val="18"/>
              </w:rPr>
            </w:pPr>
            <w:r w:rsidRPr="00D84C1F">
              <w:rPr>
                <w:rFonts w:ascii="Times New Roman" w:hAnsi="Times New Roman" w:cs="Times New Roman"/>
                <w:sz w:val="18"/>
                <w:szCs w:val="18"/>
              </w:rPr>
              <w:t xml:space="preserve">First </w:t>
            </w:r>
            <w:r w:rsidR="00066152" w:rsidRPr="00D84C1F">
              <w:rPr>
                <w:rFonts w:ascii="Times New Roman" w:hAnsi="Times New Roman" w:cs="Times New Roman"/>
                <w:sz w:val="18"/>
                <w:szCs w:val="18"/>
              </w:rPr>
              <w:t xml:space="preserve">Security </w:t>
            </w:r>
            <w:proofErr w:type="spellStart"/>
            <w:r w:rsidR="00066152" w:rsidRPr="00D84C1F">
              <w:rPr>
                <w:rFonts w:ascii="Times New Roman" w:hAnsi="Times New Roman" w:cs="Times New Roman"/>
                <w:sz w:val="18"/>
                <w:szCs w:val="18"/>
              </w:rPr>
              <w:t>Islami</w:t>
            </w:r>
            <w:proofErr w:type="spellEnd"/>
            <w:r w:rsidRPr="00D84C1F">
              <w:rPr>
                <w:rFonts w:ascii="Times New Roman" w:hAnsi="Times New Roman" w:cs="Times New Roman"/>
                <w:sz w:val="18"/>
                <w:szCs w:val="18"/>
              </w:rPr>
              <w:t xml:space="preserve"> Bank 2016</w:t>
            </w:r>
          </w:p>
        </w:tc>
        <w:tc>
          <w:tcPr>
            <w:tcW w:w="95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89.67%</w:t>
            </w:r>
          </w:p>
        </w:tc>
        <w:tc>
          <w:tcPr>
            <w:tcW w:w="995"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13</w:t>
            </w:r>
          </w:p>
        </w:tc>
        <w:tc>
          <w:tcPr>
            <w:tcW w:w="959"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141"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90"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238"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0.25%</w:t>
            </w:r>
          </w:p>
        </w:tc>
      </w:tr>
      <w:tr w:rsidR="005C3C17" w:rsidRPr="005C3C17" w:rsidTr="005351E8">
        <w:trPr>
          <w:trHeight w:val="908"/>
        </w:trPr>
        <w:tc>
          <w:tcPr>
            <w:tcW w:w="1177" w:type="dxa"/>
            <w:noWrap/>
            <w:hideMark/>
          </w:tcPr>
          <w:p w:rsidR="005C3C17" w:rsidRPr="00D84C1F" w:rsidRDefault="005C3C17" w:rsidP="005C3C17">
            <w:pPr>
              <w:tabs>
                <w:tab w:val="center" w:pos="1691"/>
              </w:tabs>
              <w:spacing w:line="360" w:lineRule="auto"/>
              <w:rPr>
                <w:rFonts w:ascii="Times New Roman" w:hAnsi="Times New Roman" w:cs="Times New Roman"/>
                <w:sz w:val="18"/>
                <w:szCs w:val="18"/>
              </w:rPr>
            </w:pPr>
            <w:r w:rsidRPr="00D84C1F">
              <w:rPr>
                <w:rFonts w:ascii="Times New Roman" w:hAnsi="Times New Roman" w:cs="Times New Roman"/>
                <w:sz w:val="18"/>
                <w:szCs w:val="18"/>
              </w:rPr>
              <w:t xml:space="preserve">First </w:t>
            </w:r>
            <w:r w:rsidR="00066152" w:rsidRPr="00D84C1F">
              <w:rPr>
                <w:rFonts w:ascii="Times New Roman" w:hAnsi="Times New Roman" w:cs="Times New Roman"/>
                <w:sz w:val="18"/>
                <w:szCs w:val="18"/>
              </w:rPr>
              <w:t xml:space="preserve">Security </w:t>
            </w:r>
            <w:proofErr w:type="spellStart"/>
            <w:r w:rsidR="00066152" w:rsidRPr="00D84C1F">
              <w:rPr>
                <w:rFonts w:ascii="Times New Roman" w:hAnsi="Times New Roman" w:cs="Times New Roman"/>
                <w:sz w:val="18"/>
                <w:szCs w:val="18"/>
              </w:rPr>
              <w:t>Islami</w:t>
            </w:r>
            <w:proofErr w:type="spellEnd"/>
            <w:r w:rsidRPr="00D84C1F">
              <w:rPr>
                <w:rFonts w:ascii="Times New Roman" w:hAnsi="Times New Roman" w:cs="Times New Roman"/>
                <w:sz w:val="18"/>
                <w:szCs w:val="18"/>
              </w:rPr>
              <w:t xml:space="preserve"> Bank 2015</w:t>
            </w:r>
          </w:p>
        </w:tc>
        <w:tc>
          <w:tcPr>
            <w:tcW w:w="95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92.45%</w:t>
            </w:r>
          </w:p>
        </w:tc>
        <w:tc>
          <w:tcPr>
            <w:tcW w:w="995"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13</w:t>
            </w:r>
          </w:p>
        </w:tc>
        <w:tc>
          <w:tcPr>
            <w:tcW w:w="959"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141"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90"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238"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0.22%</w:t>
            </w:r>
          </w:p>
        </w:tc>
      </w:tr>
      <w:tr w:rsidR="005C3C17" w:rsidRPr="005C3C17" w:rsidTr="00D84C1F">
        <w:trPr>
          <w:trHeight w:val="278"/>
        </w:trPr>
        <w:tc>
          <w:tcPr>
            <w:tcW w:w="1177" w:type="dxa"/>
            <w:noWrap/>
            <w:hideMark/>
          </w:tcPr>
          <w:p w:rsidR="005C3C17" w:rsidRPr="00D84C1F" w:rsidRDefault="005C3C17" w:rsidP="005C3C17">
            <w:pPr>
              <w:tabs>
                <w:tab w:val="center" w:pos="1691"/>
              </w:tabs>
              <w:spacing w:line="360" w:lineRule="auto"/>
              <w:rPr>
                <w:rFonts w:ascii="Times New Roman" w:hAnsi="Times New Roman" w:cs="Times New Roman"/>
                <w:sz w:val="18"/>
                <w:szCs w:val="18"/>
              </w:rPr>
            </w:pPr>
            <w:r w:rsidRPr="00D84C1F">
              <w:rPr>
                <w:rFonts w:ascii="Times New Roman" w:hAnsi="Times New Roman" w:cs="Times New Roman"/>
                <w:sz w:val="18"/>
                <w:szCs w:val="18"/>
              </w:rPr>
              <w:t xml:space="preserve">First </w:t>
            </w:r>
            <w:r w:rsidR="00066152" w:rsidRPr="00D84C1F">
              <w:rPr>
                <w:rFonts w:ascii="Times New Roman" w:hAnsi="Times New Roman" w:cs="Times New Roman"/>
                <w:sz w:val="18"/>
                <w:szCs w:val="18"/>
              </w:rPr>
              <w:t xml:space="preserve">Security </w:t>
            </w:r>
            <w:proofErr w:type="spellStart"/>
            <w:r w:rsidR="00066152" w:rsidRPr="00D84C1F">
              <w:rPr>
                <w:rFonts w:ascii="Times New Roman" w:hAnsi="Times New Roman" w:cs="Times New Roman"/>
                <w:sz w:val="18"/>
                <w:szCs w:val="18"/>
              </w:rPr>
              <w:t>Islami</w:t>
            </w:r>
            <w:proofErr w:type="spellEnd"/>
            <w:r w:rsidRPr="00D84C1F">
              <w:rPr>
                <w:rFonts w:ascii="Times New Roman" w:hAnsi="Times New Roman" w:cs="Times New Roman"/>
                <w:sz w:val="18"/>
                <w:szCs w:val="18"/>
              </w:rPr>
              <w:t xml:space="preserve"> Bank 2014</w:t>
            </w:r>
          </w:p>
        </w:tc>
        <w:tc>
          <w:tcPr>
            <w:tcW w:w="95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92.76%</w:t>
            </w:r>
          </w:p>
        </w:tc>
        <w:tc>
          <w:tcPr>
            <w:tcW w:w="995"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12</w:t>
            </w:r>
          </w:p>
        </w:tc>
        <w:tc>
          <w:tcPr>
            <w:tcW w:w="959"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141"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90"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238"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0.27%</w:t>
            </w:r>
          </w:p>
        </w:tc>
      </w:tr>
      <w:tr w:rsidR="005C3C17" w:rsidRPr="005C3C17" w:rsidTr="00D84C1F">
        <w:trPr>
          <w:trHeight w:val="278"/>
        </w:trPr>
        <w:tc>
          <w:tcPr>
            <w:tcW w:w="1177" w:type="dxa"/>
            <w:noWrap/>
            <w:hideMark/>
          </w:tcPr>
          <w:p w:rsidR="005C3C17" w:rsidRPr="00D84C1F" w:rsidRDefault="005C3C17" w:rsidP="005C3C17">
            <w:pPr>
              <w:tabs>
                <w:tab w:val="center" w:pos="1691"/>
              </w:tabs>
              <w:spacing w:line="360" w:lineRule="auto"/>
              <w:rPr>
                <w:rFonts w:ascii="Times New Roman" w:hAnsi="Times New Roman" w:cs="Times New Roman"/>
                <w:sz w:val="18"/>
                <w:szCs w:val="18"/>
              </w:rPr>
            </w:pPr>
            <w:r w:rsidRPr="00D84C1F">
              <w:rPr>
                <w:rFonts w:ascii="Times New Roman" w:hAnsi="Times New Roman" w:cs="Times New Roman"/>
                <w:sz w:val="18"/>
                <w:szCs w:val="18"/>
              </w:rPr>
              <w:t xml:space="preserve">First </w:t>
            </w:r>
            <w:r w:rsidR="00066152" w:rsidRPr="00D84C1F">
              <w:rPr>
                <w:rFonts w:ascii="Times New Roman" w:hAnsi="Times New Roman" w:cs="Times New Roman"/>
                <w:sz w:val="18"/>
                <w:szCs w:val="18"/>
              </w:rPr>
              <w:t xml:space="preserve">Security </w:t>
            </w:r>
            <w:proofErr w:type="spellStart"/>
            <w:r w:rsidR="00066152" w:rsidRPr="00D84C1F">
              <w:rPr>
                <w:rFonts w:ascii="Times New Roman" w:hAnsi="Times New Roman" w:cs="Times New Roman"/>
                <w:sz w:val="18"/>
                <w:szCs w:val="18"/>
              </w:rPr>
              <w:t>Islami</w:t>
            </w:r>
            <w:proofErr w:type="spellEnd"/>
            <w:r w:rsidRPr="00D84C1F">
              <w:rPr>
                <w:rFonts w:ascii="Times New Roman" w:hAnsi="Times New Roman" w:cs="Times New Roman"/>
                <w:sz w:val="18"/>
                <w:szCs w:val="18"/>
              </w:rPr>
              <w:t xml:space="preserve"> Bank 2013</w:t>
            </w:r>
          </w:p>
        </w:tc>
        <w:tc>
          <w:tcPr>
            <w:tcW w:w="95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92.87%</w:t>
            </w:r>
          </w:p>
        </w:tc>
        <w:tc>
          <w:tcPr>
            <w:tcW w:w="995"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`12</w:t>
            </w:r>
          </w:p>
        </w:tc>
        <w:tc>
          <w:tcPr>
            <w:tcW w:w="959"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141"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90"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238"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0.21%</w:t>
            </w:r>
          </w:p>
        </w:tc>
      </w:tr>
      <w:tr w:rsidR="005C3C17" w:rsidRPr="005C3C17" w:rsidTr="00D84C1F">
        <w:trPr>
          <w:trHeight w:val="278"/>
        </w:trPr>
        <w:tc>
          <w:tcPr>
            <w:tcW w:w="1177" w:type="dxa"/>
            <w:noWrap/>
            <w:hideMark/>
          </w:tcPr>
          <w:p w:rsidR="005C3C17" w:rsidRPr="00D84C1F" w:rsidRDefault="005C3C17" w:rsidP="005C3C17">
            <w:pPr>
              <w:tabs>
                <w:tab w:val="center" w:pos="1691"/>
              </w:tabs>
              <w:spacing w:line="360" w:lineRule="auto"/>
              <w:rPr>
                <w:rFonts w:ascii="Times New Roman" w:hAnsi="Times New Roman" w:cs="Times New Roman"/>
                <w:sz w:val="18"/>
                <w:szCs w:val="18"/>
              </w:rPr>
            </w:pPr>
            <w:r w:rsidRPr="00D84C1F">
              <w:rPr>
                <w:rFonts w:ascii="Times New Roman" w:hAnsi="Times New Roman" w:cs="Times New Roman"/>
                <w:sz w:val="18"/>
                <w:szCs w:val="18"/>
              </w:rPr>
              <w:t xml:space="preserve">First Security  </w:t>
            </w:r>
            <w:proofErr w:type="spellStart"/>
            <w:r w:rsidRPr="00D84C1F">
              <w:rPr>
                <w:rFonts w:ascii="Times New Roman" w:hAnsi="Times New Roman" w:cs="Times New Roman"/>
                <w:sz w:val="18"/>
                <w:szCs w:val="18"/>
              </w:rPr>
              <w:t>Islami</w:t>
            </w:r>
            <w:proofErr w:type="spellEnd"/>
            <w:r w:rsidRPr="00D84C1F">
              <w:rPr>
                <w:rFonts w:ascii="Times New Roman" w:hAnsi="Times New Roman" w:cs="Times New Roman"/>
                <w:sz w:val="18"/>
                <w:szCs w:val="18"/>
              </w:rPr>
              <w:t xml:space="preserve"> Bank 2012</w:t>
            </w:r>
          </w:p>
        </w:tc>
        <w:tc>
          <w:tcPr>
            <w:tcW w:w="95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91.73%</w:t>
            </w:r>
          </w:p>
        </w:tc>
        <w:tc>
          <w:tcPr>
            <w:tcW w:w="995"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13</w:t>
            </w:r>
          </w:p>
        </w:tc>
        <w:tc>
          <w:tcPr>
            <w:tcW w:w="959"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87"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141"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1</w:t>
            </w:r>
          </w:p>
        </w:tc>
        <w:tc>
          <w:tcPr>
            <w:tcW w:w="1090"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w:t>
            </w:r>
          </w:p>
        </w:tc>
        <w:tc>
          <w:tcPr>
            <w:tcW w:w="1238" w:type="dxa"/>
            <w:noWrap/>
            <w:hideMark/>
          </w:tcPr>
          <w:p w:rsidR="005C3C17" w:rsidRPr="005C3C17" w:rsidRDefault="005C3C17" w:rsidP="005C3C17">
            <w:pPr>
              <w:tabs>
                <w:tab w:val="center" w:pos="1691"/>
              </w:tabs>
              <w:spacing w:line="360" w:lineRule="auto"/>
              <w:jc w:val="both"/>
              <w:rPr>
                <w:rFonts w:ascii="Times New Roman" w:hAnsi="Times New Roman" w:cs="Times New Roman"/>
                <w:sz w:val="20"/>
                <w:szCs w:val="20"/>
              </w:rPr>
            </w:pPr>
            <w:r w:rsidRPr="005C3C17">
              <w:rPr>
                <w:rFonts w:ascii="Times New Roman" w:hAnsi="Times New Roman" w:cs="Times New Roman"/>
                <w:sz w:val="20"/>
                <w:szCs w:val="20"/>
              </w:rPr>
              <w:t>0.19%</w:t>
            </w:r>
          </w:p>
        </w:tc>
      </w:tr>
      <w:tr w:rsidR="005C3C17" w:rsidRPr="005C3C17" w:rsidTr="00D84C1F">
        <w:trPr>
          <w:trHeight w:val="278"/>
        </w:trPr>
        <w:tc>
          <w:tcPr>
            <w:tcW w:w="1177" w:type="dxa"/>
            <w:noWrap/>
            <w:hideMark/>
          </w:tcPr>
          <w:p w:rsidR="005C3C17" w:rsidRPr="00D84C1F" w:rsidRDefault="005C3C17" w:rsidP="005C3C17">
            <w:pPr>
              <w:tabs>
                <w:tab w:val="center" w:pos="1691"/>
              </w:tabs>
              <w:spacing w:line="360" w:lineRule="auto"/>
              <w:jc w:val="both"/>
              <w:rPr>
                <w:rFonts w:ascii="Times New Roman" w:hAnsi="Times New Roman" w:cs="Times New Roman"/>
                <w:sz w:val="18"/>
                <w:szCs w:val="18"/>
              </w:rPr>
            </w:pPr>
            <w:r w:rsidRPr="00D84C1F">
              <w:rPr>
                <w:rFonts w:ascii="Times New Roman" w:hAnsi="Times New Roman" w:cs="Times New Roman"/>
                <w:sz w:val="18"/>
                <w:szCs w:val="18"/>
              </w:rPr>
              <w:t xml:space="preserve">First </w:t>
            </w:r>
            <w:r w:rsidR="00066152" w:rsidRPr="00D84C1F">
              <w:rPr>
                <w:rFonts w:ascii="Times New Roman" w:hAnsi="Times New Roman" w:cs="Times New Roman"/>
                <w:sz w:val="18"/>
                <w:szCs w:val="18"/>
              </w:rPr>
              <w:t xml:space="preserve">Security </w:t>
            </w:r>
            <w:proofErr w:type="spellStart"/>
            <w:r w:rsidR="00066152" w:rsidRPr="00D84C1F">
              <w:rPr>
                <w:rFonts w:ascii="Times New Roman" w:hAnsi="Times New Roman" w:cs="Times New Roman"/>
                <w:sz w:val="18"/>
                <w:szCs w:val="18"/>
              </w:rPr>
              <w:t>Islami</w:t>
            </w:r>
            <w:proofErr w:type="spellEnd"/>
            <w:r w:rsidRPr="00D84C1F">
              <w:rPr>
                <w:rFonts w:ascii="Times New Roman" w:hAnsi="Times New Roman" w:cs="Times New Roman"/>
                <w:sz w:val="18"/>
                <w:szCs w:val="18"/>
              </w:rPr>
              <w:t xml:space="preserve"> Bank 2011</w:t>
            </w:r>
          </w:p>
        </w:tc>
        <w:tc>
          <w:tcPr>
            <w:tcW w:w="957" w:type="dxa"/>
            <w:noWrap/>
            <w:hideMark/>
          </w:tcPr>
          <w:p w:rsidR="005C3C17" w:rsidRPr="00D84C1F" w:rsidRDefault="005C3C17" w:rsidP="005C3C17">
            <w:pPr>
              <w:tabs>
                <w:tab w:val="center" w:pos="1691"/>
              </w:tabs>
              <w:spacing w:line="360" w:lineRule="auto"/>
              <w:jc w:val="both"/>
              <w:rPr>
                <w:rFonts w:ascii="Times New Roman" w:hAnsi="Times New Roman" w:cs="Times New Roman"/>
                <w:sz w:val="20"/>
                <w:szCs w:val="20"/>
              </w:rPr>
            </w:pPr>
            <w:r w:rsidRPr="00D84C1F">
              <w:rPr>
                <w:rFonts w:ascii="Times New Roman" w:hAnsi="Times New Roman" w:cs="Times New Roman"/>
                <w:sz w:val="20"/>
                <w:szCs w:val="20"/>
              </w:rPr>
              <w:t>91.75%</w:t>
            </w:r>
          </w:p>
        </w:tc>
        <w:tc>
          <w:tcPr>
            <w:tcW w:w="995" w:type="dxa"/>
            <w:noWrap/>
            <w:hideMark/>
          </w:tcPr>
          <w:p w:rsidR="005C3C17" w:rsidRPr="00D84C1F" w:rsidRDefault="005C3C17" w:rsidP="005C3C17">
            <w:pPr>
              <w:tabs>
                <w:tab w:val="center" w:pos="1691"/>
              </w:tabs>
              <w:spacing w:line="360" w:lineRule="auto"/>
              <w:jc w:val="both"/>
              <w:rPr>
                <w:rFonts w:ascii="Times New Roman" w:hAnsi="Times New Roman" w:cs="Times New Roman"/>
                <w:sz w:val="20"/>
                <w:szCs w:val="20"/>
              </w:rPr>
            </w:pPr>
            <w:r w:rsidRPr="00D84C1F">
              <w:rPr>
                <w:rFonts w:ascii="Times New Roman" w:hAnsi="Times New Roman" w:cs="Times New Roman"/>
                <w:sz w:val="20"/>
                <w:szCs w:val="20"/>
              </w:rPr>
              <w:t>1</w:t>
            </w:r>
          </w:p>
        </w:tc>
        <w:tc>
          <w:tcPr>
            <w:tcW w:w="1087" w:type="dxa"/>
            <w:noWrap/>
            <w:hideMark/>
          </w:tcPr>
          <w:p w:rsidR="005C3C17" w:rsidRPr="00D84C1F" w:rsidRDefault="005C3C17" w:rsidP="005C3C17">
            <w:pPr>
              <w:tabs>
                <w:tab w:val="center" w:pos="1691"/>
              </w:tabs>
              <w:spacing w:line="360" w:lineRule="auto"/>
              <w:jc w:val="both"/>
              <w:rPr>
                <w:rFonts w:ascii="Times New Roman" w:hAnsi="Times New Roman" w:cs="Times New Roman"/>
                <w:sz w:val="20"/>
                <w:szCs w:val="20"/>
              </w:rPr>
            </w:pPr>
            <w:r w:rsidRPr="00D84C1F">
              <w:rPr>
                <w:rFonts w:ascii="Times New Roman" w:hAnsi="Times New Roman" w:cs="Times New Roman"/>
                <w:sz w:val="20"/>
                <w:szCs w:val="20"/>
              </w:rPr>
              <w:t>13</w:t>
            </w:r>
          </w:p>
        </w:tc>
        <w:tc>
          <w:tcPr>
            <w:tcW w:w="959" w:type="dxa"/>
            <w:noWrap/>
            <w:hideMark/>
          </w:tcPr>
          <w:p w:rsidR="005C3C17" w:rsidRPr="00D84C1F" w:rsidRDefault="005C3C17" w:rsidP="005C3C17">
            <w:pPr>
              <w:tabs>
                <w:tab w:val="center" w:pos="1691"/>
              </w:tabs>
              <w:spacing w:line="360" w:lineRule="auto"/>
              <w:jc w:val="both"/>
              <w:rPr>
                <w:rFonts w:ascii="Times New Roman" w:hAnsi="Times New Roman" w:cs="Times New Roman"/>
                <w:sz w:val="20"/>
                <w:szCs w:val="20"/>
              </w:rPr>
            </w:pPr>
            <w:r w:rsidRPr="00D84C1F">
              <w:rPr>
                <w:rFonts w:ascii="Times New Roman" w:hAnsi="Times New Roman" w:cs="Times New Roman"/>
                <w:sz w:val="20"/>
                <w:szCs w:val="20"/>
              </w:rPr>
              <w:t>1</w:t>
            </w:r>
          </w:p>
        </w:tc>
        <w:tc>
          <w:tcPr>
            <w:tcW w:w="1087" w:type="dxa"/>
            <w:noWrap/>
            <w:hideMark/>
          </w:tcPr>
          <w:p w:rsidR="005C3C17" w:rsidRPr="00D84C1F" w:rsidRDefault="005C3C17" w:rsidP="005C3C17">
            <w:pPr>
              <w:tabs>
                <w:tab w:val="center" w:pos="1691"/>
              </w:tabs>
              <w:spacing w:line="360" w:lineRule="auto"/>
              <w:jc w:val="both"/>
              <w:rPr>
                <w:rFonts w:ascii="Times New Roman" w:hAnsi="Times New Roman" w:cs="Times New Roman"/>
                <w:sz w:val="20"/>
                <w:szCs w:val="20"/>
              </w:rPr>
            </w:pPr>
            <w:r w:rsidRPr="00D84C1F">
              <w:rPr>
                <w:rFonts w:ascii="Times New Roman" w:hAnsi="Times New Roman" w:cs="Times New Roman"/>
                <w:sz w:val="20"/>
                <w:szCs w:val="20"/>
              </w:rPr>
              <w:t>0</w:t>
            </w:r>
          </w:p>
        </w:tc>
        <w:tc>
          <w:tcPr>
            <w:tcW w:w="1141" w:type="dxa"/>
            <w:noWrap/>
            <w:hideMark/>
          </w:tcPr>
          <w:p w:rsidR="005C3C17" w:rsidRPr="00D84C1F" w:rsidRDefault="005C3C17" w:rsidP="005C3C17">
            <w:pPr>
              <w:tabs>
                <w:tab w:val="center" w:pos="1691"/>
              </w:tabs>
              <w:spacing w:line="360" w:lineRule="auto"/>
              <w:jc w:val="both"/>
              <w:rPr>
                <w:rFonts w:ascii="Times New Roman" w:hAnsi="Times New Roman" w:cs="Times New Roman"/>
                <w:sz w:val="20"/>
                <w:szCs w:val="20"/>
              </w:rPr>
            </w:pPr>
            <w:r w:rsidRPr="00D84C1F">
              <w:rPr>
                <w:rFonts w:ascii="Times New Roman" w:hAnsi="Times New Roman" w:cs="Times New Roman"/>
                <w:sz w:val="20"/>
                <w:szCs w:val="20"/>
              </w:rPr>
              <w:t>1</w:t>
            </w:r>
          </w:p>
        </w:tc>
        <w:tc>
          <w:tcPr>
            <w:tcW w:w="1090" w:type="dxa"/>
            <w:noWrap/>
            <w:hideMark/>
          </w:tcPr>
          <w:p w:rsidR="005C3C17" w:rsidRPr="00D84C1F" w:rsidRDefault="005C3C17" w:rsidP="005C3C17">
            <w:pPr>
              <w:tabs>
                <w:tab w:val="center" w:pos="1691"/>
              </w:tabs>
              <w:spacing w:line="360" w:lineRule="auto"/>
              <w:jc w:val="both"/>
              <w:rPr>
                <w:rFonts w:ascii="Times New Roman" w:hAnsi="Times New Roman" w:cs="Times New Roman"/>
                <w:sz w:val="20"/>
                <w:szCs w:val="20"/>
              </w:rPr>
            </w:pPr>
            <w:r w:rsidRPr="00D84C1F">
              <w:rPr>
                <w:rFonts w:ascii="Times New Roman" w:hAnsi="Times New Roman" w:cs="Times New Roman"/>
                <w:sz w:val="20"/>
                <w:szCs w:val="20"/>
              </w:rPr>
              <w:t>0</w:t>
            </w:r>
          </w:p>
        </w:tc>
        <w:tc>
          <w:tcPr>
            <w:tcW w:w="1238" w:type="dxa"/>
            <w:noWrap/>
            <w:hideMark/>
          </w:tcPr>
          <w:p w:rsidR="005C3C17" w:rsidRPr="00D84C1F" w:rsidRDefault="005C3C17" w:rsidP="005C3C17">
            <w:pPr>
              <w:tabs>
                <w:tab w:val="center" w:pos="1691"/>
              </w:tabs>
              <w:spacing w:line="360" w:lineRule="auto"/>
              <w:jc w:val="both"/>
              <w:rPr>
                <w:rFonts w:ascii="Times New Roman" w:hAnsi="Times New Roman" w:cs="Times New Roman"/>
                <w:sz w:val="20"/>
                <w:szCs w:val="20"/>
              </w:rPr>
            </w:pPr>
            <w:r w:rsidRPr="00D84C1F">
              <w:rPr>
                <w:rFonts w:ascii="Times New Roman" w:hAnsi="Times New Roman" w:cs="Times New Roman"/>
                <w:sz w:val="20"/>
                <w:szCs w:val="20"/>
              </w:rPr>
              <w:t>0%</w:t>
            </w:r>
          </w:p>
        </w:tc>
      </w:tr>
    </w:tbl>
    <w:p w:rsidR="007E11EF" w:rsidRDefault="007E11EF" w:rsidP="00DD4D31">
      <w:pPr>
        <w:tabs>
          <w:tab w:val="center" w:pos="1691"/>
        </w:tabs>
        <w:spacing w:line="360" w:lineRule="auto"/>
        <w:jc w:val="both"/>
        <w:rPr>
          <w:rFonts w:ascii="Times New Roman" w:hAnsi="Times New Roman" w:cs="Times New Roman"/>
          <w:b/>
          <w:sz w:val="24"/>
          <w:szCs w:val="24"/>
        </w:rPr>
      </w:pPr>
    </w:p>
    <w:p w:rsidR="007E11EF" w:rsidRDefault="005351E8" w:rsidP="00DD4D31">
      <w:pPr>
        <w:tabs>
          <w:tab w:val="center" w:pos="1691"/>
        </w:tabs>
        <w:spacing w:line="360" w:lineRule="auto"/>
        <w:jc w:val="both"/>
        <w:rPr>
          <w:rFonts w:ascii="Times New Roman" w:hAnsi="Times New Roman" w:cs="Times New Roman"/>
          <w:b/>
          <w:sz w:val="24"/>
          <w:szCs w:val="24"/>
        </w:rPr>
      </w:pPr>
      <w:r>
        <w:rPr>
          <w:noProof/>
        </w:rPr>
        <w:drawing>
          <wp:inline distT="0" distB="0" distL="0" distR="0" wp14:anchorId="70FD86A4" wp14:editId="66C7FC9C">
            <wp:extent cx="6049926" cy="2286000"/>
            <wp:effectExtent l="0" t="0" r="8255"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D84C1F" w:rsidRDefault="00D84C1F" w:rsidP="00D84C1F">
      <w:pPr>
        <w:tabs>
          <w:tab w:val="center" w:pos="1691"/>
        </w:tabs>
        <w:spacing w:line="360" w:lineRule="auto"/>
        <w:jc w:val="both"/>
        <w:rPr>
          <w:rFonts w:ascii="Times New Roman" w:hAnsi="Times New Roman" w:cs="Times New Roman"/>
          <w:sz w:val="24"/>
          <w:szCs w:val="24"/>
        </w:rPr>
      </w:pPr>
      <w:r w:rsidRPr="00F502C3">
        <w:rPr>
          <w:rFonts w:ascii="Times New Roman" w:hAnsi="Times New Roman" w:cs="Times New Roman"/>
          <w:sz w:val="24"/>
          <w:szCs w:val="24"/>
        </w:rPr>
        <w:t>Here we see that foreign me</w:t>
      </w:r>
      <w:r>
        <w:rPr>
          <w:rFonts w:ascii="Times New Roman" w:hAnsi="Times New Roman" w:cs="Times New Roman"/>
          <w:sz w:val="24"/>
          <w:szCs w:val="24"/>
        </w:rPr>
        <w:t>mber and</w:t>
      </w:r>
      <w:r w:rsidRPr="00F502C3">
        <w:rPr>
          <w:rFonts w:ascii="Times New Roman" w:hAnsi="Times New Roman" w:cs="Times New Roman"/>
          <w:sz w:val="24"/>
          <w:szCs w:val="24"/>
        </w:rPr>
        <w:t xml:space="preserve"> foreign share was 0. And women on board were 1every year. Board size always high but not cross the Bangladesh Bank rules. Leverage ratio was good. </w:t>
      </w:r>
      <w:r>
        <w:rPr>
          <w:rFonts w:ascii="Times New Roman" w:hAnsi="Times New Roman" w:cs="Times New Roman"/>
          <w:sz w:val="24"/>
          <w:szCs w:val="24"/>
        </w:rPr>
        <w:t>H</w:t>
      </w:r>
      <w:r w:rsidR="0032387C">
        <w:rPr>
          <w:rFonts w:ascii="Times New Roman" w:hAnsi="Times New Roman" w:cs="Times New Roman"/>
          <w:sz w:val="24"/>
          <w:szCs w:val="24"/>
        </w:rPr>
        <w:t>ighest leverage ratio was 92.45% in 2015 and lowest ratio was 89.67% in 2016.Board size 14 was in 2018 and lowest 12 sometimes</w:t>
      </w:r>
      <w:r>
        <w:rPr>
          <w:rFonts w:ascii="Times New Roman" w:hAnsi="Times New Roman" w:cs="Times New Roman"/>
          <w:sz w:val="24"/>
          <w:szCs w:val="24"/>
        </w:rPr>
        <w:t>.</w:t>
      </w:r>
      <w:r w:rsidR="0032387C">
        <w:rPr>
          <w:rFonts w:ascii="Times New Roman" w:hAnsi="Times New Roman" w:cs="Times New Roman"/>
          <w:sz w:val="24"/>
          <w:szCs w:val="24"/>
        </w:rPr>
        <w:t xml:space="preserve"> Family</w:t>
      </w:r>
      <w:r>
        <w:rPr>
          <w:rFonts w:ascii="Times New Roman" w:hAnsi="Times New Roman" w:cs="Times New Roman"/>
          <w:sz w:val="24"/>
          <w:szCs w:val="24"/>
        </w:rPr>
        <w:t xml:space="preserve"> member on board always used 1 because family member present on the board. We see the chart that board member sometimes </w:t>
      </w:r>
      <w:r w:rsidR="00066152">
        <w:rPr>
          <w:rFonts w:ascii="Times New Roman" w:hAnsi="Times New Roman" w:cs="Times New Roman"/>
          <w:sz w:val="24"/>
          <w:szCs w:val="24"/>
        </w:rPr>
        <w:t>increases</w:t>
      </w:r>
      <w:r>
        <w:rPr>
          <w:rFonts w:ascii="Times New Roman" w:hAnsi="Times New Roman" w:cs="Times New Roman"/>
          <w:sz w:val="24"/>
          <w:szCs w:val="24"/>
        </w:rPr>
        <w:t xml:space="preserve"> and sometimes up but they follow the rules of Bangladesh bank.  </w:t>
      </w:r>
      <w:r w:rsidRPr="00F502C3">
        <w:rPr>
          <w:rFonts w:ascii="Times New Roman" w:hAnsi="Times New Roman" w:cs="Times New Roman"/>
          <w:sz w:val="24"/>
          <w:szCs w:val="24"/>
        </w:rPr>
        <w:t xml:space="preserve">  </w:t>
      </w:r>
    </w:p>
    <w:p w:rsidR="007E11EF" w:rsidRDefault="007E11EF" w:rsidP="00DD4D31">
      <w:pPr>
        <w:tabs>
          <w:tab w:val="center" w:pos="1691"/>
        </w:tabs>
        <w:spacing w:line="360" w:lineRule="auto"/>
        <w:jc w:val="both"/>
        <w:rPr>
          <w:rFonts w:ascii="Times New Roman" w:hAnsi="Times New Roman" w:cs="Times New Roman"/>
          <w:b/>
          <w:sz w:val="24"/>
          <w:szCs w:val="24"/>
        </w:rPr>
      </w:pPr>
    </w:p>
    <w:p w:rsidR="007E11EF" w:rsidRDefault="007E11EF" w:rsidP="00DD4D31">
      <w:pPr>
        <w:tabs>
          <w:tab w:val="center" w:pos="1691"/>
        </w:tabs>
        <w:spacing w:line="360" w:lineRule="auto"/>
        <w:jc w:val="both"/>
        <w:rPr>
          <w:rFonts w:ascii="Times New Roman" w:hAnsi="Times New Roman" w:cs="Times New Roman"/>
          <w:b/>
          <w:sz w:val="24"/>
          <w:szCs w:val="24"/>
        </w:rPr>
      </w:pPr>
    </w:p>
    <w:p w:rsidR="007E11EF" w:rsidRDefault="007E11EF" w:rsidP="00DD4D31">
      <w:pPr>
        <w:tabs>
          <w:tab w:val="center" w:pos="1691"/>
        </w:tabs>
        <w:spacing w:line="360" w:lineRule="auto"/>
        <w:jc w:val="both"/>
        <w:rPr>
          <w:rFonts w:ascii="Times New Roman" w:hAnsi="Times New Roman" w:cs="Times New Roman"/>
          <w:b/>
          <w:sz w:val="24"/>
          <w:szCs w:val="24"/>
        </w:rPr>
      </w:pPr>
    </w:p>
    <w:p w:rsidR="007E11EF" w:rsidRDefault="007E11EF" w:rsidP="00DD4D31">
      <w:pPr>
        <w:tabs>
          <w:tab w:val="center" w:pos="1691"/>
        </w:tabs>
        <w:spacing w:line="360" w:lineRule="auto"/>
        <w:jc w:val="both"/>
        <w:rPr>
          <w:rFonts w:ascii="Times New Roman" w:hAnsi="Times New Roman" w:cs="Times New Roman"/>
          <w:b/>
          <w:sz w:val="24"/>
          <w:szCs w:val="24"/>
        </w:rPr>
      </w:pPr>
    </w:p>
    <w:p w:rsidR="007E11EF" w:rsidRDefault="007E11EF" w:rsidP="00DD4D31">
      <w:pPr>
        <w:tabs>
          <w:tab w:val="center" w:pos="1691"/>
        </w:tabs>
        <w:spacing w:line="360" w:lineRule="auto"/>
        <w:jc w:val="both"/>
        <w:rPr>
          <w:rFonts w:ascii="Times New Roman" w:hAnsi="Times New Roman" w:cs="Times New Roman"/>
          <w:b/>
          <w:sz w:val="24"/>
          <w:szCs w:val="24"/>
        </w:rPr>
      </w:pPr>
    </w:p>
    <w:p w:rsidR="007E11EF" w:rsidRDefault="007E11EF" w:rsidP="00DD4D31">
      <w:pPr>
        <w:tabs>
          <w:tab w:val="center" w:pos="1691"/>
        </w:tabs>
        <w:spacing w:line="360" w:lineRule="auto"/>
        <w:jc w:val="both"/>
        <w:rPr>
          <w:rFonts w:ascii="Times New Roman" w:hAnsi="Times New Roman" w:cs="Times New Roman"/>
          <w:b/>
          <w:sz w:val="24"/>
          <w:szCs w:val="24"/>
        </w:rPr>
      </w:pPr>
    </w:p>
    <w:p w:rsidR="007E11EF" w:rsidRDefault="007E11EF" w:rsidP="00DD4D31">
      <w:pPr>
        <w:tabs>
          <w:tab w:val="center" w:pos="1691"/>
        </w:tabs>
        <w:spacing w:line="360" w:lineRule="auto"/>
        <w:jc w:val="both"/>
        <w:rPr>
          <w:rFonts w:ascii="Times New Roman" w:hAnsi="Times New Roman" w:cs="Times New Roman"/>
          <w:b/>
          <w:sz w:val="24"/>
          <w:szCs w:val="24"/>
        </w:rPr>
      </w:pPr>
    </w:p>
    <w:p w:rsidR="0032387C" w:rsidRDefault="0032387C" w:rsidP="00DD4D31">
      <w:pPr>
        <w:tabs>
          <w:tab w:val="center" w:pos="1691"/>
        </w:tabs>
        <w:spacing w:line="360" w:lineRule="auto"/>
        <w:jc w:val="both"/>
        <w:rPr>
          <w:rFonts w:ascii="Times New Roman" w:hAnsi="Times New Roman" w:cs="Times New Roman"/>
          <w:b/>
          <w:sz w:val="24"/>
          <w:szCs w:val="24"/>
        </w:rPr>
      </w:pPr>
    </w:p>
    <w:p w:rsidR="0032387C" w:rsidRDefault="0032387C" w:rsidP="00DD4D31">
      <w:pPr>
        <w:tabs>
          <w:tab w:val="center" w:pos="1691"/>
        </w:tabs>
        <w:spacing w:line="360" w:lineRule="auto"/>
        <w:jc w:val="both"/>
        <w:rPr>
          <w:rFonts w:ascii="Times New Roman" w:hAnsi="Times New Roman" w:cs="Times New Roman"/>
          <w:b/>
          <w:sz w:val="24"/>
          <w:szCs w:val="24"/>
        </w:rPr>
      </w:pPr>
    </w:p>
    <w:p w:rsidR="0032387C" w:rsidRDefault="0032387C" w:rsidP="002A7BBF">
      <w:pPr>
        <w:tabs>
          <w:tab w:val="center" w:pos="1691"/>
        </w:tabs>
        <w:spacing w:line="360" w:lineRule="auto"/>
        <w:jc w:val="center"/>
        <w:rPr>
          <w:rFonts w:ascii="Times New Roman" w:hAnsi="Times New Roman" w:cs="Times New Roman"/>
          <w:b/>
          <w:sz w:val="24"/>
          <w:szCs w:val="24"/>
        </w:rPr>
      </w:pPr>
    </w:p>
    <w:p w:rsidR="008C2C3B" w:rsidRPr="003D7F26" w:rsidRDefault="008C2C3B" w:rsidP="002A7BBF">
      <w:pPr>
        <w:tabs>
          <w:tab w:val="center" w:pos="1691"/>
        </w:tabs>
        <w:spacing w:line="360" w:lineRule="auto"/>
        <w:jc w:val="center"/>
        <w:rPr>
          <w:rFonts w:ascii="Times New Roman" w:hAnsi="Times New Roman" w:cs="Times New Roman"/>
          <w:b/>
          <w:sz w:val="24"/>
          <w:szCs w:val="24"/>
        </w:rPr>
      </w:pPr>
      <w:r w:rsidRPr="003D7F26">
        <w:rPr>
          <w:rFonts w:ascii="Times New Roman" w:hAnsi="Times New Roman" w:cs="Times New Roman"/>
          <w:b/>
          <w:sz w:val="24"/>
          <w:szCs w:val="24"/>
        </w:rPr>
        <w:t>ICB ISLAMIC BANK Ltd</w:t>
      </w:r>
    </w:p>
    <w:tbl>
      <w:tblPr>
        <w:tblStyle w:val="TableGrid"/>
        <w:tblW w:w="10933" w:type="dxa"/>
        <w:tblInd w:w="-770" w:type="dxa"/>
        <w:tblLook w:val="04A0" w:firstRow="1" w:lastRow="0" w:firstColumn="1" w:lastColumn="0" w:noHBand="0" w:noVBand="1"/>
      </w:tblPr>
      <w:tblGrid>
        <w:gridCol w:w="1743"/>
        <w:gridCol w:w="1005"/>
        <w:gridCol w:w="928"/>
        <w:gridCol w:w="750"/>
        <w:gridCol w:w="1087"/>
        <w:gridCol w:w="1514"/>
        <w:gridCol w:w="1558"/>
        <w:gridCol w:w="1187"/>
        <w:gridCol w:w="1161"/>
      </w:tblGrid>
      <w:tr w:rsidR="009C6661" w:rsidRPr="009C6661" w:rsidTr="0032387C">
        <w:trPr>
          <w:trHeight w:val="601"/>
        </w:trPr>
        <w:tc>
          <w:tcPr>
            <w:tcW w:w="1743" w:type="dxa"/>
            <w:noWrap/>
            <w:hideMark/>
          </w:tcPr>
          <w:p w:rsidR="009C6661" w:rsidRPr="0032387C" w:rsidRDefault="009C6661" w:rsidP="0032387C">
            <w:pPr>
              <w:tabs>
                <w:tab w:val="center" w:pos="1691"/>
              </w:tabs>
              <w:spacing w:line="360" w:lineRule="auto"/>
              <w:rPr>
                <w:rFonts w:ascii="Times New Roman" w:hAnsi="Times New Roman" w:cs="Times New Roman"/>
                <w:b/>
                <w:bCs/>
                <w:sz w:val="20"/>
                <w:szCs w:val="20"/>
              </w:rPr>
            </w:pPr>
            <w:r w:rsidRPr="0032387C">
              <w:rPr>
                <w:rFonts w:ascii="Times New Roman" w:hAnsi="Times New Roman" w:cs="Times New Roman"/>
                <w:b/>
                <w:bCs/>
                <w:sz w:val="20"/>
                <w:szCs w:val="20"/>
              </w:rPr>
              <w:t xml:space="preserve">Name of Bank Ltd. </w:t>
            </w:r>
          </w:p>
        </w:tc>
        <w:tc>
          <w:tcPr>
            <w:tcW w:w="1005" w:type="dxa"/>
            <w:noWrap/>
            <w:hideMark/>
          </w:tcPr>
          <w:p w:rsidR="009C6661" w:rsidRPr="0032387C" w:rsidRDefault="009C6661" w:rsidP="0032387C">
            <w:pPr>
              <w:tabs>
                <w:tab w:val="center" w:pos="1691"/>
              </w:tabs>
              <w:spacing w:line="360" w:lineRule="auto"/>
              <w:rPr>
                <w:rFonts w:ascii="Times New Roman" w:hAnsi="Times New Roman" w:cs="Times New Roman"/>
                <w:b/>
                <w:bCs/>
                <w:sz w:val="20"/>
                <w:szCs w:val="20"/>
              </w:rPr>
            </w:pPr>
            <w:r w:rsidRPr="0032387C">
              <w:rPr>
                <w:rFonts w:ascii="Times New Roman" w:hAnsi="Times New Roman" w:cs="Times New Roman"/>
                <w:b/>
                <w:bCs/>
                <w:sz w:val="20"/>
                <w:szCs w:val="20"/>
              </w:rPr>
              <w:t>Leverage</w:t>
            </w:r>
          </w:p>
        </w:tc>
        <w:tc>
          <w:tcPr>
            <w:tcW w:w="928" w:type="dxa"/>
            <w:noWrap/>
            <w:hideMark/>
          </w:tcPr>
          <w:p w:rsidR="009C6661" w:rsidRPr="0032387C" w:rsidRDefault="009C6661" w:rsidP="0032387C">
            <w:pPr>
              <w:tabs>
                <w:tab w:val="center" w:pos="1691"/>
              </w:tabs>
              <w:spacing w:line="360" w:lineRule="auto"/>
              <w:rPr>
                <w:rFonts w:ascii="Times New Roman" w:hAnsi="Times New Roman" w:cs="Times New Roman"/>
                <w:b/>
                <w:bCs/>
                <w:sz w:val="20"/>
                <w:szCs w:val="20"/>
              </w:rPr>
            </w:pPr>
            <w:r w:rsidRPr="0032387C">
              <w:rPr>
                <w:rFonts w:ascii="Times New Roman" w:hAnsi="Times New Roman" w:cs="Times New Roman"/>
                <w:b/>
                <w:bCs/>
                <w:sz w:val="20"/>
                <w:szCs w:val="20"/>
              </w:rPr>
              <w:t>Religion</w:t>
            </w:r>
          </w:p>
        </w:tc>
        <w:tc>
          <w:tcPr>
            <w:tcW w:w="750" w:type="dxa"/>
            <w:noWrap/>
            <w:hideMark/>
          </w:tcPr>
          <w:p w:rsidR="009C6661" w:rsidRPr="0032387C" w:rsidRDefault="009C6661" w:rsidP="0032387C">
            <w:pPr>
              <w:tabs>
                <w:tab w:val="center" w:pos="1691"/>
              </w:tabs>
              <w:spacing w:line="360" w:lineRule="auto"/>
              <w:rPr>
                <w:rFonts w:ascii="Times New Roman" w:hAnsi="Times New Roman" w:cs="Times New Roman"/>
                <w:b/>
                <w:bCs/>
                <w:sz w:val="20"/>
                <w:szCs w:val="20"/>
              </w:rPr>
            </w:pPr>
            <w:r w:rsidRPr="0032387C">
              <w:rPr>
                <w:rFonts w:ascii="Times New Roman" w:hAnsi="Times New Roman" w:cs="Times New Roman"/>
                <w:b/>
                <w:bCs/>
                <w:sz w:val="20"/>
                <w:szCs w:val="20"/>
              </w:rPr>
              <w:t>Board Size</w:t>
            </w:r>
          </w:p>
        </w:tc>
        <w:tc>
          <w:tcPr>
            <w:tcW w:w="1087" w:type="dxa"/>
            <w:noWrap/>
            <w:hideMark/>
          </w:tcPr>
          <w:p w:rsidR="009C6661" w:rsidRPr="0032387C" w:rsidRDefault="009C6661" w:rsidP="0032387C">
            <w:pPr>
              <w:tabs>
                <w:tab w:val="center" w:pos="1691"/>
              </w:tabs>
              <w:spacing w:line="360" w:lineRule="auto"/>
              <w:rPr>
                <w:rFonts w:ascii="Times New Roman" w:hAnsi="Times New Roman" w:cs="Times New Roman"/>
                <w:b/>
                <w:bCs/>
                <w:sz w:val="20"/>
                <w:szCs w:val="20"/>
              </w:rPr>
            </w:pPr>
            <w:r w:rsidRPr="0032387C">
              <w:rPr>
                <w:rFonts w:ascii="Times New Roman" w:hAnsi="Times New Roman" w:cs="Times New Roman"/>
                <w:b/>
                <w:bCs/>
                <w:sz w:val="20"/>
                <w:szCs w:val="20"/>
              </w:rPr>
              <w:t xml:space="preserve">Woman on Board </w:t>
            </w:r>
          </w:p>
        </w:tc>
        <w:tc>
          <w:tcPr>
            <w:tcW w:w="1514" w:type="dxa"/>
            <w:noWrap/>
            <w:hideMark/>
          </w:tcPr>
          <w:p w:rsidR="009C6661" w:rsidRPr="0032387C" w:rsidRDefault="009C6661" w:rsidP="0032387C">
            <w:pPr>
              <w:tabs>
                <w:tab w:val="center" w:pos="1691"/>
              </w:tabs>
              <w:spacing w:line="360" w:lineRule="auto"/>
              <w:rPr>
                <w:rFonts w:ascii="Times New Roman" w:hAnsi="Times New Roman" w:cs="Times New Roman"/>
                <w:b/>
                <w:bCs/>
                <w:sz w:val="20"/>
                <w:szCs w:val="20"/>
              </w:rPr>
            </w:pPr>
            <w:r w:rsidRPr="0032387C">
              <w:rPr>
                <w:rFonts w:ascii="Times New Roman" w:hAnsi="Times New Roman" w:cs="Times New Roman"/>
                <w:b/>
                <w:bCs/>
                <w:sz w:val="20"/>
                <w:szCs w:val="20"/>
              </w:rPr>
              <w:t>Foreign member on Board</w:t>
            </w:r>
          </w:p>
        </w:tc>
        <w:tc>
          <w:tcPr>
            <w:tcW w:w="1558" w:type="dxa"/>
            <w:noWrap/>
            <w:hideMark/>
          </w:tcPr>
          <w:p w:rsidR="009C6661" w:rsidRPr="0032387C" w:rsidRDefault="009C6661" w:rsidP="0032387C">
            <w:pPr>
              <w:tabs>
                <w:tab w:val="center" w:pos="1691"/>
              </w:tabs>
              <w:spacing w:line="360" w:lineRule="auto"/>
              <w:rPr>
                <w:rFonts w:ascii="Times New Roman" w:hAnsi="Times New Roman" w:cs="Times New Roman"/>
                <w:b/>
                <w:bCs/>
                <w:sz w:val="20"/>
                <w:szCs w:val="20"/>
              </w:rPr>
            </w:pPr>
            <w:r w:rsidRPr="0032387C">
              <w:rPr>
                <w:rFonts w:ascii="Times New Roman" w:hAnsi="Times New Roman" w:cs="Times New Roman"/>
                <w:b/>
                <w:bCs/>
                <w:sz w:val="20"/>
                <w:szCs w:val="20"/>
              </w:rPr>
              <w:t>Family Member's on Board</w:t>
            </w:r>
          </w:p>
        </w:tc>
        <w:tc>
          <w:tcPr>
            <w:tcW w:w="1187" w:type="dxa"/>
            <w:noWrap/>
            <w:hideMark/>
          </w:tcPr>
          <w:p w:rsidR="009C6661" w:rsidRPr="0032387C" w:rsidRDefault="009C6661" w:rsidP="0032387C">
            <w:pPr>
              <w:tabs>
                <w:tab w:val="center" w:pos="1691"/>
              </w:tabs>
              <w:spacing w:line="360" w:lineRule="auto"/>
              <w:rPr>
                <w:rFonts w:ascii="Times New Roman" w:hAnsi="Times New Roman" w:cs="Times New Roman"/>
                <w:b/>
                <w:bCs/>
                <w:sz w:val="20"/>
                <w:szCs w:val="20"/>
              </w:rPr>
            </w:pPr>
            <w:r w:rsidRPr="0032387C">
              <w:rPr>
                <w:rFonts w:ascii="Times New Roman" w:hAnsi="Times New Roman" w:cs="Times New Roman"/>
                <w:b/>
                <w:bCs/>
                <w:sz w:val="20"/>
                <w:szCs w:val="20"/>
              </w:rPr>
              <w:t xml:space="preserve">Foreign Ownership </w:t>
            </w:r>
          </w:p>
        </w:tc>
        <w:tc>
          <w:tcPr>
            <w:tcW w:w="1161" w:type="dxa"/>
            <w:noWrap/>
            <w:hideMark/>
          </w:tcPr>
          <w:p w:rsidR="009C6661" w:rsidRPr="0032387C" w:rsidRDefault="009C6661" w:rsidP="0032387C">
            <w:pPr>
              <w:tabs>
                <w:tab w:val="center" w:pos="1691"/>
              </w:tabs>
              <w:spacing w:line="360" w:lineRule="auto"/>
              <w:rPr>
                <w:rFonts w:ascii="Times New Roman" w:hAnsi="Times New Roman" w:cs="Times New Roman"/>
                <w:b/>
                <w:bCs/>
                <w:sz w:val="20"/>
                <w:szCs w:val="20"/>
              </w:rPr>
            </w:pPr>
            <w:r w:rsidRPr="0032387C">
              <w:rPr>
                <w:rFonts w:ascii="Times New Roman" w:hAnsi="Times New Roman" w:cs="Times New Roman"/>
                <w:b/>
                <w:bCs/>
                <w:sz w:val="20"/>
                <w:szCs w:val="20"/>
              </w:rPr>
              <w:t>Family Ownership</w:t>
            </w:r>
          </w:p>
        </w:tc>
      </w:tr>
      <w:tr w:rsidR="008C2C3B" w:rsidRPr="009C6661" w:rsidTr="0032387C">
        <w:trPr>
          <w:trHeight w:val="601"/>
        </w:trPr>
        <w:tc>
          <w:tcPr>
            <w:tcW w:w="1743"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ICB Islami</w:t>
            </w:r>
            <w:r w:rsidR="008C2C3B" w:rsidRPr="0032387C">
              <w:rPr>
                <w:rFonts w:ascii="Times New Roman" w:hAnsi="Times New Roman" w:cs="Times New Roman"/>
                <w:sz w:val="20"/>
                <w:szCs w:val="20"/>
              </w:rPr>
              <w:t>c</w:t>
            </w:r>
            <w:r w:rsidRPr="0032387C">
              <w:rPr>
                <w:rFonts w:ascii="Times New Roman" w:hAnsi="Times New Roman" w:cs="Times New Roman"/>
                <w:sz w:val="20"/>
                <w:szCs w:val="20"/>
              </w:rPr>
              <w:t xml:space="preserve"> Bank 2018</w:t>
            </w:r>
          </w:p>
        </w:tc>
        <w:tc>
          <w:tcPr>
            <w:tcW w:w="1005"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89.88%</w:t>
            </w:r>
          </w:p>
        </w:tc>
        <w:tc>
          <w:tcPr>
            <w:tcW w:w="928"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750"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7</w:t>
            </w:r>
          </w:p>
        </w:tc>
        <w:tc>
          <w:tcPr>
            <w:tcW w:w="10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c>
          <w:tcPr>
            <w:tcW w:w="1514"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1558" w:type="dxa"/>
            <w:noWrap/>
            <w:hideMark/>
          </w:tcPr>
          <w:p w:rsidR="009C6661" w:rsidRDefault="0032387C"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p w:rsidR="0032387C" w:rsidRPr="0032387C" w:rsidRDefault="0032387C" w:rsidP="00DD4D31">
            <w:pPr>
              <w:tabs>
                <w:tab w:val="center" w:pos="1691"/>
              </w:tabs>
              <w:spacing w:line="360" w:lineRule="auto"/>
              <w:jc w:val="both"/>
              <w:rPr>
                <w:rFonts w:ascii="Times New Roman" w:hAnsi="Times New Roman" w:cs="Times New Roman"/>
                <w:sz w:val="20"/>
                <w:szCs w:val="20"/>
              </w:rPr>
            </w:pPr>
          </w:p>
        </w:tc>
        <w:tc>
          <w:tcPr>
            <w:tcW w:w="11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52.98%</w:t>
            </w:r>
          </w:p>
        </w:tc>
        <w:tc>
          <w:tcPr>
            <w:tcW w:w="1161"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r>
      <w:tr w:rsidR="008C2C3B" w:rsidRPr="009C6661" w:rsidTr="0032387C">
        <w:trPr>
          <w:trHeight w:val="601"/>
        </w:trPr>
        <w:tc>
          <w:tcPr>
            <w:tcW w:w="1743"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ICB Islami</w:t>
            </w:r>
            <w:r w:rsidR="008C2C3B" w:rsidRPr="0032387C">
              <w:rPr>
                <w:rFonts w:ascii="Times New Roman" w:hAnsi="Times New Roman" w:cs="Times New Roman"/>
                <w:sz w:val="20"/>
                <w:szCs w:val="20"/>
              </w:rPr>
              <w:t>c</w:t>
            </w:r>
            <w:r w:rsidRPr="0032387C">
              <w:rPr>
                <w:rFonts w:ascii="Times New Roman" w:hAnsi="Times New Roman" w:cs="Times New Roman"/>
                <w:sz w:val="20"/>
                <w:szCs w:val="20"/>
              </w:rPr>
              <w:t xml:space="preserve"> Bank 2017</w:t>
            </w:r>
          </w:p>
        </w:tc>
        <w:tc>
          <w:tcPr>
            <w:tcW w:w="1005"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89.76%</w:t>
            </w:r>
          </w:p>
        </w:tc>
        <w:tc>
          <w:tcPr>
            <w:tcW w:w="928"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750"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7</w:t>
            </w:r>
          </w:p>
        </w:tc>
        <w:tc>
          <w:tcPr>
            <w:tcW w:w="10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c>
          <w:tcPr>
            <w:tcW w:w="1514"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1558" w:type="dxa"/>
            <w:noWrap/>
            <w:hideMark/>
          </w:tcPr>
          <w:p w:rsidR="009C6661" w:rsidRPr="0032387C" w:rsidRDefault="00B60C59"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52.98%</w:t>
            </w:r>
          </w:p>
        </w:tc>
        <w:tc>
          <w:tcPr>
            <w:tcW w:w="1161"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r>
      <w:tr w:rsidR="008C2C3B" w:rsidRPr="009C6661" w:rsidTr="0032387C">
        <w:trPr>
          <w:trHeight w:val="601"/>
        </w:trPr>
        <w:tc>
          <w:tcPr>
            <w:tcW w:w="1743"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ICB Islami</w:t>
            </w:r>
            <w:r w:rsidR="008C2C3B" w:rsidRPr="0032387C">
              <w:rPr>
                <w:rFonts w:ascii="Times New Roman" w:hAnsi="Times New Roman" w:cs="Times New Roman"/>
                <w:sz w:val="20"/>
                <w:szCs w:val="20"/>
              </w:rPr>
              <w:t>c</w:t>
            </w:r>
            <w:r w:rsidRPr="0032387C">
              <w:rPr>
                <w:rFonts w:ascii="Times New Roman" w:hAnsi="Times New Roman" w:cs="Times New Roman"/>
                <w:sz w:val="20"/>
                <w:szCs w:val="20"/>
              </w:rPr>
              <w:t xml:space="preserve"> Bank 2016</w:t>
            </w:r>
          </w:p>
        </w:tc>
        <w:tc>
          <w:tcPr>
            <w:tcW w:w="1005"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88.67%</w:t>
            </w:r>
          </w:p>
        </w:tc>
        <w:tc>
          <w:tcPr>
            <w:tcW w:w="928"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750"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8</w:t>
            </w:r>
          </w:p>
        </w:tc>
        <w:tc>
          <w:tcPr>
            <w:tcW w:w="10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c>
          <w:tcPr>
            <w:tcW w:w="1514"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1558" w:type="dxa"/>
            <w:noWrap/>
            <w:hideMark/>
          </w:tcPr>
          <w:p w:rsidR="009C6661" w:rsidRPr="0032387C" w:rsidRDefault="00B60C59"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52.98%</w:t>
            </w:r>
          </w:p>
        </w:tc>
        <w:tc>
          <w:tcPr>
            <w:tcW w:w="1161"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r>
      <w:tr w:rsidR="008C2C3B" w:rsidRPr="009C6661" w:rsidTr="0032387C">
        <w:trPr>
          <w:trHeight w:val="601"/>
        </w:trPr>
        <w:tc>
          <w:tcPr>
            <w:tcW w:w="1743"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ICB Islami</w:t>
            </w:r>
            <w:r w:rsidR="008C2C3B" w:rsidRPr="0032387C">
              <w:rPr>
                <w:rFonts w:ascii="Times New Roman" w:hAnsi="Times New Roman" w:cs="Times New Roman"/>
                <w:sz w:val="20"/>
                <w:szCs w:val="20"/>
              </w:rPr>
              <w:t>c</w:t>
            </w:r>
            <w:r w:rsidRPr="0032387C">
              <w:rPr>
                <w:rFonts w:ascii="Times New Roman" w:hAnsi="Times New Roman" w:cs="Times New Roman"/>
                <w:sz w:val="20"/>
                <w:szCs w:val="20"/>
              </w:rPr>
              <w:t xml:space="preserve"> Bank 2015</w:t>
            </w:r>
          </w:p>
        </w:tc>
        <w:tc>
          <w:tcPr>
            <w:tcW w:w="1005"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92.39%</w:t>
            </w:r>
          </w:p>
        </w:tc>
        <w:tc>
          <w:tcPr>
            <w:tcW w:w="928"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750"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8</w:t>
            </w:r>
          </w:p>
        </w:tc>
        <w:tc>
          <w:tcPr>
            <w:tcW w:w="10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c>
          <w:tcPr>
            <w:tcW w:w="1514"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1558" w:type="dxa"/>
            <w:noWrap/>
            <w:hideMark/>
          </w:tcPr>
          <w:p w:rsidR="009C6661" w:rsidRPr="0032387C" w:rsidRDefault="00B60C59"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52.98%</w:t>
            </w:r>
          </w:p>
        </w:tc>
        <w:tc>
          <w:tcPr>
            <w:tcW w:w="1161"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r>
      <w:tr w:rsidR="008C2C3B" w:rsidRPr="009C6661" w:rsidTr="0032387C">
        <w:trPr>
          <w:trHeight w:val="601"/>
        </w:trPr>
        <w:tc>
          <w:tcPr>
            <w:tcW w:w="1743"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ICB Islami</w:t>
            </w:r>
            <w:r w:rsidR="008C2C3B" w:rsidRPr="0032387C">
              <w:rPr>
                <w:rFonts w:ascii="Times New Roman" w:hAnsi="Times New Roman" w:cs="Times New Roman"/>
                <w:sz w:val="20"/>
                <w:szCs w:val="20"/>
              </w:rPr>
              <w:t>c</w:t>
            </w:r>
            <w:r w:rsidRPr="0032387C">
              <w:rPr>
                <w:rFonts w:ascii="Times New Roman" w:hAnsi="Times New Roman" w:cs="Times New Roman"/>
                <w:sz w:val="20"/>
                <w:szCs w:val="20"/>
              </w:rPr>
              <w:t xml:space="preserve"> Bank 2014</w:t>
            </w:r>
          </w:p>
        </w:tc>
        <w:tc>
          <w:tcPr>
            <w:tcW w:w="1005"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92.78%</w:t>
            </w:r>
          </w:p>
        </w:tc>
        <w:tc>
          <w:tcPr>
            <w:tcW w:w="928"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750"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9</w:t>
            </w:r>
          </w:p>
        </w:tc>
        <w:tc>
          <w:tcPr>
            <w:tcW w:w="10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c>
          <w:tcPr>
            <w:tcW w:w="1514"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1558" w:type="dxa"/>
            <w:noWrap/>
            <w:hideMark/>
          </w:tcPr>
          <w:p w:rsidR="009C6661" w:rsidRPr="0032387C" w:rsidRDefault="00B60C59"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52.98%</w:t>
            </w:r>
          </w:p>
        </w:tc>
        <w:tc>
          <w:tcPr>
            <w:tcW w:w="1161"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r>
      <w:tr w:rsidR="008C2C3B" w:rsidRPr="009C6661" w:rsidTr="0032387C">
        <w:trPr>
          <w:trHeight w:val="601"/>
        </w:trPr>
        <w:tc>
          <w:tcPr>
            <w:tcW w:w="1743"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ICB Islami</w:t>
            </w:r>
            <w:r w:rsidR="008C2C3B" w:rsidRPr="0032387C">
              <w:rPr>
                <w:rFonts w:ascii="Times New Roman" w:hAnsi="Times New Roman" w:cs="Times New Roman"/>
                <w:sz w:val="20"/>
                <w:szCs w:val="20"/>
              </w:rPr>
              <w:t>c</w:t>
            </w:r>
            <w:r w:rsidRPr="0032387C">
              <w:rPr>
                <w:rFonts w:ascii="Times New Roman" w:hAnsi="Times New Roman" w:cs="Times New Roman"/>
                <w:sz w:val="20"/>
                <w:szCs w:val="20"/>
              </w:rPr>
              <w:t xml:space="preserve"> Bank 2013</w:t>
            </w:r>
          </w:p>
        </w:tc>
        <w:tc>
          <w:tcPr>
            <w:tcW w:w="1005"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91.88%</w:t>
            </w:r>
          </w:p>
        </w:tc>
        <w:tc>
          <w:tcPr>
            <w:tcW w:w="928"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750"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9</w:t>
            </w:r>
          </w:p>
        </w:tc>
        <w:tc>
          <w:tcPr>
            <w:tcW w:w="10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c>
          <w:tcPr>
            <w:tcW w:w="1514"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1558" w:type="dxa"/>
            <w:noWrap/>
            <w:hideMark/>
          </w:tcPr>
          <w:p w:rsidR="009C6661" w:rsidRPr="0032387C" w:rsidRDefault="00B60C59"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5.98%</w:t>
            </w:r>
          </w:p>
        </w:tc>
        <w:tc>
          <w:tcPr>
            <w:tcW w:w="1161"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r>
      <w:tr w:rsidR="008C2C3B" w:rsidRPr="009C6661" w:rsidTr="0032387C">
        <w:trPr>
          <w:trHeight w:val="601"/>
        </w:trPr>
        <w:tc>
          <w:tcPr>
            <w:tcW w:w="1743"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ICB Islami</w:t>
            </w:r>
            <w:r w:rsidR="008C2C3B" w:rsidRPr="0032387C">
              <w:rPr>
                <w:rFonts w:ascii="Times New Roman" w:hAnsi="Times New Roman" w:cs="Times New Roman"/>
                <w:sz w:val="20"/>
                <w:szCs w:val="20"/>
              </w:rPr>
              <w:t>c</w:t>
            </w:r>
            <w:r w:rsidRPr="0032387C">
              <w:rPr>
                <w:rFonts w:ascii="Times New Roman" w:hAnsi="Times New Roman" w:cs="Times New Roman"/>
                <w:sz w:val="20"/>
                <w:szCs w:val="20"/>
              </w:rPr>
              <w:t xml:space="preserve"> Bank 2012</w:t>
            </w:r>
          </w:p>
        </w:tc>
        <w:tc>
          <w:tcPr>
            <w:tcW w:w="1005"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91.67%</w:t>
            </w:r>
          </w:p>
        </w:tc>
        <w:tc>
          <w:tcPr>
            <w:tcW w:w="928"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750"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7</w:t>
            </w:r>
          </w:p>
        </w:tc>
        <w:tc>
          <w:tcPr>
            <w:tcW w:w="10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c>
          <w:tcPr>
            <w:tcW w:w="1514"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1</w:t>
            </w:r>
          </w:p>
        </w:tc>
        <w:tc>
          <w:tcPr>
            <w:tcW w:w="1558" w:type="dxa"/>
            <w:noWrap/>
            <w:hideMark/>
          </w:tcPr>
          <w:p w:rsidR="009C6661" w:rsidRPr="0032387C" w:rsidRDefault="00B60C59" w:rsidP="00DD4D31">
            <w:pPr>
              <w:tabs>
                <w:tab w:val="center" w:pos="1691"/>
              </w:tabs>
              <w:spacing w:line="360" w:lineRule="auto"/>
              <w:jc w:val="both"/>
              <w:rPr>
                <w:rFonts w:ascii="Times New Roman" w:hAnsi="Times New Roman" w:cs="Times New Roman"/>
                <w:sz w:val="20"/>
                <w:szCs w:val="20"/>
              </w:rPr>
            </w:pPr>
            <w:r>
              <w:rPr>
                <w:rFonts w:ascii="Times New Roman" w:hAnsi="Times New Roman" w:cs="Times New Roman"/>
                <w:sz w:val="20"/>
                <w:szCs w:val="20"/>
              </w:rPr>
              <w:t>1</w:t>
            </w:r>
          </w:p>
        </w:tc>
        <w:tc>
          <w:tcPr>
            <w:tcW w:w="1187"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52.98%</w:t>
            </w:r>
          </w:p>
        </w:tc>
        <w:tc>
          <w:tcPr>
            <w:tcW w:w="1161" w:type="dxa"/>
            <w:noWrap/>
            <w:hideMark/>
          </w:tcPr>
          <w:p w:rsidR="009C6661" w:rsidRPr="0032387C" w:rsidRDefault="009C6661" w:rsidP="00DD4D31">
            <w:pPr>
              <w:tabs>
                <w:tab w:val="center" w:pos="1691"/>
              </w:tabs>
              <w:spacing w:line="360" w:lineRule="auto"/>
              <w:jc w:val="both"/>
              <w:rPr>
                <w:rFonts w:ascii="Times New Roman" w:hAnsi="Times New Roman" w:cs="Times New Roman"/>
                <w:sz w:val="20"/>
                <w:szCs w:val="20"/>
              </w:rPr>
            </w:pPr>
            <w:r w:rsidRPr="0032387C">
              <w:rPr>
                <w:rFonts w:ascii="Times New Roman" w:hAnsi="Times New Roman" w:cs="Times New Roman"/>
                <w:sz w:val="20"/>
                <w:szCs w:val="20"/>
              </w:rPr>
              <w:t>0</w:t>
            </w:r>
          </w:p>
        </w:tc>
      </w:tr>
    </w:tbl>
    <w:p w:rsidR="00C005D3" w:rsidRDefault="00C005D3" w:rsidP="00DD4D31">
      <w:pPr>
        <w:tabs>
          <w:tab w:val="center" w:pos="1691"/>
        </w:tabs>
        <w:spacing w:line="360" w:lineRule="auto"/>
        <w:jc w:val="both"/>
        <w:rPr>
          <w:rFonts w:ascii="Times New Roman" w:hAnsi="Times New Roman" w:cs="Times New Roman"/>
          <w:sz w:val="24"/>
          <w:szCs w:val="24"/>
        </w:rPr>
      </w:pPr>
    </w:p>
    <w:p w:rsidR="002A7BBF" w:rsidRDefault="00B60C59" w:rsidP="00B60C59">
      <w:pPr>
        <w:tabs>
          <w:tab w:val="center" w:pos="1691"/>
        </w:tabs>
        <w:spacing w:line="360" w:lineRule="auto"/>
        <w:jc w:val="both"/>
        <w:rPr>
          <w:rFonts w:ascii="Times New Roman" w:hAnsi="Times New Roman" w:cs="Times New Roman"/>
          <w:sz w:val="24"/>
          <w:szCs w:val="24"/>
        </w:rPr>
      </w:pPr>
      <w:r>
        <w:rPr>
          <w:noProof/>
        </w:rPr>
        <w:drawing>
          <wp:inline distT="0" distB="0" distL="0" distR="0" wp14:anchorId="1D67450A" wp14:editId="5AFF8A43">
            <wp:extent cx="6379535" cy="1839433"/>
            <wp:effectExtent l="0" t="0" r="2540" b="889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B60C59" w:rsidRDefault="00B60C59" w:rsidP="00B60C59">
      <w:pPr>
        <w:tabs>
          <w:tab w:val="center" w:pos="1691"/>
        </w:tabs>
        <w:spacing w:line="360" w:lineRule="auto"/>
        <w:jc w:val="both"/>
        <w:rPr>
          <w:rFonts w:ascii="Times New Roman" w:hAnsi="Times New Roman" w:cs="Times New Roman"/>
          <w:sz w:val="24"/>
          <w:szCs w:val="24"/>
        </w:rPr>
      </w:pPr>
      <w:r>
        <w:rPr>
          <w:rFonts w:ascii="Times New Roman" w:hAnsi="Times New Roman" w:cs="Times New Roman"/>
          <w:sz w:val="24"/>
          <w:szCs w:val="24"/>
        </w:rPr>
        <w:t>Here we see that religion maintain their Islamic rules. Board size every 2 years same sometimes they change it. Woman on Board, Family Members on Board two foreign same family and Family Ownership were 0. Foreign member on board was same 1 every year. Foreign ownership ratio and leverage ratio high every year.</w:t>
      </w:r>
    </w:p>
    <w:p w:rsidR="001C5E30" w:rsidRPr="00725962" w:rsidRDefault="0087618C" w:rsidP="002A7BBF">
      <w:pPr>
        <w:tabs>
          <w:tab w:val="center" w:pos="1691"/>
        </w:tabs>
        <w:spacing w:line="360" w:lineRule="auto"/>
        <w:jc w:val="center"/>
        <w:rPr>
          <w:rFonts w:ascii="Times New Roman" w:hAnsi="Times New Roman" w:cs="Times New Roman"/>
          <w:b/>
          <w:sz w:val="24"/>
          <w:szCs w:val="24"/>
        </w:rPr>
      </w:pPr>
      <w:r w:rsidRPr="00725962">
        <w:rPr>
          <w:rFonts w:ascii="Times New Roman" w:hAnsi="Times New Roman" w:cs="Times New Roman"/>
          <w:b/>
          <w:sz w:val="24"/>
          <w:szCs w:val="24"/>
        </w:rPr>
        <w:t>IFIC Bank Ltd</w:t>
      </w:r>
    </w:p>
    <w:tbl>
      <w:tblPr>
        <w:tblStyle w:val="TableGrid"/>
        <w:tblW w:w="9648" w:type="dxa"/>
        <w:tblLook w:val="04A0" w:firstRow="1" w:lastRow="0" w:firstColumn="1" w:lastColumn="0" w:noHBand="0" w:noVBand="1"/>
      </w:tblPr>
      <w:tblGrid>
        <w:gridCol w:w="816"/>
        <w:gridCol w:w="1163"/>
        <w:gridCol w:w="1070"/>
        <w:gridCol w:w="857"/>
        <w:gridCol w:w="1030"/>
        <w:gridCol w:w="1069"/>
        <w:gridCol w:w="1262"/>
        <w:gridCol w:w="1492"/>
        <w:gridCol w:w="1350"/>
      </w:tblGrid>
      <w:tr w:rsidR="0087618C" w:rsidRPr="0087618C" w:rsidTr="0087618C">
        <w:trPr>
          <w:trHeight w:val="315"/>
        </w:trPr>
        <w:tc>
          <w:tcPr>
            <w:tcW w:w="760" w:type="dxa"/>
            <w:noWrap/>
            <w:hideMark/>
          </w:tcPr>
          <w:p w:rsidR="0087618C" w:rsidRPr="0087618C" w:rsidRDefault="0087618C" w:rsidP="0087618C">
            <w:pPr>
              <w:tabs>
                <w:tab w:val="center" w:pos="1691"/>
              </w:tabs>
              <w:spacing w:line="360" w:lineRule="auto"/>
              <w:jc w:val="both"/>
              <w:rPr>
                <w:rFonts w:ascii="Times New Roman" w:hAnsi="Times New Roman" w:cs="Times New Roman"/>
                <w:b/>
                <w:bCs/>
                <w:sz w:val="24"/>
                <w:szCs w:val="24"/>
              </w:rPr>
            </w:pPr>
            <w:r w:rsidRPr="0087618C">
              <w:rPr>
                <w:rFonts w:ascii="Times New Roman" w:hAnsi="Times New Roman" w:cs="Times New Roman"/>
                <w:b/>
                <w:bCs/>
                <w:sz w:val="24"/>
                <w:szCs w:val="24"/>
              </w:rPr>
              <w:t xml:space="preserve">Name of Bank Ltd. </w:t>
            </w:r>
          </w:p>
        </w:tc>
        <w:tc>
          <w:tcPr>
            <w:tcW w:w="1077" w:type="dxa"/>
            <w:noWrap/>
            <w:hideMark/>
          </w:tcPr>
          <w:p w:rsidR="0087618C" w:rsidRPr="0087618C" w:rsidRDefault="0087618C" w:rsidP="0087618C">
            <w:pPr>
              <w:tabs>
                <w:tab w:val="center" w:pos="1691"/>
              </w:tabs>
              <w:spacing w:line="360" w:lineRule="auto"/>
              <w:jc w:val="both"/>
              <w:rPr>
                <w:rFonts w:ascii="Times New Roman" w:hAnsi="Times New Roman" w:cs="Times New Roman"/>
                <w:b/>
                <w:bCs/>
                <w:sz w:val="24"/>
                <w:szCs w:val="24"/>
              </w:rPr>
            </w:pPr>
            <w:r w:rsidRPr="0087618C">
              <w:rPr>
                <w:rFonts w:ascii="Times New Roman" w:hAnsi="Times New Roman" w:cs="Times New Roman"/>
                <w:b/>
                <w:bCs/>
                <w:sz w:val="24"/>
                <w:szCs w:val="24"/>
              </w:rPr>
              <w:t>Leverage</w:t>
            </w:r>
          </w:p>
        </w:tc>
        <w:tc>
          <w:tcPr>
            <w:tcW w:w="992" w:type="dxa"/>
            <w:noWrap/>
            <w:hideMark/>
          </w:tcPr>
          <w:p w:rsidR="0087618C" w:rsidRPr="0087618C" w:rsidRDefault="0087618C" w:rsidP="0087618C">
            <w:pPr>
              <w:tabs>
                <w:tab w:val="center" w:pos="1691"/>
              </w:tabs>
              <w:spacing w:line="360" w:lineRule="auto"/>
              <w:jc w:val="both"/>
              <w:rPr>
                <w:rFonts w:ascii="Times New Roman" w:hAnsi="Times New Roman" w:cs="Times New Roman"/>
                <w:b/>
                <w:bCs/>
                <w:sz w:val="24"/>
                <w:szCs w:val="24"/>
              </w:rPr>
            </w:pPr>
            <w:r w:rsidRPr="0087618C">
              <w:rPr>
                <w:rFonts w:ascii="Times New Roman" w:hAnsi="Times New Roman" w:cs="Times New Roman"/>
                <w:b/>
                <w:bCs/>
                <w:sz w:val="24"/>
                <w:szCs w:val="24"/>
              </w:rPr>
              <w:t>Religion</w:t>
            </w:r>
          </w:p>
        </w:tc>
        <w:tc>
          <w:tcPr>
            <w:tcW w:w="799" w:type="dxa"/>
            <w:noWrap/>
            <w:hideMark/>
          </w:tcPr>
          <w:p w:rsidR="0087618C" w:rsidRPr="0087618C" w:rsidRDefault="0087618C" w:rsidP="0087618C">
            <w:pPr>
              <w:tabs>
                <w:tab w:val="center" w:pos="1691"/>
              </w:tabs>
              <w:spacing w:line="360" w:lineRule="auto"/>
              <w:jc w:val="both"/>
              <w:rPr>
                <w:rFonts w:ascii="Times New Roman" w:hAnsi="Times New Roman" w:cs="Times New Roman"/>
                <w:b/>
                <w:bCs/>
                <w:sz w:val="24"/>
                <w:szCs w:val="24"/>
              </w:rPr>
            </w:pPr>
            <w:r w:rsidRPr="0087618C">
              <w:rPr>
                <w:rFonts w:ascii="Times New Roman" w:hAnsi="Times New Roman" w:cs="Times New Roman"/>
                <w:b/>
                <w:bCs/>
                <w:sz w:val="24"/>
                <w:szCs w:val="24"/>
              </w:rPr>
              <w:t>Board Size</w:t>
            </w:r>
          </w:p>
        </w:tc>
        <w:tc>
          <w:tcPr>
            <w:tcW w:w="956" w:type="dxa"/>
            <w:noWrap/>
            <w:hideMark/>
          </w:tcPr>
          <w:p w:rsidR="0087618C" w:rsidRPr="0087618C" w:rsidRDefault="0087618C" w:rsidP="0087618C">
            <w:pPr>
              <w:tabs>
                <w:tab w:val="center" w:pos="1691"/>
              </w:tabs>
              <w:spacing w:line="360" w:lineRule="auto"/>
              <w:jc w:val="both"/>
              <w:rPr>
                <w:rFonts w:ascii="Times New Roman" w:hAnsi="Times New Roman" w:cs="Times New Roman"/>
                <w:b/>
                <w:bCs/>
                <w:sz w:val="24"/>
                <w:szCs w:val="24"/>
              </w:rPr>
            </w:pPr>
            <w:r w:rsidRPr="0087618C">
              <w:rPr>
                <w:rFonts w:ascii="Times New Roman" w:hAnsi="Times New Roman" w:cs="Times New Roman"/>
                <w:b/>
                <w:bCs/>
                <w:sz w:val="24"/>
                <w:szCs w:val="24"/>
              </w:rPr>
              <w:t xml:space="preserve">Woman on Board </w:t>
            </w:r>
          </w:p>
        </w:tc>
        <w:tc>
          <w:tcPr>
            <w:tcW w:w="991" w:type="dxa"/>
            <w:noWrap/>
            <w:hideMark/>
          </w:tcPr>
          <w:p w:rsidR="0087618C" w:rsidRPr="0087618C" w:rsidRDefault="0087618C" w:rsidP="0087618C">
            <w:pPr>
              <w:tabs>
                <w:tab w:val="center" w:pos="1691"/>
              </w:tabs>
              <w:spacing w:line="360" w:lineRule="auto"/>
              <w:jc w:val="both"/>
              <w:rPr>
                <w:rFonts w:ascii="Times New Roman" w:hAnsi="Times New Roman" w:cs="Times New Roman"/>
                <w:b/>
                <w:bCs/>
                <w:sz w:val="24"/>
                <w:szCs w:val="24"/>
              </w:rPr>
            </w:pPr>
            <w:r w:rsidRPr="0087618C">
              <w:rPr>
                <w:rFonts w:ascii="Times New Roman" w:hAnsi="Times New Roman" w:cs="Times New Roman"/>
                <w:b/>
                <w:bCs/>
                <w:sz w:val="24"/>
                <w:szCs w:val="24"/>
              </w:rPr>
              <w:t>Foreign member on Board</w:t>
            </w:r>
          </w:p>
        </w:tc>
        <w:tc>
          <w:tcPr>
            <w:tcW w:w="1262" w:type="dxa"/>
            <w:noWrap/>
            <w:hideMark/>
          </w:tcPr>
          <w:p w:rsidR="0087618C" w:rsidRPr="0087618C" w:rsidRDefault="0087618C" w:rsidP="0087618C">
            <w:pPr>
              <w:tabs>
                <w:tab w:val="center" w:pos="1691"/>
              </w:tabs>
              <w:spacing w:line="360" w:lineRule="auto"/>
              <w:jc w:val="both"/>
              <w:rPr>
                <w:rFonts w:ascii="Times New Roman" w:hAnsi="Times New Roman" w:cs="Times New Roman"/>
                <w:b/>
                <w:bCs/>
                <w:sz w:val="24"/>
                <w:szCs w:val="24"/>
              </w:rPr>
            </w:pPr>
            <w:r w:rsidRPr="0087618C">
              <w:rPr>
                <w:rFonts w:ascii="Times New Roman" w:hAnsi="Times New Roman" w:cs="Times New Roman"/>
                <w:b/>
                <w:bCs/>
                <w:sz w:val="24"/>
                <w:szCs w:val="24"/>
              </w:rPr>
              <w:t>Family Member's on Board</w:t>
            </w:r>
          </w:p>
        </w:tc>
        <w:tc>
          <w:tcPr>
            <w:tcW w:w="1492" w:type="dxa"/>
            <w:noWrap/>
            <w:hideMark/>
          </w:tcPr>
          <w:p w:rsidR="0087618C" w:rsidRPr="0087618C" w:rsidRDefault="0087618C" w:rsidP="0087618C">
            <w:pPr>
              <w:tabs>
                <w:tab w:val="center" w:pos="1691"/>
              </w:tabs>
              <w:spacing w:line="360" w:lineRule="auto"/>
              <w:jc w:val="both"/>
              <w:rPr>
                <w:rFonts w:ascii="Times New Roman" w:hAnsi="Times New Roman" w:cs="Times New Roman"/>
                <w:b/>
                <w:bCs/>
                <w:sz w:val="24"/>
                <w:szCs w:val="24"/>
              </w:rPr>
            </w:pPr>
            <w:r w:rsidRPr="0087618C">
              <w:rPr>
                <w:rFonts w:ascii="Times New Roman" w:hAnsi="Times New Roman" w:cs="Times New Roman"/>
                <w:b/>
                <w:bCs/>
                <w:sz w:val="24"/>
                <w:szCs w:val="24"/>
              </w:rPr>
              <w:t>Foreign Ownership</w:t>
            </w:r>
          </w:p>
        </w:tc>
        <w:tc>
          <w:tcPr>
            <w:tcW w:w="1319" w:type="dxa"/>
            <w:noWrap/>
            <w:hideMark/>
          </w:tcPr>
          <w:p w:rsidR="0087618C" w:rsidRPr="0087618C" w:rsidRDefault="0087618C" w:rsidP="0087618C">
            <w:pPr>
              <w:tabs>
                <w:tab w:val="center" w:pos="1691"/>
              </w:tabs>
              <w:spacing w:line="360" w:lineRule="auto"/>
              <w:jc w:val="both"/>
              <w:rPr>
                <w:rFonts w:ascii="Times New Roman" w:hAnsi="Times New Roman" w:cs="Times New Roman"/>
                <w:b/>
                <w:bCs/>
                <w:sz w:val="24"/>
                <w:szCs w:val="24"/>
              </w:rPr>
            </w:pPr>
            <w:r w:rsidRPr="0087618C">
              <w:rPr>
                <w:rFonts w:ascii="Times New Roman" w:hAnsi="Times New Roman" w:cs="Times New Roman"/>
                <w:b/>
                <w:bCs/>
                <w:sz w:val="24"/>
                <w:szCs w:val="24"/>
              </w:rPr>
              <w:t>Family Ownership</w:t>
            </w:r>
          </w:p>
        </w:tc>
      </w:tr>
      <w:tr w:rsidR="0087618C" w:rsidRPr="0087618C" w:rsidTr="0087618C">
        <w:trPr>
          <w:trHeight w:val="315"/>
        </w:trPr>
        <w:tc>
          <w:tcPr>
            <w:tcW w:w="760"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IFIC Bank 2018</w:t>
            </w:r>
          </w:p>
        </w:tc>
        <w:tc>
          <w:tcPr>
            <w:tcW w:w="1077"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93.77%</w:t>
            </w:r>
          </w:p>
        </w:tc>
        <w:tc>
          <w:tcPr>
            <w:tcW w:w="9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79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9</w:t>
            </w:r>
          </w:p>
        </w:tc>
        <w:tc>
          <w:tcPr>
            <w:tcW w:w="956"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1</w:t>
            </w:r>
          </w:p>
        </w:tc>
        <w:tc>
          <w:tcPr>
            <w:tcW w:w="991"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26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1</w:t>
            </w:r>
          </w:p>
        </w:tc>
        <w:tc>
          <w:tcPr>
            <w:tcW w:w="14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31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r>
      <w:tr w:rsidR="0087618C" w:rsidRPr="0087618C" w:rsidTr="0087618C">
        <w:trPr>
          <w:trHeight w:val="315"/>
        </w:trPr>
        <w:tc>
          <w:tcPr>
            <w:tcW w:w="760"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IFIC Bank 2017</w:t>
            </w:r>
          </w:p>
        </w:tc>
        <w:tc>
          <w:tcPr>
            <w:tcW w:w="1077"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93.67%</w:t>
            </w:r>
          </w:p>
        </w:tc>
        <w:tc>
          <w:tcPr>
            <w:tcW w:w="9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79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8</w:t>
            </w:r>
          </w:p>
        </w:tc>
        <w:tc>
          <w:tcPr>
            <w:tcW w:w="956"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1</w:t>
            </w:r>
          </w:p>
        </w:tc>
        <w:tc>
          <w:tcPr>
            <w:tcW w:w="991"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26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1</w:t>
            </w:r>
          </w:p>
        </w:tc>
        <w:tc>
          <w:tcPr>
            <w:tcW w:w="14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31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r>
      <w:tr w:rsidR="0087618C" w:rsidRPr="0087618C" w:rsidTr="0087618C">
        <w:trPr>
          <w:trHeight w:val="315"/>
        </w:trPr>
        <w:tc>
          <w:tcPr>
            <w:tcW w:w="760"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IFIC Bank 2016</w:t>
            </w:r>
          </w:p>
        </w:tc>
        <w:tc>
          <w:tcPr>
            <w:tcW w:w="1077"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93.54%</w:t>
            </w:r>
          </w:p>
        </w:tc>
        <w:tc>
          <w:tcPr>
            <w:tcW w:w="9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79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8</w:t>
            </w:r>
          </w:p>
        </w:tc>
        <w:tc>
          <w:tcPr>
            <w:tcW w:w="956"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1</w:t>
            </w:r>
          </w:p>
        </w:tc>
        <w:tc>
          <w:tcPr>
            <w:tcW w:w="991"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26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4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31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r>
      <w:tr w:rsidR="0087618C" w:rsidRPr="0087618C" w:rsidTr="0087618C">
        <w:trPr>
          <w:trHeight w:val="315"/>
        </w:trPr>
        <w:tc>
          <w:tcPr>
            <w:tcW w:w="760"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IFIC Bank 2015</w:t>
            </w:r>
          </w:p>
        </w:tc>
        <w:tc>
          <w:tcPr>
            <w:tcW w:w="1077"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92.88%</w:t>
            </w:r>
          </w:p>
        </w:tc>
        <w:tc>
          <w:tcPr>
            <w:tcW w:w="9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79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8</w:t>
            </w:r>
          </w:p>
        </w:tc>
        <w:tc>
          <w:tcPr>
            <w:tcW w:w="956"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991"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26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4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31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r>
      <w:tr w:rsidR="0087618C" w:rsidRPr="0087618C" w:rsidTr="0087618C">
        <w:trPr>
          <w:trHeight w:val="315"/>
        </w:trPr>
        <w:tc>
          <w:tcPr>
            <w:tcW w:w="760"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IFIC Bank 2014</w:t>
            </w:r>
          </w:p>
        </w:tc>
        <w:tc>
          <w:tcPr>
            <w:tcW w:w="1077"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92.43%</w:t>
            </w:r>
          </w:p>
        </w:tc>
        <w:tc>
          <w:tcPr>
            <w:tcW w:w="9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79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9</w:t>
            </w:r>
          </w:p>
        </w:tc>
        <w:tc>
          <w:tcPr>
            <w:tcW w:w="956"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991"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26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1</w:t>
            </w:r>
          </w:p>
        </w:tc>
        <w:tc>
          <w:tcPr>
            <w:tcW w:w="14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0.43%</w:t>
            </w:r>
          </w:p>
        </w:tc>
        <w:tc>
          <w:tcPr>
            <w:tcW w:w="131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r>
      <w:tr w:rsidR="0087618C" w:rsidRPr="0087618C" w:rsidTr="0087618C">
        <w:trPr>
          <w:trHeight w:val="315"/>
        </w:trPr>
        <w:tc>
          <w:tcPr>
            <w:tcW w:w="760"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IFIC Bank 2013</w:t>
            </w:r>
          </w:p>
        </w:tc>
        <w:tc>
          <w:tcPr>
            <w:tcW w:w="1077"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92.87%</w:t>
            </w:r>
          </w:p>
        </w:tc>
        <w:tc>
          <w:tcPr>
            <w:tcW w:w="9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79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9</w:t>
            </w:r>
          </w:p>
        </w:tc>
        <w:tc>
          <w:tcPr>
            <w:tcW w:w="956"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1</w:t>
            </w:r>
          </w:p>
        </w:tc>
        <w:tc>
          <w:tcPr>
            <w:tcW w:w="991"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26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1</w:t>
            </w:r>
          </w:p>
        </w:tc>
        <w:tc>
          <w:tcPr>
            <w:tcW w:w="14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0.45%</w:t>
            </w:r>
          </w:p>
        </w:tc>
        <w:tc>
          <w:tcPr>
            <w:tcW w:w="131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r>
      <w:tr w:rsidR="0087618C" w:rsidRPr="0087618C" w:rsidTr="0087618C">
        <w:trPr>
          <w:trHeight w:val="315"/>
        </w:trPr>
        <w:tc>
          <w:tcPr>
            <w:tcW w:w="760"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IFIC Bank 2012</w:t>
            </w:r>
          </w:p>
        </w:tc>
        <w:tc>
          <w:tcPr>
            <w:tcW w:w="1077"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91.88%</w:t>
            </w:r>
          </w:p>
        </w:tc>
        <w:tc>
          <w:tcPr>
            <w:tcW w:w="9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79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6</w:t>
            </w:r>
          </w:p>
        </w:tc>
        <w:tc>
          <w:tcPr>
            <w:tcW w:w="956"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991"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26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c>
          <w:tcPr>
            <w:tcW w:w="1492"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0.28</w:t>
            </w:r>
          </w:p>
        </w:tc>
        <w:tc>
          <w:tcPr>
            <w:tcW w:w="1319" w:type="dxa"/>
            <w:noWrap/>
            <w:hideMark/>
          </w:tcPr>
          <w:p w:rsidR="0087618C" w:rsidRPr="0087618C" w:rsidRDefault="0087618C" w:rsidP="0087618C">
            <w:pPr>
              <w:tabs>
                <w:tab w:val="center" w:pos="1691"/>
              </w:tabs>
              <w:spacing w:line="360" w:lineRule="auto"/>
              <w:jc w:val="both"/>
              <w:rPr>
                <w:rFonts w:ascii="Times New Roman" w:hAnsi="Times New Roman" w:cs="Times New Roman"/>
                <w:sz w:val="24"/>
                <w:szCs w:val="24"/>
              </w:rPr>
            </w:pPr>
            <w:r w:rsidRPr="0087618C">
              <w:rPr>
                <w:rFonts w:ascii="Times New Roman" w:hAnsi="Times New Roman" w:cs="Times New Roman"/>
                <w:sz w:val="24"/>
                <w:szCs w:val="24"/>
              </w:rPr>
              <w:t>0</w:t>
            </w:r>
          </w:p>
        </w:tc>
      </w:tr>
    </w:tbl>
    <w:p w:rsidR="002A7BBF" w:rsidRDefault="002A7BBF" w:rsidP="00DD4D31">
      <w:pPr>
        <w:tabs>
          <w:tab w:val="center" w:pos="1691"/>
        </w:tabs>
        <w:spacing w:line="360" w:lineRule="auto"/>
        <w:jc w:val="both"/>
        <w:rPr>
          <w:rFonts w:ascii="Times New Roman" w:hAnsi="Times New Roman" w:cs="Times New Roman"/>
          <w:sz w:val="24"/>
          <w:szCs w:val="24"/>
        </w:rPr>
      </w:pPr>
    </w:p>
    <w:p w:rsidR="00B60C59" w:rsidRDefault="0063061D" w:rsidP="00DD4D31">
      <w:pPr>
        <w:tabs>
          <w:tab w:val="center" w:pos="1691"/>
        </w:tabs>
        <w:spacing w:line="360" w:lineRule="auto"/>
        <w:jc w:val="both"/>
        <w:rPr>
          <w:rFonts w:ascii="Times New Roman" w:hAnsi="Times New Roman" w:cs="Times New Roman"/>
          <w:sz w:val="24"/>
          <w:szCs w:val="24"/>
        </w:rPr>
      </w:pPr>
      <w:r>
        <w:rPr>
          <w:noProof/>
        </w:rPr>
        <w:drawing>
          <wp:inline distT="0" distB="0" distL="0" distR="0" wp14:anchorId="273FF177" wp14:editId="573F3C7F">
            <wp:extent cx="5964865" cy="2073349"/>
            <wp:effectExtent l="0" t="0" r="0" b="317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3061D" w:rsidRDefault="0063061D" w:rsidP="00DD4D31">
      <w:pPr>
        <w:tabs>
          <w:tab w:val="center" w:pos="1691"/>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Here highest leverage ratio was 93.77% in 2018. And lowest ratio was 91.88% in 2012. Family member on board are remain every year. They have woman on board. They follow religious </w:t>
      </w:r>
      <w:r w:rsidR="00725962">
        <w:rPr>
          <w:rFonts w:ascii="Times New Roman" w:hAnsi="Times New Roman" w:cs="Times New Roman"/>
          <w:sz w:val="24"/>
          <w:szCs w:val="24"/>
        </w:rPr>
        <w:t>rules.</w:t>
      </w:r>
      <w:r>
        <w:rPr>
          <w:rFonts w:ascii="Times New Roman" w:hAnsi="Times New Roman" w:cs="Times New Roman"/>
          <w:sz w:val="24"/>
          <w:szCs w:val="24"/>
        </w:rPr>
        <w:t xml:space="preserve"> </w:t>
      </w:r>
      <w:r w:rsidR="00725962">
        <w:rPr>
          <w:rFonts w:ascii="Times New Roman" w:hAnsi="Times New Roman" w:cs="Times New Roman"/>
          <w:sz w:val="24"/>
          <w:szCs w:val="24"/>
        </w:rPr>
        <w:t xml:space="preserve">In 2014, 2013, 2012 they had foreign shareholder. Spouse family share are not </w:t>
      </w:r>
      <w:r w:rsidR="00066152">
        <w:rPr>
          <w:rFonts w:ascii="Times New Roman" w:hAnsi="Times New Roman" w:cs="Times New Roman"/>
          <w:sz w:val="24"/>
          <w:szCs w:val="24"/>
        </w:rPr>
        <w:t>appearing</w:t>
      </w:r>
      <w:r w:rsidR="00725962">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63061D" w:rsidRDefault="0063061D" w:rsidP="00DD4D31">
      <w:pPr>
        <w:tabs>
          <w:tab w:val="center" w:pos="1691"/>
        </w:tabs>
        <w:spacing w:line="360" w:lineRule="auto"/>
        <w:jc w:val="both"/>
        <w:rPr>
          <w:rFonts w:ascii="Times New Roman" w:hAnsi="Times New Roman" w:cs="Times New Roman"/>
          <w:sz w:val="24"/>
          <w:szCs w:val="24"/>
        </w:rPr>
      </w:pPr>
    </w:p>
    <w:p w:rsidR="0063061D" w:rsidRDefault="0063061D" w:rsidP="00DD4D31">
      <w:pPr>
        <w:tabs>
          <w:tab w:val="center" w:pos="1691"/>
        </w:tabs>
        <w:spacing w:line="360" w:lineRule="auto"/>
        <w:jc w:val="both"/>
        <w:rPr>
          <w:rFonts w:ascii="Times New Roman" w:hAnsi="Times New Roman" w:cs="Times New Roman"/>
          <w:sz w:val="24"/>
          <w:szCs w:val="24"/>
        </w:rPr>
      </w:pPr>
    </w:p>
    <w:p w:rsidR="0063061D" w:rsidRDefault="0063061D" w:rsidP="00DD4D31">
      <w:pPr>
        <w:tabs>
          <w:tab w:val="center" w:pos="1691"/>
        </w:tabs>
        <w:spacing w:line="360" w:lineRule="auto"/>
        <w:jc w:val="both"/>
        <w:rPr>
          <w:rFonts w:ascii="Times New Roman" w:hAnsi="Times New Roman" w:cs="Times New Roman"/>
          <w:sz w:val="24"/>
          <w:szCs w:val="24"/>
        </w:rPr>
      </w:pPr>
    </w:p>
    <w:p w:rsidR="00B60C59" w:rsidRDefault="00B60C59" w:rsidP="00DD4D31">
      <w:pPr>
        <w:tabs>
          <w:tab w:val="center" w:pos="1691"/>
        </w:tabs>
        <w:spacing w:line="360" w:lineRule="auto"/>
        <w:jc w:val="both"/>
        <w:rPr>
          <w:rFonts w:ascii="Times New Roman" w:hAnsi="Times New Roman" w:cs="Times New Roman"/>
          <w:sz w:val="24"/>
          <w:szCs w:val="24"/>
        </w:rPr>
      </w:pPr>
    </w:p>
    <w:p w:rsidR="00B60C59" w:rsidRDefault="00B60C59" w:rsidP="00DD4D31">
      <w:pPr>
        <w:tabs>
          <w:tab w:val="center" w:pos="1691"/>
        </w:tabs>
        <w:spacing w:line="360" w:lineRule="auto"/>
        <w:jc w:val="both"/>
        <w:rPr>
          <w:rFonts w:ascii="Times New Roman" w:hAnsi="Times New Roman" w:cs="Times New Roman"/>
          <w:sz w:val="24"/>
          <w:szCs w:val="24"/>
        </w:rPr>
      </w:pPr>
    </w:p>
    <w:p w:rsidR="00B60C59" w:rsidRDefault="00B60C59" w:rsidP="00DD4D31">
      <w:pPr>
        <w:tabs>
          <w:tab w:val="center" w:pos="1691"/>
        </w:tabs>
        <w:spacing w:line="360" w:lineRule="auto"/>
        <w:jc w:val="both"/>
        <w:rPr>
          <w:rFonts w:ascii="Times New Roman" w:hAnsi="Times New Roman" w:cs="Times New Roman"/>
          <w:sz w:val="24"/>
          <w:szCs w:val="24"/>
        </w:rPr>
      </w:pPr>
    </w:p>
    <w:p w:rsidR="00B60C59" w:rsidRDefault="00B60C59" w:rsidP="00DD4D31">
      <w:pPr>
        <w:tabs>
          <w:tab w:val="center" w:pos="1691"/>
        </w:tabs>
        <w:spacing w:line="360" w:lineRule="auto"/>
        <w:jc w:val="both"/>
        <w:rPr>
          <w:rFonts w:ascii="Times New Roman" w:hAnsi="Times New Roman" w:cs="Times New Roman"/>
          <w:sz w:val="24"/>
          <w:szCs w:val="24"/>
        </w:rPr>
      </w:pPr>
    </w:p>
    <w:p w:rsidR="00B60C59" w:rsidRDefault="00B60C59" w:rsidP="00DD4D31">
      <w:pPr>
        <w:tabs>
          <w:tab w:val="center" w:pos="1691"/>
        </w:tabs>
        <w:spacing w:line="360" w:lineRule="auto"/>
        <w:jc w:val="both"/>
        <w:rPr>
          <w:rFonts w:ascii="Times New Roman" w:hAnsi="Times New Roman" w:cs="Times New Roman"/>
          <w:sz w:val="24"/>
          <w:szCs w:val="24"/>
        </w:rPr>
      </w:pPr>
    </w:p>
    <w:p w:rsidR="00B60C59" w:rsidRDefault="00B60C59" w:rsidP="00DD4D31">
      <w:pPr>
        <w:tabs>
          <w:tab w:val="center" w:pos="1691"/>
        </w:tabs>
        <w:spacing w:line="360" w:lineRule="auto"/>
        <w:jc w:val="both"/>
        <w:rPr>
          <w:rFonts w:ascii="Times New Roman" w:hAnsi="Times New Roman" w:cs="Times New Roman"/>
          <w:sz w:val="24"/>
          <w:szCs w:val="24"/>
        </w:rPr>
      </w:pPr>
    </w:p>
    <w:p w:rsidR="00B60C59" w:rsidRDefault="00B60C59" w:rsidP="00DD4D31">
      <w:pPr>
        <w:tabs>
          <w:tab w:val="center" w:pos="1691"/>
        </w:tabs>
        <w:spacing w:line="360" w:lineRule="auto"/>
        <w:jc w:val="both"/>
        <w:rPr>
          <w:rFonts w:ascii="Times New Roman" w:hAnsi="Times New Roman" w:cs="Times New Roman"/>
          <w:sz w:val="24"/>
          <w:szCs w:val="24"/>
        </w:rPr>
      </w:pPr>
    </w:p>
    <w:p w:rsidR="00B60C59" w:rsidRDefault="00B60C59" w:rsidP="00DD4D31">
      <w:pPr>
        <w:tabs>
          <w:tab w:val="center" w:pos="1691"/>
        </w:tabs>
        <w:spacing w:line="360" w:lineRule="auto"/>
        <w:jc w:val="both"/>
        <w:rPr>
          <w:rFonts w:ascii="Times New Roman" w:hAnsi="Times New Roman" w:cs="Times New Roman"/>
          <w:sz w:val="24"/>
          <w:szCs w:val="24"/>
        </w:rPr>
      </w:pPr>
    </w:p>
    <w:p w:rsidR="00B60C59" w:rsidRDefault="00B60C59" w:rsidP="00DD4D31">
      <w:pPr>
        <w:tabs>
          <w:tab w:val="center" w:pos="1691"/>
        </w:tabs>
        <w:spacing w:line="360" w:lineRule="auto"/>
        <w:jc w:val="both"/>
        <w:rPr>
          <w:rFonts w:ascii="Times New Roman" w:hAnsi="Times New Roman" w:cs="Times New Roman"/>
          <w:sz w:val="24"/>
          <w:szCs w:val="24"/>
        </w:rPr>
      </w:pPr>
    </w:p>
    <w:p w:rsidR="00725962" w:rsidRDefault="00725962" w:rsidP="002A7BBF">
      <w:pPr>
        <w:pStyle w:val="Heading1"/>
      </w:pPr>
    </w:p>
    <w:p w:rsidR="007E73A4" w:rsidRPr="00725962" w:rsidRDefault="00FF3D70" w:rsidP="002A7BBF">
      <w:pPr>
        <w:pStyle w:val="Heading1"/>
        <w:rPr>
          <w:sz w:val="12"/>
          <w:szCs w:val="12"/>
        </w:rPr>
      </w:pPr>
      <w:r w:rsidRPr="00896081">
        <w:t xml:space="preserve">6. </w:t>
      </w:r>
      <w:r w:rsidR="007E73A4" w:rsidRPr="00896081">
        <w:t>Conclusion and recommendation</w:t>
      </w:r>
    </w:p>
    <w:p w:rsidR="00576E1B" w:rsidRPr="00F502C3" w:rsidRDefault="00BD5D70"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Banking is a business surrounding</w:t>
      </w:r>
      <w:r w:rsidR="007E73A4" w:rsidRPr="00F502C3">
        <w:rPr>
          <w:rFonts w:ascii="Times New Roman" w:hAnsi="Times New Roman" w:cs="Times New Roman"/>
          <w:sz w:val="24"/>
          <w:szCs w:val="24"/>
        </w:rPr>
        <w:t xml:space="preserve"> their employees and the broader communities, as well as their shareholders and customers. </w:t>
      </w:r>
      <w:r w:rsidR="001B0978" w:rsidRPr="00F502C3">
        <w:rPr>
          <w:rFonts w:ascii="Times New Roman" w:hAnsi="Times New Roman" w:cs="Times New Roman"/>
          <w:sz w:val="24"/>
          <w:szCs w:val="24"/>
        </w:rPr>
        <w:t>They believe</w:t>
      </w:r>
      <w:r w:rsidR="007E73A4" w:rsidRPr="00F502C3">
        <w:rPr>
          <w:rFonts w:ascii="Times New Roman" w:hAnsi="Times New Roman" w:cs="Times New Roman"/>
          <w:sz w:val="24"/>
          <w:szCs w:val="24"/>
        </w:rPr>
        <w:t xml:space="preserve"> </w:t>
      </w:r>
      <w:r>
        <w:rPr>
          <w:rFonts w:ascii="Times New Roman" w:hAnsi="Times New Roman" w:cs="Times New Roman"/>
          <w:sz w:val="24"/>
          <w:szCs w:val="24"/>
        </w:rPr>
        <w:t>that shareholder value is directed</w:t>
      </w:r>
      <w:r w:rsidR="007E73A4" w:rsidRPr="00F502C3">
        <w:rPr>
          <w:rFonts w:ascii="Times New Roman" w:hAnsi="Times New Roman" w:cs="Times New Roman"/>
          <w:sz w:val="24"/>
          <w:szCs w:val="24"/>
        </w:rPr>
        <w:t xml:space="preserve"> by the </w:t>
      </w:r>
      <w:r w:rsidR="001B0978" w:rsidRPr="00F502C3">
        <w:rPr>
          <w:rFonts w:ascii="Times New Roman" w:hAnsi="Times New Roman" w:cs="Times New Roman"/>
          <w:sz w:val="24"/>
          <w:szCs w:val="24"/>
        </w:rPr>
        <w:t>satisfied and loyal</w:t>
      </w:r>
      <w:r w:rsidR="007E73A4" w:rsidRPr="00F502C3">
        <w:rPr>
          <w:rFonts w:ascii="Times New Roman" w:hAnsi="Times New Roman" w:cs="Times New Roman"/>
          <w:sz w:val="24"/>
          <w:szCs w:val="24"/>
        </w:rPr>
        <w:t xml:space="preserve"> customer. It can be said that the performance of all the banks are not same. </w:t>
      </w:r>
      <w:r w:rsidR="00DA70E2" w:rsidRPr="00F502C3">
        <w:rPr>
          <w:rFonts w:ascii="Times New Roman" w:hAnsi="Times New Roman" w:cs="Times New Roman"/>
          <w:sz w:val="24"/>
          <w:szCs w:val="24"/>
        </w:rPr>
        <w:t>Especially</w:t>
      </w:r>
      <w:r w:rsidR="007E73A4" w:rsidRPr="00F502C3">
        <w:rPr>
          <w:rFonts w:ascii="Times New Roman" w:hAnsi="Times New Roman" w:cs="Times New Roman"/>
          <w:sz w:val="24"/>
          <w:szCs w:val="24"/>
        </w:rPr>
        <w:t xml:space="preserve"> each bank </w:t>
      </w:r>
      <w:r w:rsidR="001B0978" w:rsidRPr="00F502C3">
        <w:rPr>
          <w:rFonts w:ascii="Times New Roman" w:hAnsi="Times New Roman" w:cs="Times New Roman"/>
          <w:sz w:val="24"/>
          <w:szCs w:val="24"/>
        </w:rPr>
        <w:t>does</w:t>
      </w:r>
      <w:r w:rsidR="00BF121F">
        <w:rPr>
          <w:rFonts w:ascii="Times New Roman" w:hAnsi="Times New Roman" w:cs="Times New Roman"/>
          <w:sz w:val="24"/>
          <w:szCs w:val="24"/>
        </w:rPr>
        <w:t xml:space="preserve"> compare their </w:t>
      </w:r>
      <w:r w:rsidR="00BF121F" w:rsidRPr="00F502C3">
        <w:rPr>
          <w:rFonts w:ascii="Times New Roman" w:hAnsi="Times New Roman" w:cs="Times New Roman"/>
          <w:sz w:val="24"/>
          <w:szCs w:val="24"/>
        </w:rPr>
        <w:t>own</w:t>
      </w:r>
      <w:r w:rsidR="007E73A4" w:rsidRPr="00F502C3">
        <w:rPr>
          <w:rFonts w:ascii="Times New Roman" w:hAnsi="Times New Roman" w:cs="Times New Roman"/>
          <w:sz w:val="24"/>
          <w:szCs w:val="24"/>
        </w:rPr>
        <w:t xml:space="preserve"> </w:t>
      </w:r>
      <w:r w:rsidR="001B0978" w:rsidRPr="00F502C3">
        <w:rPr>
          <w:rFonts w:ascii="Times New Roman" w:hAnsi="Times New Roman" w:cs="Times New Roman"/>
          <w:sz w:val="24"/>
          <w:szCs w:val="24"/>
        </w:rPr>
        <w:t xml:space="preserve">year. </w:t>
      </w:r>
      <w:r w:rsidR="00DA70E2" w:rsidRPr="00F502C3">
        <w:rPr>
          <w:rFonts w:ascii="Times New Roman" w:hAnsi="Times New Roman" w:cs="Times New Roman"/>
          <w:sz w:val="24"/>
          <w:szCs w:val="24"/>
        </w:rPr>
        <w:t>E</w:t>
      </w:r>
      <w:r w:rsidR="001B0978" w:rsidRPr="00F502C3">
        <w:rPr>
          <w:rFonts w:ascii="Times New Roman" w:hAnsi="Times New Roman" w:cs="Times New Roman"/>
          <w:sz w:val="24"/>
          <w:szCs w:val="24"/>
        </w:rPr>
        <w:t>very</w:t>
      </w:r>
      <w:r w:rsidR="00DA70E2" w:rsidRPr="00F502C3">
        <w:rPr>
          <w:rFonts w:ascii="Times New Roman" w:hAnsi="Times New Roman" w:cs="Times New Roman"/>
          <w:sz w:val="24"/>
          <w:szCs w:val="24"/>
        </w:rPr>
        <w:t xml:space="preserve"> </w:t>
      </w:r>
      <w:r w:rsidR="001B0978" w:rsidRPr="00F502C3">
        <w:rPr>
          <w:rFonts w:ascii="Times New Roman" w:hAnsi="Times New Roman" w:cs="Times New Roman"/>
          <w:sz w:val="24"/>
          <w:szCs w:val="24"/>
        </w:rPr>
        <w:t>year ratio</w:t>
      </w:r>
      <w:r w:rsidR="007E73A4" w:rsidRPr="00F502C3">
        <w:rPr>
          <w:rFonts w:ascii="Times New Roman" w:hAnsi="Times New Roman" w:cs="Times New Roman"/>
          <w:sz w:val="24"/>
          <w:szCs w:val="24"/>
        </w:rPr>
        <w:t xml:space="preserve"> is not same. Sometimes </w:t>
      </w:r>
      <w:r w:rsidR="001B0978" w:rsidRPr="00F502C3">
        <w:rPr>
          <w:rFonts w:ascii="Times New Roman" w:hAnsi="Times New Roman" w:cs="Times New Roman"/>
          <w:sz w:val="24"/>
          <w:szCs w:val="24"/>
        </w:rPr>
        <w:t>it’s same</w:t>
      </w:r>
      <w:r w:rsidR="007E73A4" w:rsidRPr="00F502C3">
        <w:rPr>
          <w:rFonts w:ascii="Times New Roman" w:hAnsi="Times New Roman" w:cs="Times New Roman"/>
          <w:sz w:val="24"/>
          <w:szCs w:val="24"/>
        </w:rPr>
        <w:t xml:space="preserve"> their given ratio or down their given ratio.</w:t>
      </w:r>
      <w:r w:rsidR="000E28F1" w:rsidRPr="00F502C3">
        <w:rPr>
          <w:rFonts w:ascii="Times New Roman" w:hAnsi="Times New Roman" w:cs="Times New Roman"/>
          <w:sz w:val="24"/>
          <w:szCs w:val="24"/>
        </w:rPr>
        <w:t xml:space="preserve"> On the other </w:t>
      </w:r>
      <w:r w:rsidR="001B0978" w:rsidRPr="00F502C3">
        <w:rPr>
          <w:rFonts w:ascii="Times New Roman" w:hAnsi="Times New Roman" w:cs="Times New Roman"/>
          <w:sz w:val="24"/>
          <w:szCs w:val="24"/>
        </w:rPr>
        <w:t>hand,</w:t>
      </w:r>
      <w:r w:rsidR="000E28F1" w:rsidRPr="00F502C3">
        <w:rPr>
          <w:rFonts w:ascii="Times New Roman" w:hAnsi="Times New Roman" w:cs="Times New Roman"/>
          <w:sz w:val="24"/>
          <w:szCs w:val="24"/>
        </w:rPr>
        <w:t xml:space="preserve"> some </w:t>
      </w:r>
      <w:r w:rsidR="001B0978" w:rsidRPr="00F502C3">
        <w:rPr>
          <w:rFonts w:ascii="Times New Roman" w:hAnsi="Times New Roman" w:cs="Times New Roman"/>
          <w:sz w:val="24"/>
          <w:szCs w:val="24"/>
        </w:rPr>
        <w:t>banks profitability</w:t>
      </w:r>
      <w:r w:rsidR="000E28F1" w:rsidRPr="00F502C3">
        <w:rPr>
          <w:rFonts w:ascii="Times New Roman" w:hAnsi="Times New Roman" w:cs="Times New Roman"/>
          <w:sz w:val="24"/>
          <w:szCs w:val="24"/>
        </w:rPr>
        <w:t xml:space="preserve"> is being increasing </w:t>
      </w:r>
      <w:r w:rsidR="002A7BBF">
        <w:rPr>
          <w:rFonts w:ascii="Times New Roman" w:hAnsi="Times New Roman" w:cs="Times New Roman"/>
          <w:sz w:val="24"/>
          <w:szCs w:val="24"/>
        </w:rPr>
        <w:t>over last five years.</w:t>
      </w:r>
      <w:r w:rsidR="00BF121F">
        <w:rPr>
          <w:rFonts w:ascii="Times New Roman" w:hAnsi="Times New Roman" w:cs="Times New Roman"/>
          <w:sz w:val="24"/>
          <w:szCs w:val="24"/>
        </w:rPr>
        <w:t xml:space="preserve"> Every </w:t>
      </w:r>
      <w:r w:rsidR="00E340FA">
        <w:rPr>
          <w:rFonts w:ascii="Times New Roman" w:hAnsi="Times New Roman" w:cs="Times New Roman"/>
          <w:sz w:val="24"/>
          <w:szCs w:val="24"/>
        </w:rPr>
        <w:t>bank</w:t>
      </w:r>
      <w:r w:rsidR="00BF121F">
        <w:rPr>
          <w:rFonts w:ascii="Times New Roman" w:hAnsi="Times New Roman" w:cs="Times New Roman"/>
          <w:sz w:val="24"/>
          <w:szCs w:val="24"/>
        </w:rPr>
        <w:t xml:space="preserve"> </w:t>
      </w:r>
      <w:r w:rsidR="00E340FA">
        <w:rPr>
          <w:rFonts w:ascii="Times New Roman" w:hAnsi="Times New Roman" w:cs="Times New Roman"/>
          <w:sz w:val="24"/>
          <w:szCs w:val="24"/>
        </w:rPr>
        <w:t>maintains</w:t>
      </w:r>
      <w:r w:rsidR="00BF121F">
        <w:rPr>
          <w:rFonts w:ascii="Times New Roman" w:hAnsi="Times New Roman" w:cs="Times New Roman"/>
          <w:sz w:val="24"/>
          <w:szCs w:val="24"/>
        </w:rPr>
        <w:t xml:space="preserve"> the rules of Bangladesh Bank rules. That’s why they do not cross the limitation of board of director. Some banks maintain women on</w:t>
      </w:r>
      <w:r w:rsidR="00E340FA">
        <w:rPr>
          <w:rFonts w:ascii="Times New Roman" w:hAnsi="Times New Roman" w:cs="Times New Roman"/>
          <w:sz w:val="24"/>
          <w:szCs w:val="24"/>
        </w:rPr>
        <w:t xml:space="preserve"> their</w:t>
      </w:r>
      <w:r w:rsidR="00BF121F">
        <w:rPr>
          <w:rFonts w:ascii="Times New Roman" w:hAnsi="Times New Roman" w:cs="Times New Roman"/>
          <w:sz w:val="24"/>
          <w:szCs w:val="24"/>
        </w:rPr>
        <w:t xml:space="preserve"> board</w:t>
      </w:r>
      <w:r w:rsidR="00E340FA">
        <w:rPr>
          <w:rFonts w:ascii="Times New Roman" w:hAnsi="Times New Roman" w:cs="Times New Roman"/>
          <w:sz w:val="24"/>
          <w:szCs w:val="24"/>
        </w:rPr>
        <w:t xml:space="preserve"> as a board member</w:t>
      </w:r>
      <w:r w:rsidR="00BF121F">
        <w:rPr>
          <w:rFonts w:ascii="Times New Roman" w:hAnsi="Times New Roman" w:cs="Times New Roman"/>
          <w:sz w:val="24"/>
          <w:szCs w:val="24"/>
        </w:rPr>
        <w:t xml:space="preserve"> every year</w:t>
      </w:r>
      <w:r w:rsidR="00E340FA">
        <w:rPr>
          <w:rFonts w:ascii="Times New Roman" w:hAnsi="Times New Roman" w:cs="Times New Roman"/>
          <w:sz w:val="24"/>
          <w:szCs w:val="24"/>
        </w:rPr>
        <w:t xml:space="preserve">, some are not. Find out leverage ratio banks are </w:t>
      </w:r>
      <w:r w:rsidR="00066152">
        <w:rPr>
          <w:rFonts w:ascii="Times New Roman" w:hAnsi="Times New Roman" w:cs="Times New Roman"/>
          <w:sz w:val="24"/>
          <w:szCs w:val="24"/>
        </w:rPr>
        <w:t>known</w:t>
      </w:r>
      <w:r w:rsidR="00E340FA">
        <w:rPr>
          <w:rFonts w:ascii="Times New Roman" w:hAnsi="Times New Roman" w:cs="Times New Roman"/>
          <w:sz w:val="24"/>
          <w:szCs w:val="24"/>
        </w:rPr>
        <w:t xml:space="preserve"> that how debt and total asset are efficiently used. Some banks remain foreign members share percentage on their bank.    </w:t>
      </w:r>
    </w:p>
    <w:p w:rsidR="00576E1B" w:rsidRPr="00F502C3" w:rsidRDefault="00E340FA" w:rsidP="00DD4D31">
      <w:pPr>
        <w:spacing w:line="360" w:lineRule="auto"/>
        <w:jc w:val="both"/>
        <w:rPr>
          <w:rFonts w:ascii="Times New Roman" w:hAnsi="Times New Roman" w:cs="Times New Roman"/>
          <w:sz w:val="24"/>
          <w:szCs w:val="24"/>
        </w:rPr>
      </w:pPr>
      <w:r>
        <w:rPr>
          <w:rFonts w:ascii="Times New Roman" w:hAnsi="Times New Roman" w:cs="Times New Roman"/>
          <w:sz w:val="24"/>
          <w:szCs w:val="24"/>
        </w:rPr>
        <w:t>Dhaka stock exchange-listed</w:t>
      </w:r>
      <w:r w:rsidR="00847610" w:rsidRPr="00F502C3">
        <w:rPr>
          <w:rFonts w:ascii="Times New Roman" w:hAnsi="Times New Roman" w:cs="Times New Roman"/>
          <w:sz w:val="24"/>
          <w:szCs w:val="24"/>
        </w:rPr>
        <w:t xml:space="preserve"> bank performances are not the same. But every bank follows its own statistics</w:t>
      </w:r>
      <w:r>
        <w:rPr>
          <w:rFonts w:ascii="Times New Roman" w:hAnsi="Times New Roman" w:cs="Times New Roman"/>
          <w:sz w:val="24"/>
          <w:szCs w:val="24"/>
        </w:rPr>
        <w:t xml:space="preserve"> and Bangladesh bank rules</w:t>
      </w:r>
      <w:r w:rsidR="00847610" w:rsidRPr="00F502C3">
        <w:rPr>
          <w:rFonts w:ascii="Times New Roman" w:hAnsi="Times New Roman" w:cs="Times New Roman"/>
          <w:sz w:val="24"/>
          <w:szCs w:val="24"/>
        </w:rPr>
        <w:t xml:space="preserve"> and competes on their market. They adopt new technology, improve their lacking side and they always overcome bad situations. If we see their financial </w:t>
      </w:r>
      <w:r w:rsidR="00066152" w:rsidRPr="00F502C3">
        <w:rPr>
          <w:rFonts w:ascii="Times New Roman" w:hAnsi="Times New Roman" w:cs="Times New Roman"/>
          <w:sz w:val="24"/>
          <w:szCs w:val="24"/>
        </w:rPr>
        <w:t>ratio,</w:t>
      </w:r>
      <w:r w:rsidR="00847610" w:rsidRPr="00F502C3">
        <w:rPr>
          <w:rFonts w:ascii="Times New Roman" w:hAnsi="Times New Roman" w:cs="Times New Roman"/>
          <w:sz w:val="24"/>
          <w:szCs w:val="24"/>
        </w:rPr>
        <w:t xml:space="preserve"> we c</w:t>
      </w:r>
      <w:r w:rsidR="00BF121F">
        <w:rPr>
          <w:rFonts w:ascii="Times New Roman" w:hAnsi="Times New Roman" w:cs="Times New Roman"/>
          <w:sz w:val="24"/>
          <w:szCs w:val="24"/>
        </w:rPr>
        <w:t>an say in the last 10 or 15 Year</w:t>
      </w:r>
      <w:r w:rsidR="00847610" w:rsidRPr="00F502C3">
        <w:rPr>
          <w:rFonts w:ascii="Times New Roman" w:hAnsi="Times New Roman" w:cs="Times New Roman"/>
          <w:sz w:val="24"/>
          <w:szCs w:val="24"/>
        </w:rPr>
        <w:t xml:space="preserve"> their performance was good and their shareholder dividend, the customer information which information is necessary it’s are available on the internet. That’s why using secondary</w:t>
      </w:r>
      <w:r w:rsidR="00BF121F">
        <w:rPr>
          <w:rFonts w:ascii="Times New Roman" w:hAnsi="Times New Roman" w:cs="Times New Roman"/>
          <w:sz w:val="24"/>
          <w:szCs w:val="24"/>
        </w:rPr>
        <w:t xml:space="preserve"> data to complete this project. </w:t>
      </w:r>
      <w:r w:rsidR="00847610" w:rsidRPr="00F502C3">
        <w:rPr>
          <w:rFonts w:ascii="Times New Roman" w:hAnsi="Times New Roman" w:cs="Times New Roman"/>
          <w:sz w:val="24"/>
          <w:szCs w:val="24"/>
        </w:rPr>
        <w:t xml:space="preserve"> </w:t>
      </w:r>
    </w:p>
    <w:p w:rsidR="00576E1B" w:rsidRPr="00F502C3" w:rsidRDefault="00576E1B" w:rsidP="00DD4D31">
      <w:pPr>
        <w:spacing w:line="360" w:lineRule="auto"/>
        <w:jc w:val="both"/>
        <w:rPr>
          <w:rFonts w:ascii="Times New Roman" w:hAnsi="Times New Roman" w:cs="Times New Roman"/>
          <w:sz w:val="24"/>
          <w:szCs w:val="24"/>
        </w:rPr>
      </w:pPr>
    </w:p>
    <w:p w:rsidR="00576E1B" w:rsidRPr="00F502C3" w:rsidRDefault="00576E1B" w:rsidP="00DD4D31">
      <w:pPr>
        <w:spacing w:line="360" w:lineRule="auto"/>
        <w:jc w:val="both"/>
        <w:rPr>
          <w:rFonts w:ascii="Times New Roman" w:hAnsi="Times New Roman" w:cs="Times New Roman"/>
          <w:sz w:val="24"/>
          <w:szCs w:val="24"/>
        </w:rPr>
      </w:pPr>
    </w:p>
    <w:p w:rsidR="00576E1B" w:rsidRPr="00F502C3" w:rsidRDefault="00576E1B" w:rsidP="00DD4D31">
      <w:pPr>
        <w:spacing w:line="360" w:lineRule="auto"/>
        <w:jc w:val="both"/>
        <w:rPr>
          <w:rFonts w:ascii="Times New Roman" w:hAnsi="Times New Roman" w:cs="Times New Roman"/>
          <w:sz w:val="24"/>
          <w:szCs w:val="24"/>
        </w:rPr>
      </w:pPr>
    </w:p>
    <w:p w:rsidR="00576E1B" w:rsidRPr="00F502C3" w:rsidRDefault="00576E1B" w:rsidP="00DD4D31">
      <w:pPr>
        <w:spacing w:line="360" w:lineRule="auto"/>
        <w:jc w:val="both"/>
        <w:rPr>
          <w:rFonts w:ascii="Times New Roman" w:hAnsi="Times New Roman" w:cs="Times New Roman"/>
          <w:sz w:val="24"/>
          <w:szCs w:val="24"/>
        </w:rPr>
      </w:pPr>
    </w:p>
    <w:p w:rsidR="00576E1B" w:rsidRPr="00F502C3" w:rsidRDefault="00576E1B" w:rsidP="00DD4D31">
      <w:pPr>
        <w:spacing w:line="360" w:lineRule="auto"/>
        <w:jc w:val="both"/>
        <w:rPr>
          <w:rFonts w:ascii="Times New Roman" w:hAnsi="Times New Roman" w:cs="Times New Roman"/>
          <w:sz w:val="24"/>
          <w:szCs w:val="24"/>
        </w:rPr>
      </w:pPr>
    </w:p>
    <w:p w:rsidR="00576E1B" w:rsidRPr="00F502C3" w:rsidRDefault="00576E1B" w:rsidP="00DD4D31">
      <w:pPr>
        <w:spacing w:line="360" w:lineRule="auto"/>
        <w:jc w:val="both"/>
        <w:rPr>
          <w:rFonts w:ascii="Times New Roman" w:hAnsi="Times New Roman" w:cs="Times New Roman"/>
          <w:sz w:val="24"/>
          <w:szCs w:val="24"/>
        </w:rPr>
      </w:pPr>
    </w:p>
    <w:p w:rsidR="00D73A47" w:rsidRPr="00F502C3" w:rsidRDefault="00D73A47" w:rsidP="00DD4D31">
      <w:pPr>
        <w:pStyle w:val="Heading1"/>
        <w:jc w:val="both"/>
        <w:rPr>
          <w:rFonts w:ascii="Times New Roman" w:hAnsi="Times New Roman" w:cs="Times New Roman"/>
        </w:rPr>
      </w:pPr>
    </w:p>
    <w:p w:rsidR="00126A4B" w:rsidRDefault="00DA70E2" w:rsidP="00DD4D31">
      <w:pPr>
        <w:pStyle w:val="Heading1"/>
        <w:tabs>
          <w:tab w:val="left" w:pos="4120"/>
        </w:tabs>
        <w:jc w:val="both"/>
        <w:rPr>
          <w:rFonts w:ascii="Times New Roman" w:hAnsi="Times New Roman" w:cs="Times New Roman"/>
        </w:rPr>
      </w:pPr>
      <w:r w:rsidRPr="00F502C3">
        <w:rPr>
          <w:rFonts w:ascii="Times New Roman" w:hAnsi="Times New Roman" w:cs="Times New Roman"/>
        </w:rPr>
        <w:tab/>
      </w:r>
    </w:p>
    <w:p w:rsidR="00847610" w:rsidRPr="00126A4B" w:rsidRDefault="00DA70E2" w:rsidP="00DD4D31">
      <w:pPr>
        <w:pStyle w:val="Heading1"/>
        <w:tabs>
          <w:tab w:val="left" w:pos="4120"/>
        </w:tabs>
        <w:jc w:val="both"/>
        <w:rPr>
          <w:rFonts w:ascii="Times New Roman" w:hAnsi="Times New Roman" w:cs="Times New Roman"/>
        </w:rPr>
      </w:pPr>
      <w:bookmarkStart w:id="15" w:name="_Toc18524277"/>
      <w:r w:rsidRPr="00C005D3">
        <w:t>7. References</w:t>
      </w:r>
      <w:bookmarkEnd w:id="15"/>
    </w:p>
    <w:bookmarkStart w:id="16" w:name="_Toc18524278" w:displacedByCustomXml="next"/>
    <w:sdt>
      <w:sdtPr>
        <w:rPr>
          <w:rFonts w:ascii="Times New Roman" w:eastAsiaTheme="minorHAnsi" w:hAnsi="Times New Roman" w:cs="Times New Roman"/>
          <w:b w:val="0"/>
          <w:bCs w:val="0"/>
          <w:color w:val="auto"/>
          <w:sz w:val="22"/>
          <w:szCs w:val="22"/>
        </w:rPr>
        <w:id w:val="-2094084685"/>
        <w:docPartObj>
          <w:docPartGallery w:val="Bibliographies"/>
          <w:docPartUnique/>
        </w:docPartObj>
      </w:sdtPr>
      <w:sdtEndPr>
        <w:rPr>
          <w:rFonts w:eastAsiaTheme="minorEastAsia"/>
        </w:rPr>
      </w:sdtEndPr>
      <w:sdtContent>
        <w:p w:rsidR="001B0978" w:rsidRPr="007C035A" w:rsidRDefault="00C005D3" w:rsidP="00DD4D31">
          <w:pPr>
            <w:pStyle w:val="Heading2"/>
            <w:jc w:val="both"/>
          </w:pPr>
          <w:r w:rsidRPr="007C035A">
            <w:t>Reference</w:t>
          </w:r>
          <w:bookmarkEnd w:id="16"/>
          <w:r w:rsidRPr="007C035A">
            <w:t xml:space="preserve"> </w:t>
          </w:r>
        </w:p>
        <w:sdt>
          <w:sdtPr>
            <w:rPr>
              <w:rFonts w:ascii="Times New Roman" w:hAnsi="Times New Roman" w:cs="Times New Roman"/>
            </w:rPr>
            <w:id w:val="111145805"/>
            <w:bibliography/>
          </w:sdtPr>
          <w:sdtEndPr/>
          <w:sdtContent>
            <w:p w:rsidR="00C005D3" w:rsidRDefault="006D6920" w:rsidP="00E340FA">
              <w:pPr>
                <w:pStyle w:val="Bibliography"/>
                <w:ind w:left="720" w:hanging="720"/>
                <w:rPr>
                  <w:noProof/>
                </w:rPr>
              </w:pPr>
              <w:r w:rsidRPr="00F502C3">
                <w:rPr>
                  <w:rFonts w:ascii="Times New Roman" w:hAnsi="Times New Roman" w:cs="Times New Roman"/>
                </w:rPr>
                <w:fldChar w:fldCharType="begin"/>
              </w:r>
              <w:r w:rsidR="001B0978" w:rsidRPr="00F502C3">
                <w:rPr>
                  <w:rFonts w:ascii="Times New Roman" w:hAnsi="Times New Roman" w:cs="Times New Roman"/>
                </w:rPr>
                <w:instrText xml:space="preserve"> BIBLIOGRAPHY </w:instrText>
              </w:r>
              <w:r w:rsidRPr="00F502C3">
                <w:rPr>
                  <w:rFonts w:ascii="Times New Roman" w:hAnsi="Times New Roman" w:cs="Times New Roman"/>
                </w:rPr>
                <w:fldChar w:fldCharType="separate"/>
              </w:r>
              <w:r w:rsidR="00C005D3">
                <w:rPr>
                  <w:noProof/>
                </w:rPr>
                <w:t>(n.d.). Retrieved from https://www.dsebd.org/companylistbyindustry.php?industryno=11</w:t>
              </w:r>
            </w:p>
            <w:p w:rsidR="00C005D3" w:rsidRDefault="00C005D3" w:rsidP="00E340FA">
              <w:pPr>
                <w:pStyle w:val="Bibliography"/>
                <w:ind w:left="720" w:hanging="720"/>
                <w:rPr>
                  <w:noProof/>
                </w:rPr>
              </w:pPr>
              <w:r>
                <w:rPr>
                  <w:noProof/>
                </w:rPr>
                <w:t>(n.d.). Retrieved from Dhaka Stock Exchange : https://www.dsebd.org/companylistbyindustry.php?industryno=11</w:t>
              </w:r>
            </w:p>
            <w:p w:rsidR="001B0978" w:rsidRPr="00F502C3" w:rsidRDefault="006D6920" w:rsidP="00E340FA">
              <w:pPr>
                <w:rPr>
                  <w:rFonts w:ascii="Times New Roman" w:hAnsi="Times New Roman" w:cs="Times New Roman"/>
                </w:rPr>
              </w:pPr>
              <w:r w:rsidRPr="00F502C3">
                <w:rPr>
                  <w:rFonts w:ascii="Times New Roman" w:hAnsi="Times New Roman" w:cs="Times New Roman"/>
                  <w:b/>
                  <w:bCs/>
                  <w:noProof/>
                </w:rPr>
                <w:fldChar w:fldCharType="end"/>
              </w:r>
            </w:p>
          </w:sdtContent>
        </w:sdt>
      </w:sdtContent>
    </w:sdt>
    <w:p w:rsidR="001B0978" w:rsidRPr="00F502C3" w:rsidRDefault="001B0978" w:rsidP="00DD4D31">
      <w:pPr>
        <w:jc w:val="both"/>
        <w:rPr>
          <w:rFonts w:ascii="Times New Roman" w:hAnsi="Times New Roman" w:cs="Times New Roman"/>
        </w:rPr>
      </w:pPr>
    </w:p>
    <w:p w:rsidR="00D73A47" w:rsidRPr="00F502C3" w:rsidRDefault="00D73A47" w:rsidP="00DD4D31">
      <w:pPr>
        <w:spacing w:line="360" w:lineRule="auto"/>
        <w:jc w:val="both"/>
        <w:rPr>
          <w:rFonts w:ascii="Times New Roman" w:hAnsi="Times New Roman" w:cs="Times New Roman"/>
          <w:sz w:val="24"/>
          <w:szCs w:val="24"/>
          <w:u w:val="single"/>
        </w:rPr>
      </w:pPr>
    </w:p>
    <w:p w:rsidR="00847610" w:rsidRPr="00F502C3" w:rsidRDefault="00847610" w:rsidP="00DD4D31">
      <w:pPr>
        <w:spacing w:line="360" w:lineRule="auto"/>
        <w:jc w:val="both"/>
        <w:rPr>
          <w:rFonts w:ascii="Times New Roman" w:hAnsi="Times New Roman" w:cs="Times New Roman"/>
          <w:sz w:val="24"/>
          <w:szCs w:val="24"/>
        </w:rPr>
      </w:pPr>
    </w:p>
    <w:p w:rsidR="00847610" w:rsidRPr="00F502C3" w:rsidRDefault="00847610" w:rsidP="00DD4D31">
      <w:pPr>
        <w:spacing w:line="360" w:lineRule="auto"/>
        <w:jc w:val="both"/>
        <w:rPr>
          <w:rFonts w:ascii="Times New Roman" w:hAnsi="Times New Roman" w:cs="Times New Roman"/>
          <w:sz w:val="24"/>
          <w:szCs w:val="24"/>
        </w:rPr>
      </w:pPr>
    </w:p>
    <w:p w:rsidR="00847610" w:rsidRPr="00F502C3" w:rsidRDefault="00847610" w:rsidP="00DD4D31">
      <w:pPr>
        <w:spacing w:line="360" w:lineRule="auto"/>
        <w:jc w:val="both"/>
        <w:rPr>
          <w:rFonts w:ascii="Times New Roman" w:hAnsi="Times New Roman" w:cs="Times New Roman"/>
          <w:sz w:val="24"/>
          <w:szCs w:val="24"/>
        </w:rPr>
      </w:pPr>
    </w:p>
    <w:sectPr w:rsidR="00847610" w:rsidRPr="00F502C3" w:rsidSect="00B1406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923" w:rsidRDefault="00697923" w:rsidP="00ED0D67">
      <w:pPr>
        <w:spacing w:after="0" w:line="240" w:lineRule="auto"/>
      </w:pPr>
      <w:r>
        <w:separator/>
      </w:r>
    </w:p>
  </w:endnote>
  <w:endnote w:type="continuationSeparator" w:id="0">
    <w:p w:rsidR="00697923" w:rsidRDefault="00697923" w:rsidP="00ED0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049712"/>
      <w:docPartObj>
        <w:docPartGallery w:val="Page Numbers (Bottom of Page)"/>
        <w:docPartUnique/>
      </w:docPartObj>
    </w:sdtPr>
    <w:sdtEndPr>
      <w:rPr>
        <w:noProof/>
      </w:rPr>
    </w:sdtEndPr>
    <w:sdtContent>
      <w:p w:rsidR="00066152" w:rsidRDefault="00066152">
        <w:pPr>
          <w:pStyle w:val="Footer"/>
          <w:jc w:val="center"/>
        </w:pPr>
        <w:r>
          <w:fldChar w:fldCharType="begin"/>
        </w:r>
        <w:r>
          <w:instrText xml:space="preserve"> PAGE   \* MERGEFORMAT </w:instrText>
        </w:r>
        <w:r>
          <w:fldChar w:fldCharType="separate"/>
        </w:r>
        <w:r w:rsidR="00347657">
          <w:rPr>
            <w:noProof/>
          </w:rPr>
          <w:t>iii</w:t>
        </w:r>
        <w:r>
          <w:rPr>
            <w:noProof/>
          </w:rPr>
          <w:fldChar w:fldCharType="end"/>
        </w:r>
      </w:p>
    </w:sdtContent>
  </w:sdt>
  <w:p w:rsidR="00066152" w:rsidRDefault="00066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923" w:rsidRDefault="00697923" w:rsidP="00ED0D67">
      <w:pPr>
        <w:spacing w:after="0" w:line="240" w:lineRule="auto"/>
      </w:pPr>
      <w:r>
        <w:separator/>
      </w:r>
    </w:p>
  </w:footnote>
  <w:footnote w:type="continuationSeparator" w:id="0">
    <w:p w:rsidR="00697923" w:rsidRDefault="00697923" w:rsidP="00ED0D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152" w:rsidRDefault="00066152" w:rsidP="000A2D42">
    <w:pPr>
      <w:pStyle w:val="Header"/>
      <w:tabs>
        <w:tab w:val="clear" w:pos="4680"/>
        <w:tab w:val="clear" w:pos="9360"/>
        <w:tab w:val="left" w:pos="4070"/>
      </w:tabs>
    </w:pPr>
  </w:p>
  <w:p w:rsidR="00066152" w:rsidRDefault="00066152" w:rsidP="000A2D42">
    <w:pPr>
      <w:pStyle w:val="Header"/>
      <w:tabs>
        <w:tab w:val="clear" w:pos="4680"/>
        <w:tab w:val="clear" w:pos="9360"/>
        <w:tab w:val="left" w:pos="4070"/>
      </w:tabs>
    </w:pPr>
  </w:p>
  <w:p w:rsidR="00066152" w:rsidRDefault="00066152" w:rsidP="000A2D42">
    <w:pPr>
      <w:pStyle w:val="Header"/>
      <w:tabs>
        <w:tab w:val="clear" w:pos="4680"/>
        <w:tab w:val="clear" w:pos="9360"/>
        <w:tab w:val="left" w:pos="4070"/>
      </w:tabs>
    </w:pPr>
  </w:p>
  <w:p w:rsidR="00066152" w:rsidRDefault="0006615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312A2"/>
    <w:multiLevelType w:val="hybridMultilevel"/>
    <w:tmpl w:val="079E9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B046A"/>
    <w:multiLevelType w:val="hybridMultilevel"/>
    <w:tmpl w:val="F4C01E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9EC589E"/>
    <w:multiLevelType w:val="hybridMultilevel"/>
    <w:tmpl w:val="C6F405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B5B6549"/>
    <w:multiLevelType w:val="hybridMultilevel"/>
    <w:tmpl w:val="D2EA02C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0D857B9"/>
    <w:multiLevelType w:val="hybridMultilevel"/>
    <w:tmpl w:val="1C8ED97E"/>
    <w:lvl w:ilvl="0" w:tplc="04090015">
      <w:start w:val="1"/>
      <w:numFmt w:val="upperLetter"/>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5">
    <w:nsid w:val="173B6013"/>
    <w:multiLevelType w:val="hybridMultilevel"/>
    <w:tmpl w:val="73586C48"/>
    <w:lvl w:ilvl="0" w:tplc="B010F534">
      <w:start w:val="1"/>
      <w:numFmt w:val="decimalZero"/>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7562CE"/>
    <w:multiLevelType w:val="hybridMultilevel"/>
    <w:tmpl w:val="65028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E21B5D"/>
    <w:multiLevelType w:val="hybridMultilevel"/>
    <w:tmpl w:val="F6723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4974B1"/>
    <w:multiLevelType w:val="hybridMultilevel"/>
    <w:tmpl w:val="FDBCC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17259AF"/>
    <w:multiLevelType w:val="hybridMultilevel"/>
    <w:tmpl w:val="B06252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E61F6A"/>
    <w:multiLevelType w:val="hybridMultilevel"/>
    <w:tmpl w:val="CCCE9F2E"/>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1">
    <w:nsid w:val="373D55F1"/>
    <w:multiLevelType w:val="hybridMultilevel"/>
    <w:tmpl w:val="B1C8C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A057B6"/>
    <w:multiLevelType w:val="multilevel"/>
    <w:tmpl w:val="7388ABF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DAB79E9"/>
    <w:multiLevelType w:val="hybridMultilevel"/>
    <w:tmpl w:val="71D686AA"/>
    <w:lvl w:ilvl="0" w:tplc="04090001">
      <w:start w:val="1"/>
      <w:numFmt w:val="bullet"/>
      <w:lvlText w:val=""/>
      <w:lvlJc w:val="left"/>
      <w:pPr>
        <w:ind w:left="1684" w:hanging="360"/>
      </w:pPr>
      <w:rPr>
        <w:rFonts w:ascii="Symbol" w:hAnsi="Symbol" w:hint="default"/>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14">
    <w:nsid w:val="41784781"/>
    <w:multiLevelType w:val="hybridMultilevel"/>
    <w:tmpl w:val="4E3CD994"/>
    <w:lvl w:ilvl="0" w:tplc="64940782">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602BE4"/>
    <w:multiLevelType w:val="hybridMultilevel"/>
    <w:tmpl w:val="2D463140"/>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4FCB64AB"/>
    <w:multiLevelType w:val="hybridMultilevel"/>
    <w:tmpl w:val="7D8C0718"/>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7">
    <w:nsid w:val="543D6F2C"/>
    <w:multiLevelType w:val="hybridMultilevel"/>
    <w:tmpl w:val="96CA3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7646A82"/>
    <w:multiLevelType w:val="hybridMultilevel"/>
    <w:tmpl w:val="9774AA94"/>
    <w:lvl w:ilvl="0" w:tplc="04090001">
      <w:start w:val="1"/>
      <w:numFmt w:val="bullet"/>
      <w:lvlText w:val=""/>
      <w:lvlJc w:val="left"/>
      <w:pPr>
        <w:ind w:left="1384" w:hanging="360"/>
      </w:pPr>
      <w:rPr>
        <w:rFonts w:ascii="Symbol" w:hAnsi="Symbol" w:hint="default"/>
      </w:rPr>
    </w:lvl>
    <w:lvl w:ilvl="1" w:tplc="04090003" w:tentative="1">
      <w:start w:val="1"/>
      <w:numFmt w:val="bullet"/>
      <w:lvlText w:val="o"/>
      <w:lvlJc w:val="left"/>
      <w:pPr>
        <w:ind w:left="2104" w:hanging="360"/>
      </w:pPr>
      <w:rPr>
        <w:rFonts w:ascii="Courier New" w:hAnsi="Courier New" w:cs="Courier New" w:hint="default"/>
      </w:rPr>
    </w:lvl>
    <w:lvl w:ilvl="2" w:tplc="04090005" w:tentative="1">
      <w:start w:val="1"/>
      <w:numFmt w:val="bullet"/>
      <w:lvlText w:val=""/>
      <w:lvlJc w:val="left"/>
      <w:pPr>
        <w:ind w:left="2824" w:hanging="360"/>
      </w:pPr>
      <w:rPr>
        <w:rFonts w:ascii="Wingdings" w:hAnsi="Wingdings" w:hint="default"/>
      </w:rPr>
    </w:lvl>
    <w:lvl w:ilvl="3" w:tplc="04090001" w:tentative="1">
      <w:start w:val="1"/>
      <w:numFmt w:val="bullet"/>
      <w:lvlText w:val=""/>
      <w:lvlJc w:val="left"/>
      <w:pPr>
        <w:ind w:left="3544" w:hanging="360"/>
      </w:pPr>
      <w:rPr>
        <w:rFonts w:ascii="Symbol" w:hAnsi="Symbol" w:hint="default"/>
      </w:rPr>
    </w:lvl>
    <w:lvl w:ilvl="4" w:tplc="04090003" w:tentative="1">
      <w:start w:val="1"/>
      <w:numFmt w:val="bullet"/>
      <w:lvlText w:val="o"/>
      <w:lvlJc w:val="left"/>
      <w:pPr>
        <w:ind w:left="4264" w:hanging="360"/>
      </w:pPr>
      <w:rPr>
        <w:rFonts w:ascii="Courier New" w:hAnsi="Courier New" w:cs="Courier New" w:hint="default"/>
      </w:rPr>
    </w:lvl>
    <w:lvl w:ilvl="5" w:tplc="04090005" w:tentative="1">
      <w:start w:val="1"/>
      <w:numFmt w:val="bullet"/>
      <w:lvlText w:val=""/>
      <w:lvlJc w:val="left"/>
      <w:pPr>
        <w:ind w:left="4984" w:hanging="360"/>
      </w:pPr>
      <w:rPr>
        <w:rFonts w:ascii="Wingdings" w:hAnsi="Wingdings" w:hint="default"/>
      </w:rPr>
    </w:lvl>
    <w:lvl w:ilvl="6" w:tplc="04090001" w:tentative="1">
      <w:start w:val="1"/>
      <w:numFmt w:val="bullet"/>
      <w:lvlText w:val=""/>
      <w:lvlJc w:val="left"/>
      <w:pPr>
        <w:ind w:left="5704" w:hanging="360"/>
      </w:pPr>
      <w:rPr>
        <w:rFonts w:ascii="Symbol" w:hAnsi="Symbol" w:hint="default"/>
      </w:rPr>
    </w:lvl>
    <w:lvl w:ilvl="7" w:tplc="04090003" w:tentative="1">
      <w:start w:val="1"/>
      <w:numFmt w:val="bullet"/>
      <w:lvlText w:val="o"/>
      <w:lvlJc w:val="left"/>
      <w:pPr>
        <w:ind w:left="6424" w:hanging="360"/>
      </w:pPr>
      <w:rPr>
        <w:rFonts w:ascii="Courier New" w:hAnsi="Courier New" w:cs="Courier New" w:hint="default"/>
      </w:rPr>
    </w:lvl>
    <w:lvl w:ilvl="8" w:tplc="04090005" w:tentative="1">
      <w:start w:val="1"/>
      <w:numFmt w:val="bullet"/>
      <w:lvlText w:val=""/>
      <w:lvlJc w:val="left"/>
      <w:pPr>
        <w:ind w:left="7144" w:hanging="360"/>
      </w:pPr>
      <w:rPr>
        <w:rFonts w:ascii="Wingdings" w:hAnsi="Wingdings" w:hint="default"/>
      </w:rPr>
    </w:lvl>
  </w:abstractNum>
  <w:abstractNum w:abstractNumId="19">
    <w:nsid w:val="635342A2"/>
    <w:multiLevelType w:val="hybridMultilevel"/>
    <w:tmpl w:val="71401E72"/>
    <w:lvl w:ilvl="0" w:tplc="5DE44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BD357BD"/>
    <w:multiLevelType w:val="hybridMultilevel"/>
    <w:tmpl w:val="748A3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686D84"/>
    <w:multiLevelType w:val="hybridMultilevel"/>
    <w:tmpl w:val="A2E81DFC"/>
    <w:lvl w:ilvl="0" w:tplc="19149A3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7B2C194B"/>
    <w:multiLevelType w:val="hybridMultilevel"/>
    <w:tmpl w:val="066249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D6A2430"/>
    <w:multiLevelType w:val="hybridMultilevel"/>
    <w:tmpl w:val="147E6B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16"/>
  </w:num>
  <w:num w:numId="4">
    <w:abstractNumId w:val="1"/>
  </w:num>
  <w:num w:numId="5">
    <w:abstractNumId w:val="17"/>
  </w:num>
  <w:num w:numId="6">
    <w:abstractNumId w:val="22"/>
  </w:num>
  <w:num w:numId="7">
    <w:abstractNumId w:val="8"/>
  </w:num>
  <w:num w:numId="8">
    <w:abstractNumId w:val="19"/>
  </w:num>
  <w:num w:numId="9">
    <w:abstractNumId w:val="21"/>
  </w:num>
  <w:num w:numId="10">
    <w:abstractNumId w:val="12"/>
  </w:num>
  <w:num w:numId="11">
    <w:abstractNumId w:val="6"/>
  </w:num>
  <w:num w:numId="12">
    <w:abstractNumId w:val="13"/>
  </w:num>
  <w:num w:numId="13">
    <w:abstractNumId w:val="18"/>
  </w:num>
  <w:num w:numId="14">
    <w:abstractNumId w:val="2"/>
  </w:num>
  <w:num w:numId="15">
    <w:abstractNumId w:val="9"/>
  </w:num>
  <w:num w:numId="16">
    <w:abstractNumId w:val="4"/>
  </w:num>
  <w:num w:numId="17">
    <w:abstractNumId w:val="15"/>
  </w:num>
  <w:num w:numId="18">
    <w:abstractNumId w:val="23"/>
  </w:num>
  <w:num w:numId="19">
    <w:abstractNumId w:val="3"/>
  </w:num>
  <w:num w:numId="20">
    <w:abstractNumId w:val="11"/>
  </w:num>
  <w:num w:numId="21">
    <w:abstractNumId w:val="7"/>
  </w:num>
  <w:num w:numId="22">
    <w:abstractNumId w:val="0"/>
  </w:num>
  <w:num w:numId="23">
    <w:abstractNumId w:val="20"/>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529"/>
    <w:rsid w:val="000031EF"/>
    <w:rsid w:val="00016BE2"/>
    <w:rsid w:val="000250F9"/>
    <w:rsid w:val="00026950"/>
    <w:rsid w:val="000324FF"/>
    <w:rsid w:val="000427D4"/>
    <w:rsid w:val="00052B4F"/>
    <w:rsid w:val="000645BA"/>
    <w:rsid w:val="00066152"/>
    <w:rsid w:val="00066ED2"/>
    <w:rsid w:val="000830E2"/>
    <w:rsid w:val="00086C68"/>
    <w:rsid w:val="0008728D"/>
    <w:rsid w:val="00094837"/>
    <w:rsid w:val="00094C7E"/>
    <w:rsid w:val="000A2D42"/>
    <w:rsid w:val="000A2EB5"/>
    <w:rsid w:val="000A591A"/>
    <w:rsid w:val="000B2BF5"/>
    <w:rsid w:val="000B2E9F"/>
    <w:rsid w:val="000B4CE7"/>
    <w:rsid w:val="000B5ADB"/>
    <w:rsid w:val="000C31A1"/>
    <w:rsid w:val="000C6783"/>
    <w:rsid w:val="000E28F1"/>
    <w:rsid w:val="000F0B34"/>
    <w:rsid w:val="000F2BDA"/>
    <w:rsid w:val="00110B01"/>
    <w:rsid w:val="001131E7"/>
    <w:rsid w:val="00113410"/>
    <w:rsid w:val="00113476"/>
    <w:rsid w:val="00123D76"/>
    <w:rsid w:val="00126A4B"/>
    <w:rsid w:val="00132879"/>
    <w:rsid w:val="00132A2B"/>
    <w:rsid w:val="00141E60"/>
    <w:rsid w:val="001545E9"/>
    <w:rsid w:val="00154F18"/>
    <w:rsid w:val="00155EFA"/>
    <w:rsid w:val="00161EED"/>
    <w:rsid w:val="0017459C"/>
    <w:rsid w:val="00175896"/>
    <w:rsid w:val="00182305"/>
    <w:rsid w:val="00193DA0"/>
    <w:rsid w:val="001B0978"/>
    <w:rsid w:val="001B7A0D"/>
    <w:rsid w:val="001C4519"/>
    <w:rsid w:val="001C5E30"/>
    <w:rsid w:val="001D74B1"/>
    <w:rsid w:val="001D787F"/>
    <w:rsid w:val="001E5012"/>
    <w:rsid w:val="001F257C"/>
    <w:rsid w:val="00207777"/>
    <w:rsid w:val="00212BFB"/>
    <w:rsid w:val="00214A0F"/>
    <w:rsid w:val="00224252"/>
    <w:rsid w:val="0023502B"/>
    <w:rsid w:val="00247E8C"/>
    <w:rsid w:val="00263447"/>
    <w:rsid w:val="002640EB"/>
    <w:rsid w:val="0027052B"/>
    <w:rsid w:val="00276682"/>
    <w:rsid w:val="00295828"/>
    <w:rsid w:val="002959F4"/>
    <w:rsid w:val="002A7BBF"/>
    <w:rsid w:val="002C5FF6"/>
    <w:rsid w:val="002D4DDF"/>
    <w:rsid w:val="002D7EA0"/>
    <w:rsid w:val="002E5BBE"/>
    <w:rsid w:val="002F6E92"/>
    <w:rsid w:val="00306EA7"/>
    <w:rsid w:val="003073A2"/>
    <w:rsid w:val="00315CC5"/>
    <w:rsid w:val="00322FA9"/>
    <w:rsid w:val="0032387C"/>
    <w:rsid w:val="00323FA4"/>
    <w:rsid w:val="003256BF"/>
    <w:rsid w:val="00334973"/>
    <w:rsid w:val="0034308B"/>
    <w:rsid w:val="00346852"/>
    <w:rsid w:val="00346D09"/>
    <w:rsid w:val="00347657"/>
    <w:rsid w:val="003527F6"/>
    <w:rsid w:val="00361018"/>
    <w:rsid w:val="003660B3"/>
    <w:rsid w:val="003A2B1C"/>
    <w:rsid w:val="003A6D32"/>
    <w:rsid w:val="003B0BF3"/>
    <w:rsid w:val="003B532B"/>
    <w:rsid w:val="003B73A9"/>
    <w:rsid w:val="003C5F4F"/>
    <w:rsid w:val="003C76F2"/>
    <w:rsid w:val="003D026C"/>
    <w:rsid w:val="003D396E"/>
    <w:rsid w:val="003D7F26"/>
    <w:rsid w:val="003E00BF"/>
    <w:rsid w:val="003E7FA4"/>
    <w:rsid w:val="003F501F"/>
    <w:rsid w:val="003F754B"/>
    <w:rsid w:val="00403606"/>
    <w:rsid w:val="004110AD"/>
    <w:rsid w:val="004153D5"/>
    <w:rsid w:val="00435627"/>
    <w:rsid w:val="00461A04"/>
    <w:rsid w:val="004710BC"/>
    <w:rsid w:val="00474AAF"/>
    <w:rsid w:val="00476824"/>
    <w:rsid w:val="00476E6D"/>
    <w:rsid w:val="00481062"/>
    <w:rsid w:val="00486D1C"/>
    <w:rsid w:val="0049238A"/>
    <w:rsid w:val="004A3885"/>
    <w:rsid w:val="004E2908"/>
    <w:rsid w:val="004F587D"/>
    <w:rsid w:val="00515D3A"/>
    <w:rsid w:val="005208BC"/>
    <w:rsid w:val="00531A9B"/>
    <w:rsid w:val="005351E8"/>
    <w:rsid w:val="005451BD"/>
    <w:rsid w:val="00552123"/>
    <w:rsid w:val="00557529"/>
    <w:rsid w:val="005653BF"/>
    <w:rsid w:val="00576E1B"/>
    <w:rsid w:val="00587A1B"/>
    <w:rsid w:val="005900FC"/>
    <w:rsid w:val="00593B3F"/>
    <w:rsid w:val="00593BEF"/>
    <w:rsid w:val="00596213"/>
    <w:rsid w:val="005A048C"/>
    <w:rsid w:val="005A242D"/>
    <w:rsid w:val="005B4DC3"/>
    <w:rsid w:val="005C3C17"/>
    <w:rsid w:val="005C61D4"/>
    <w:rsid w:val="005E4894"/>
    <w:rsid w:val="005F27D7"/>
    <w:rsid w:val="005F6F5E"/>
    <w:rsid w:val="0060435B"/>
    <w:rsid w:val="00605206"/>
    <w:rsid w:val="00607A38"/>
    <w:rsid w:val="00612C92"/>
    <w:rsid w:val="006172D7"/>
    <w:rsid w:val="00622807"/>
    <w:rsid w:val="0063061D"/>
    <w:rsid w:val="00631D63"/>
    <w:rsid w:val="006325D4"/>
    <w:rsid w:val="006415ED"/>
    <w:rsid w:val="00661C9B"/>
    <w:rsid w:val="00667C11"/>
    <w:rsid w:val="00667F10"/>
    <w:rsid w:val="006700A5"/>
    <w:rsid w:val="00671BF7"/>
    <w:rsid w:val="00671C6C"/>
    <w:rsid w:val="0067346D"/>
    <w:rsid w:val="00690C37"/>
    <w:rsid w:val="00697923"/>
    <w:rsid w:val="006A6AF1"/>
    <w:rsid w:val="006D5C2F"/>
    <w:rsid w:val="006D6920"/>
    <w:rsid w:val="006E22C5"/>
    <w:rsid w:val="006E7FF5"/>
    <w:rsid w:val="006F5721"/>
    <w:rsid w:val="00703B16"/>
    <w:rsid w:val="00716BEE"/>
    <w:rsid w:val="00725962"/>
    <w:rsid w:val="00726DF2"/>
    <w:rsid w:val="00727755"/>
    <w:rsid w:val="007455A7"/>
    <w:rsid w:val="00747697"/>
    <w:rsid w:val="00751161"/>
    <w:rsid w:val="007566E1"/>
    <w:rsid w:val="00760A01"/>
    <w:rsid w:val="00764954"/>
    <w:rsid w:val="00765452"/>
    <w:rsid w:val="0077437C"/>
    <w:rsid w:val="00774EA2"/>
    <w:rsid w:val="00796608"/>
    <w:rsid w:val="007A59E6"/>
    <w:rsid w:val="007B3817"/>
    <w:rsid w:val="007B78AA"/>
    <w:rsid w:val="007C035A"/>
    <w:rsid w:val="007C0B38"/>
    <w:rsid w:val="007D04E5"/>
    <w:rsid w:val="007D2CDE"/>
    <w:rsid w:val="007D7C25"/>
    <w:rsid w:val="007E11EF"/>
    <w:rsid w:val="007E73A4"/>
    <w:rsid w:val="007F1DFC"/>
    <w:rsid w:val="007F7DF2"/>
    <w:rsid w:val="008116ED"/>
    <w:rsid w:val="00825037"/>
    <w:rsid w:val="008302FA"/>
    <w:rsid w:val="008321A0"/>
    <w:rsid w:val="00847610"/>
    <w:rsid w:val="00861D3F"/>
    <w:rsid w:val="00863243"/>
    <w:rsid w:val="00870F6D"/>
    <w:rsid w:val="00871EA9"/>
    <w:rsid w:val="0087618C"/>
    <w:rsid w:val="008812E9"/>
    <w:rsid w:val="00882EAB"/>
    <w:rsid w:val="00884C01"/>
    <w:rsid w:val="008957EE"/>
    <w:rsid w:val="00896081"/>
    <w:rsid w:val="008A3665"/>
    <w:rsid w:val="008A45F7"/>
    <w:rsid w:val="008C2C3B"/>
    <w:rsid w:val="008C487D"/>
    <w:rsid w:val="008C4A3B"/>
    <w:rsid w:val="008D5B34"/>
    <w:rsid w:val="008D634F"/>
    <w:rsid w:val="008E49E4"/>
    <w:rsid w:val="008E6134"/>
    <w:rsid w:val="008F3158"/>
    <w:rsid w:val="00902358"/>
    <w:rsid w:val="00902476"/>
    <w:rsid w:val="00902BA4"/>
    <w:rsid w:val="00906937"/>
    <w:rsid w:val="00934020"/>
    <w:rsid w:val="00936AC8"/>
    <w:rsid w:val="0094033B"/>
    <w:rsid w:val="00947566"/>
    <w:rsid w:val="009559DC"/>
    <w:rsid w:val="00965E0F"/>
    <w:rsid w:val="00971245"/>
    <w:rsid w:val="009721BB"/>
    <w:rsid w:val="00981640"/>
    <w:rsid w:val="00996A06"/>
    <w:rsid w:val="00997985"/>
    <w:rsid w:val="009C4146"/>
    <w:rsid w:val="009C6661"/>
    <w:rsid w:val="009E2DB0"/>
    <w:rsid w:val="009F5391"/>
    <w:rsid w:val="00A0194C"/>
    <w:rsid w:val="00A04443"/>
    <w:rsid w:val="00A17F36"/>
    <w:rsid w:val="00A229AA"/>
    <w:rsid w:val="00A23D84"/>
    <w:rsid w:val="00A315C0"/>
    <w:rsid w:val="00A42F13"/>
    <w:rsid w:val="00A57B7C"/>
    <w:rsid w:val="00A60356"/>
    <w:rsid w:val="00A81962"/>
    <w:rsid w:val="00A94CCC"/>
    <w:rsid w:val="00AA3BAB"/>
    <w:rsid w:val="00AB0BF8"/>
    <w:rsid w:val="00AC16C7"/>
    <w:rsid w:val="00AC1DA7"/>
    <w:rsid w:val="00B02CB1"/>
    <w:rsid w:val="00B112EB"/>
    <w:rsid w:val="00B14069"/>
    <w:rsid w:val="00B16445"/>
    <w:rsid w:val="00B172AE"/>
    <w:rsid w:val="00B25C8D"/>
    <w:rsid w:val="00B301CD"/>
    <w:rsid w:val="00B32AC0"/>
    <w:rsid w:val="00B35B7B"/>
    <w:rsid w:val="00B43C50"/>
    <w:rsid w:val="00B44752"/>
    <w:rsid w:val="00B50569"/>
    <w:rsid w:val="00B526D3"/>
    <w:rsid w:val="00B60C59"/>
    <w:rsid w:val="00B64ADA"/>
    <w:rsid w:val="00B75790"/>
    <w:rsid w:val="00B80877"/>
    <w:rsid w:val="00B8201E"/>
    <w:rsid w:val="00B854E9"/>
    <w:rsid w:val="00BA0D53"/>
    <w:rsid w:val="00BB512A"/>
    <w:rsid w:val="00BB5BA0"/>
    <w:rsid w:val="00BB6CB6"/>
    <w:rsid w:val="00BC7F86"/>
    <w:rsid w:val="00BD5D70"/>
    <w:rsid w:val="00BD7406"/>
    <w:rsid w:val="00BE3B21"/>
    <w:rsid w:val="00BF121F"/>
    <w:rsid w:val="00BF5923"/>
    <w:rsid w:val="00C005D3"/>
    <w:rsid w:val="00C036F6"/>
    <w:rsid w:val="00C12046"/>
    <w:rsid w:val="00C149FE"/>
    <w:rsid w:val="00C157BE"/>
    <w:rsid w:val="00C20CFE"/>
    <w:rsid w:val="00C241B6"/>
    <w:rsid w:val="00C33AB6"/>
    <w:rsid w:val="00C5256A"/>
    <w:rsid w:val="00C5722F"/>
    <w:rsid w:val="00C6459B"/>
    <w:rsid w:val="00C727B5"/>
    <w:rsid w:val="00C76886"/>
    <w:rsid w:val="00C831CD"/>
    <w:rsid w:val="00C83470"/>
    <w:rsid w:val="00CB1F44"/>
    <w:rsid w:val="00CC13BE"/>
    <w:rsid w:val="00CE434D"/>
    <w:rsid w:val="00CE43E2"/>
    <w:rsid w:val="00CF0BE5"/>
    <w:rsid w:val="00CF548F"/>
    <w:rsid w:val="00CF6C00"/>
    <w:rsid w:val="00D06F24"/>
    <w:rsid w:val="00D07095"/>
    <w:rsid w:val="00D221ED"/>
    <w:rsid w:val="00D26545"/>
    <w:rsid w:val="00D4326D"/>
    <w:rsid w:val="00D5688D"/>
    <w:rsid w:val="00D63678"/>
    <w:rsid w:val="00D73A47"/>
    <w:rsid w:val="00D84C1F"/>
    <w:rsid w:val="00D86B74"/>
    <w:rsid w:val="00D93337"/>
    <w:rsid w:val="00DA4546"/>
    <w:rsid w:val="00DA70E2"/>
    <w:rsid w:val="00DC06AD"/>
    <w:rsid w:val="00DC156D"/>
    <w:rsid w:val="00DD4D31"/>
    <w:rsid w:val="00DD5C0F"/>
    <w:rsid w:val="00DD7F8C"/>
    <w:rsid w:val="00DE52A4"/>
    <w:rsid w:val="00DF2F32"/>
    <w:rsid w:val="00E12420"/>
    <w:rsid w:val="00E20882"/>
    <w:rsid w:val="00E27455"/>
    <w:rsid w:val="00E340FA"/>
    <w:rsid w:val="00E37CFA"/>
    <w:rsid w:val="00E43C6C"/>
    <w:rsid w:val="00E60B04"/>
    <w:rsid w:val="00E662A0"/>
    <w:rsid w:val="00E720E1"/>
    <w:rsid w:val="00E84D58"/>
    <w:rsid w:val="00E96FD9"/>
    <w:rsid w:val="00EA56FD"/>
    <w:rsid w:val="00EA6AF9"/>
    <w:rsid w:val="00EB32A9"/>
    <w:rsid w:val="00EB6E40"/>
    <w:rsid w:val="00EC408E"/>
    <w:rsid w:val="00ED0235"/>
    <w:rsid w:val="00ED0D67"/>
    <w:rsid w:val="00EF422F"/>
    <w:rsid w:val="00F12633"/>
    <w:rsid w:val="00F17B4F"/>
    <w:rsid w:val="00F3283C"/>
    <w:rsid w:val="00F33A4A"/>
    <w:rsid w:val="00F341BA"/>
    <w:rsid w:val="00F407AF"/>
    <w:rsid w:val="00F502C3"/>
    <w:rsid w:val="00F61CD4"/>
    <w:rsid w:val="00F61F9E"/>
    <w:rsid w:val="00F63922"/>
    <w:rsid w:val="00F8270E"/>
    <w:rsid w:val="00F83247"/>
    <w:rsid w:val="00F8403C"/>
    <w:rsid w:val="00F8713B"/>
    <w:rsid w:val="00FA3DAD"/>
    <w:rsid w:val="00FA460D"/>
    <w:rsid w:val="00FA7E53"/>
    <w:rsid w:val="00FC0431"/>
    <w:rsid w:val="00FC3515"/>
    <w:rsid w:val="00FC43E9"/>
    <w:rsid w:val="00FF3D70"/>
    <w:rsid w:val="00FF6C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3D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23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403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937"/>
    <w:pPr>
      <w:ind w:left="720"/>
      <w:contextualSpacing/>
    </w:pPr>
  </w:style>
  <w:style w:type="paragraph" w:styleId="Header">
    <w:name w:val="header"/>
    <w:basedOn w:val="Normal"/>
    <w:link w:val="HeaderChar"/>
    <w:uiPriority w:val="99"/>
    <w:unhideWhenUsed/>
    <w:rsid w:val="00ED0D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0D67"/>
  </w:style>
  <w:style w:type="paragraph" w:styleId="Footer">
    <w:name w:val="footer"/>
    <w:basedOn w:val="Normal"/>
    <w:link w:val="FooterChar"/>
    <w:uiPriority w:val="99"/>
    <w:unhideWhenUsed/>
    <w:rsid w:val="00ED0D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0D67"/>
  </w:style>
  <w:style w:type="paragraph" w:styleId="NormalWeb">
    <w:name w:val="Normal (Web)"/>
    <w:basedOn w:val="Normal"/>
    <w:uiPriority w:val="99"/>
    <w:unhideWhenUsed/>
    <w:rsid w:val="00D265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rd">
    <w:name w:val="mord"/>
    <w:basedOn w:val="DefaultParagraphFont"/>
    <w:rsid w:val="006A6AF1"/>
  </w:style>
  <w:style w:type="paragraph" w:styleId="BalloonText">
    <w:name w:val="Balloon Text"/>
    <w:basedOn w:val="Normal"/>
    <w:link w:val="BalloonTextChar"/>
    <w:uiPriority w:val="99"/>
    <w:semiHidden/>
    <w:unhideWhenUsed/>
    <w:rsid w:val="006A6A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AF1"/>
    <w:rPr>
      <w:rFonts w:ascii="Tahoma" w:hAnsi="Tahoma" w:cs="Tahoma"/>
      <w:sz w:val="16"/>
      <w:szCs w:val="16"/>
    </w:rPr>
  </w:style>
  <w:style w:type="character" w:styleId="Strong">
    <w:name w:val="Strong"/>
    <w:basedOn w:val="DefaultParagraphFont"/>
    <w:uiPriority w:val="22"/>
    <w:qFormat/>
    <w:rsid w:val="004710BC"/>
    <w:rPr>
      <w:b/>
      <w:bCs/>
    </w:rPr>
  </w:style>
  <w:style w:type="character" w:customStyle="1" w:styleId="katex-mathml">
    <w:name w:val="katex-mathml"/>
    <w:basedOn w:val="DefaultParagraphFont"/>
    <w:rsid w:val="003256BF"/>
  </w:style>
  <w:style w:type="character" w:customStyle="1" w:styleId="mrel">
    <w:name w:val="mrel"/>
    <w:basedOn w:val="DefaultParagraphFont"/>
    <w:rsid w:val="003256BF"/>
  </w:style>
  <w:style w:type="character" w:customStyle="1" w:styleId="mbin">
    <w:name w:val="mbin"/>
    <w:basedOn w:val="DefaultParagraphFont"/>
    <w:rsid w:val="003256BF"/>
  </w:style>
  <w:style w:type="character" w:customStyle="1" w:styleId="vlist-s">
    <w:name w:val="vlist-s"/>
    <w:basedOn w:val="DefaultParagraphFont"/>
    <w:rsid w:val="003256BF"/>
  </w:style>
  <w:style w:type="character" w:customStyle="1" w:styleId="Heading1Char">
    <w:name w:val="Heading 1 Char"/>
    <w:basedOn w:val="DefaultParagraphFont"/>
    <w:link w:val="Heading1"/>
    <w:uiPriority w:val="9"/>
    <w:rsid w:val="00FF3D70"/>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FF3D7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F3D70"/>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323FA4"/>
    <w:rPr>
      <w:i/>
      <w:iCs/>
      <w:color w:val="808080" w:themeColor="text1" w:themeTint="7F"/>
    </w:rPr>
  </w:style>
  <w:style w:type="paragraph" w:styleId="TOCHeading">
    <w:name w:val="TOC Heading"/>
    <w:basedOn w:val="Heading1"/>
    <w:next w:val="Normal"/>
    <w:uiPriority w:val="39"/>
    <w:semiHidden/>
    <w:unhideWhenUsed/>
    <w:qFormat/>
    <w:rsid w:val="00323FA4"/>
    <w:pPr>
      <w:outlineLvl w:val="9"/>
    </w:pPr>
    <w:rPr>
      <w:lang w:eastAsia="ja-JP"/>
    </w:rPr>
  </w:style>
  <w:style w:type="paragraph" w:styleId="TOC1">
    <w:name w:val="toc 1"/>
    <w:basedOn w:val="Normal"/>
    <w:next w:val="Normal"/>
    <w:autoRedefine/>
    <w:uiPriority w:val="39"/>
    <w:unhideWhenUsed/>
    <w:qFormat/>
    <w:rsid w:val="00323FA4"/>
    <w:pPr>
      <w:spacing w:after="100"/>
    </w:pPr>
  </w:style>
  <w:style w:type="character" w:styleId="Hyperlink">
    <w:name w:val="Hyperlink"/>
    <w:basedOn w:val="DefaultParagraphFont"/>
    <w:uiPriority w:val="99"/>
    <w:unhideWhenUsed/>
    <w:rsid w:val="00323FA4"/>
    <w:rPr>
      <w:color w:val="0000FF" w:themeColor="hyperlink"/>
      <w:u w:val="single"/>
    </w:rPr>
  </w:style>
  <w:style w:type="paragraph" w:styleId="TOC2">
    <w:name w:val="toc 2"/>
    <w:basedOn w:val="Normal"/>
    <w:next w:val="Normal"/>
    <w:autoRedefine/>
    <w:uiPriority w:val="39"/>
    <w:unhideWhenUsed/>
    <w:qFormat/>
    <w:rsid w:val="00323FA4"/>
    <w:pPr>
      <w:spacing w:after="100"/>
      <w:ind w:left="220"/>
    </w:pPr>
    <w:rPr>
      <w:lang w:eastAsia="ja-JP"/>
    </w:rPr>
  </w:style>
  <w:style w:type="paragraph" w:styleId="TOC3">
    <w:name w:val="toc 3"/>
    <w:basedOn w:val="Normal"/>
    <w:next w:val="Normal"/>
    <w:autoRedefine/>
    <w:uiPriority w:val="39"/>
    <w:unhideWhenUsed/>
    <w:qFormat/>
    <w:rsid w:val="00323FA4"/>
    <w:pPr>
      <w:spacing w:after="100"/>
      <w:ind w:left="440"/>
    </w:pPr>
    <w:rPr>
      <w:lang w:eastAsia="ja-JP"/>
    </w:rPr>
  </w:style>
  <w:style w:type="character" w:customStyle="1" w:styleId="Heading2Char">
    <w:name w:val="Heading 2 Char"/>
    <w:basedOn w:val="DefaultParagraphFont"/>
    <w:link w:val="Heading2"/>
    <w:uiPriority w:val="9"/>
    <w:rsid w:val="00323FA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403C"/>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8E6134"/>
    <w:pPr>
      <w:spacing w:after="0" w:line="240" w:lineRule="auto"/>
    </w:pPr>
  </w:style>
  <w:style w:type="character" w:customStyle="1" w:styleId="NoSpacingChar">
    <w:name w:val="No Spacing Char"/>
    <w:basedOn w:val="DefaultParagraphFont"/>
    <w:link w:val="NoSpacing"/>
    <w:uiPriority w:val="1"/>
    <w:rsid w:val="008E6134"/>
    <w:rPr>
      <w:rFonts w:eastAsiaTheme="minorEastAsia"/>
    </w:rPr>
  </w:style>
  <w:style w:type="paragraph" w:styleId="Title">
    <w:name w:val="Title"/>
    <w:basedOn w:val="Normal"/>
    <w:next w:val="Normal"/>
    <w:link w:val="TitleChar"/>
    <w:uiPriority w:val="10"/>
    <w:qFormat/>
    <w:rsid w:val="008E6134"/>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8E6134"/>
    <w:rPr>
      <w:rFonts w:asciiTheme="majorHAnsi" w:eastAsiaTheme="majorEastAsia" w:hAnsiTheme="majorHAnsi" w:cstheme="majorBidi"/>
      <w:color w:val="404040" w:themeColor="text1" w:themeTint="BF"/>
      <w:spacing w:val="-10"/>
      <w:kern w:val="28"/>
      <w:sz w:val="56"/>
      <w:szCs w:val="56"/>
    </w:rPr>
  </w:style>
  <w:style w:type="table" w:styleId="TableGrid">
    <w:name w:val="Table Grid"/>
    <w:basedOn w:val="TableNormal"/>
    <w:uiPriority w:val="59"/>
    <w:unhideWhenUsed/>
    <w:rsid w:val="008E61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1B0978"/>
  </w:style>
  <w:style w:type="character" w:styleId="PlaceholderText">
    <w:name w:val="Placeholder Text"/>
    <w:basedOn w:val="DefaultParagraphFont"/>
    <w:uiPriority w:val="99"/>
    <w:semiHidden/>
    <w:rsid w:val="006415E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3D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23F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403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6937"/>
    <w:pPr>
      <w:ind w:left="720"/>
      <w:contextualSpacing/>
    </w:pPr>
  </w:style>
  <w:style w:type="paragraph" w:styleId="Header">
    <w:name w:val="header"/>
    <w:basedOn w:val="Normal"/>
    <w:link w:val="HeaderChar"/>
    <w:uiPriority w:val="99"/>
    <w:unhideWhenUsed/>
    <w:rsid w:val="00ED0D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0D67"/>
  </w:style>
  <w:style w:type="paragraph" w:styleId="Footer">
    <w:name w:val="footer"/>
    <w:basedOn w:val="Normal"/>
    <w:link w:val="FooterChar"/>
    <w:uiPriority w:val="99"/>
    <w:unhideWhenUsed/>
    <w:rsid w:val="00ED0D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0D67"/>
  </w:style>
  <w:style w:type="paragraph" w:styleId="NormalWeb">
    <w:name w:val="Normal (Web)"/>
    <w:basedOn w:val="Normal"/>
    <w:uiPriority w:val="99"/>
    <w:unhideWhenUsed/>
    <w:rsid w:val="00D265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rd">
    <w:name w:val="mord"/>
    <w:basedOn w:val="DefaultParagraphFont"/>
    <w:rsid w:val="006A6AF1"/>
  </w:style>
  <w:style w:type="paragraph" w:styleId="BalloonText">
    <w:name w:val="Balloon Text"/>
    <w:basedOn w:val="Normal"/>
    <w:link w:val="BalloonTextChar"/>
    <w:uiPriority w:val="99"/>
    <w:semiHidden/>
    <w:unhideWhenUsed/>
    <w:rsid w:val="006A6A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AF1"/>
    <w:rPr>
      <w:rFonts w:ascii="Tahoma" w:hAnsi="Tahoma" w:cs="Tahoma"/>
      <w:sz w:val="16"/>
      <w:szCs w:val="16"/>
    </w:rPr>
  </w:style>
  <w:style w:type="character" w:styleId="Strong">
    <w:name w:val="Strong"/>
    <w:basedOn w:val="DefaultParagraphFont"/>
    <w:uiPriority w:val="22"/>
    <w:qFormat/>
    <w:rsid w:val="004710BC"/>
    <w:rPr>
      <w:b/>
      <w:bCs/>
    </w:rPr>
  </w:style>
  <w:style w:type="character" w:customStyle="1" w:styleId="katex-mathml">
    <w:name w:val="katex-mathml"/>
    <w:basedOn w:val="DefaultParagraphFont"/>
    <w:rsid w:val="003256BF"/>
  </w:style>
  <w:style w:type="character" w:customStyle="1" w:styleId="mrel">
    <w:name w:val="mrel"/>
    <w:basedOn w:val="DefaultParagraphFont"/>
    <w:rsid w:val="003256BF"/>
  </w:style>
  <w:style w:type="character" w:customStyle="1" w:styleId="mbin">
    <w:name w:val="mbin"/>
    <w:basedOn w:val="DefaultParagraphFont"/>
    <w:rsid w:val="003256BF"/>
  </w:style>
  <w:style w:type="character" w:customStyle="1" w:styleId="vlist-s">
    <w:name w:val="vlist-s"/>
    <w:basedOn w:val="DefaultParagraphFont"/>
    <w:rsid w:val="003256BF"/>
  </w:style>
  <w:style w:type="character" w:customStyle="1" w:styleId="Heading1Char">
    <w:name w:val="Heading 1 Char"/>
    <w:basedOn w:val="DefaultParagraphFont"/>
    <w:link w:val="Heading1"/>
    <w:uiPriority w:val="9"/>
    <w:rsid w:val="00FF3D70"/>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FF3D70"/>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F3D70"/>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323FA4"/>
    <w:rPr>
      <w:i/>
      <w:iCs/>
      <w:color w:val="808080" w:themeColor="text1" w:themeTint="7F"/>
    </w:rPr>
  </w:style>
  <w:style w:type="paragraph" w:styleId="TOCHeading">
    <w:name w:val="TOC Heading"/>
    <w:basedOn w:val="Heading1"/>
    <w:next w:val="Normal"/>
    <w:uiPriority w:val="39"/>
    <w:semiHidden/>
    <w:unhideWhenUsed/>
    <w:qFormat/>
    <w:rsid w:val="00323FA4"/>
    <w:pPr>
      <w:outlineLvl w:val="9"/>
    </w:pPr>
    <w:rPr>
      <w:lang w:eastAsia="ja-JP"/>
    </w:rPr>
  </w:style>
  <w:style w:type="paragraph" w:styleId="TOC1">
    <w:name w:val="toc 1"/>
    <w:basedOn w:val="Normal"/>
    <w:next w:val="Normal"/>
    <w:autoRedefine/>
    <w:uiPriority w:val="39"/>
    <w:unhideWhenUsed/>
    <w:qFormat/>
    <w:rsid w:val="00323FA4"/>
    <w:pPr>
      <w:spacing w:after="100"/>
    </w:pPr>
  </w:style>
  <w:style w:type="character" w:styleId="Hyperlink">
    <w:name w:val="Hyperlink"/>
    <w:basedOn w:val="DefaultParagraphFont"/>
    <w:uiPriority w:val="99"/>
    <w:unhideWhenUsed/>
    <w:rsid w:val="00323FA4"/>
    <w:rPr>
      <w:color w:val="0000FF" w:themeColor="hyperlink"/>
      <w:u w:val="single"/>
    </w:rPr>
  </w:style>
  <w:style w:type="paragraph" w:styleId="TOC2">
    <w:name w:val="toc 2"/>
    <w:basedOn w:val="Normal"/>
    <w:next w:val="Normal"/>
    <w:autoRedefine/>
    <w:uiPriority w:val="39"/>
    <w:unhideWhenUsed/>
    <w:qFormat/>
    <w:rsid w:val="00323FA4"/>
    <w:pPr>
      <w:spacing w:after="100"/>
      <w:ind w:left="220"/>
    </w:pPr>
    <w:rPr>
      <w:lang w:eastAsia="ja-JP"/>
    </w:rPr>
  </w:style>
  <w:style w:type="paragraph" w:styleId="TOC3">
    <w:name w:val="toc 3"/>
    <w:basedOn w:val="Normal"/>
    <w:next w:val="Normal"/>
    <w:autoRedefine/>
    <w:uiPriority w:val="39"/>
    <w:unhideWhenUsed/>
    <w:qFormat/>
    <w:rsid w:val="00323FA4"/>
    <w:pPr>
      <w:spacing w:after="100"/>
      <w:ind w:left="440"/>
    </w:pPr>
    <w:rPr>
      <w:lang w:eastAsia="ja-JP"/>
    </w:rPr>
  </w:style>
  <w:style w:type="character" w:customStyle="1" w:styleId="Heading2Char">
    <w:name w:val="Heading 2 Char"/>
    <w:basedOn w:val="DefaultParagraphFont"/>
    <w:link w:val="Heading2"/>
    <w:uiPriority w:val="9"/>
    <w:rsid w:val="00323FA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403C"/>
    <w:rPr>
      <w:rFonts w:asciiTheme="majorHAnsi" w:eastAsiaTheme="majorEastAsia" w:hAnsiTheme="majorHAnsi" w:cstheme="majorBidi"/>
      <w:b/>
      <w:bCs/>
      <w:color w:val="4F81BD" w:themeColor="accent1"/>
    </w:rPr>
  </w:style>
  <w:style w:type="paragraph" w:styleId="NoSpacing">
    <w:name w:val="No Spacing"/>
    <w:link w:val="NoSpacingChar"/>
    <w:uiPriority w:val="1"/>
    <w:qFormat/>
    <w:rsid w:val="008E6134"/>
    <w:pPr>
      <w:spacing w:after="0" w:line="240" w:lineRule="auto"/>
    </w:pPr>
  </w:style>
  <w:style w:type="character" w:customStyle="1" w:styleId="NoSpacingChar">
    <w:name w:val="No Spacing Char"/>
    <w:basedOn w:val="DefaultParagraphFont"/>
    <w:link w:val="NoSpacing"/>
    <w:uiPriority w:val="1"/>
    <w:rsid w:val="008E6134"/>
    <w:rPr>
      <w:rFonts w:eastAsiaTheme="minorEastAsia"/>
    </w:rPr>
  </w:style>
  <w:style w:type="paragraph" w:styleId="Title">
    <w:name w:val="Title"/>
    <w:basedOn w:val="Normal"/>
    <w:next w:val="Normal"/>
    <w:link w:val="TitleChar"/>
    <w:uiPriority w:val="10"/>
    <w:qFormat/>
    <w:rsid w:val="008E6134"/>
    <w:pPr>
      <w:spacing w:after="0" w:line="216" w:lineRule="auto"/>
      <w:contextualSpacing/>
    </w:pPr>
    <w:rPr>
      <w:rFonts w:asciiTheme="majorHAnsi" w:eastAsiaTheme="majorEastAsia" w:hAnsiTheme="majorHAnsi" w:cstheme="majorBidi"/>
      <w:color w:val="404040" w:themeColor="text1" w:themeTint="BF"/>
      <w:spacing w:val="-10"/>
      <w:kern w:val="28"/>
      <w:sz w:val="56"/>
      <w:szCs w:val="56"/>
    </w:rPr>
  </w:style>
  <w:style w:type="character" w:customStyle="1" w:styleId="TitleChar">
    <w:name w:val="Title Char"/>
    <w:basedOn w:val="DefaultParagraphFont"/>
    <w:link w:val="Title"/>
    <w:uiPriority w:val="10"/>
    <w:rsid w:val="008E6134"/>
    <w:rPr>
      <w:rFonts w:asciiTheme="majorHAnsi" w:eastAsiaTheme="majorEastAsia" w:hAnsiTheme="majorHAnsi" w:cstheme="majorBidi"/>
      <w:color w:val="404040" w:themeColor="text1" w:themeTint="BF"/>
      <w:spacing w:val="-10"/>
      <w:kern w:val="28"/>
      <w:sz w:val="56"/>
      <w:szCs w:val="56"/>
    </w:rPr>
  </w:style>
  <w:style w:type="table" w:styleId="TableGrid">
    <w:name w:val="Table Grid"/>
    <w:basedOn w:val="TableNormal"/>
    <w:uiPriority w:val="59"/>
    <w:unhideWhenUsed/>
    <w:rsid w:val="008E61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unhideWhenUsed/>
    <w:rsid w:val="001B0978"/>
  </w:style>
  <w:style w:type="character" w:styleId="PlaceholderText">
    <w:name w:val="Placeholder Text"/>
    <w:basedOn w:val="DefaultParagraphFont"/>
    <w:uiPriority w:val="99"/>
    <w:semiHidden/>
    <w:rsid w:val="006415E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6183">
      <w:bodyDiv w:val="1"/>
      <w:marLeft w:val="0"/>
      <w:marRight w:val="0"/>
      <w:marTop w:val="0"/>
      <w:marBottom w:val="0"/>
      <w:divBdr>
        <w:top w:val="none" w:sz="0" w:space="0" w:color="auto"/>
        <w:left w:val="none" w:sz="0" w:space="0" w:color="auto"/>
        <w:bottom w:val="none" w:sz="0" w:space="0" w:color="auto"/>
        <w:right w:val="none" w:sz="0" w:space="0" w:color="auto"/>
      </w:divBdr>
    </w:div>
    <w:div w:id="12418757">
      <w:bodyDiv w:val="1"/>
      <w:marLeft w:val="0"/>
      <w:marRight w:val="0"/>
      <w:marTop w:val="0"/>
      <w:marBottom w:val="0"/>
      <w:divBdr>
        <w:top w:val="none" w:sz="0" w:space="0" w:color="auto"/>
        <w:left w:val="none" w:sz="0" w:space="0" w:color="auto"/>
        <w:bottom w:val="none" w:sz="0" w:space="0" w:color="auto"/>
        <w:right w:val="none" w:sz="0" w:space="0" w:color="auto"/>
      </w:divBdr>
    </w:div>
    <w:div w:id="47652153">
      <w:bodyDiv w:val="1"/>
      <w:marLeft w:val="0"/>
      <w:marRight w:val="0"/>
      <w:marTop w:val="0"/>
      <w:marBottom w:val="0"/>
      <w:divBdr>
        <w:top w:val="none" w:sz="0" w:space="0" w:color="auto"/>
        <w:left w:val="none" w:sz="0" w:space="0" w:color="auto"/>
        <w:bottom w:val="none" w:sz="0" w:space="0" w:color="auto"/>
        <w:right w:val="none" w:sz="0" w:space="0" w:color="auto"/>
      </w:divBdr>
    </w:div>
    <w:div w:id="115418408">
      <w:bodyDiv w:val="1"/>
      <w:marLeft w:val="0"/>
      <w:marRight w:val="0"/>
      <w:marTop w:val="0"/>
      <w:marBottom w:val="0"/>
      <w:divBdr>
        <w:top w:val="none" w:sz="0" w:space="0" w:color="auto"/>
        <w:left w:val="none" w:sz="0" w:space="0" w:color="auto"/>
        <w:bottom w:val="none" w:sz="0" w:space="0" w:color="auto"/>
        <w:right w:val="none" w:sz="0" w:space="0" w:color="auto"/>
      </w:divBdr>
    </w:div>
    <w:div w:id="352000060">
      <w:bodyDiv w:val="1"/>
      <w:marLeft w:val="0"/>
      <w:marRight w:val="0"/>
      <w:marTop w:val="0"/>
      <w:marBottom w:val="0"/>
      <w:divBdr>
        <w:top w:val="none" w:sz="0" w:space="0" w:color="auto"/>
        <w:left w:val="none" w:sz="0" w:space="0" w:color="auto"/>
        <w:bottom w:val="none" w:sz="0" w:space="0" w:color="auto"/>
        <w:right w:val="none" w:sz="0" w:space="0" w:color="auto"/>
      </w:divBdr>
    </w:div>
    <w:div w:id="395669977">
      <w:bodyDiv w:val="1"/>
      <w:marLeft w:val="0"/>
      <w:marRight w:val="0"/>
      <w:marTop w:val="0"/>
      <w:marBottom w:val="0"/>
      <w:divBdr>
        <w:top w:val="none" w:sz="0" w:space="0" w:color="auto"/>
        <w:left w:val="none" w:sz="0" w:space="0" w:color="auto"/>
        <w:bottom w:val="none" w:sz="0" w:space="0" w:color="auto"/>
        <w:right w:val="none" w:sz="0" w:space="0" w:color="auto"/>
      </w:divBdr>
    </w:div>
    <w:div w:id="438764879">
      <w:bodyDiv w:val="1"/>
      <w:marLeft w:val="0"/>
      <w:marRight w:val="0"/>
      <w:marTop w:val="0"/>
      <w:marBottom w:val="0"/>
      <w:divBdr>
        <w:top w:val="none" w:sz="0" w:space="0" w:color="auto"/>
        <w:left w:val="none" w:sz="0" w:space="0" w:color="auto"/>
        <w:bottom w:val="none" w:sz="0" w:space="0" w:color="auto"/>
        <w:right w:val="none" w:sz="0" w:space="0" w:color="auto"/>
      </w:divBdr>
    </w:div>
    <w:div w:id="451948353">
      <w:bodyDiv w:val="1"/>
      <w:marLeft w:val="0"/>
      <w:marRight w:val="0"/>
      <w:marTop w:val="0"/>
      <w:marBottom w:val="0"/>
      <w:divBdr>
        <w:top w:val="none" w:sz="0" w:space="0" w:color="auto"/>
        <w:left w:val="none" w:sz="0" w:space="0" w:color="auto"/>
        <w:bottom w:val="none" w:sz="0" w:space="0" w:color="auto"/>
        <w:right w:val="none" w:sz="0" w:space="0" w:color="auto"/>
      </w:divBdr>
    </w:div>
    <w:div w:id="525211978">
      <w:bodyDiv w:val="1"/>
      <w:marLeft w:val="0"/>
      <w:marRight w:val="0"/>
      <w:marTop w:val="0"/>
      <w:marBottom w:val="0"/>
      <w:divBdr>
        <w:top w:val="none" w:sz="0" w:space="0" w:color="auto"/>
        <w:left w:val="none" w:sz="0" w:space="0" w:color="auto"/>
        <w:bottom w:val="none" w:sz="0" w:space="0" w:color="auto"/>
        <w:right w:val="none" w:sz="0" w:space="0" w:color="auto"/>
      </w:divBdr>
    </w:div>
    <w:div w:id="691760592">
      <w:bodyDiv w:val="1"/>
      <w:marLeft w:val="0"/>
      <w:marRight w:val="0"/>
      <w:marTop w:val="0"/>
      <w:marBottom w:val="0"/>
      <w:divBdr>
        <w:top w:val="none" w:sz="0" w:space="0" w:color="auto"/>
        <w:left w:val="none" w:sz="0" w:space="0" w:color="auto"/>
        <w:bottom w:val="none" w:sz="0" w:space="0" w:color="auto"/>
        <w:right w:val="none" w:sz="0" w:space="0" w:color="auto"/>
      </w:divBdr>
    </w:div>
    <w:div w:id="857043207">
      <w:bodyDiv w:val="1"/>
      <w:marLeft w:val="0"/>
      <w:marRight w:val="0"/>
      <w:marTop w:val="0"/>
      <w:marBottom w:val="0"/>
      <w:divBdr>
        <w:top w:val="none" w:sz="0" w:space="0" w:color="auto"/>
        <w:left w:val="none" w:sz="0" w:space="0" w:color="auto"/>
        <w:bottom w:val="none" w:sz="0" w:space="0" w:color="auto"/>
        <w:right w:val="none" w:sz="0" w:space="0" w:color="auto"/>
      </w:divBdr>
    </w:div>
    <w:div w:id="915550191">
      <w:bodyDiv w:val="1"/>
      <w:marLeft w:val="0"/>
      <w:marRight w:val="0"/>
      <w:marTop w:val="0"/>
      <w:marBottom w:val="0"/>
      <w:divBdr>
        <w:top w:val="none" w:sz="0" w:space="0" w:color="auto"/>
        <w:left w:val="none" w:sz="0" w:space="0" w:color="auto"/>
        <w:bottom w:val="none" w:sz="0" w:space="0" w:color="auto"/>
        <w:right w:val="none" w:sz="0" w:space="0" w:color="auto"/>
      </w:divBdr>
    </w:div>
    <w:div w:id="1136336825">
      <w:bodyDiv w:val="1"/>
      <w:marLeft w:val="0"/>
      <w:marRight w:val="0"/>
      <w:marTop w:val="0"/>
      <w:marBottom w:val="0"/>
      <w:divBdr>
        <w:top w:val="none" w:sz="0" w:space="0" w:color="auto"/>
        <w:left w:val="none" w:sz="0" w:space="0" w:color="auto"/>
        <w:bottom w:val="none" w:sz="0" w:space="0" w:color="auto"/>
        <w:right w:val="none" w:sz="0" w:space="0" w:color="auto"/>
      </w:divBdr>
    </w:div>
    <w:div w:id="1206067152">
      <w:bodyDiv w:val="1"/>
      <w:marLeft w:val="0"/>
      <w:marRight w:val="0"/>
      <w:marTop w:val="0"/>
      <w:marBottom w:val="0"/>
      <w:divBdr>
        <w:top w:val="none" w:sz="0" w:space="0" w:color="auto"/>
        <w:left w:val="none" w:sz="0" w:space="0" w:color="auto"/>
        <w:bottom w:val="none" w:sz="0" w:space="0" w:color="auto"/>
        <w:right w:val="none" w:sz="0" w:space="0" w:color="auto"/>
      </w:divBdr>
    </w:div>
    <w:div w:id="1316686166">
      <w:bodyDiv w:val="1"/>
      <w:marLeft w:val="0"/>
      <w:marRight w:val="0"/>
      <w:marTop w:val="0"/>
      <w:marBottom w:val="0"/>
      <w:divBdr>
        <w:top w:val="none" w:sz="0" w:space="0" w:color="auto"/>
        <w:left w:val="none" w:sz="0" w:space="0" w:color="auto"/>
        <w:bottom w:val="none" w:sz="0" w:space="0" w:color="auto"/>
        <w:right w:val="none" w:sz="0" w:space="0" w:color="auto"/>
      </w:divBdr>
    </w:div>
    <w:div w:id="1433546714">
      <w:bodyDiv w:val="1"/>
      <w:marLeft w:val="0"/>
      <w:marRight w:val="0"/>
      <w:marTop w:val="0"/>
      <w:marBottom w:val="0"/>
      <w:divBdr>
        <w:top w:val="none" w:sz="0" w:space="0" w:color="auto"/>
        <w:left w:val="none" w:sz="0" w:space="0" w:color="auto"/>
        <w:bottom w:val="none" w:sz="0" w:space="0" w:color="auto"/>
        <w:right w:val="none" w:sz="0" w:space="0" w:color="auto"/>
      </w:divBdr>
    </w:div>
    <w:div w:id="1446194348">
      <w:bodyDiv w:val="1"/>
      <w:marLeft w:val="0"/>
      <w:marRight w:val="0"/>
      <w:marTop w:val="0"/>
      <w:marBottom w:val="0"/>
      <w:divBdr>
        <w:top w:val="none" w:sz="0" w:space="0" w:color="auto"/>
        <w:left w:val="none" w:sz="0" w:space="0" w:color="auto"/>
        <w:bottom w:val="none" w:sz="0" w:space="0" w:color="auto"/>
        <w:right w:val="none" w:sz="0" w:space="0" w:color="auto"/>
      </w:divBdr>
    </w:div>
    <w:div w:id="1493716739">
      <w:bodyDiv w:val="1"/>
      <w:marLeft w:val="0"/>
      <w:marRight w:val="0"/>
      <w:marTop w:val="0"/>
      <w:marBottom w:val="0"/>
      <w:divBdr>
        <w:top w:val="none" w:sz="0" w:space="0" w:color="auto"/>
        <w:left w:val="none" w:sz="0" w:space="0" w:color="auto"/>
        <w:bottom w:val="none" w:sz="0" w:space="0" w:color="auto"/>
        <w:right w:val="none" w:sz="0" w:space="0" w:color="auto"/>
      </w:divBdr>
    </w:div>
    <w:div w:id="1540627266">
      <w:bodyDiv w:val="1"/>
      <w:marLeft w:val="0"/>
      <w:marRight w:val="0"/>
      <w:marTop w:val="0"/>
      <w:marBottom w:val="0"/>
      <w:divBdr>
        <w:top w:val="none" w:sz="0" w:space="0" w:color="auto"/>
        <w:left w:val="none" w:sz="0" w:space="0" w:color="auto"/>
        <w:bottom w:val="none" w:sz="0" w:space="0" w:color="auto"/>
        <w:right w:val="none" w:sz="0" w:space="0" w:color="auto"/>
      </w:divBdr>
    </w:div>
    <w:div w:id="1556820597">
      <w:bodyDiv w:val="1"/>
      <w:marLeft w:val="0"/>
      <w:marRight w:val="0"/>
      <w:marTop w:val="0"/>
      <w:marBottom w:val="0"/>
      <w:divBdr>
        <w:top w:val="none" w:sz="0" w:space="0" w:color="auto"/>
        <w:left w:val="none" w:sz="0" w:space="0" w:color="auto"/>
        <w:bottom w:val="none" w:sz="0" w:space="0" w:color="auto"/>
        <w:right w:val="none" w:sz="0" w:space="0" w:color="auto"/>
      </w:divBdr>
    </w:div>
    <w:div w:id="1563829705">
      <w:bodyDiv w:val="1"/>
      <w:marLeft w:val="0"/>
      <w:marRight w:val="0"/>
      <w:marTop w:val="0"/>
      <w:marBottom w:val="0"/>
      <w:divBdr>
        <w:top w:val="none" w:sz="0" w:space="0" w:color="auto"/>
        <w:left w:val="none" w:sz="0" w:space="0" w:color="auto"/>
        <w:bottom w:val="none" w:sz="0" w:space="0" w:color="auto"/>
        <w:right w:val="none" w:sz="0" w:space="0" w:color="auto"/>
      </w:divBdr>
    </w:div>
    <w:div w:id="1648047216">
      <w:bodyDiv w:val="1"/>
      <w:marLeft w:val="0"/>
      <w:marRight w:val="0"/>
      <w:marTop w:val="0"/>
      <w:marBottom w:val="0"/>
      <w:divBdr>
        <w:top w:val="none" w:sz="0" w:space="0" w:color="auto"/>
        <w:left w:val="none" w:sz="0" w:space="0" w:color="auto"/>
        <w:bottom w:val="none" w:sz="0" w:space="0" w:color="auto"/>
        <w:right w:val="none" w:sz="0" w:space="0" w:color="auto"/>
      </w:divBdr>
      <w:divsChild>
        <w:div w:id="1731078826">
          <w:marLeft w:val="0"/>
          <w:marRight w:val="0"/>
          <w:marTop w:val="0"/>
          <w:marBottom w:val="0"/>
          <w:divBdr>
            <w:top w:val="none" w:sz="0" w:space="0" w:color="auto"/>
            <w:left w:val="none" w:sz="0" w:space="0" w:color="auto"/>
            <w:bottom w:val="none" w:sz="0" w:space="0" w:color="auto"/>
            <w:right w:val="none" w:sz="0" w:space="0" w:color="auto"/>
          </w:divBdr>
          <w:divsChild>
            <w:div w:id="171529381">
              <w:marLeft w:val="0"/>
              <w:marRight w:val="0"/>
              <w:marTop w:val="0"/>
              <w:marBottom w:val="0"/>
              <w:divBdr>
                <w:top w:val="none" w:sz="0" w:space="0" w:color="auto"/>
                <w:left w:val="none" w:sz="0" w:space="0" w:color="auto"/>
                <w:bottom w:val="none" w:sz="0" w:space="0" w:color="auto"/>
                <w:right w:val="none" w:sz="0" w:space="0" w:color="auto"/>
              </w:divBdr>
              <w:divsChild>
                <w:div w:id="1175420537">
                  <w:marLeft w:val="0"/>
                  <w:marRight w:val="0"/>
                  <w:marTop w:val="0"/>
                  <w:marBottom w:val="0"/>
                  <w:divBdr>
                    <w:top w:val="none" w:sz="0" w:space="0" w:color="auto"/>
                    <w:left w:val="none" w:sz="0" w:space="0" w:color="auto"/>
                    <w:bottom w:val="none" w:sz="0" w:space="0" w:color="auto"/>
                    <w:right w:val="none" w:sz="0" w:space="0" w:color="auto"/>
                  </w:divBdr>
                  <w:divsChild>
                    <w:div w:id="2086953559">
                      <w:marLeft w:val="0"/>
                      <w:marRight w:val="0"/>
                      <w:marTop w:val="0"/>
                      <w:marBottom w:val="0"/>
                      <w:divBdr>
                        <w:top w:val="none" w:sz="0" w:space="0" w:color="auto"/>
                        <w:left w:val="none" w:sz="0" w:space="0" w:color="auto"/>
                        <w:bottom w:val="none" w:sz="0" w:space="0" w:color="auto"/>
                        <w:right w:val="none" w:sz="0" w:space="0" w:color="auto"/>
                      </w:divBdr>
                    </w:div>
                    <w:div w:id="1050105342">
                      <w:marLeft w:val="0"/>
                      <w:marRight w:val="0"/>
                      <w:marTop w:val="0"/>
                      <w:marBottom w:val="0"/>
                      <w:divBdr>
                        <w:top w:val="none" w:sz="0" w:space="0" w:color="auto"/>
                        <w:left w:val="none" w:sz="0" w:space="0" w:color="auto"/>
                        <w:bottom w:val="none" w:sz="0" w:space="0" w:color="auto"/>
                        <w:right w:val="none" w:sz="0" w:space="0" w:color="auto"/>
                      </w:divBdr>
                    </w:div>
                    <w:div w:id="2396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511121">
      <w:bodyDiv w:val="1"/>
      <w:marLeft w:val="0"/>
      <w:marRight w:val="0"/>
      <w:marTop w:val="0"/>
      <w:marBottom w:val="0"/>
      <w:divBdr>
        <w:top w:val="none" w:sz="0" w:space="0" w:color="auto"/>
        <w:left w:val="none" w:sz="0" w:space="0" w:color="auto"/>
        <w:bottom w:val="none" w:sz="0" w:space="0" w:color="auto"/>
        <w:right w:val="none" w:sz="0" w:space="0" w:color="auto"/>
      </w:divBdr>
    </w:div>
    <w:div w:id="1791774780">
      <w:bodyDiv w:val="1"/>
      <w:marLeft w:val="0"/>
      <w:marRight w:val="0"/>
      <w:marTop w:val="0"/>
      <w:marBottom w:val="0"/>
      <w:divBdr>
        <w:top w:val="none" w:sz="0" w:space="0" w:color="auto"/>
        <w:left w:val="none" w:sz="0" w:space="0" w:color="auto"/>
        <w:bottom w:val="none" w:sz="0" w:space="0" w:color="auto"/>
        <w:right w:val="none" w:sz="0" w:space="0" w:color="auto"/>
      </w:divBdr>
      <w:divsChild>
        <w:div w:id="1530022943">
          <w:marLeft w:val="0"/>
          <w:marRight w:val="0"/>
          <w:marTop w:val="0"/>
          <w:marBottom w:val="0"/>
          <w:divBdr>
            <w:top w:val="none" w:sz="0" w:space="0" w:color="auto"/>
            <w:left w:val="none" w:sz="0" w:space="0" w:color="auto"/>
            <w:bottom w:val="none" w:sz="0" w:space="0" w:color="auto"/>
            <w:right w:val="none" w:sz="0" w:space="0" w:color="auto"/>
          </w:divBdr>
          <w:divsChild>
            <w:div w:id="1000814361">
              <w:marLeft w:val="0"/>
              <w:marRight w:val="0"/>
              <w:marTop w:val="0"/>
              <w:marBottom w:val="0"/>
              <w:divBdr>
                <w:top w:val="none" w:sz="0" w:space="0" w:color="auto"/>
                <w:left w:val="none" w:sz="0" w:space="0" w:color="auto"/>
                <w:bottom w:val="none" w:sz="0" w:space="0" w:color="auto"/>
                <w:right w:val="none" w:sz="0" w:space="0" w:color="auto"/>
              </w:divBdr>
              <w:divsChild>
                <w:div w:id="1599099207">
                  <w:marLeft w:val="0"/>
                  <w:marRight w:val="0"/>
                  <w:marTop w:val="0"/>
                  <w:marBottom w:val="0"/>
                  <w:divBdr>
                    <w:top w:val="none" w:sz="0" w:space="0" w:color="auto"/>
                    <w:left w:val="none" w:sz="0" w:space="0" w:color="auto"/>
                    <w:bottom w:val="none" w:sz="0" w:space="0" w:color="auto"/>
                    <w:right w:val="none" w:sz="0" w:space="0" w:color="auto"/>
                  </w:divBdr>
                  <w:divsChild>
                    <w:div w:id="164713373">
                      <w:marLeft w:val="0"/>
                      <w:marRight w:val="0"/>
                      <w:marTop w:val="0"/>
                      <w:marBottom w:val="0"/>
                      <w:divBdr>
                        <w:top w:val="none" w:sz="0" w:space="0" w:color="auto"/>
                        <w:left w:val="none" w:sz="0" w:space="0" w:color="auto"/>
                        <w:bottom w:val="none" w:sz="0" w:space="0" w:color="auto"/>
                        <w:right w:val="none" w:sz="0" w:space="0" w:color="auto"/>
                      </w:divBdr>
                    </w:div>
                    <w:div w:id="1457483054">
                      <w:marLeft w:val="0"/>
                      <w:marRight w:val="0"/>
                      <w:marTop w:val="0"/>
                      <w:marBottom w:val="0"/>
                      <w:divBdr>
                        <w:top w:val="none" w:sz="0" w:space="0" w:color="auto"/>
                        <w:left w:val="none" w:sz="0" w:space="0" w:color="auto"/>
                        <w:bottom w:val="none" w:sz="0" w:space="0" w:color="auto"/>
                        <w:right w:val="none" w:sz="0" w:space="0" w:color="auto"/>
                      </w:divBdr>
                    </w:div>
                    <w:div w:id="72143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66482">
      <w:bodyDiv w:val="1"/>
      <w:marLeft w:val="0"/>
      <w:marRight w:val="0"/>
      <w:marTop w:val="0"/>
      <w:marBottom w:val="0"/>
      <w:divBdr>
        <w:top w:val="none" w:sz="0" w:space="0" w:color="auto"/>
        <w:left w:val="none" w:sz="0" w:space="0" w:color="auto"/>
        <w:bottom w:val="none" w:sz="0" w:space="0" w:color="auto"/>
        <w:right w:val="none" w:sz="0" w:space="0" w:color="auto"/>
      </w:divBdr>
    </w:div>
    <w:div w:id="1823541858">
      <w:bodyDiv w:val="1"/>
      <w:marLeft w:val="0"/>
      <w:marRight w:val="0"/>
      <w:marTop w:val="0"/>
      <w:marBottom w:val="0"/>
      <w:divBdr>
        <w:top w:val="none" w:sz="0" w:space="0" w:color="auto"/>
        <w:left w:val="none" w:sz="0" w:space="0" w:color="auto"/>
        <w:bottom w:val="none" w:sz="0" w:space="0" w:color="auto"/>
        <w:right w:val="none" w:sz="0" w:space="0" w:color="auto"/>
      </w:divBdr>
    </w:div>
    <w:div w:id="1898542853">
      <w:bodyDiv w:val="1"/>
      <w:marLeft w:val="0"/>
      <w:marRight w:val="0"/>
      <w:marTop w:val="0"/>
      <w:marBottom w:val="0"/>
      <w:divBdr>
        <w:top w:val="none" w:sz="0" w:space="0" w:color="auto"/>
        <w:left w:val="none" w:sz="0" w:space="0" w:color="auto"/>
        <w:bottom w:val="none" w:sz="0" w:space="0" w:color="auto"/>
        <w:right w:val="none" w:sz="0" w:space="0" w:color="auto"/>
      </w:divBdr>
    </w:div>
    <w:div w:id="1903785464">
      <w:bodyDiv w:val="1"/>
      <w:marLeft w:val="0"/>
      <w:marRight w:val="0"/>
      <w:marTop w:val="0"/>
      <w:marBottom w:val="0"/>
      <w:divBdr>
        <w:top w:val="none" w:sz="0" w:space="0" w:color="auto"/>
        <w:left w:val="none" w:sz="0" w:space="0" w:color="auto"/>
        <w:bottom w:val="none" w:sz="0" w:space="0" w:color="auto"/>
        <w:right w:val="none" w:sz="0" w:space="0" w:color="auto"/>
      </w:divBdr>
      <w:divsChild>
        <w:div w:id="85227701">
          <w:marLeft w:val="0"/>
          <w:marRight w:val="0"/>
          <w:marTop w:val="0"/>
          <w:marBottom w:val="0"/>
          <w:divBdr>
            <w:top w:val="none" w:sz="0" w:space="0" w:color="auto"/>
            <w:left w:val="none" w:sz="0" w:space="0" w:color="auto"/>
            <w:bottom w:val="none" w:sz="0" w:space="0" w:color="auto"/>
            <w:right w:val="none" w:sz="0" w:space="0" w:color="auto"/>
          </w:divBdr>
          <w:divsChild>
            <w:div w:id="687802235">
              <w:marLeft w:val="0"/>
              <w:marRight w:val="0"/>
              <w:marTop w:val="0"/>
              <w:marBottom w:val="0"/>
              <w:divBdr>
                <w:top w:val="none" w:sz="0" w:space="0" w:color="auto"/>
                <w:left w:val="none" w:sz="0" w:space="0" w:color="auto"/>
                <w:bottom w:val="none" w:sz="0" w:space="0" w:color="auto"/>
                <w:right w:val="none" w:sz="0" w:space="0" w:color="auto"/>
              </w:divBdr>
              <w:divsChild>
                <w:div w:id="1360353043">
                  <w:marLeft w:val="0"/>
                  <w:marRight w:val="0"/>
                  <w:marTop w:val="0"/>
                  <w:marBottom w:val="0"/>
                  <w:divBdr>
                    <w:top w:val="none" w:sz="0" w:space="0" w:color="auto"/>
                    <w:left w:val="none" w:sz="0" w:space="0" w:color="auto"/>
                    <w:bottom w:val="none" w:sz="0" w:space="0" w:color="auto"/>
                    <w:right w:val="none" w:sz="0" w:space="0" w:color="auto"/>
                  </w:divBdr>
                  <w:divsChild>
                    <w:div w:id="184393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918895">
      <w:bodyDiv w:val="1"/>
      <w:marLeft w:val="0"/>
      <w:marRight w:val="0"/>
      <w:marTop w:val="0"/>
      <w:marBottom w:val="0"/>
      <w:divBdr>
        <w:top w:val="none" w:sz="0" w:space="0" w:color="auto"/>
        <w:left w:val="none" w:sz="0" w:space="0" w:color="auto"/>
        <w:bottom w:val="none" w:sz="0" w:space="0" w:color="auto"/>
        <w:right w:val="none" w:sz="0" w:space="0" w:color="auto"/>
      </w:divBdr>
    </w:div>
    <w:div w:id="1945074160">
      <w:bodyDiv w:val="1"/>
      <w:marLeft w:val="0"/>
      <w:marRight w:val="0"/>
      <w:marTop w:val="0"/>
      <w:marBottom w:val="0"/>
      <w:divBdr>
        <w:top w:val="none" w:sz="0" w:space="0" w:color="auto"/>
        <w:left w:val="none" w:sz="0" w:space="0" w:color="auto"/>
        <w:bottom w:val="none" w:sz="0" w:space="0" w:color="auto"/>
        <w:right w:val="none" w:sz="0" w:space="0" w:color="auto"/>
      </w:divBdr>
    </w:div>
    <w:div w:id="1995717116">
      <w:bodyDiv w:val="1"/>
      <w:marLeft w:val="0"/>
      <w:marRight w:val="0"/>
      <w:marTop w:val="0"/>
      <w:marBottom w:val="0"/>
      <w:divBdr>
        <w:top w:val="none" w:sz="0" w:space="0" w:color="auto"/>
        <w:left w:val="none" w:sz="0" w:space="0" w:color="auto"/>
        <w:bottom w:val="none" w:sz="0" w:space="0" w:color="auto"/>
        <w:right w:val="none" w:sz="0" w:space="0" w:color="auto"/>
      </w:divBdr>
      <w:divsChild>
        <w:div w:id="810246644">
          <w:marLeft w:val="0"/>
          <w:marRight w:val="0"/>
          <w:marTop w:val="0"/>
          <w:marBottom w:val="0"/>
          <w:divBdr>
            <w:top w:val="none" w:sz="0" w:space="0" w:color="auto"/>
            <w:left w:val="none" w:sz="0" w:space="0" w:color="auto"/>
            <w:bottom w:val="none" w:sz="0" w:space="0" w:color="auto"/>
            <w:right w:val="none" w:sz="0" w:space="0" w:color="auto"/>
          </w:divBdr>
          <w:divsChild>
            <w:div w:id="1711028072">
              <w:marLeft w:val="0"/>
              <w:marRight w:val="0"/>
              <w:marTop w:val="0"/>
              <w:marBottom w:val="750"/>
              <w:divBdr>
                <w:top w:val="none" w:sz="0" w:space="0" w:color="auto"/>
                <w:left w:val="none" w:sz="0" w:space="0" w:color="auto"/>
                <w:bottom w:val="none" w:sz="0" w:space="0" w:color="auto"/>
                <w:right w:val="none" w:sz="0" w:space="0" w:color="auto"/>
              </w:divBdr>
              <w:divsChild>
                <w:div w:id="1201166832">
                  <w:marLeft w:val="0"/>
                  <w:marRight w:val="0"/>
                  <w:marTop w:val="0"/>
                  <w:marBottom w:val="0"/>
                  <w:divBdr>
                    <w:top w:val="none" w:sz="0" w:space="0" w:color="auto"/>
                    <w:left w:val="none" w:sz="0" w:space="0" w:color="auto"/>
                    <w:bottom w:val="none" w:sz="0" w:space="0" w:color="auto"/>
                    <w:right w:val="none" w:sz="0" w:space="0" w:color="auto"/>
                  </w:divBdr>
                  <w:divsChild>
                    <w:div w:id="2068648072">
                      <w:marLeft w:val="0"/>
                      <w:marRight w:val="0"/>
                      <w:marTop w:val="0"/>
                      <w:marBottom w:val="0"/>
                      <w:divBdr>
                        <w:top w:val="none" w:sz="0" w:space="0" w:color="auto"/>
                        <w:left w:val="none" w:sz="0" w:space="0" w:color="auto"/>
                        <w:bottom w:val="none" w:sz="0" w:space="0" w:color="auto"/>
                        <w:right w:val="none" w:sz="0" w:space="0" w:color="auto"/>
                      </w:divBdr>
                      <w:divsChild>
                        <w:div w:id="842666112">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8901689">
      <w:bodyDiv w:val="1"/>
      <w:marLeft w:val="0"/>
      <w:marRight w:val="0"/>
      <w:marTop w:val="0"/>
      <w:marBottom w:val="0"/>
      <w:divBdr>
        <w:top w:val="none" w:sz="0" w:space="0" w:color="auto"/>
        <w:left w:val="none" w:sz="0" w:space="0" w:color="auto"/>
        <w:bottom w:val="none" w:sz="0" w:space="0" w:color="auto"/>
        <w:right w:val="none" w:sz="0" w:space="0" w:color="auto"/>
      </w:divBdr>
    </w:div>
    <w:div w:id="2067293156">
      <w:bodyDiv w:val="1"/>
      <w:marLeft w:val="0"/>
      <w:marRight w:val="0"/>
      <w:marTop w:val="0"/>
      <w:marBottom w:val="0"/>
      <w:divBdr>
        <w:top w:val="none" w:sz="0" w:space="0" w:color="auto"/>
        <w:left w:val="none" w:sz="0" w:space="0" w:color="auto"/>
        <w:bottom w:val="none" w:sz="0" w:space="0" w:color="auto"/>
        <w:right w:val="none" w:sz="0" w:space="0" w:color="auto"/>
      </w:divBdr>
    </w:div>
    <w:div w:id="2079396844">
      <w:bodyDiv w:val="1"/>
      <w:marLeft w:val="0"/>
      <w:marRight w:val="0"/>
      <w:marTop w:val="0"/>
      <w:marBottom w:val="0"/>
      <w:divBdr>
        <w:top w:val="none" w:sz="0" w:space="0" w:color="auto"/>
        <w:left w:val="none" w:sz="0" w:space="0" w:color="auto"/>
        <w:bottom w:val="none" w:sz="0" w:space="0" w:color="auto"/>
        <w:right w:val="none" w:sz="0" w:space="0" w:color="auto"/>
      </w:divBdr>
    </w:div>
    <w:div w:id="2081443357">
      <w:bodyDiv w:val="1"/>
      <w:marLeft w:val="0"/>
      <w:marRight w:val="0"/>
      <w:marTop w:val="0"/>
      <w:marBottom w:val="0"/>
      <w:divBdr>
        <w:top w:val="none" w:sz="0" w:space="0" w:color="auto"/>
        <w:left w:val="none" w:sz="0" w:space="0" w:color="auto"/>
        <w:bottom w:val="none" w:sz="0" w:space="0" w:color="auto"/>
        <w:right w:val="none" w:sz="0" w:space="0" w:color="auto"/>
      </w:divBdr>
    </w:div>
    <w:div w:id="211871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chart" Target="charts/chart1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chart" Target="charts/chart13.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chart" Target="charts/chart17.xml"/><Relationship Id="rId10" Type="http://schemas.openxmlformats.org/officeDocument/2006/relationships/header" Target="header1.xml"/><Relationship Id="rId19" Type="http://schemas.openxmlformats.org/officeDocument/2006/relationships/chart" Target="charts/chart8.xml"/><Relationship Id="rId31" Type="http://schemas.openxmlformats.org/officeDocument/2006/relationships/chart" Target="charts/chart20.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chart" Target="charts/chart16.xml"/><Relationship Id="rId30" Type="http://schemas.openxmlformats.org/officeDocument/2006/relationships/chart" Target="charts/chart19.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5.xlsx"/><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6.xlsx"/><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7.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package" Target="../embeddings/Microsoft_Excel_Worksheet18.xlsx"/><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2" Type="http://schemas.openxmlformats.org/officeDocument/2006/relationships/package" Target="../embeddings/Microsoft_Excel_Worksheet19.xlsx"/><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package" Target="../embeddings/Microsoft_Excel_Worksheet20.xlsx"/><Relationship Id="rId1" Type="http://schemas.openxmlformats.org/officeDocument/2006/relationships/themeOverride" Target="../theme/themeOverride2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'Dependent Variables'!$B$1</c:f>
              <c:strCache>
                <c:ptCount val="1"/>
                <c:pt idx="0">
                  <c:v>ROI</c:v>
                </c:pt>
              </c:strCache>
            </c:strRef>
          </c:tx>
          <c:marker>
            <c:symbol val="none"/>
          </c:marker>
          <c:xVal>
            <c:strRef>
              <c:f>'Dependent Variables'!$A$2:$A$16</c:f>
              <c:strCache>
                <c:ptCount val="15"/>
                <c:pt idx="0">
                  <c:v>Ab Bank 2018</c:v>
                </c:pt>
                <c:pt idx="1">
                  <c:v>Ab Bank 2017</c:v>
                </c:pt>
                <c:pt idx="2">
                  <c:v>Ab Bank 2016</c:v>
                </c:pt>
                <c:pt idx="3">
                  <c:v>Ab Bank 2015</c:v>
                </c:pt>
                <c:pt idx="4">
                  <c:v>Ab Bank 2014</c:v>
                </c:pt>
                <c:pt idx="5">
                  <c:v>Ab Bank 2013</c:v>
                </c:pt>
                <c:pt idx="6">
                  <c:v>Ab Bank 2012</c:v>
                </c:pt>
                <c:pt idx="7">
                  <c:v>Ab Bank 2011</c:v>
                </c:pt>
                <c:pt idx="8">
                  <c:v>Ab Bank 2010</c:v>
                </c:pt>
                <c:pt idx="9">
                  <c:v>Ab Bank 2009</c:v>
                </c:pt>
                <c:pt idx="10">
                  <c:v>Ab Bank 2008</c:v>
                </c:pt>
                <c:pt idx="11">
                  <c:v>Ab Bank 2007</c:v>
                </c:pt>
                <c:pt idx="12">
                  <c:v>Ab Bank 2006</c:v>
                </c:pt>
                <c:pt idx="13">
                  <c:v>Ab Bank 2005</c:v>
                </c:pt>
                <c:pt idx="14">
                  <c:v>Ab Bank 2004</c:v>
                </c:pt>
              </c:strCache>
            </c:strRef>
          </c:xVal>
          <c:yVal>
            <c:numRef>
              <c:f>'Dependent Variables'!$B$2:$B$16</c:f>
              <c:numCache>
                <c:formatCode>0.00%</c:formatCode>
                <c:ptCount val="15"/>
                <c:pt idx="0">
                  <c:v>9.5799999999999996E-2</c:v>
                </c:pt>
                <c:pt idx="1">
                  <c:v>0.1018</c:v>
                </c:pt>
                <c:pt idx="2">
                  <c:v>0.13500000000000001</c:v>
                </c:pt>
                <c:pt idx="3">
                  <c:v>0.10489999999999999</c:v>
                </c:pt>
                <c:pt idx="4">
                  <c:v>9.6799999999999997E-2</c:v>
                </c:pt>
                <c:pt idx="5">
                  <c:v>0.1037</c:v>
                </c:pt>
                <c:pt idx="6">
                  <c:v>0.1139</c:v>
                </c:pt>
                <c:pt idx="7">
                  <c:v>0.1462</c:v>
                </c:pt>
                <c:pt idx="8">
                  <c:v>0.32719999999999999</c:v>
                </c:pt>
                <c:pt idx="9">
                  <c:v>0.21060000000000001</c:v>
                </c:pt>
                <c:pt idx="10">
                  <c:v>0.2389</c:v>
                </c:pt>
                <c:pt idx="11">
                  <c:v>0.22869999999999999</c:v>
                </c:pt>
                <c:pt idx="12">
                  <c:v>0.18809999999999999</c:v>
                </c:pt>
                <c:pt idx="13">
                  <c:v>6.6600000000000006E-2</c:v>
                </c:pt>
                <c:pt idx="14">
                  <c:v>6.8599999999999994E-2</c:v>
                </c:pt>
              </c:numCache>
            </c:numRef>
          </c:yVal>
          <c:smooth val="1"/>
          <c:extLst xmlns:c16r2="http://schemas.microsoft.com/office/drawing/2015/06/chart">
            <c:ext xmlns:c16="http://schemas.microsoft.com/office/drawing/2014/chart" uri="{C3380CC4-5D6E-409C-BE32-E72D297353CC}">
              <c16:uniqueId val="{00000000-EE54-462A-86DB-618976161EF4}"/>
            </c:ext>
          </c:extLst>
        </c:ser>
        <c:ser>
          <c:idx val="1"/>
          <c:order val="1"/>
          <c:tx>
            <c:strRef>
              <c:f>'Dependent Variables'!$C$1</c:f>
              <c:strCache>
                <c:ptCount val="1"/>
                <c:pt idx="0">
                  <c:v>ROE</c:v>
                </c:pt>
              </c:strCache>
            </c:strRef>
          </c:tx>
          <c:marker>
            <c:symbol val="none"/>
          </c:marker>
          <c:xVal>
            <c:strRef>
              <c:f>'Dependent Variables'!$A$2:$A$16</c:f>
              <c:strCache>
                <c:ptCount val="15"/>
                <c:pt idx="0">
                  <c:v>Ab Bank 2018</c:v>
                </c:pt>
                <c:pt idx="1">
                  <c:v>Ab Bank 2017</c:v>
                </c:pt>
                <c:pt idx="2">
                  <c:v>Ab Bank 2016</c:v>
                </c:pt>
                <c:pt idx="3">
                  <c:v>Ab Bank 2015</c:v>
                </c:pt>
                <c:pt idx="4">
                  <c:v>Ab Bank 2014</c:v>
                </c:pt>
                <c:pt idx="5">
                  <c:v>Ab Bank 2013</c:v>
                </c:pt>
                <c:pt idx="6">
                  <c:v>Ab Bank 2012</c:v>
                </c:pt>
                <c:pt idx="7">
                  <c:v>Ab Bank 2011</c:v>
                </c:pt>
                <c:pt idx="8">
                  <c:v>Ab Bank 2010</c:v>
                </c:pt>
                <c:pt idx="9">
                  <c:v>Ab Bank 2009</c:v>
                </c:pt>
                <c:pt idx="10">
                  <c:v>Ab Bank 2008</c:v>
                </c:pt>
                <c:pt idx="11">
                  <c:v>Ab Bank 2007</c:v>
                </c:pt>
                <c:pt idx="12">
                  <c:v>Ab Bank 2006</c:v>
                </c:pt>
                <c:pt idx="13">
                  <c:v>Ab Bank 2005</c:v>
                </c:pt>
                <c:pt idx="14">
                  <c:v>Ab Bank 2004</c:v>
                </c:pt>
              </c:strCache>
            </c:strRef>
          </c:xVal>
          <c:yVal>
            <c:numRef>
              <c:f>'Dependent Variables'!$C$2:$C$16</c:f>
              <c:numCache>
                <c:formatCode>0.00%</c:formatCode>
                <c:ptCount val="15"/>
                <c:pt idx="0">
                  <c:v>8.0000000000000004E-4</c:v>
                </c:pt>
                <c:pt idx="1">
                  <c:v>1.2999999999999999E-3</c:v>
                </c:pt>
                <c:pt idx="2">
                  <c:v>5.6800000000000003E-2</c:v>
                </c:pt>
                <c:pt idx="3">
                  <c:v>6.0299999999999999E-2</c:v>
                </c:pt>
                <c:pt idx="4">
                  <c:v>6.9500000000000006E-2</c:v>
                </c:pt>
                <c:pt idx="5">
                  <c:v>6.13E-2</c:v>
                </c:pt>
                <c:pt idx="6">
                  <c:v>9.3100000000000002E-2</c:v>
                </c:pt>
                <c:pt idx="7">
                  <c:v>9.2499999999999999E-2</c:v>
                </c:pt>
                <c:pt idx="8">
                  <c:v>0.30769999999999997</c:v>
                </c:pt>
                <c:pt idx="9">
                  <c:v>0.39839999999999998</c:v>
                </c:pt>
                <c:pt idx="10">
                  <c:v>0.40960000000000002</c:v>
                </c:pt>
                <c:pt idx="11">
                  <c:v>0.4219</c:v>
                </c:pt>
                <c:pt idx="12">
                  <c:v>0.20610000000000001</c:v>
                </c:pt>
                <c:pt idx="13">
                  <c:v>7.2400000000000006E-2</c:v>
                </c:pt>
                <c:pt idx="14">
                  <c:v>1.5299999999999999E-2</c:v>
                </c:pt>
              </c:numCache>
            </c:numRef>
          </c:yVal>
          <c:smooth val="1"/>
          <c:extLst xmlns:c16r2="http://schemas.microsoft.com/office/drawing/2015/06/chart">
            <c:ext xmlns:c16="http://schemas.microsoft.com/office/drawing/2014/chart" uri="{C3380CC4-5D6E-409C-BE32-E72D297353CC}">
              <c16:uniqueId val="{00000001-EE54-462A-86DB-618976161EF4}"/>
            </c:ext>
          </c:extLst>
        </c:ser>
        <c:ser>
          <c:idx val="2"/>
          <c:order val="2"/>
          <c:tx>
            <c:strRef>
              <c:f>'Dependent Variables'!$D$1</c:f>
              <c:strCache>
                <c:ptCount val="1"/>
                <c:pt idx="0">
                  <c:v>ROA</c:v>
                </c:pt>
              </c:strCache>
            </c:strRef>
          </c:tx>
          <c:marker>
            <c:symbol val="none"/>
          </c:marker>
          <c:xVal>
            <c:strRef>
              <c:f>'Dependent Variables'!$A$2:$A$16</c:f>
              <c:strCache>
                <c:ptCount val="15"/>
                <c:pt idx="0">
                  <c:v>Ab Bank 2018</c:v>
                </c:pt>
                <c:pt idx="1">
                  <c:v>Ab Bank 2017</c:v>
                </c:pt>
                <c:pt idx="2">
                  <c:v>Ab Bank 2016</c:v>
                </c:pt>
                <c:pt idx="3">
                  <c:v>Ab Bank 2015</c:v>
                </c:pt>
                <c:pt idx="4">
                  <c:v>Ab Bank 2014</c:v>
                </c:pt>
                <c:pt idx="5">
                  <c:v>Ab Bank 2013</c:v>
                </c:pt>
                <c:pt idx="6">
                  <c:v>Ab Bank 2012</c:v>
                </c:pt>
                <c:pt idx="7">
                  <c:v>Ab Bank 2011</c:v>
                </c:pt>
                <c:pt idx="8">
                  <c:v>Ab Bank 2010</c:v>
                </c:pt>
                <c:pt idx="9">
                  <c:v>Ab Bank 2009</c:v>
                </c:pt>
                <c:pt idx="10">
                  <c:v>Ab Bank 2008</c:v>
                </c:pt>
                <c:pt idx="11">
                  <c:v>Ab Bank 2007</c:v>
                </c:pt>
                <c:pt idx="12">
                  <c:v>Ab Bank 2006</c:v>
                </c:pt>
                <c:pt idx="13">
                  <c:v>Ab Bank 2005</c:v>
                </c:pt>
                <c:pt idx="14">
                  <c:v>Ab Bank 2004</c:v>
                </c:pt>
              </c:strCache>
            </c:strRef>
          </c:xVal>
          <c:yVal>
            <c:numRef>
              <c:f>'Dependent Variables'!$D$2:$D$16</c:f>
              <c:numCache>
                <c:formatCode>0.00%</c:formatCode>
                <c:ptCount val="15"/>
                <c:pt idx="0">
                  <c:v>1E-4</c:v>
                </c:pt>
                <c:pt idx="1">
                  <c:v>1E-4</c:v>
                </c:pt>
                <c:pt idx="2">
                  <c:v>4.4000000000000003E-3</c:v>
                </c:pt>
                <c:pt idx="3">
                  <c:v>4.7999999999999996E-3</c:v>
                </c:pt>
                <c:pt idx="4">
                  <c:v>5.4000000000000003E-3</c:v>
                </c:pt>
                <c:pt idx="5">
                  <c:v>5.3E-3</c:v>
                </c:pt>
                <c:pt idx="6">
                  <c:v>8.8000000000000005E-3</c:v>
                </c:pt>
                <c:pt idx="7">
                  <c:v>9.2999999999999992E-3</c:v>
                </c:pt>
                <c:pt idx="8">
                  <c:v>3.0800000000000001E-2</c:v>
                </c:pt>
                <c:pt idx="9">
                  <c:v>3.5200000000000002E-2</c:v>
                </c:pt>
                <c:pt idx="10">
                  <c:v>3.1199999999999999E-2</c:v>
                </c:pt>
                <c:pt idx="11">
                  <c:v>3.4099999999999998E-2</c:v>
                </c:pt>
                <c:pt idx="12">
                  <c:v>1.11E-2</c:v>
                </c:pt>
                <c:pt idx="13">
                  <c:v>3.8999999999999998E-3</c:v>
                </c:pt>
                <c:pt idx="14">
                  <c:v>6.9999999999999999E-4</c:v>
                </c:pt>
              </c:numCache>
            </c:numRef>
          </c:yVal>
          <c:smooth val="1"/>
          <c:extLst xmlns:c16r2="http://schemas.microsoft.com/office/drawing/2015/06/chart">
            <c:ext xmlns:c16="http://schemas.microsoft.com/office/drawing/2014/chart" uri="{C3380CC4-5D6E-409C-BE32-E72D297353CC}">
              <c16:uniqueId val="{00000002-EE54-462A-86DB-618976161EF4}"/>
            </c:ext>
          </c:extLst>
        </c:ser>
        <c:ser>
          <c:idx val="4"/>
          <c:order val="4"/>
          <c:tx>
            <c:strRef>
              <c:f>'Dependent Variables'!$F$1</c:f>
              <c:strCache>
                <c:ptCount val="1"/>
                <c:pt idx="0">
                  <c:v>ROCE</c:v>
                </c:pt>
              </c:strCache>
            </c:strRef>
          </c:tx>
          <c:marker>
            <c:symbol val="none"/>
          </c:marker>
          <c:xVal>
            <c:strRef>
              <c:f>'Dependent Variables'!$A$2:$A$16</c:f>
              <c:strCache>
                <c:ptCount val="15"/>
                <c:pt idx="0">
                  <c:v>Ab Bank 2018</c:v>
                </c:pt>
                <c:pt idx="1">
                  <c:v>Ab Bank 2017</c:v>
                </c:pt>
                <c:pt idx="2">
                  <c:v>Ab Bank 2016</c:v>
                </c:pt>
                <c:pt idx="3">
                  <c:v>Ab Bank 2015</c:v>
                </c:pt>
                <c:pt idx="4">
                  <c:v>Ab Bank 2014</c:v>
                </c:pt>
                <c:pt idx="5">
                  <c:v>Ab Bank 2013</c:v>
                </c:pt>
                <c:pt idx="6">
                  <c:v>Ab Bank 2012</c:v>
                </c:pt>
                <c:pt idx="7">
                  <c:v>Ab Bank 2011</c:v>
                </c:pt>
                <c:pt idx="8">
                  <c:v>Ab Bank 2010</c:v>
                </c:pt>
                <c:pt idx="9">
                  <c:v>Ab Bank 2009</c:v>
                </c:pt>
                <c:pt idx="10">
                  <c:v>Ab Bank 2008</c:v>
                </c:pt>
                <c:pt idx="11">
                  <c:v>Ab Bank 2007</c:v>
                </c:pt>
                <c:pt idx="12">
                  <c:v>Ab Bank 2006</c:v>
                </c:pt>
                <c:pt idx="13">
                  <c:v>Ab Bank 2005</c:v>
                </c:pt>
                <c:pt idx="14">
                  <c:v>Ab Bank 2004</c:v>
                </c:pt>
              </c:strCache>
            </c:strRef>
          </c:xVal>
          <c:yVal>
            <c:numRef>
              <c:f>'Dependent Variables'!$F$2:$F$16</c:f>
              <c:numCache>
                <c:formatCode>0.00%</c:formatCode>
                <c:ptCount val="15"/>
                <c:pt idx="0">
                  <c:v>3.8800000000000001E-2</c:v>
                </c:pt>
                <c:pt idx="1">
                  <c:v>3.4500000000000003E-2</c:v>
                </c:pt>
                <c:pt idx="2">
                  <c:v>3.7600000000000001E-2</c:v>
                </c:pt>
                <c:pt idx="3">
                  <c:v>3.8600000000000002E-2</c:v>
                </c:pt>
                <c:pt idx="4">
                  <c:v>2.98E-2</c:v>
                </c:pt>
                <c:pt idx="5">
                  <c:v>2.6499999999999999E-2</c:v>
                </c:pt>
                <c:pt idx="6">
                  <c:v>3.9800000000000002E-2</c:v>
                </c:pt>
                <c:pt idx="7">
                  <c:v>3.7699999999999997E-2</c:v>
                </c:pt>
                <c:pt idx="8">
                  <c:v>2.8299999999999999E-2</c:v>
                </c:pt>
                <c:pt idx="9">
                  <c:v>2.9899999999999999E-2</c:v>
                </c:pt>
                <c:pt idx="10">
                  <c:v>2.5600000000000001E-2</c:v>
                </c:pt>
                <c:pt idx="11">
                  <c:v>2.3400000000000001E-2</c:v>
                </c:pt>
                <c:pt idx="12">
                  <c:v>2.46E-2</c:v>
                </c:pt>
                <c:pt idx="13">
                  <c:v>0.03</c:v>
                </c:pt>
                <c:pt idx="14">
                  <c:v>2.2100000000000002E-2</c:v>
                </c:pt>
              </c:numCache>
            </c:numRef>
          </c:yVal>
          <c:smooth val="1"/>
          <c:extLst xmlns:c16r2="http://schemas.microsoft.com/office/drawing/2015/06/chart">
            <c:ext xmlns:c16="http://schemas.microsoft.com/office/drawing/2014/chart" uri="{C3380CC4-5D6E-409C-BE32-E72D297353CC}">
              <c16:uniqueId val="{00000003-EE54-462A-86DB-618976161EF4}"/>
            </c:ext>
          </c:extLst>
        </c:ser>
        <c:dLbls>
          <c:showLegendKey val="0"/>
          <c:showVal val="0"/>
          <c:showCatName val="0"/>
          <c:showSerName val="0"/>
          <c:showPercent val="0"/>
          <c:showBubbleSize val="0"/>
        </c:dLbls>
        <c:axId val="82118144"/>
        <c:axId val="82119680"/>
      </c:scatterChart>
      <c:scatterChart>
        <c:scatterStyle val="smoothMarker"/>
        <c:varyColors val="0"/>
        <c:ser>
          <c:idx val="3"/>
          <c:order val="3"/>
          <c:tx>
            <c:strRef>
              <c:f>'Dependent Variables'!$E$1</c:f>
              <c:strCache>
                <c:ptCount val="1"/>
                <c:pt idx="0">
                  <c:v>EPS</c:v>
                </c:pt>
              </c:strCache>
            </c:strRef>
          </c:tx>
          <c:marker>
            <c:symbol val="none"/>
          </c:marker>
          <c:xVal>
            <c:strRef>
              <c:f>'Dependent Variables'!$A$2:$A$16</c:f>
              <c:strCache>
                <c:ptCount val="15"/>
                <c:pt idx="0">
                  <c:v>Ab Bank 2018</c:v>
                </c:pt>
                <c:pt idx="1">
                  <c:v>Ab Bank 2017</c:v>
                </c:pt>
                <c:pt idx="2">
                  <c:v>Ab Bank 2016</c:v>
                </c:pt>
                <c:pt idx="3">
                  <c:v>Ab Bank 2015</c:v>
                </c:pt>
                <c:pt idx="4">
                  <c:v>Ab Bank 2014</c:v>
                </c:pt>
                <c:pt idx="5">
                  <c:v>Ab Bank 2013</c:v>
                </c:pt>
                <c:pt idx="6">
                  <c:v>Ab Bank 2012</c:v>
                </c:pt>
                <c:pt idx="7">
                  <c:v>Ab Bank 2011</c:v>
                </c:pt>
                <c:pt idx="8">
                  <c:v>Ab Bank 2010</c:v>
                </c:pt>
                <c:pt idx="9">
                  <c:v>Ab Bank 2009</c:v>
                </c:pt>
                <c:pt idx="10">
                  <c:v>Ab Bank 2008</c:v>
                </c:pt>
                <c:pt idx="11">
                  <c:v>Ab Bank 2007</c:v>
                </c:pt>
                <c:pt idx="12">
                  <c:v>Ab Bank 2006</c:v>
                </c:pt>
                <c:pt idx="13">
                  <c:v>Ab Bank 2005</c:v>
                </c:pt>
                <c:pt idx="14">
                  <c:v>Ab Bank 2004</c:v>
                </c:pt>
              </c:strCache>
            </c:strRef>
          </c:xVal>
          <c:yVal>
            <c:numRef>
              <c:f>'Dependent Variables'!$E$2:$E$16</c:f>
              <c:numCache>
                <c:formatCode>General</c:formatCode>
                <c:ptCount val="15"/>
                <c:pt idx="0">
                  <c:v>0.02</c:v>
                </c:pt>
                <c:pt idx="1">
                  <c:v>0.04</c:v>
                </c:pt>
                <c:pt idx="2">
                  <c:v>1.72</c:v>
                </c:pt>
                <c:pt idx="3">
                  <c:v>1.68</c:v>
                </c:pt>
                <c:pt idx="4">
                  <c:v>1.66</c:v>
                </c:pt>
                <c:pt idx="5">
                  <c:v>1.33</c:v>
                </c:pt>
                <c:pt idx="6">
                  <c:v>1.9</c:v>
                </c:pt>
                <c:pt idx="7">
                  <c:v>1.75</c:v>
                </c:pt>
                <c:pt idx="8">
                  <c:v>4.88</c:v>
                </c:pt>
                <c:pt idx="9">
                  <c:v>4.4400000000000004</c:v>
                </c:pt>
                <c:pt idx="10">
                  <c:v>3.84</c:v>
                </c:pt>
                <c:pt idx="11">
                  <c:v>3.18</c:v>
                </c:pt>
                <c:pt idx="12">
                  <c:v>0.88</c:v>
                </c:pt>
                <c:pt idx="13">
                  <c:v>0.2</c:v>
                </c:pt>
                <c:pt idx="14">
                  <c:v>0.04</c:v>
                </c:pt>
              </c:numCache>
            </c:numRef>
          </c:yVal>
          <c:smooth val="1"/>
          <c:extLst xmlns:c16r2="http://schemas.microsoft.com/office/drawing/2015/06/chart">
            <c:ext xmlns:c16="http://schemas.microsoft.com/office/drawing/2014/chart" uri="{C3380CC4-5D6E-409C-BE32-E72D297353CC}">
              <c16:uniqueId val="{00000004-EE54-462A-86DB-618976161EF4}"/>
            </c:ext>
          </c:extLst>
        </c:ser>
        <c:dLbls>
          <c:showLegendKey val="0"/>
          <c:showVal val="0"/>
          <c:showCatName val="0"/>
          <c:showSerName val="0"/>
          <c:showPercent val="0"/>
          <c:showBubbleSize val="0"/>
        </c:dLbls>
        <c:axId val="82127104"/>
        <c:axId val="82125568"/>
      </c:scatterChart>
      <c:valAx>
        <c:axId val="82118144"/>
        <c:scaling>
          <c:orientation val="minMax"/>
        </c:scaling>
        <c:delete val="0"/>
        <c:axPos val="b"/>
        <c:majorTickMark val="out"/>
        <c:minorTickMark val="none"/>
        <c:tickLblPos val="nextTo"/>
        <c:crossAx val="82119680"/>
        <c:crosses val="autoZero"/>
        <c:crossBetween val="midCat"/>
      </c:valAx>
      <c:valAx>
        <c:axId val="82119680"/>
        <c:scaling>
          <c:orientation val="minMax"/>
        </c:scaling>
        <c:delete val="0"/>
        <c:axPos val="l"/>
        <c:majorGridlines/>
        <c:numFmt formatCode="0.00%" sourceLinked="1"/>
        <c:majorTickMark val="out"/>
        <c:minorTickMark val="none"/>
        <c:tickLblPos val="nextTo"/>
        <c:crossAx val="82118144"/>
        <c:crosses val="autoZero"/>
        <c:crossBetween val="midCat"/>
      </c:valAx>
      <c:valAx>
        <c:axId val="82125568"/>
        <c:scaling>
          <c:orientation val="minMax"/>
        </c:scaling>
        <c:delete val="0"/>
        <c:axPos val="r"/>
        <c:numFmt formatCode="General" sourceLinked="1"/>
        <c:majorTickMark val="out"/>
        <c:minorTickMark val="none"/>
        <c:tickLblPos val="nextTo"/>
        <c:crossAx val="82127104"/>
        <c:crosses val="max"/>
        <c:crossBetween val="midCat"/>
      </c:valAx>
      <c:valAx>
        <c:axId val="82127104"/>
        <c:scaling>
          <c:orientation val="minMax"/>
        </c:scaling>
        <c:delete val="1"/>
        <c:axPos val="b"/>
        <c:majorTickMark val="out"/>
        <c:minorTickMark val="none"/>
        <c:tickLblPos val="nextTo"/>
        <c:crossAx val="82125568"/>
        <c:crosses val="autoZero"/>
        <c:crossBetween val="midCat"/>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'Dependent Variables'!$B$18</c:f>
              <c:strCache>
                <c:ptCount val="1"/>
                <c:pt idx="0">
                  <c:v>ROI</c:v>
                </c:pt>
              </c:strCache>
            </c:strRef>
          </c:tx>
          <c:marker>
            <c:symbol val="none"/>
          </c:marker>
          <c:xVal>
            <c:strRef>
              <c:f>'Dependent Variables'!$A$19:$A$33</c:f>
              <c:strCache>
                <c:ptCount val="15"/>
                <c:pt idx="0">
                  <c:v>Al-Arafah Bank 2018</c:v>
                </c:pt>
                <c:pt idx="1">
                  <c:v>Al-Arafah Bankk 2017</c:v>
                </c:pt>
                <c:pt idx="2">
                  <c:v>Al-Arafah Bank 2016</c:v>
                </c:pt>
                <c:pt idx="3">
                  <c:v>Al-Arafah Bank 2015</c:v>
                </c:pt>
                <c:pt idx="4">
                  <c:v>Al-Arafah Bankk 2014</c:v>
                </c:pt>
                <c:pt idx="5">
                  <c:v>Al-Arafah Bank 2013</c:v>
                </c:pt>
                <c:pt idx="6">
                  <c:v>Al-Arafah Bankk 2012</c:v>
                </c:pt>
                <c:pt idx="7">
                  <c:v>Al-Arafah Bank 2011</c:v>
                </c:pt>
                <c:pt idx="8">
                  <c:v>Al-Arafah Bank 2010</c:v>
                </c:pt>
                <c:pt idx="9">
                  <c:v>Al-Arafah Bank 2009</c:v>
                </c:pt>
                <c:pt idx="10">
                  <c:v>Al-Arafah Bank 2008</c:v>
                </c:pt>
                <c:pt idx="11">
                  <c:v>Al-Arafah Bank 2007</c:v>
                </c:pt>
                <c:pt idx="12">
                  <c:v>Al-Arafah Bank 2006</c:v>
                </c:pt>
                <c:pt idx="13">
                  <c:v>Al-Arafah Bank 2005</c:v>
                </c:pt>
                <c:pt idx="14">
                  <c:v>Al-Arafah Bank 2004</c:v>
                </c:pt>
              </c:strCache>
            </c:strRef>
          </c:xVal>
          <c:yVal>
            <c:numRef>
              <c:f>'Dependent Variables'!$B$19:$B$33</c:f>
              <c:numCache>
                <c:formatCode>0.00%</c:formatCode>
                <c:ptCount val="15"/>
                <c:pt idx="0">
                  <c:v>4.7899999999999998E-2</c:v>
                </c:pt>
                <c:pt idx="1">
                  <c:v>4.1000000000000002E-2</c:v>
                </c:pt>
                <c:pt idx="2">
                  <c:v>4.5400000000000003E-2</c:v>
                </c:pt>
                <c:pt idx="3">
                  <c:v>4.6600000000000003E-2</c:v>
                </c:pt>
                <c:pt idx="4">
                  <c:v>4.4999999999999998E-2</c:v>
                </c:pt>
                <c:pt idx="5">
                  <c:v>2.7699999999999999E-2</c:v>
                </c:pt>
                <c:pt idx="6">
                  <c:v>1.6299999999999999E-2</c:v>
                </c:pt>
                <c:pt idx="7">
                  <c:v>9.4999999999999998E-3</c:v>
                </c:pt>
                <c:pt idx="8">
                  <c:v>1.14E-2</c:v>
                </c:pt>
                <c:pt idx="9">
                  <c:v>1.6799999999999999E-2</c:v>
                </c:pt>
                <c:pt idx="10">
                  <c:v>2.75E-2</c:v>
                </c:pt>
                <c:pt idx="11">
                  <c:v>3.7199999999999997E-2</c:v>
                </c:pt>
                <c:pt idx="12">
                  <c:v>3.6799999999999999E-2</c:v>
                </c:pt>
                <c:pt idx="13">
                  <c:v>5.8500000000000003E-2</c:v>
                </c:pt>
                <c:pt idx="14">
                  <c:v>0.1109</c:v>
                </c:pt>
              </c:numCache>
            </c:numRef>
          </c:yVal>
          <c:smooth val="1"/>
          <c:extLst xmlns:c16r2="http://schemas.microsoft.com/office/drawing/2015/06/chart">
            <c:ext xmlns:c16="http://schemas.microsoft.com/office/drawing/2014/chart" uri="{C3380CC4-5D6E-409C-BE32-E72D297353CC}">
              <c16:uniqueId val="{00000000-F60F-45BF-90C2-94501EB9DC55}"/>
            </c:ext>
          </c:extLst>
        </c:ser>
        <c:ser>
          <c:idx val="1"/>
          <c:order val="1"/>
          <c:tx>
            <c:strRef>
              <c:f>'Dependent Variables'!$C$18</c:f>
              <c:strCache>
                <c:ptCount val="1"/>
                <c:pt idx="0">
                  <c:v>ROE</c:v>
                </c:pt>
              </c:strCache>
            </c:strRef>
          </c:tx>
          <c:marker>
            <c:symbol val="none"/>
          </c:marker>
          <c:xVal>
            <c:strRef>
              <c:f>'Dependent Variables'!$A$19:$A$33</c:f>
              <c:strCache>
                <c:ptCount val="15"/>
                <c:pt idx="0">
                  <c:v>Al-Arafah Bank 2018</c:v>
                </c:pt>
                <c:pt idx="1">
                  <c:v>Al-Arafah Bankk 2017</c:v>
                </c:pt>
                <c:pt idx="2">
                  <c:v>Al-Arafah Bank 2016</c:v>
                </c:pt>
                <c:pt idx="3">
                  <c:v>Al-Arafah Bank 2015</c:v>
                </c:pt>
                <c:pt idx="4">
                  <c:v>Al-Arafah Bankk 2014</c:v>
                </c:pt>
                <c:pt idx="5">
                  <c:v>Al-Arafah Bank 2013</c:v>
                </c:pt>
                <c:pt idx="6">
                  <c:v>Al-Arafah Bankk 2012</c:v>
                </c:pt>
                <c:pt idx="7">
                  <c:v>Al-Arafah Bank 2011</c:v>
                </c:pt>
                <c:pt idx="8">
                  <c:v>Al-Arafah Bank 2010</c:v>
                </c:pt>
                <c:pt idx="9">
                  <c:v>Al-Arafah Bank 2009</c:v>
                </c:pt>
                <c:pt idx="10">
                  <c:v>Al-Arafah Bank 2008</c:v>
                </c:pt>
                <c:pt idx="11">
                  <c:v>Al-Arafah Bank 2007</c:v>
                </c:pt>
                <c:pt idx="12">
                  <c:v>Al-Arafah Bank 2006</c:v>
                </c:pt>
                <c:pt idx="13">
                  <c:v>Al-Arafah Bank 2005</c:v>
                </c:pt>
                <c:pt idx="14">
                  <c:v>Al-Arafah Bank 2004</c:v>
                </c:pt>
              </c:strCache>
            </c:strRef>
          </c:xVal>
          <c:yVal>
            <c:numRef>
              <c:f>'Dependent Variables'!$C$19:$C$33</c:f>
              <c:numCache>
                <c:formatCode>0.00%</c:formatCode>
                <c:ptCount val="15"/>
                <c:pt idx="0">
                  <c:v>0.1046</c:v>
                </c:pt>
                <c:pt idx="1">
                  <c:v>0.14069999999999999</c:v>
                </c:pt>
                <c:pt idx="2">
                  <c:v>0.157</c:v>
                </c:pt>
                <c:pt idx="3">
                  <c:v>0.12820000000000001</c:v>
                </c:pt>
                <c:pt idx="4">
                  <c:v>0.128</c:v>
                </c:pt>
                <c:pt idx="5">
                  <c:v>0.14149999999999999</c:v>
                </c:pt>
                <c:pt idx="6">
                  <c:v>0.1351</c:v>
                </c:pt>
                <c:pt idx="7">
                  <c:v>0.18340000000000001</c:v>
                </c:pt>
                <c:pt idx="8">
                  <c:v>0.2001</c:v>
                </c:pt>
                <c:pt idx="9">
                  <c:v>0.24099999999999999</c:v>
                </c:pt>
                <c:pt idx="10">
                  <c:v>0.247</c:v>
                </c:pt>
                <c:pt idx="11">
                  <c:v>0.17050000000000001</c:v>
                </c:pt>
                <c:pt idx="12">
                  <c:v>0.27810000000000001</c:v>
                </c:pt>
                <c:pt idx="13">
                  <c:v>0.2155</c:v>
                </c:pt>
                <c:pt idx="14">
                  <c:v>0.16170000000000001</c:v>
                </c:pt>
              </c:numCache>
            </c:numRef>
          </c:yVal>
          <c:smooth val="1"/>
          <c:extLst xmlns:c16r2="http://schemas.microsoft.com/office/drawing/2015/06/chart">
            <c:ext xmlns:c16="http://schemas.microsoft.com/office/drawing/2014/chart" uri="{C3380CC4-5D6E-409C-BE32-E72D297353CC}">
              <c16:uniqueId val="{00000001-F60F-45BF-90C2-94501EB9DC55}"/>
            </c:ext>
          </c:extLst>
        </c:ser>
        <c:ser>
          <c:idx val="2"/>
          <c:order val="2"/>
          <c:tx>
            <c:strRef>
              <c:f>'Dependent Variables'!$D$18</c:f>
              <c:strCache>
                <c:ptCount val="1"/>
                <c:pt idx="0">
                  <c:v>ROA</c:v>
                </c:pt>
              </c:strCache>
            </c:strRef>
          </c:tx>
          <c:marker>
            <c:symbol val="none"/>
          </c:marker>
          <c:xVal>
            <c:strRef>
              <c:f>'Dependent Variables'!$A$19:$A$33</c:f>
              <c:strCache>
                <c:ptCount val="15"/>
                <c:pt idx="0">
                  <c:v>Al-Arafah Bank 2018</c:v>
                </c:pt>
                <c:pt idx="1">
                  <c:v>Al-Arafah Bankk 2017</c:v>
                </c:pt>
                <c:pt idx="2">
                  <c:v>Al-Arafah Bank 2016</c:v>
                </c:pt>
                <c:pt idx="3">
                  <c:v>Al-Arafah Bank 2015</c:v>
                </c:pt>
                <c:pt idx="4">
                  <c:v>Al-Arafah Bankk 2014</c:v>
                </c:pt>
                <c:pt idx="5">
                  <c:v>Al-Arafah Bank 2013</c:v>
                </c:pt>
                <c:pt idx="6">
                  <c:v>Al-Arafah Bankk 2012</c:v>
                </c:pt>
                <c:pt idx="7">
                  <c:v>Al-Arafah Bank 2011</c:v>
                </c:pt>
                <c:pt idx="8">
                  <c:v>Al-Arafah Bank 2010</c:v>
                </c:pt>
                <c:pt idx="9">
                  <c:v>Al-Arafah Bank 2009</c:v>
                </c:pt>
                <c:pt idx="10">
                  <c:v>Al-Arafah Bank 2008</c:v>
                </c:pt>
                <c:pt idx="11">
                  <c:v>Al-Arafah Bank 2007</c:v>
                </c:pt>
                <c:pt idx="12">
                  <c:v>Al-Arafah Bank 2006</c:v>
                </c:pt>
                <c:pt idx="13">
                  <c:v>Al-Arafah Bank 2005</c:v>
                </c:pt>
                <c:pt idx="14">
                  <c:v>Al-Arafah Bank 2004</c:v>
                </c:pt>
              </c:strCache>
            </c:strRef>
          </c:xVal>
          <c:yVal>
            <c:numRef>
              <c:f>'Dependent Variables'!$D$19:$D$33</c:f>
              <c:numCache>
                <c:formatCode>0.00%</c:formatCode>
                <c:ptCount val="15"/>
                <c:pt idx="0">
                  <c:v>7.3000000000000001E-3</c:v>
                </c:pt>
                <c:pt idx="1">
                  <c:v>9.9000000000000008E-3</c:v>
                </c:pt>
                <c:pt idx="2">
                  <c:v>1.23E-2</c:v>
                </c:pt>
                <c:pt idx="3">
                  <c:v>1.0800000000000001E-2</c:v>
                </c:pt>
                <c:pt idx="4">
                  <c:v>1.0999999999999999E-2</c:v>
                </c:pt>
                <c:pt idx="5">
                  <c:v>1.2E-2</c:v>
                </c:pt>
                <c:pt idx="6">
                  <c:v>1.2999999999999999E-2</c:v>
                </c:pt>
                <c:pt idx="7">
                  <c:v>2.06E-2</c:v>
                </c:pt>
                <c:pt idx="8">
                  <c:v>2.6499999999999999E-2</c:v>
                </c:pt>
                <c:pt idx="9">
                  <c:v>1.77E-2</c:v>
                </c:pt>
                <c:pt idx="10">
                  <c:v>1.7100000000000001E-2</c:v>
                </c:pt>
                <c:pt idx="11">
                  <c:v>1.15E-2</c:v>
                </c:pt>
                <c:pt idx="12">
                  <c:v>2.1499999999999998E-2</c:v>
                </c:pt>
                <c:pt idx="13">
                  <c:v>1.7100000000000001E-2</c:v>
                </c:pt>
                <c:pt idx="14">
                  <c:v>2.41E-2</c:v>
                </c:pt>
              </c:numCache>
            </c:numRef>
          </c:yVal>
          <c:smooth val="1"/>
          <c:extLst xmlns:c16r2="http://schemas.microsoft.com/office/drawing/2015/06/chart">
            <c:ext xmlns:c16="http://schemas.microsoft.com/office/drawing/2014/chart" uri="{C3380CC4-5D6E-409C-BE32-E72D297353CC}">
              <c16:uniqueId val="{00000002-F60F-45BF-90C2-94501EB9DC55}"/>
            </c:ext>
          </c:extLst>
        </c:ser>
        <c:ser>
          <c:idx val="4"/>
          <c:order val="4"/>
          <c:tx>
            <c:strRef>
              <c:f>'Dependent Variables'!$F$18</c:f>
              <c:strCache>
                <c:ptCount val="1"/>
                <c:pt idx="0">
                  <c:v>ROCE</c:v>
                </c:pt>
              </c:strCache>
            </c:strRef>
          </c:tx>
          <c:marker>
            <c:symbol val="none"/>
          </c:marker>
          <c:xVal>
            <c:strRef>
              <c:f>'Dependent Variables'!$A$19:$A$33</c:f>
              <c:strCache>
                <c:ptCount val="15"/>
                <c:pt idx="0">
                  <c:v>Al-Arafah Bank 2018</c:v>
                </c:pt>
                <c:pt idx="1">
                  <c:v>Al-Arafah Bankk 2017</c:v>
                </c:pt>
                <c:pt idx="2">
                  <c:v>Al-Arafah Bank 2016</c:v>
                </c:pt>
                <c:pt idx="3">
                  <c:v>Al-Arafah Bank 2015</c:v>
                </c:pt>
                <c:pt idx="4">
                  <c:v>Al-Arafah Bankk 2014</c:v>
                </c:pt>
                <c:pt idx="5">
                  <c:v>Al-Arafah Bank 2013</c:v>
                </c:pt>
                <c:pt idx="6">
                  <c:v>Al-Arafah Bankk 2012</c:v>
                </c:pt>
                <c:pt idx="7">
                  <c:v>Al-Arafah Bank 2011</c:v>
                </c:pt>
                <c:pt idx="8">
                  <c:v>Al-Arafah Bank 2010</c:v>
                </c:pt>
                <c:pt idx="9">
                  <c:v>Al-Arafah Bank 2009</c:v>
                </c:pt>
                <c:pt idx="10">
                  <c:v>Al-Arafah Bank 2008</c:v>
                </c:pt>
                <c:pt idx="11">
                  <c:v>Al-Arafah Bank 2007</c:v>
                </c:pt>
                <c:pt idx="12">
                  <c:v>Al-Arafah Bank 2006</c:v>
                </c:pt>
                <c:pt idx="13">
                  <c:v>Al-Arafah Bank 2005</c:v>
                </c:pt>
                <c:pt idx="14">
                  <c:v>Al-Arafah Bank 2004</c:v>
                </c:pt>
              </c:strCache>
            </c:strRef>
          </c:xVal>
          <c:yVal>
            <c:numRef>
              <c:f>'Dependent Variables'!$F$19:$F$33</c:f>
              <c:numCache>
                <c:formatCode>0.00%</c:formatCode>
                <c:ptCount val="15"/>
                <c:pt idx="0">
                  <c:v>2.8899999999999999E-2</c:v>
                </c:pt>
                <c:pt idx="1">
                  <c:v>2.6499999999999999E-2</c:v>
                </c:pt>
                <c:pt idx="2">
                  <c:v>1.7600000000000001E-2</c:v>
                </c:pt>
                <c:pt idx="3">
                  <c:v>1.5599999999999999E-2</c:v>
                </c:pt>
                <c:pt idx="4">
                  <c:v>2.8799999999999999E-2</c:v>
                </c:pt>
                <c:pt idx="5">
                  <c:v>3.0200000000000001E-2</c:v>
                </c:pt>
                <c:pt idx="6">
                  <c:v>3.3300000000000003E-2</c:v>
                </c:pt>
                <c:pt idx="7">
                  <c:v>2.8000000000000001E-2</c:v>
                </c:pt>
                <c:pt idx="8">
                  <c:v>2.4400000000000002E-2</c:v>
                </c:pt>
                <c:pt idx="9">
                  <c:v>1.9800000000000002E-2</c:v>
                </c:pt>
                <c:pt idx="10">
                  <c:v>2.3300000000000001E-2</c:v>
                </c:pt>
                <c:pt idx="11">
                  <c:v>3.8699999999999998E-2</c:v>
                </c:pt>
                <c:pt idx="12">
                  <c:v>3.4500000000000003E-2</c:v>
                </c:pt>
                <c:pt idx="13">
                  <c:v>3.6499999999999998E-2</c:v>
                </c:pt>
                <c:pt idx="14">
                  <c:v>3.09E-2</c:v>
                </c:pt>
              </c:numCache>
            </c:numRef>
          </c:yVal>
          <c:smooth val="1"/>
          <c:extLst xmlns:c16r2="http://schemas.microsoft.com/office/drawing/2015/06/chart">
            <c:ext xmlns:c16="http://schemas.microsoft.com/office/drawing/2014/chart" uri="{C3380CC4-5D6E-409C-BE32-E72D297353CC}">
              <c16:uniqueId val="{00000003-F60F-45BF-90C2-94501EB9DC55}"/>
            </c:ext>
          </c:extLst>
        </c:ser>
        <c:dLbls>
          <c:showLegendKey val="0"/>
          <c:showVal val="0"/>
          <c:showCatName val="0"/>
          <c:showSerName val="0"/>
          <c:showPercent val="0"/>
          <c:showBubbleSize val="0"/>
        </c:dLbls>
        <c:axId val="139154560"/>
        <c:axId val="139156096"/>
      </c:scatterChart>
      <c:scatterChart>
        <c:scatterStyle val="smoothMarker"/>
        <c:varyColors val="0"/>
        <c:ser>
          <c:idx val="3"/>
          <c:order val="3"/>
          <c:tx>
            <c:strRef>
              <c:f>'Dependent Variables'!$E$18</c:f>
              <c:strCache>
                <c:ptCount val="1"/>
                <c:pt idx="0">
                  <c:v>EPS</c:v>
                </c:pt>
              </c:strCache>
            </c:strRef>
          </c:tx>
          <c:marker>
            <c:symbol val="none"/>
          </c:marker>
          <c:xVal>
            <c:strRef>
              <c:f>'Dependent Variables'!$A$19:$A$33</c:f>
              <c:strCache>
                <c:ptCount val="15"/>
                <c:pt idx="0">
                  <c:v>Al-Arafah Bank 2018</c:v>
                </c:pt>
                <c:pt idx="1">
                  <c:v>Al-Arafah Bankk 2017</c:v>
                </c:pt>
                <c:pt idx="2">
                  <c:v>Al-Arafah Bank 2016</c:v>
                </c:pt>
                <c:pt idx="3">
                  <c:v>Al-Arafah Bank 2015</c:v>
                </c:pt>
                <c:pt idx="4">
                  <c:v>Al-Arafah Bankk 2014</c:v>
                </c:pt>
                <c:pt idx="5">
                  <c:v>Al-Arafah Bank 2013</c:v>
                </c:pt>
                <c:pt idx="6">
                  <c:v>Al-Arafah Bankk 2012</c:v>
                </c:pt>
                <c:pt idx="7">
                  <c:v>Al-Arafah Bank 2011</c:v>
                </c:pt>
                <c:pt idx="8">
                  <c:v>Al-Arafah Bank 2010</c:v>
                </c:pt>
                <c:pt idx="9">
                  <c:v>Al-Arafah Bank 2009</c:v>
                </c:pt>
                <c:pt idx="10">
                  <c:v>Al-Arafah Bank 2008</c:v>
                </c:pt>
                <c:pt idx="11">
                  <c:v>Al-Arafah Bank 2007</c:v>
                </c:pt>
                <c:pt idx="12">
                  <c:v>Al-Arafah Bank 2006</c:v>
                </c:pt>
                <c:pt idx="13">
                  <c:v>Al-Arafah Bank 2005</c:v>
                </c:pt>
                <c:pt idx="14">
                  <c:v>Al-Arafah Bank 2004</c:v>
                </c:pt>
              </c:strCache>
            </c:strRef>
          </c:xVal>
          <c:yVal>
            <c:numRef>
              <c:f>'Dependent Variables'!$E$19:$E$33</c:f>
              <c:numCache>
                <c:formatCode>General</c:formatCode>
                <c:ptCount val="15"/>
                <c:pt idx="0">
                  <c:v>2.35</c:v>
                </c:pt>
                <c:pt idx="1">
                  <c:v>3.15</c:v>
                </c:pt>
                <c:pt idx="2">
                  <c:v>3.07</c:v>
                </c:pt>
                <c:pt idx="3">
                  <c:v>2.25</c:v>
                </c:pt>
                <c:pt idx="4">
                  <c:v>2.2000000000000002</c:v>
                </c:pt>
                <c:pt idx="5">
                  <c:v>2.46</c:v>
                </c:pt>
                <c:pt idx="6">
                  <c:v>2.2999999999999998</c:v>
                </c:pt>
                <c:pt idx="7">
                  <c:v>3.73</c:v>
                </c:pt>
                <c:pt idx="8">
                  <c:v>4.1399999999999997</c:v>
                </c:pt>
                <c:pt idx="9">
                  <c:v>2</c:v>
                </c:pt>
                <c:pt idx="10">
                  <c:v>48.29</c:v>
                </c:pt>
                <c:pt idx="11">
                  <c:v>25.1</c:v>
                </c:pt>
                <c:pt idx="12">
                  <c:v>55.02</c:v>
                </c:pt>
                <c:pt idx="13">
                  <c:v>38.78</c:v>
                </c:pt>
                <c:pt idx="14">
                  <c:v>26.36</c:v>
                </c:pt>
              </c:numCache>
            </c:numRef>
          </c:yVal>
          <c:smooth val="1"/>
          <c:extLst xmlns:c16r2="http://schemas.microsoft.com/office/drawing/2015/06/chart">
            <c:ext xmlns:c16="http://schemas.microsoft.com/office/drawing/2014/chart" uri="{C3380CC4-5D6E-409C-BE32-E72D297353CC}">
              <c16:uniqueId val="{00000004-F60F-45BF-90C2-94501EB9DC55}"/>
            </c:ext>
          </c:extLst>
        </c:ser>
        <c:dLbls>
          <c:showLegendKey val="0"/>
          <c:showVal val="0"/>
          <c:showCatName val="0"/>
          <c:showSerName val="0"/>
          <c:showPercent val="0"/>
          <c:showBubbleSize val="0"/>
        </c:dLbls>
        <c:axId val="139167616"/>
        <c:axId val="139166080"/>
      </c:scatterChart>
      <c:valAx>
        <c:axId val="139154560"/>
        <c:scaling>
          <c:orientation val="minMax"/>
        </c:scaling>
        <c:delete val="0"/>
        <c:axPos val="b"/>
        <c:majorTickMark val="out"/>
        <c:minorTickMark val="none"/>
        <c:tickLblPos val="nextTo"/>
        <c:crossAx val="139156096"/>
        <c:crosses val="autoZero"/>
        <c:crossBetween val="midCat"/>
      </c:valAx>
      <c:valAx>
        <c:axId val="139156096"/>
        <c:scaling>
          <c:orientation val="minMax"/>
        </c:scaling>
        <c:delete val="0"/>
        <c:axPos val="l"/>
        <c:majorGridlines/>
        <c:numFmt formatCode="0.00%" sourceLinked="1"/>
        <c:majorTickMark val="out"/>
        <c:minorTickMark val="none"/>
        <c:tickLblPos val="nextTo"/>
        <c:crossAx val="139154560"/>
        <c:crosses val="autoZero"/>
        <c:crossBetween val="midCat"/>
      </c:valAx>
      <c:valAx>
        <c:axId val="139166080"/>
        <c:scaling>
          <c:orientation val="minMax"/>
        </c:scaling>
        <c:delete val="0"/>
        <c:axPos val="r"/>
        <c:numFmt formatCode="General" sourceLinked="1"/>
        <c:majorTickMark val="out"/>
        <c:minorTickMark val="none"/>
        <c:tickLblPos val="nextTo"/>
        <c:crossAx val="139167616"/>
        <c:crosses val="max"/>
        <c:crossBetween val="midCat"/>
      </c:valAx>
      <c:valAx>
        <c:axId val="139167616"/>
        <c:scaling>
          <c:orientation val="minMax"/>
        </c:scaling>
        <c:delete val="1"/>
        <c:axPos val="b"/>
        <c:majorTickMark val="out"/>
        <c:minorTickMark val="none"/>
        <c:tickLblPos val="nextTo"/>
        <c:crossAx val="139166080"/>
        <c:crosses val="autoZero"/>
        <c:crossBetween val="midCat"/>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'Dependent Variables'!$B$35</c:f>
              <c:strCache>
                <c:ptCount val="1"/>
                <c:pt idx="0">
                  <c:v>ROI</c:v>
                </c:pt>
              </c:strCache>
            </c:strRef>
          </c:tx>
          <c:marker>
            <c:symbol val="none"/>
          </c:marker>
          <c:xVal>
            <c:strRef>
              <c:f>'Dependent Variables'!$A$36:$A$50</c:f>
              <c:strCache>
                <c:ptCount val="15"/>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pt idx="11">
                  <c:v>Brac Bank 2007</c:v>
                </c:pt>
                <c:pt idx="12">
                  <c:v>Brac Bank 2006</c:v>
                </c:pt>
                <c:pt idx="13">
                  <c:v>Brac Bank 2005</c:v>
                </c:pt>
                <c:pt idx="14">
                  <c:v>Brac Bank 2004</c:v>
                </c:pt>
              </c:strCache>
            </c:strRef>
          </c:xVal>
          <c:yVal>
            <c:numRef>
              <c:f>'Dependent Variables'!$B$36:$B$50</c:f>
              <c:numCache>
                <c:formatCode>0.00%</c:formatCode>
                <c:ptCount val="15"/>
                <c:pt idx="0">
                  <c:v>0.09</c:v>
                </c:pt>
                <c:pt idx="1">
                  <c:v>9.4100000000000003E-2</c:v>
                </c:pt>
                <c:pt idx="2">
                  <c:v>9.1999999999999998E-2</c:v>
                </c:pt>
                <c:pt idx="3">
                  <c:v>6.13E-2</c:v>
                </c:pt>
                <c:pt idx="4">
                  <c:v>7.1300000000000002E-2</c:v>
                </c:pt>
                <c:pt idx="5">
                  <c:v>1.5100000000000001E-2</c:v>
                </c:pt>
                <c:pt idx="6">
                  <c:v>3.44E-2</c:v>
                </c:pt>
                <c:pt idx="7">
                  <c:v>0.11409999999999999</c:v>
                </c:pt>
                <c:pt idx="8">
                  <c:v>0.09</c:v>
                </c:pt>
                <c:pt idx="9">
                  <c:v>0.123</c:v>
                </c:pt>
                <c:pt idx="10">
                  <c:v>0.12609999999999999</c:v>
                </c:pt>
                <c:pt idx="11">
                  <c:v>0.1164</c:v>
                </c:pt>
                <c:pt idx="12">
                  <c:v>9.69E-2</c:v>
                </c:pt>
                <c:pt idx="13">
                  <c:v>8.5400000000000004E-2</c:v>
                </c:pt>
                <c:pt idx="14">
                  <c:v>8.5699999999999998E-2</c:v>
                </c:pt>
              </c:numCache>
            </c:numRef>
          </c:yVal>
          <c:smooth val="1"/>
          <c:extLst xmlns:c16r2="http://schemas.microsoft.com/office/drawing/2015/06/chart">
            <c:ext xmlns:c16="http://schemas.microsoft.com/office/drawing/2014/chart" uri="{C3380CC4-5D6E-409C-BE32-E72D297353CC}">
              <c16:uniqueId val="{00000000-CE95-4904-819D-D0FD7736E6E2}"/>
            </c:ext>
          </c:extLst>
        </c:ser>
        <c:ser>
          <c:idx val="1"/>
          <c:order val="1"/>
          <c:tx>
            <c:strRef>
              <c:f>'Dependent Variables'!$C$35</c:f>
              <c:strCache>
                <c:ptCount val="1"/>
                <c:pt idx="0">
                  <c:v>ROE</c:v>
                </c:pt>
              </c:strCache>
            </c:strRef>
          </c:tx>
          <c:marker>
            <c:symbol val="none"/>
          </c:marker>
          <c:xVal>
            <c:strRef>
              <c:f>'Dependent Variables'!$A$36:$A$50</c:f>
              <c:strCache>
                <c:ptCount val="15"/>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pt idx="11">
                  <c:v>Brac Bank 2007</c:v>
                </c:pt>
                <c:pt idx="12">
                  <c:v>Brac Bank 2006</c:v>
                </c:pt>
                <c:pt idx="13">
                  <c:v>Brac Bank 2005</c:v>
                </c:pt>
                <c:pt idx="14">
                  <c:v>Brac Bank 2004</c:v>
                </c:pt>
              </c:strCache>
            </c:strRef>
          </c:xVal>
          <c:yVal>
            <c:numRef>
              <c:f>'Dependent Variables'!$C$36:$C$50</c:f>
              <c:numCache>
                <c:formatCode>0.00%</c:formatCode>
                <c:ptCount val="15"/>
                <c:pt idx="0">
                  <c:v>0.1925</c:v>
                </c:pt>
                <c:pt idx="1">
                  <c:v>0.22140000000000001</c:v>
                </c:pt>
                <c:pt idx="2">
                  <c:v>0.22159999999999999</c:v>
                </c:pt>
                <c:pt idx="3">
                  <c:v>0.13320000000000001</c:v>
                </c:pt>
                <c:pt idx="4">
                  <c:v>0.1411</c:v>
                </c:pt>
                <c:pt idx="5">
                  <c:v>0.11459999999999999</c:v>
                </c:pt>
                <c:pt idx="6">
                  <c:v>5.4699999999999999E-2</c:v>
                </c:pt>
                <c:pt idx="7">
                  <c:v>0.17899999999999999</c:v>
                </c:pt>
                <c:pt idx="8">
                  <c:v>0.1895</c:v>
                </c:pt>
                <c:pt idx="9">
                  <c:v>0.19189999999999999</c:v>
                </c:pt>
                <c:pt idx="10">
                  <c:v>0.2288</c:v>
                </c:pt>
                <c:pt idx="11">
                  <c:v>0.23830000000000001</c:v>
                </c:pt>
                <c:pt idx="12">
                  <c:v>0.23050000000000001</c:v>
                </c:pt>
                <c:pt idx="13">
                  <c:v>0.28060000000000002</c:v>
                </c:pt>
                <c:pt idx="14">
                  <c:v>0.2014</c:v>
                </c:pt>
              </c:numCache>
            </c:numRef>
          </c:yVal>
          <c:smooth val="1"/>
          <c:extLst xmlns:c16r2="http://schemas.microsoft.com/office/drawing/2015/06/chart">
            <c:ext xmlns:c16="http://schemas.microsoft.com/office/drawing/2014/chart" uri="{C3380CC4-5D6E-409C-BE32-E72D297353CC}">
              <c16:uniqueId val="{00000001-CE95-4904-819D-D0FD7736E6E2}"/>
            </c:ext>
          </c:extLst>
        </c:ser>
        <c:ser>
          <c:idx val="2"/>
          <c:order val="2"/>
          <c:tx>
            <c:strRef>
              <c:f>'Dependent Variables'!$D$35</c:f>
              <c:strCache>
                <c:ptCount val="1"/>
                <c:pt idx="0">
                  <c:v>ROA</c:v>
                </c:pt>
              </c:strCache>
            </c:strRef>
          </c:tx>
          <c:marker>
            <c:symbol val="none"/>
          </c:marker>
          <c:xVal>
            <c:strRef>
              <c:f>'Dependent Variables'!$A$36:$A$50</c:f>
              <c:strCache>
                <c:ptCount val="15"/>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pt idx="11">
                  <c:v>Brac Bank 2007</c:v>
                </c:pt>
                <c:pt idx="12">
                  <c:v>Brac Bank 2006</c:v>
                </c:pt>
                <c:pt idx="13">
                  <c:v>Brac Bank 2005</c:v>
                </c:pt>
                <c:pt idx="14">
                  <c:v>Brac Bank 2004</c:v>
                </c:pt>
              </c:strCache>
            </c:strRef>
          </c:xVal>
          <c:yVal>
            <c:numRef>
              <c:f>'Dependent Variables'!$D$36:$D$50</c:f>
              <c:numCache>
                <c:formatCode>0.00%</c:formatCode>
                <c:ptCount val="15"/>
                <c:pt idx="0">
                  <c:v>1.8700000000000001E-2</c:v>
                </c:pt>
                <c:pt idx="1">
                  <c:v>2.0199999999999999E-2</c:v>
                </c:pt>
                <c:pt idx="2">
                  <c:v>1.89E-2</c:v>
                </c:pt>
                <c:pt idx="3">
                  <c:v>1.1299999999999999E-2</c:v>
                </c:pt>
                <c:pt idx="4">
                  <c:v>1.09E-2</c:v>
                </c:pt>
                <c:pt idx="5">
                  <c:v>7.1999999999999998E-3</c:v>
                </c:pt>
                <c:pt idx="6">
                  <c:v>3.5000000000000001E-3</c:v>
                </c:pt>
                <c:pt idx="7">
                  <c:v>1.3599999999999999E-2</c:v>
                </c:pt>
                <c:pt idx="8">
                  <c:v>1.55E-2</c:v>
                </c:pt>
                <c:pt idx="9">
                  <c:v>1.5599999999999999E-2</c:v>
                </c:pt>
                <c:pt idx="10">
                  <c:v>1.6400000000000001E-2</c:v>
                </c:pt>
                <c:pt idx="11">
                  <c:v>1.6199999999999999E-2</c:v>
                </c:pt>
                <c:pt idx="12">
                  <c:v>1.43E-2</c:v>
                </c:pt>
                <c:pt idx="13">
                  <c:v>1.43E-2</c:v>
                </c:pt>
                <c:pt idx="14">
                  <c:v>1.3599999999999999E-2</c:v>
                </c:pt>
              </c:numCache>
            </c:numRef>
          </c:yVal>
          <c:smooth val="1"/>
          <c:extLst xmlns:c16r2="http://schemas.microsoft.com/office/drawing/2015/06/chart">
            <c:ext xmlns:c16="http://schemas.microsoft.com/office/drawing/2014/chart" uri="{C3380CC4-5D6E-409C-BE32-E72D297353CC}">
              <c16:uniqueId val="{00000002-CE95-4904-819D-D0FD7736E6E2}"/>
            </c:ext>
          </c:extLst>
        </c:ser>
        <c:ser>
          <c:idx val="4"/>
          <c:order val="4"/>
          <c:tx>
            <c:strRef>
              <c:f>'Dependent Variables'!$F$35</c:f>
              <c:strCache>
                <c:ptCount val="1"/>
                <c:pt idx="0">
                  <c:v>ROCE</c:v>
                </c:pt>
              </c:strCache>
            </c:strRef>
          </c:tx>
          <c:marker>
            <c:symbol val="none"/>
          </c:marker>
          <c:xVal>
            <c:strRef>
              <c:f>'Dependent Variables'!$A$36:$A$50</c:f>
              <c:strCache>
                <c:ptCount val="15"/>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pt idx="11">
                  <c:v>Brac Bank 2007</c:v>
                </c:pt>
                <c:pt idx="12">
                  <c:v>Brac Bank 2006</c:v>
                </c:pt>
                <c:pt idx="13">
                  <c:v>Brac Bank 2005</c:v>
                </c:pt>
                <c:pt idx="14">
                  <c:v>Brac Bank 2004</c:v>
                </c:pt>
              </c:strCache>
            </c:strRef>
          </c:xVal>
          <c:yVal>
            <c:numRef>
              <c:f>'Dependent Variables'!$F$36:$F$50</c:f>
              <c:numCache>
                <c:formatCode>0.00%</c:formatCode>
                <c:ptCount val="15"/>
                <c:pt idx="0">
                  <c:v>3.8699999999999998E-2</c:v>
                </c:pt>
                <c:pt idx="1">
                  <c:v>3.8800000000000001E-2</c:v>
                </c:pt>
                <c:pt idx="2">
                  <c:v>3.8800000000000001E-2</c:v>
                </c:pt>
                <c:pt idx="3">
                  <c:v>2.98E-2</c:v>
                </c:pt>
                <c:pt idx="4">
                  <c:v>2.9000000000000001E-2</c:v>
                </c:pt>
                <c:pt idx="5">
                  <c:v>2.4400000000000002E-2</c:v>
                </c:pt>
                <c:pt idx="6">
                  <c:v>1.2200000000000001E-2</c:v>
                </c:pt>
                <c:pt idx="7">
                  <c:v>1.89E-2</c:v>
                </c:pt>
                <c:pt idx="8">
                  <c:v>3.6600000000000001E-2</c:v>
                </c:pt>
                <c:pt idx="9">
                  <c:v>2.3400000000000001E-2</c:v>
                </c:pt>
                <c:pt idx="10">
                  <c:v>3.9E-2</c:v>
                </c:pt>
                <c:pt idx="11">
                  <c:v>2.6700000000000002E-2</c:v>
                </c:pt>
                <c:pt idx="12">
                  <c:v>2.3300000000000001E-2</c:v>
                </c:pt>
                <c:pt idx="13">
                  <c:v>3.78E-2</c:v>
                </c:pt>
                <c:pt idx="14">
                  <c:v>3.6699999999999997E-2</c:v>
                </c:pt>
              </c:numCache>
            </c:numRef>
          </c:yVal>
          <c:smooth val="1"/>
          <c:extLst xmlns:c16r2="http://schemas.microsoft.com/office/drawing/2015/06/chart">
            <c:ext xmlns:c16="http://schemas.microsoft.com/office/drawing/2014/chart" uri="{C3380CC4-5D6E-409C-BE32-E72D297353CC}">
              <c16:uniqueId val="{00000003-CE95-4904-819D-D0FD7736E6E2}"/>
            </c:ext>
          </c:extLst>
        </c:ser>
        <c:dLbls>
          <c:showLegendKey val="0"/>
          <c:showVal val="0"/>
          <c:showCatName val="0"/>
          <c:showSerName val="0"/>
          <c:showPercent val="0"/>
          <c:showBubbleSize val="0"/>
        </c:dLbls>
        <c:axId val="134058752"/>
        <c:axId val="134060288"/>
      </c:scatterChart>
      <c:scatterChart>
        <c:scatterStyle val="smoothMarker"/>
        <c:varyColors val="0"/>
        <c:ser>
          <c:idx val="3"/>
          <c:order val="3"/>
          <c:tx>
            <c:strRef>
              <c:f>'Dependent Variables'!$E$35</c:f>
              <c:strCache>
                <c:ptCount val="1"/>
                <c:pt idx="0">
                  <c:v>EPS</c:v>
                </c:pt>
              </c:strCache>
            </c:strRef>
          </c:tx>
          <c:marker>
            <c:symbol val="none"/>
          </c:marker>
          <c:xVal>
            <c:strRef>
              <c:f>'Dependent Variables'!$A$36:$A$50</c:f>
              <c:strCache>
                <c:ptCount val="15"/>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pt idx="11">
                  <c:v>Brac Bank 2007</c:v>
                </c:pt>
                <c:pt idx="12">
                  <c:v>Brac Bank 2006</c:v>
                </c:pt>
                <c:pt idx="13">
                  <c:v>Brac Bank 2005</c:v>
                </c:pt>
                <c:pt idx="14">
                  <c:v>Brac Bank 2004</c:v>
                </c:pt>
              </c:strCache>
            </c:strRef>
          </c:xVal>
          <c:yVal>
            <c:numRef>
              <c:f>'Dependent Variables'!$E$36:$E$50</c:f>
              <c:numCache>
                <c:formatCode>General</c:formatCode>
                <c:ptCount val="15"/>
                <c:pt idx="0">
                  <c:v>5.17</c:v>
                </c:pt>
                <c:pt idx="1">
                  <c:v>4.91</c:v>
                </c:pt>
                <c:pt idx="2">
                  <c:v>5.23</c:v>
                </c:pt>
                <c:pt idx="3">
                  <c:v>3.43</c:v>
                </c:pt>
                <c:pt idx="4">
                  <c:v>3.19</c:v>
                </c:pt>
                <c:pt idx="5">
                  <c:v>2.81</c:v>
                </c:pt>
                <c:pt idx="6">
                  <c:v>1.1399999999999999</c:v>
                </c:pt>
                <c:pt idx="7">
                  <c:v>4.29</c:v>
                </c:pt>
                <c:pt idx="8">
                  <c:v>5.05</c:v>
                </c:pt>
                <c:pt idx="9">
                  <c:v>3.94</c:v>
                </c:pt>
                <c:pt idx="10">
                  <c:v>62.3</c:v>
                </c:pt>
                <c:pt idx="11" formatCode="0.00">
                  <c:v>42.29</c:v>
                </c:pt>
                <c:pt idx="12">
                  <c:v>29.38</c:v>
                </c:pt>
                <c:pt idx="13">
                  <c:v>38.54</c:v>
                </c:pt>
                <c:pt idx="14">
                  <c:v>23.16</c:v>
                </c:pt>
              </c:numCache>
            </c:numRef>
          </c:yVal>
          <c:smooth val="1"/>
          <c:extLst xmlns:c16r2="http://schemas.microsoft.com/office/drawing/2015/06/chart">
            <c:ext xmlns:c16="http://schemas.microsoft.com/office/drawing/2014/chart" uri="{C3380CC4-5D6E-409C-BE32-E72D297353CC}">
              <c16:uniqueId val="{00000004-CE95-4904-819D-D0FD7736E6E2}"/>
            </c:ext>
          </c:extLst>
        </c:ser>
        <c:dLbls>
          <c:showLegendKey val="0"/>
          <c:showVal val="0"/>
          <c:showCatName val="0"/>
          <c:showSerName val="0"/>
          <c:showPercent val="0"/>
          <c:showBubbleSize val="0"/>
        </c:dLbls>
        <c:axId val="134067712"/>
        <c:axId val="134066176"/>
      </c:scatterChart>
      <c:valAx>
        <c:axId val="134058752"/>
        <c:scaling>
          <c:orientation val="minMax"/>
        </c:scaling>
        <c:delete val="0"/>
        <c:axPos val="b"/>
        <c:majorTickMark val="out"/>
        <c:minorTickMark val="none"/>
        <c:tickLblPos val="nextTo"/>
        <c:crossAx val="134060288"/>
        <c:crosses val="autoZero"/>
        <c:crossBetween val="midCat"/>
      </c:valAx>
      <c:valAx>
        <c:axId val="134060288"/>
        <c:scaling>
          <c:orientation val="minMax"/>
        </c:scaling>
        <c:delete val="0"/>
        <c:axPos val="l"/>
        <c:majorGridlines/>
        <c:numFmt formatCode="0.00%" sourceLinked="1"/>
        <c:majorTickMark val="out"/>
        <c:minorTickMark val="none"/>
        <c:tickLblPos val="nextTo"/>
        <c:crossAx val="134058752"/>
        <c:crosses val="autoZero"/>
        <c:crossBetween val="midCat"/>
      </c:valAx>
      <c:valAx>
        <c:axId val="134066176"/>
        <c:scaling>
          <c:orientation val="minMax"/>
        </c:scaling>
        <c:delete val="0"/>
        <c:axPos val="r"/>
        <c:numFmt formatCode="General" sourceLinked="1"/>
        <c:majorTickMark val="out"/>
        <c:minorTickMark val="none"/>
        <c:tickLblPos val="nextTo"/>
        <c:crossAx val="134067712"/>
        <c:crosses val="max"/>
        <c:crossBetween val="midCat"/>
      </c:valAx>
      <c:valAx>
        <c:axId val="134067712"/>
        <c:scaling>
          <c:orientation val="minMax"/>
        </c:scaling>
        <c:delete val="1"/>
        <c:axPos val="b"/>
        <c:majorTickMark val="out"/>
        <c:minorTickMark val="none"/>
        <c:tickLblPos val="nextTo"/>
        <c:crossAx val="134066176"/>
        <c:crosses val="autoZero"/>
        <c:crossBetween val="midCat"/>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'Dependent Variables'!$B$52</c:f>
              <c:strCache>
                <c:ptCount val="1"/>
                <c:pt idx="0">
                  <c:v>ROI</c:v>
                </c:pt>
              </c:strCache>
            </c:strRef>
          </c:tx>
          <c:marker>
            <c:symbol val="none"/>
          </c:marker>
          <c:xVal>
            <c:strRef>
              <c:f>'Dependent Variables'!$A$53:$A$63</c:f>
              <c:strCache>
                <c:ptCount val="11"/>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pt idx="9">
                  <c:v>City Bank 2009</c:v>
                </c:pt>
                <c:pt idx="10">
                  <c:v>City Bank 2008</c:v>
                </c:pt>
              </c:strCache>
            </c:strRef>
          </c:xVal>
          <c:yVal>
            <c:numRef>
              <c:f>'Dependent Variables'!$B$53:$B$63</c:f>
              <c:numCache>
                <c:formatCode>0.00%</c:formatCode>
                <c:ptCount val="11"/>
                <c:pt idx="0" formatCode="0%">
                  <c:v>0.11</c:v>
                </c:pt>
                <c:pt idx="1">
                  <c:v>0.1234</c:v>
                </c:pt>
                <c:pt idx="2">
                  <c:v>0.1246</c:v>
                </c:pt>
                <c:pt idx="3">
                  <c:v>9.7600000000000006E-2</c:v>
                </c:pt>
                <c:pt idx="4">
                  <c:v>9.8000000000000004E-2</c:v>
                </c:pt>
                <c:pt idx="5">
                  <c:v>0.1167</c:v>
                </c:pt>
                <c:pt idx="6">
                  <c:v>9.0899999999999995E-2</c:v>
                </c:pt>
                <c:pt idx="7">
                  <c:v>8.8700000000000001E-2</c:v>
                </c:pt>
                <c:pt idx="8">
                  <c:v>8.6699999999999999E-2</c:v>
                </c:pt>
                <c:pt idx="9">
                  <c:v>0.1198</c:v>
                </c:pt>
                <c:pt idx="10">
                  <c:v>0.1154</c:v>
                </c:pt>
              </c:numCache>
            </c:numRef>
          </c:yVal>
          <c:smooth val="1"/>
          <c:extLst xmlns:c16r2="http://schemas.microsoft.com/office/drawing/2015/06/chart">
            <c:ext xmlns:c16="http://schemas.microsoft.com/office/drawing/2014/chart" uri="{C3380CC4-5D6E-409C-BE32-E72D297353CC}">
              <c16:uniqueId val="{00000000-3037-41A5-8CE2-F281A73A2952}"/>
            </c:ext>
          </c:extLst>
        </c:ser>
        <c:ser>
          <c:idx val="1"/>
          <c:order val="1"/>
          <c:tx>
            <c:strRef>
              <c:f>'Dependent Variables'!$C$52</c:f>
              <c:strCache>
                <c:ptCount val="1"/>
                <c:pt idx="0">
                  <c:v>ROE</c:v>
                </c:pt>
              </c:strCache>
            </c:strRef>
          </c:tx>
          <c:marker>
            <c:symbol val="none"/>
          </c:marker>
          <c:xVal>
            <c:strRef>
              <c:f>'Dependent Variables'!$A$53:$A$63</c:f>
              <c:strCache>
                <c:ptCount val="11"/>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pt idx="9">
                  <c:v>City Bank 2009</c:v>
                </c:pt>
                <c:pt idx="10">
                  <c:v>City Bank 2008</c:v>
                </c:pt>
              </c:strCache>
            </c:strRef>
          </c:xVal>
          <c:yVal>
            <c:numRef>
              <c:f>'Dependent Variables'!$C$53:$C$63</c:f>
              <c:numCache>
                <c:formatCode>0.00%</c:formatCode>
                <c:ptCount val="11"/>
                <c:pt idx="0">
                  <c:v>8.2000000000000003E-2</c:v>
                </c:pt>
                <c:pt idx="1">
                  <c:v>0.159</c:v>
                </c:pt>
                <c:pt idx="2">
                  <c:v>0.19</c:v>
                </c:pt>
                <c:pt idx="3">
                  <c:v>0.183</c:v>
                </c:pt>
                <c:pt idx="4">
                  <c:v>0.13400000000000001</c:v>
                </c:pt>
                <c:pt idx="5">
                  <c:v>6.3E-2</c:v>
                </c:pt>
                <c:pt idx="6">
                  <c:v>4.2999999999999997E-2</c:v>
                </c:pt>
                <c:pt idx="7">
                  <c:v>0.13700000000000001</c:v>
                </c:pt>
                <c:pt idx="8">
                  <c:v>0.21299999999999999</c:v>
                </c:pt>
                <c:pt idx="9">
                  <c:v>0.16200000000000001</c:v>
                </c:pt>
                <c:pt idx="10">
                  <c:v>0.112</c:v>
                </c:pt>
              </c:numCache>
            </c:numRef>
          </c:yVal>
          <c:smooth val="1"/>
          <c:extLst xmlns:c16r2="http://schemas.microsoft.com/office/drawing/2015/06/chart">
            <c:ext xmlns:c16="http://schemas.microsoft.com/office/drawing/2014/chart" uri="{C3380CC4-5D6E-409C-BE32-E72D297353CC}">
              <c16:uniqueId val="{00000001-3037-41A5-8CE2-F281A73A2952}"/>
            </c:ext>
          </c:extLst>
        </c:ser>
        <c:ser>
          <c:idx val="2"/>
          <c:order val="2"/>
          <c:tx>
            <c:strRef>
              <c:f>'Dependent Variables'!$D$52</c:f>
              <c:strCache>
                <c:ptCount val="1"/>
                <c:pt idx="0">
                  <c:v>ROA</c:v>
                </c:pt>
              </c:strCache>
            </c:strRef>
          </c:tx>
          <c:marker>
            <c:symbol val="none"/>
          </c:marker>
          <c:xVal>
            <c:strRef>
              <c:f>'Dependent Variables'!$A$53:$A$63</c:f>
              <c:strCache>
                <c:ptCount val="11"/>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pt idx="9">
                  <c:v>City Bank 2009</c:v>
                </c:pt>
                <c:pt idx="10">
                  <c:v>City Bank 2008</c:v>
                </c:pt>
              </c:strCache>
            </c:strRef>
          </c:xVal>
          <c:yVal>
            <c:numRef>
              <c:f>'Dependent Variables'!$D$53:$D$63</c:f>
              <c:numCache>
                <c:formatCode>0.00%</c:formatCode>
                <c:ptCount val="11"/>
                <c:pt idx="0">
                  <c:v>7.0000000000000001E-3</c:v>
                </c:pt>
                <c:pt idx="1">
                  <c:v>1.4E-2</c:v>
                </c:pt>
                <c:pt idx="2" formatCode="0%">
                  <c:v>0.17</c:v>
                </c:pt>
                <c:pt idx="3" formatCode="0%">
                  <c:v>0.19</c:v>
                </c:pt>
                <c:pt idx="4" formatCode="0%">
                  <c:v>0.14000000000000001</c:v>
                </c:pt>
                <c:pt idx="5" formatCode="0%">
                  <c:v>0.13</c:v>
                </c:pt>
                <c:pt idx="6">
                  <c:v>6.0000000000000001E-3</c:v>
                </c:pt>
                <c:pt idx="7">
                  <c:v>0.02</c:v>
                </c:pt>
                <c:pt idx="8">
                  <c:v>2.1999999999999999E-2</c:v>
                </c:pt>
                <c:pt idx="9">
                  <c:v>1.2E-2</c:v>
                </c:pt>
                <c:pt idx="10">
                  <c:v>8.0000000000000002E-3</c:v>
                </c:pt>
              </c:numCache>
            </c:numRef>
          </c:yVal>
          <c:smooth val="1"/>
          <c:extLst xmlns:c16r2="http://schemas.microsoft.com/office/drawing/2015/06/chart">
            <c:ext xmlns:c16="http://schemas.microsoft.com/office/drawing/2014/chart" uri="{C3380CC4-5D6E-409C-BE32-E72D297353CC}">
              <c16:uniqueId val="{00000002-3037-41A5-8CE2-F281A73A2952}"/>
            </c:ext>
          </c:extLst>
        </c:ser>
        <c:ser>
          <c:idx val="4"/>
          <c:order val="4"/>
          <c:tx>
            <c:strRef>
              <c:f>'Dependent Variables'!$F$52</c:f>
              <c:strCache>
                <c:ptCount val="1"/>
                <c:pt idx="0">
                  <c:v>ROCE</c:v>
                </c:pt>
              </c:strCache>
            </c:strRef>
          </c:tx>
          <c:marker>
            <c:symbol val="none"/>
          </c:marker>
          <c:xVal>
            <c:strRef>
              <c:f>'Dependent Variables'!$A$53:$A$63</c:f>
              <c:strCache>
                <c:ptCount val="11"/>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pt idx="9">
                  <c:v>City Bank 2009</c:v>
                </c:pt>
                <c:pt idx="10">
                  <c:v>City Bank 2008</c:v>
                </c:pt>
              </c:strCache>
            </c:strRef>
          </c:xVal>
          <c:yVal>
            <c:numRef>
              <c:f>'Dependent Variables'!$F$53:$F$63</c:f>
              <c:numCache>
                <c:formatCode>0.00%</c:formatCode>
                <c:ptCount val="11"/>
                <c:pt idx="0">
                  <c:v>3.7600000000000001E-2</c:v>
                </c:pt>
                <c:pt idx="1">
                  <c:v>3.6499999999999998E-2</c:v>
                </c:pt>
                <c:pt idx="2">
                  <c:v>3.8899999999999997E-2</c:v>
                </c:pt>
                <c:pt idx="3">
                  <c:v>2.7699999999999999E-2</c:v>
                </c:pt>
                <c:pt idx="4">
                  <c:v>2.87E-2</c:v>
                </c:pt>
                <c:pt idx="5">
                  <c:v>1.89E-2</c:v>
                </c:pt>
                <c:pt idx="6">
                  <c:v>2.4299999999999999E-2</c:v>
                </c:pt>
                <c:pt idx="7">
                  <c:v>2.6499999999999999E-2</c:v>
                </c:pt>
                <c:pt idx="8">
                  <c:v>1.95E-2</c:v>
                </c:pt>
                <c:pt idx="9">
                  <c:v>2.5499999999999998E-2</c:v>
                </c:pt>
                <c:pt idx="10">
                  <c:v>2.3199999999999998E-2</c:v>
                </c:pt>
              </c:numCache>
            </c:numRef>
          </c:yVal>
          <c:smooth val="1"/>
          <c:extLst xmlns:c16r2="http://schemas.microsoft.com/office/drawing/2015/06/chart">
            <c:ext xmlns:c16="http://schemas.microsoft.com/office/drawing/2014/chart" uri="{C3380CC4-5D6E-409C-BE32-E72D297353CC}">
              <c16:uniqueId val="{00000003-3037-41A5-8CE2-F281A73A2952}"/>
            </c:ext>
          </c:extLst>
        </c:ser>
        <c:dLbls>
          <c:showLegendKey val="0"/>
          <c:showVal val="0"/>
          <c:showCatName val="0"/>
          <c:showSerName val="0"/>
          <c:showPercent val="0"/>
          <c:showBubbleSize val="0"/>
        </c:dLbls>
        <c:axId val="140771712"/>
        <c:axId val="140773248"/>
      </c:scatterChart>
      <c:scatterChart>
        <c:scatterStyle val="smoothMarker"/>
        <c:varyColors val="0"/>
        <c:ser>
          <c:idx val="3"/>
          <c:order val="3"/>
          <c:tx>
            <c:strRef>
              <c:f>'Dependent Variables'!$E$52</c:f>
              <c:strCache>
                <c:ptCount val="1"/>
                <c:pt idx="0">
                  <c:v>EPS</c:v>
                </c:pt>
              </c:strCache>
            </c:strRef>
          </c:tx>
          <c:marker>
            <c:symbol val="none"/>
          </c:marker>
          <c:xVal>
            <c:strRef>
              <c:f>'Dependent Variables'!$A$53:$A$63</c:f>
              <c:strCache>
                <c:ptCount val="11"/>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pt idx="9">
                  <c:v>City Bank 2009</c:v>
                </c:pt>
                <c:pt idx="10">
                  <c:v>City Bank 2008</c:v>
                </c:pt>
              </c:strCache>
            </c:strRef>
          </c:xVal>
          <c:yVal>
            <c:numRef>
              <c:f>'Dependent Variables'!$E$53:$E$63</c:f>
              <c:numCache>
                <c:formatCode>General</c:formatCode>
                <c:ptCount val="11"/>
                <c:pt idx="0">
                  <c:v>2.1</c:v>
                </c:pt>
                <c:pt idx="1">
                  <c:v>4.0999999999999996</c:v>
                </c:pt>
                <c:pt idx="2">
                  <c:v>4.5</c:v>
                </c:pt>
                <c:pt idx="3">
                  <c:v>4.0999999999999996</c:v>
                </c:pt>
                <c:pt idx="4">
                  <c:v>2.7</c:v>
                </c:pt>
                <c:pt idx="5">
                  <c:v>1.1000000000000001</c:v>
                </c:pt>
                <c:pt idx="6">
                  <c:v>1.21</c:v>
                </c:pt>
                <c:pt idx="7">
                  <c:v>4</c:v>
                </c:pt>
                <c:pt idx="8">
                  <c:v>3.7</c:v>
                </c:pt>
                <c:pt idx="9">
                  <c:v>52.1</c:v>
                </c:pt>
                <c:pt idx="10">
                  <c:v>25.3</c:v>
                </c:pt>
              </c:numCache>
            </c:numRef>
          </c:yVal>
          <c:smooth val="1"/>
          <c:extLst xmlns:c16r2="http://schemas.microsoft.com/office/drawing/2015/06/chart">
            <c:ext xmlns:c16="http://schemas.microsoft.com/office/drawing/2014/chart" uri="{C3380CC4-5D6E-409C-BE32-E72D297353CC}">
              <c16:uniqueId val="{00000004-3037-41A5-8CE2-F281A73A2952}"/>
            </c:ext>
          </c:extLst>
        </c:ser>
        <c:dLbls>
          <c:showLegendKey val="0"/>
          <c:showVal val="0"/>
          <c:showCatName val="0"/>
          <c:showSerName val="0"/>
          <c:showPercent val="0"/>
          <c:showBubbleSize val="0"/>
        </c:dLbls>
        <c:axId val="140776576"/>
        <c:axId val="140774784"/>
      </c:scatterChart>
      <c:valAx>
        <c:axId val="140771712"/>
        <c:scaling>
          <c:orientation val="minMax"/>
        </c:scaling>
        <c:delete val="0"/>
        <c:axPos val="b"/>
        <c:majorTickMark val="out"/>
        <c:minorTickMark val="none"/>
        <c:tickLblPos val="nextTo"/>
        <c:crossAx val="140773248"/>
        <c:crosses val="autoZero"/>
        <c:crossBetween val="midCat"/>
      </c:valAx>
      <c:valAx>
        <c:axId val="140773248"/>
        <c:scaling>
          <c:orientation val="minMax"/>
        </c:scaling>
        <c:delete val="0"/>
        <c:axPos val="l"/>
        <c:majorGridlines/>
        <c:numFmt formatCode="0%" sourceLinked="1"/>
        <c:majorTickMark val="out"/>
        <c:minorTickMark val="none"/>
        <c:tickLblPos val="nextTo"/>
        <c:crossAx val="140771712"/>
        <c:crosses val="autoZero"/>
        <c:crossBetween val="midCat"/>
      </c:valAx>
      <c:valAx>
        <c:axId val="140774784"/>
        <c:scaling>
          <c:orientation val="minMax"/>
        </c:scaling>
        <c:delete val="0"/>
        <c:axPos val="r"/>
        <c:numFmt formatCode="General" sourceLinked="1"/>
        <c:majorTickMark val="out"/>
        <c:minorTickMark val="none"/>
        <c:tickLblPos val="nextTo"/>
        <c:crossAx val="140776576"/>
        <c:crosses val="max"/>
        <c:crossBetween val="midCat"/>
      </c:valAx>
      <c:valAx>
        <c:axId val="140776576"/>
        <c:scaling>
          <c:orientation val="minMax"/>
        </c:scaling>
        <c:delete val="1"/>
        <c:axPos val="b"/>
        <c:majorTickMark val="out"/>
        <c:minorTickMark val="none"/>
        <c:tickLblPos val="nextTo"/>
        <c:crossAx val="140774784"/>
        <c:crosses val="autoZero"/>
        <c:crossBetween val="midCat"/>
      </c:val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915565848386598"/>
          <c:y val="7.3491579975860685E-2"/>
          <c:w val="0.5924337810714837"/>
          <c:h val="0.82406728356035785"/>
        </c:manualLayout>
      </c:layout>
      <c:scatterChart>
        <c:scatterStyle val="smoothMarker"/>
        <c:varyColors val="0"/>
        <c:ser>
          <c:idx val="0"/>
          <c:order val="0"/>
          <c:tx>
            <c:strRef>
              <c:f>'Dependent Variables'!$B$79</c:f>
              <c:strCache>
                <c:ptCount val="1"/>
                <c:pt idx="0">
                  <c:v>ROI</c:v>
                </c:pt>
              </c:strCache>
            </c:strRef>
          </c:tx>
          <c:marker>
            <c:symbol val="none"/>
          </c:marker>
          <c:xVal>
            <c:strRef>
              <c:f>'Dependent Variables'!$A$80:$A$90</c:f>
              <c:strCache>
                <c:ptCount val="11"/>
                <c:pt idx="0">
                  <c:v>Dutch Bangla Bank 2018</c:v>
                </c:pt>
                <c:pt idx="1">
                  <c:v>Dutch Bangla Bank 2017</c:v>
                </c:pt>
                <c:pt idx="2">
                  <c:v>Dutch Bangla Bank 2016</c:v>
                </c:pt>
                <c:pt idx="3">
                  <c:v>Dutch Bangla Bank 2015</c:v>
                </c:pt>
                <c:pt idx="4">
                  <c:v>Dutch Bangla Bank 2014</c:v>
                </c:pt>
                <c:pt idx="5">
                  <c:v>Dutch Bangla Bank 2013</c:v>
                </c:pt>
                <c:pt idx="6">
                  <c:v>Dutch Bangla Bank 2012</c:v>
                </c:pt>
                <c:pt idx="7">
                  <c:v>Dutch Bangla Bank 2011</c:v>
                </c:pt>
                <c:pt idx="8">
                  <c:v>Dutch Bangla Bank 2010</c:v>
                </c:pt>
                <c:pt idx="9">
                  <c:v>Dutch Bangla Bank 2009</c:v>
                </c:pt>
                <c:pt idx="10">
                  <c:v>Dutch Bangla Bank 2010</c:v>
                </c:pt>
              </c:strCache>
            </c:strRef>
          </c:xVal>
          <c:yVal>
            <c:numRef>
              <c:f>'Dependent Variables'!$B$80:$B$90</c:f>
              <c:numCache>
                <c:formatCode>0%</c:formatCode>
                <c:ptCount val="11"/>
                <c:pt idx="0" formatCode="0.00%">
                  <c:v>6.9000000000000006E-2</c:v>
                </c:pt>
                <c:pt idx="1">
                  <c:v>7.0000000000000007E-2</c:v>
                </c:pt>
                <c:pt idx="2">
                  <c:v>0.08</c:v>
                </c:pt>
                <c:pt idx="3" formatCode="0.00%">
                  <c:v>0.104</c:v>
                </c:pt>
                <c:pt idx="4" formatCode="0.00%">
                  <c:v>0.108</c:v>
                </c:pt>
                <c:pt idx="5" formatCode="0.00%">
                  <c:v>0.108</c:v>
                </c:pt>
                <c:pt idx="6" formatCode="0.00%">
                  <c:v>0.11600000000000001</c:v>
                </c:pt>
                <c:pt idx="7" formatCode="0.00%">
                  <c:v>0.109</c:v>
                </c:pt>
                <c:pt idx="8" formatCode="0.00%">
                  <c:v>0.122</c:v>
                </c:pt>
                <c:pt idx="9" formatCode="0.00%">
                  <c:v>0.14599999999999999</c:v>
                </c:pt>
                <c:pt idx="10" formatCode="0.00%">
                  <c:v>9.7000000000000003E-2</c:v>
                </c:pt>
              </c:numCache>
            </c:numRef>
          </c:yVal>
          <c:smooth val="1"/>
          <c:extLst xmlns:c16r2="http://schemas.microsoft.com/office/drawing/2015/06/chart">
            <c:ext xmlns:c16="http://schemas.microsoft.com/office/drawing/2014/chart" uri="{C3380CC4-5D6E-409C-BE32-E72D297353CC}">
              <c16:uniqueId val="{00000000-D840-4F54-9CAB-378878A2D4D1}"/>
            </c:ext>
          </c:extLst>
        </c:ser>
        <c:ser>
          <c:idx val="1"/>
          <c:order val="1"/>
          <c:tx>
            <c:strRef>
              <c:f>'Dependent Variables'!$C$79</c:f>
              <c:strCache>
                <c:ptCount val="1"/>
                <c:pt idx="0">
                  <c:v>ROE</c:v>
                </c:pt>
              </c:strCache>
            </c:strRef>
          </c:tx>
          <c:marker>
            <c:symbol val="none"/>
          </c:marker>
          <c:xVal>
            <c:strRef>
              <c:f>'Dependent Variables'!$A$80:$A$90</c:f>
              <c:strCache>
                <c:ptCount val="11"/>
                <c:pt idx="0">
                  <c:v>Dutch Bangla Bank 2018</c:v>
                </c:pt>
                <c:pt idx="1">
                  <c:v>Dutch Bangla Bank 2017</c:v>
                </c:pt>
                <c:pt idx="2">
                  <c:v>Dutch Bangla Bank 2016</c:v>
                </c:pt>
                <c:pt idx="3">
                  <c:v>Dutch Bangla Bank 2015</c:v>
                </c:pt>
                <c:pt idx="4">
                  <c:v>Dutch Bangla Bank 2014</c:v>
                </c:pt>
                <c:pt idx="5">
                  <c:v>Dutch Bangla Bank 2013</c:v>
                </c:pt>
                <c:pt idx="6">
                  <c:v>Dutch Bangla Bank 2012</c:v>
                </c:pt>
                <c:pt idx="7">
                  <c:v>Dutch Bangla Bank 2011</c:v>
                </c:pt>
                <c:pt idx="8">
                  <c:v>Dutch Bangla Bank 2010</c:v>
                </c:pt>
                <c:pt idx="9">
                  <c:v>Dutch Bangla Bank 2009</c:v>
                </c:pt>
                <c:pt idx="10">
                  <c:v>Dutch Bangla Bank 2010</c:v>
                </c:pt>
              </c:strCache>
            </c:strRef>
          </c:xVal>
          <c:yVal>
            <c:numRef>
              <c:f>'Dependent Variables'!$C$80:$C$90</c:f>
              <c:numCache>
                <c:formatCode>0.00%</c:formatCode>
                <c:ptCount val="11"/>
                <c:pt idx="0">
                  <c:v>0.19700000000000001</c:v>
                </c:pt>
                <c:pt idx="1">
                  <c:v>0.13200000000000001</c:v>
                </c:pt>
                <c:pt idx="2">
                  <c:v>0.10299999999999999</c:v>
                </c:pt>
                <c:pt idx="3">
                  <c:v>0.193</c:v>
                </c:pt>
                <c:pt idx="4">
                  <c:v>0.16200000000000001</c:v>
                </c:pt>
                <c:pt idx="5">
                  <c:v>0.17</c:v>
                </c:pt>
                <c:pt idx="6">
                  <c:v>0.23400000000000001</c:v>
                </c:pt>
                <c:pt idx="7" formatCode="0%">
                  <c:v>0.27</c:v>
                </c:pt>
                <c:pt idx="8">
                  <c:v>0.35299999999999998</c:v>
                </c:pt>
                <c:pt idx="9">
                  <c:v>0.30299999999999999</c:v>
                </c:pt>
                <c:pt idx="10">
                  <c:v>0.29899999999999999</c:v>
                </c:pt>
              </c:numCache>
            </c:numRef>
          </c:yVal>
          <c:smooth val="1"/>
          <c:extLst xmlns:c16r2="http://schemas.microsoft.com/office/drawing/2015/06/chart">
            <c:ext xmlns:c16="http://schemas.microsoft.com/office/drawing/2014/chart" uri="{C3380CC4-5D6E-409C-BE32-E72D297353CC}">
              <c16:uniqueId val="{00000001-D840-4F54-9CAB-378878A2D4D1}"/>
            </c:ext>
          </c:extLst>
        </c:ser>
        <c:ser>
          <c:idx val="2"/>
          <c:order val="2"/>
          <c:tx>
            <c:strRef>
              <c:f>'Dependent Variables'!$D$79</c:f>
              <c:strCache>
                <c:ptCount val="1"/>
                <c:pt idx="0">
                  <c:v>ROA</c:v>
                </c:pt>
              </c:strCache>
            </c:strRef>
          </c:tx>
          <c:marker>
            <c:symbol val="none"/>
          </c:marker>
          <c:xVal>
            <c:strRef>
              <c:f>'Dependent Variables'!$A$80:$A$90</c:f>
              <c:strCache>
                <c:ptCount val="11"/>
                <c:pt idx="0">
                  <c:v>Dutch Bangla Bank 2018</c:v>
                </c:pt>
                <c:pt idx="1">
                  <c:v>Dutch Bangla Bank 2017</c:v>
                </c:pt>
                <c:pt idx="2">
                  <c:v>Dutch Bangla Bank 2016</c:v>
                </c:pt>
                <c:pt idx="3">
                  <c:v>Dutch Bangla Bank 2015</c:v>
                </c:pt>
                <c:pt idx="4">
                  <c:v>Dutch Bangla Bank 2014</c:v>
                </c:pt>
                <c:pt idx="5">
                  <c:v>Dutch Bangla Bank 2013</c:v>
                </c:pt>
                <c:pt idx="6">
                  <c:v>Dutch Bangla Bank 2012</c:v>
                </c:pt>
                <c:pt idx="7">
                  <c:v>Dutch Bangla Bank 2011</c:v>
                </c:pt>
                <c:pt idx="8">
                  <c:v>Dutch Bangla Bank 2010</c:v>
                </c:pt>
                <c:pt idx="9">
                  <c:v>Dutch Bangla Bank 2009</c:v>
                </c:pt>
                <c:pt idx="10">
                  <c:v>Dutch Bangla Bank 2010</c:v>
                </c:pt>
              </c:strCache>
            </c:strRef>
          </c:xVal>
          <c:yVal>
            <c:numRef>
              <c:f>'Dependent Variables'!$D$80:$D$90</c:f>
              <c:numCache>
                <c:formatCode>0.00%</c:formatCode>
                <c:ptCount val="11"/>
                <c:pt idx="0">
                  <c:v>1.2999999999999999E-2</c:v>
                </c:pt>
                <c:pt idx="1">
                  <c:v>8.9999999999999993E-3</c:v>
                </c:pt>
                <c:pt idx="2">
                  <c:v>7.0000000000000001E-3</c:v>
                </c:pt>
                <c:pt idx="3">
                  <c:v>1.2999999999999999E-2</c:v>
                </c:pt>
                <c:pt idx="4">
                  <c:v>1.2999999999999999E-2</c:v>
                </c:pt>
                <c:pt idx="5">
                  <c:v>1.2E-2</c:v>
                </c:pt>
                <c:pt idx="6">
                  <c:v>1.7000000000000001E-2</c:v>
                </c:pt>
                <c:pt idx="7">
                  <c:v>1.9E-2</c:v>
                </c:pt>
                <c:pt idx="8">
                  <c:v>2.1999999999999999E-2</c:v>
                </c:pt>
                <c:pt idx="9">
                  <c:v>1.6E-2</c:v>
                </c:pt>
                <c:pt idx="10">
                  <c:v>1.4999999999999999E-2</c:v>
                </c:pt>
              </c:numCache>
            </c:numRef>
          </c:yVal>
          <c:smooth val="1"/>
          <c:extLst xmlns:c16r2="http://schemas.microsoft.com/office/drawing/2015/06/chart">
            <c:ext xmlns:c16="http://schemas.microsoft.com/office/drawing/2014/chart" uri="{C3380CC4-5D6E-409C-BE32-E72D297353CC}">
              <c16:uniqueId val="{00000002-D840-4F54-9CAB-378878A2D4D1}"/>
            </c:ext>
          </c:extLst>
        </c:ser>
        <c:ser>
          <c:idx val="4"/>
          <c:order val="4"/>
          <c:tx>
            <c:strRef>
              <c:f>'Dependent Variables'!$F$79</c:f>
              <c:strCache>
                <c:ptCount val="1"/>
                <c:pt idx="0">
                  <c:v>ROCE</c:v>
                </c:pt>
              </c:strCache>
            </c:strRef>
          </c:tx>
          <c:marker>
            <c:symbol val="none"/>
          </c:marker>
          <c:xVal>
            <c:strRef>
              <c:f>'Dependent Variables'!$A$80:$A$90</c:f>
              <c:strCache>
                <c:ptCount val="11"/>
                <c:pt idx="0">
                  <c:v>Dutch Bangla Bank 2018</c:v>
                </c:pt>
                <c:pt idx="1">
                  <c:v>Dutch Bangla Bank 2017</c:v>
                </c:pt>
                <c:pt idx="2">
                  <c:v>Dutch Bangla Bank 2016</c:v>
                </c:pt>
                <c:pt idx="3">
                  <c:v>Dutch Bangla Bank 2015</c:v>
                </c:pt>
                <c:pt idx="4">
                  <c:v>Dutch Bangla Bank 2014</c:v>
                </c:pt>
                <c:pt idx="5">
                  <c:v>Dutch Bangla Bank 2013</c:v>
                </c:pt>
                <c:pt idx="6">
                  <c:v>Dutch Bangla Bank 2012</c:v>
                </c:pt>
                <c:pt idx="7">
                  <c:v>Dutch Bangla Bank 2011</c:v>
                </c:pt>
                <c:pt idx="8">
                  <c:v>Dutch Bangla Bank 2010</c:v>
                </c:pt>
                <c:pt idx="9">
                  <c:v>Dutch Bangla Bank 2009</c:v>
                </c:pt>
                <c:pt idx="10">
                  <c:v>Dutch Bangla Bank 2010</c:v>
                </c:pt>
              </c:strCache>
            </c:strRef>
          </c:xVal>
          <c:yVal>
            <c:numRef>
              <c:f>'Dependent Variables'!$F$80:$F$90</c:f>
              <c:numCache>
                <c:formatCode>0.00%</c:formatCode>
                <c:ptCount val="11"/>
                <c:pt idx="0">
                  <c:v>2.1999999999999999E-2</c:v>
                </c:pt>
                <c:pt idx="1">
                  <c:v>1.9E-2</c:v>
                </c:pt>
                <c:pt idx="2">
                  <c:v>2.3E-2</c:v>
                </c:pt>
                <c:pt idx="3">
                  <c:v>0.01</c:v>
                </c:pt>
                <c:pt idx="4">
                  <c:v>2.0299999999999999E-2</c:v>
                </c:pt>
                <c:pt idx="5">
                  <c:v>2.76E-2</c:v>
                </c:pt>
                <c:pt idx="6">
                  <c:v>2.1299999999999999E-2</c:v>
                </c:pt>
                <c:pt idx="7">
                  <c:v>1.89E-2</c:v>
                </c:pt>
                <c:pt idx="8">
                  <c:v>1.4500000000000001E-2</c:v>
                </c:pt>
                <c:pt idx="9">
                  <c:v>2.76E-2</c:v>
                </c:pt>
                <c:pt idx="10">
                  <c:v>2.4500000000000001E-2</c:v>
                </c:pt>
              </c:numCache>
            </c:numRef>
          </c:yVal>
          <c:smooth val="1"/>
          <c:extLst xmlns:c16r2="http://schemas.microsoft.com/office/drawing/2015/06/chart">
            <c:ext xmlns:c16="http://schemas.microsoft.com/office/drawing/2014/chart" uri="{C3380CC4-5D6E-409C-BE32-E72D297353CC}">
              <c16:uniqueId val="{00000003-D840-4F54-9CAB-378878A2D4D1}"/>
            </c:ext>
          </c:extLst>
        </c:ser>
        <c:dLbls>
          <c:showLegendKey val="0"/>
          <c:showVal val="0"/>
          <c:showCatName val="0"/>
          <c:showSerName val="0"/>
          <c:showPercent val="0"/>
          <c:showBubbleSize val="0"/>
        </c:dLbls>
        <c:axId val="140529664"/>
        <c:axId val="140531200"/>
      </c:scatterChart>
      <c:scatterChart>
        <c:scatterStyle val="smoothMarker"/>
        <c:varyColors val="0"/>
        <c:ser>
          <c:idx val="3"/>
          <c:order val="3"/>
          <c:tx>
            <c:strRef>
              <c:f>'Dependent Variables'!$E$79</c:f>
              <c:strCache>
                <c:ptCount val="1"/>
                <c:pt idx="0">
                  <c:v>EPS</c:v>
                </c:pt>
              </c:strCache>
            </c:strRef>
          </c:tx>
          <c:marker>
            <c:symbol val="none"/>
          </c:marker>
          <c:xVal>
            <c:strRef>
              <c:f>'Dependent Variables'!$A$80:$A$90</c:f>
              <c:strCache>
                <c:ptCount val="11"/>
                <c:pt idx="0">
                  <c:v>Dutch Bangla Bank 2018</c:v>
                </c:pt>
                <c:pt idx="1">
                  <c:v>Dutch Bangla Bank 2017</c:v>
                </c:pt>
                <c:pt idx="2">
                  <c:v>Dutch Bangla Bank 2016</c:v>
                </c:pt>
                <c:pt idx="3">
                  <c:v>Dutch Bangla Bank 2015</c:v>
                </c:pt>
                <c:pt idx="4">
                  <c:v>Dutch Bangla Bank 2014</c:v>
                </c:pt>
                <c:pt idx="5">
                  <c:v>Dutch Bangla Bank 2013</c:v>
                </c:pt>
                <c:pt idx="6">
                  <c:v>Dutch Bangla Bank 2012</c:v>
                </c:pt>
                <c:pt idx="7">
                  <c:v>Dutch Bangla Bank 2011</c:v>
                </c:pt>
                <c:pt idx="8">
                  <c:v>Dutch Bangla Bank 2010</c:v>
                </c:pt>
                <c:pt idx="9">
                  <c:v>Dutch Bangla Bank 2009</c:v>
                </c:pt>
                <c:pt idx="10">
                  <c:v>Dutch Bangla Bank 2010</c:v>
                </c:pt>
              </c:strCache>
            </c:strRef>
          </c:xVal>
          <c:yVal>
            <c:numRef>
              <c:f>'Dependent Variables'!$E$80:$E$90</c:f>
              <c:numCache>
                <c:formatCode>General</c:formatCode>
                <c:ptCount val="11"/>
                <c:pt idx="0">
                  <c:v>21</c:v>
                </c:pt>
                <c:pt idx="1">
                  <c:v>12.3</c:v>
                </c:pt>
                <c:pt idx="2">
                  <c:v>8.9</c:v>
                </c:pt>
                <c:pt idx="3">
                  <c:v>15.1</c:v>
                </c:pt>
                <c:pt idx="4">
                  <c:v>11</c:v>
                </c:pt>
                <c:pt idx="5">
                  <c:v>10</c:v>
                </c:pt>
                <c:pt idx="6">
                  <c:v>11.6</c:v>
                </c:pt>
                <c:pt idx="7">
                  <c:v>10.8</c:v>
                </c:pt>
                <c:pt idx="8">
                  <c:v>10</c:v>
                </c:pt>
                <c:pt idx="9">
                  <c:v>5.7</c:v>
                </c:pt>
                <c:pt idx="10">
                  <c:v>5.5</c:v>
                </c:pt>
              </c:numCache>
            </c:numRef>
          </c:yVal>
          <c:smooth val="1"/>
          <c:extLst xmlns:c16r2="http://schemas.microsoft.com/office/drawing/2015/06/chart">
            <c:ext xmlns:c16="http://schemas.microsoft.com/office/drawing/2014/chart" uri="{C3380CC4-5D6E-409C-BE32-E72D297353CC}">
              <c16:uniqueId val="{00000004-D840-4F54-9CAB-378878A2D4D1}"/>
            </c:ext>
          </c:extLst>
        </c:ser>
        <c:dLbls>
          <c:showLegendKey val="0"/>
          <c:showVal val="0"/>
          <c:showCatName val="0"/>
          <c:showSerName val="0"/>
          <c:showPercent val="0"/>
          <c:showBubbleSize val="0"/>
        </c:dLbls>
        <c:axId val="140559104"/>
        <c:axId val="140532736"/>
      </c:scatterChart>
      <c:valAx>
        <c:axId val="140529664"/>
        <c:scaling>
          <c:orientation val="minMax"/>
        </c:scaling>
        <c:delete val="0"/>
        <c:axPos val="b"/>
        <c:majorTickMark val="out"/>
        <c:minorTickMark val="none"/>
        <c:tickLblPos val="nextTo"/>
        <c:crossAx val="140531200"/>
        <c:crosses val="autoZero"/>
        <c:crossBetween val="midCat"/>
      </c:valAx>
      <c:valAx>
        <c:axId val="140531200"/>
        <c:scaling>
          <c:orientation val="minMax"/>
        </c:scaling>
        <c:delete val="0"/>
        <c:axPos val="l"/>
        <c:majorGridlines/>
        <c:numFmt formatCode="0.00%" sourceLinked="1"/>
        <c:majorTickMark val="out"/>
        <c:minorTickMark val="none"/>
        <c:tickLblPos val="nextTo"/>
        <c:crossAx val="140529664"/>
        <c:crosses val="autoZero"/>
        <c:crossBetween val="midCat"/>
      </c:valAx>
      <c:valAx>
        <c:axId val="140532736"/>
        <c:scaling>
          <c:orientation val="minMax"/>
        </c:scaling>
        <c:delete val="0"/>
        <c:axPos val="r"/>
        <c:numFmt formatCode="General" sourceLinked="1"/>
        <c:majorTickMark val="out"/>
        <c:minorTickMark val="none"/>
        <c:tickLblPos val="nextTo"/>
        <c:crossAx val="140559104"/>
        <c:crosses val="max"/>
        <c:crossBetween val="midCat"/>
      </c:valAx>
      <c:valAx>
        <c:axId val="140559104"/>
        <c:scaling>
          <c:orientation val="minMax"/>
        </c:scaling>
        <c:delete val="1"/>
        <c:axPos val="b"/>
        <c:majorTickMark val="out"/>
        <c:minorTickMark val="none"/>
        <c:tickLblPos val="nextTo"/>
        <c:crossAx val="140532736"/>
        <c:crosses val="autoZero"/>
        <c:crossBetween val="midCat"/>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'Dependent Variables'!$B$92</c:f>
              <c:strCache>
                <c:ptCount val="1"/>
                <c:pt idx="0">
                  <c:v>ROI</c:v>
                </c:pt>
              </c:strCache>
            </c:strRef>
          </c:tx>
          <c:marker>
            <c:symbol val="none"/>
          </c:marker>
          <c:xVal>
            <c:strRef>
              <c:f>'Dependent Variables'!$A$93:$A$104</c:f>
              <c:strCache>
                <c:ptCount val="12"/>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pt idx="11">
                  <c:v>Eastern Bank 2006</c:v>
                </c:pt>
              </c:strCache>
            </c:strRef>
          </c:xVal>
          <c:yVal>
            <c:numRef>
              <c:f>'Dependent Variables'!$B$93:$B$104</c:f>
              <c:numCache>
                <c:formatCode>0.00%</c:formatCode>
                <c:ptCount val="12"/>
                <c:pt idx="0">
                  <c:v>1.09E-2</c:v>
                </c:pt>
                <c:pt idx="1">
                  <c:v>9.4999999999999998E-3</c:v>
                </c:pt>
                <c:pt idx="2">
                  <c:v>1.2E-2</c:v>
                </c:pt>
                <c:pt idx="3">
                  <c:v>1.2E-2</c:v>
                </c:pt>
                <c:pt idx="4">
                  <c:v>1.4E-2</c:v>
                </c:pt>
                <c:pt idx="5">
                  <c:v>1.8100000000000002E-2</c:v>
                </c:pt>
                <c:pt idx="6">
                  <c:v>1.6199999999999999E-2</c:v>
                </c:pt>
                <c:pt idx="7">
                  <c:v>2.1700000000000001E-2</c:v>
                </c:pt>
                <c:pt idx="8">
                  <c:v>3.0599999999999999E-2</c:v>
                </c:pt>
                <c:pt idx="9">
                  <c:v>2.0799999999999999E-2</c:v>
                </c:pt>
                <c:pt idx="10">
                  <c:v>2.29E-2</c:v>
                </c:pt>
                <c:pt idx="11">
                  <c:v>2.4899999999999999E-2</c:v>
                </c:pt>
              </c:numCache>
            </c:numRef>
          </c:yVal>
          <c:smooth val="1"/>
          <c:extLst xmlns:c16r2="http://schemas.microsoft.com/office/drawing/2015/06/chart">
            <c:ext xmlns:c16="http://schemas.microsoft.com/office/drawing/2014/chart" uri="{C3380CC4-5D6E-409C-BE32-E72D297353CC}">
              <c16:uniqueId val="{00000000-76E3-4DF9-8947-C897A379A1EF}"/>
            </c:ext>
          </c:extLst>
        </c:ser>
        <c:ser>
          <c:idx val="1"/>
          <c:order val="1"/>
          <c:tx>
            <c:strRef>
              <c:f>'Dependent Variables'!$C$92</c:f>
              <c:strCache>
                <c:ptCount val="1"/>
                <c:pt idx="0">
                  <c:v>ROE</c:v>
                </c:pt>
              </c:strCache>
            </c:strRef>
          </c:tx>
          <c:marker>
            <c:symbol val="none"/>
          </c:marker>
          <c:xVal>
            <c:strRef>
              <c:f>'Dependent Variables'!$A$93:$A$104</c:f>
              <c:strCache>
                <c:ptCount val="12"/>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pt idx="11">
                  <c:v>Eastern Bank 2006</c:v>
                </c:pt>
              </c:strCache>
            </c:strRef>
          </c:xVal>
          <c:yVal>
            <c:numRef>
              <c:f>'Dependent Variables'!$C$93:$C$104</c:f>
              <c:numCache>
                <c:formatCode>0.00%</c:formatCode>
                <c:ptCount val="12"/>
                <c:pt idx="0">
                  <c:v>0.13830000000000001</c:v>
                </c:pt>
                <c:pt idx="1">
                  <c:v>0.11409999999999999</c:v>
                </c:pt>
                <c:pt idx="2">
                  <c:v>0.12939999999999999</c:v>
                </c:pt>
                <c:pt idx="3">
                  <c:v>0.1095</c:v>
                </c:pt>
                <c:pt idx="4">
                  <c:v>0.10929999999999999</c:v>
                </c:pt>
                <c:pt idx="5">
                  <c:v>0.1444</c:v>
                </c:pt>
                <c:pt idx="6">
                  <c:v>0.1444</c:v>
                </c:pt>
                <c:pt idx="7">
                  <c:v>0.1903</c:v>
                </c:pt>
                <c:pt idx="8">
                  <c:v>0.2364</c:v>
                </c:pt>
                <c:pt idx="9">
                  <c:v>0.221</c:v>
                </c:pt>
                <c:pt idx="10">
                  <c:v>0.18640000000000001</c:v>
                </c:pt>
                <c:pt idx="11">
                  <c:v>0.1173</c:v>
                </c:pt>
              </c:numCache>
            </c:numRef>
          </c:yVal>
          <c:smooth val="1"/>
          <c:extLst xmlns:c16r2="http://schemas.microsoft.com/office/drawing/2015/06/chart">
            <c:ext xmlns:c16="http://schemas.microsoft.com/office/drawing/2014/chart" uri="{C3380CC4-5D6E-409C-BE32-E72D297353CC}">
              <c16:uniqueId val="{00000001-76E3-4DF9-8947-C897A379A1EF}"/>
            </c:ext>
          </c:extLst>
        </c:ser>
        <c:ser>
          <c:idx val="2"/>
          <c:order val="2"/>
          <c:tx>
            <c:strRef>
              <c:f>'Dependent Variables'!$D$92</c:f>
              <c:strCache>
                <c:ptCount val="1"/>
                <c:pt idx="0">
                  <c:v>ROA</c:v>
                </c:pt>
              </c:strCache>
            </c:strRef>
          </c:tx>
          <c:marker>
            <c:symbol val="none"/>
          </c:marker>
          <c:xVal>
            <c:strRef>
              <c:f>'Dependent Variables'!$A$93:$A$104</c:f>
              <c:strCache>
                <c:ptCount val="12"/>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pt idx="11">
                  <c:v>Eastern Bank 2006</c:v>
                </c:pt>
              </c:strCache>
            </c:strRef>
          </c:xVal>
          <c:yVal>
            <c:numRef>
              <c:f>'Dependent Variables'!$D$93:$D$104</c:f>
              <c:numCache>
                <c:formatCode>0.00%</c:formatCode>
                <c:ptCount val="12"/>
                <c:pt idx="0">
                  <c:v>1.15E-2</c:v>
                </c:pt>
                <c:pt idx="1">
                  <c:v>1.04E-2</c:v>
                </c:pt>
                <c:pt idx="2">
                  <c:v>1.3299999999999999E-2</c:v>
                </c:pt>
                <c:pt idx="3">
                  <c:v>1.23E-2</c:v>
                </c:pt>
                <c:pt idx="4">
                  <c:v>1.2800000000000001E-2</c:v>
                </c:pt>
                <c:pt idx="5">
                  <c:v>1.6799999999999999E-2</c:v>
                </c:pt>
                <c:pt idx="6">
                  <c:v>1.72E-2</c:v>
                </c:pt>
                <c:pt idx="7">
                  <c:v>2.52E-2</c:v>
                </c:pt>
                <c:pt idx="8">
                  <c:v>3.1899999999999998E-2</c:v>
                </c:pt>
                <c:pt idx="9">
                  <c:v>2.3400000000000001E-2</c:v>
                </c:pt>
                <c:pt idx="10">
                  <c:v>1.6799999999999999E-2</c:v>
                </c:pt>
                <c:pt idx="11">
                  <c:v>1.0999999999999999E-2</c:v>
                </c:pt>
              </c:numCache>
            </c:numRef>
          </c:yVal>
          <c:smooth val="1"/>
          <c:extLst xmlns:c16r2="http://schemas.microsoft.com/office/drawing/2015/06/chart">
            <c:ext xmlns:c16="http://schemas.microsoft.com/office/drawing/2014/chart" uri="{C3380CC4-5D6E-409C-BE32-E72D297353CC}">
              <c16:uniqueId val="{00000002-76E3-4DF9-8947-C897A379A1EF}"/>
            </c:ext>
          </c:extLst>
        </c:ser>
        <c:ser>
          <c:idx val="4"/>
          <c:order val="4"/>
          <c:tx>
            <c:strRef>
              <c:f>'Dependent Variables'!$F$92</c:f>
              <c:strCache>
                <c:ptCount val="1"/>
                <c:pt idx="0">
                  <c:v>ROCE</c:v>
                </c:pt>
              </c:strCache>
            </c:strRef>
          </c:tx>
          <c:marker>
            <c:symbol val="none"/>
          </c:marker>
          <c:xVal>
            <c:strRef>
              <c:f>'Dependent Variables'!$A$93:$A$104</c:f>
              <c:strCache>
                <c:ptCount val="12"/>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pt idx="11">
                  <c:v>Eastern Bank 2006</c:v>
                </c:pt>
              </c:strCache>
            </c:strRef>
          </c:xVal>
          <c:yVal>
            <c:numRef>
              <c:f>'Dependent Variables'!$F$93:$F$104</c:f>
              <c:numCache>
                <c:formatCode>0.00%</c:formatCode>
                <c:ptCount val="12"/>
                <c:pt idx="0">
                  <c:v>2.7E-2</c:v>
                </c:pt>
                <c:pt idx="1">
                  <c:v>2.5600000000000001E-2</c:v>
                </c:pt>
                <c:pt idx="2">
                  <c:v>2.1299999999999999E-2</c:v>
                </c:pt>
                <c:pt idx="3">
                  <c:v>1.32E-2</c:v>
                </c:pt>
                <c:pt idx="4">
                  <c:v>1.67E-2</c:v>
                </c:pt>
                <c:pt idx="5">
                  <c:v>7.0000000000000001E-3</c:v>
                </c:pt>
                <c:pt idx="6">
                  <c:v>1.0200000000000001E-2</c:v>
                </c:pt>
                <c:pt idx="7">
                  <c:v>2.3E-2</c:v>
                </c:pt>
                <c:pt idx="8">
                  <c:v>1.4499999999999999E-2</c:v>
                </c:pt>
                <c:pt idx="9">
                  <c:v>0.01</c:v>
                </c:pt>
                <c:pt idx="10">
                  <c:v>1.89E-2</c:v>
                </c:pt>
                <c:pt idx="11">
                  <c:v>2.6700000000000002E-2</c:v>
                </c:pt>
              </c:numCache>
            </c:numRef>
          </c:yVal>
          <c:smooth val="1"/>
          <c:extLst xmlns:c16r2="http://schemas.microsoft.com/office/drawing/2015/06/chart">
            <c:ext xmlns:c16="http://schemas.microsoft.com/office/drawing/2014/chart" uri="{C3380CC4-5D6E-409C-BE32-E72D297353CC}">
              <c16:uniqueId val="{00000003-76E3-4DF9-8947-C897A379A1EF}"/>
            </c:ext>
          </c:extLst>
        </c:ser>
        <c:dLbls>
          <c:showLegendKey val="0"/>
          <c:showVal val="0"/>
          <c:showCatName val="0"/>
          <c:showSerName val="0"/>
          <c:showPercent val="0"/>
          <c:showBubbleSize val="0"/>
        </c:dLbls>
        <c:axId val="141004160"/>
        <c:axId val="142361728"/>
      </c:scatterChart>
      <c:scatterChart>
        <c:scatterStyle val="smoothMarker"/>
        <c:varyColors val="0"/>
        <c:ser>
          <c:idx val="3"/>
          <c:order val="3"/>
          <c:tx>
            <c:strRef>
              <c:f>'Dependent Variables'!$E$92</c:f>
              <c:strCache>
                <c:ptCount val="1"/>
                <c:pt idx="0">
                  <c:v>EPS</c:v>
                </c:pt>
              </c:strCache>
            </c:strRef>
          </c:tx>
          <c:marker>
            <c:symbol val="none"/>
          </c:marker>
          <c:xVal>
            <c:strRef>
              <c:f>'Dependent Variables'!$A$93:$A$104</c:f>
              <c:strCache>
                <c:ptCount val="12"/>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pt idx="11">
                  <c:v>Eastern Bank 2006</c:v>
                </c:pt>
              </c:strCache>
            </c:strRef>
          </c:xVal>
          <c:yVal>
            <c:numRef>
              <c:f>'Dependent Variables'!$E$93:$E$104</c:f>
              <c:numCache>
                <c:formatCode>General</c:formatCode>
                <c:ptCount val="12"/>
                <c:pt idx="0">
                  <c:v>4.17</c:v>
                </c:pt>
                <c:pt idx="1">
                  <c:v>3.26</c:v>
                </c:pt>
                <c:pt idx="2">
                  <c:v>3.78</c:v>
                </c:pt>
                <c:pt idx="3">
                  <c:v>3.63</c:v>
                </c:pt>
                <c:pt idx="4">
                  <c:v>3.45</c:v>
                </c:pt>
                <c:pt idx="5">
                  <c:v>4.2</c:v>
                </c:pt>
                <c:pt idx="6">
                  <c:v>3.72</c:v>
                </c:pt>
                <c:pt idx="7">
                  <c:v>3.72</c:v>
                </c:pt>
                <c:pt idx="8">
                  <c:v>5.36</c:v>
                </c:pt>
                <c:pt idx="9">
                  <c:v>5</c:v>
                </c:pt>
                <c:pt idx="10">
                  <c:v>57.52</c:v>
                </c:pt>
                <c:pt idx="11">
                  <c:v>30.22</c:v>
                </c:pt>
              </c:numCache>
            </c:numRef>
          </c:yVal>
          <c:smooth val="1"/>
          <c:extLst xmlns:c16r2="http://schemas.microsoft.com/office/drawing/2015/06/chart">
            <c:ext xmlns:c16="http://schemas.microsoft.com/office/drawing/2014/chart" uri="{C3380CC4-5D6E-409C-BE32-E72D297353CC}">
              <c16:uniqueId val="{00000004-76E3-4DF9-8947-C897A379A1EF}"/>
            </c:ext>
          </c:extLst>
        </c:ser>
        <c:dLbls>
          <c:showLegendKey val="0"/>
          <c:showVal val="0"/>
          <c:showCatName val="0"/>
          <c:showSerName val="0"/>
          <c:showPercent val="0"/>
          <c:showBubbleSize val="0"/>
        </c:dLbls>
        <c:axId val="142369152"/>
        <c:axId val="142363264"/>
      </c:scatterChart>
      <c:valAx>
        <c:axId val="141004160"/>
        <c:scaling>
          <c:orientation val="minMax"/>
        </c:scaling>
        <c:delete val="0"/>
        <c:axPos val="b"/>
        <c:majorTickMark val="out"/>
        <c:minorTickMark val="none"/>
        <c:tickLblPos val="nextTo"/>
        <c:crossAx val="142361728"/>
        <c:crosses val="autoZero"/>
        <c:crossBetween val="midCat"/>
      </c:valAx>
      <c:valAx>
        <c:axId val="142361728"/>
        <c:scaling>
          <c:orientation val="minMax"/>
        </c:scaling>
        <c:delete val="0"/>
        <c:axPos val="l"/>
        <c:majorGridlines/>
        <c:numFmt formatCode="0.00%" sourceLinked="1"/>
        <c:majorTickMark val="out"/>
        <c:minorTickMark val="none"/>
        <c:tickLblPos val="nextTo"/>
        <c:crossAx val="141004160"/>
        <c:crosses val="autoZero"/>
        <c:crossBetween val="midCat"/>
      </c:valAx>
      <c:valAx>
        <c:axId val="142363264"/>
        <c:scaling>
          <c:orientation val="minMax"/>
        </c:scaling>
        <c:delete val="0"/>
        <c:axPos val="r"/>
        <c:numFmt formatCode="General" sourceLinked="1"/>
        <c:majorTickMark val="out"/>
        <c:minorTickMark val="none"/>
        <c:tickLblPos val="nextTo"/>
        <c:crossAx val="142369152"/>
        <c:crosses val="max"/>
        <c:crossBetween val="midCat"/>
      </c:valAx>
      <c:valAx>
        <c:axId val="142369152"/>
        <c:scaling>
          <c:orientation val="minMax"/>
        </c:scaling>
        <c:delete val="1"/>
        <c:axPos val="b"/>
        <c:majorTickMark val="out"/>
        <c:minorTickMark val="none"/>
        <c:tickLblPos val="nextTo"/>
        <c:crossAx val="142363264"/>
        <c:crosses val="autoZero"/>
        <c:crossBetween val="midCat"/>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'Dependent Variables'!$B$106</c:f>
              <c:strCache>
                <c:ptCount val="1"/>
                <c:pt idx="0">
                  <c:v>ROI</c:v>
                </c:pt>
              </c:strCache>
            </c:strRef>
          </c:tx>
          <c:marker>
            <c:symbol val="none"/>
          </c:marker>
          <c:xVal>
            <c:strRef>
              <c:f>'Dependent Variables'!$A$107:$A$117</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'Dependent Variables'!$B$107:$B$117</c:f>
              <c:numCache>
                <c:formatCode>0.00%</c:formatCode>
                <c:ptCount val="11"/>
                <c:pt idx="0">
                  <c:v>6.1999999999999998E-3</c:v>
                </c:pt>
                <c:pt idx="1">
                  <c:v>9.7999999999999997E-3</c:v>
                </c:pt>
                <c:pt idx="2">
                  <c:v>1.04E-2</c:v>
                </c:pt>
                <c:pt idx="3">
                  <c:v>7.7999999999999996E-3</c:v>
                </c:pt>
                <c:pt idx="4">
                  <c:v>1.0500000000000001E-2</c:v>
                </c:pt>
                <c:pt idx="5">
                  <c:v>9.5999999999999992E-3</c:v>
                </c:pt>
                <c:pt idx="6">
                  <c:v>1.24E-2</c:v>
                </c:pt>
                <c:pt idx="7">
                  <c:v>1.55E-2</c:v>
                </c:pt>
                <c:pt idx="8">
                  <c:v>3.0499999999999999E-2</c:v>
                </c:pt>
                <c:pt idx="9">
                  <c:v>2.0299999999999999E-2</c:v>
                </c:pt>
                <c:pt idx="10">
                  <c:v>3.0800000000000001E-2</c:v>
                </c:pt>
              </c:numCache>
            </c:numRef>
          </c:yVal>
          <c:smooth val="1"/>
          <c:extLst xmlns:c16r2="http://schemas.microsoft.com/office/drawing/2015/06/chart">
            <c:ext xmlns:c16="http://schemas.microsoft.com/office/drawing/2014/chart" uri="{C3380CC4-5D6E-409C-BE32-E72D297353CC}">
              <c16:uniqueId val="{00000000-F9B3-4E33-8F0F-36FC686B348B}"/>
            </c:ext>
          </c:extLst>
        </c:ser>
        <c:ser>
          <c:idx val="1"/>
          <c:order val="1"/>
          <c:tx>
            <c:strRef>
              <c:f>'Dependent Variables'!$C$106</c:f>
              <c:strCache>
                <c:ptCount val="1"/>
                <c:pt idx="0">
                  <c:v>ROE</c:v>
                </c:pt>
              </c:strCache>
            </c:strRef>
          </c:tx>
          <c:marker>
            <c:symbol val="none"/>
          </c:marker>
          <c:xVal>
            <c:strRef>
              <c:f>'Dependent Variables'!$A$107:$A$117</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'Dependent Variables'!$C$107:$C$117</c:f>
              <c:numCache>
                <c:formatCode>0.00%</c:formatCode>
                <c:ptCount val="11"/>
                <c:pt idx="0">
                  <c:v>8.3500000000000005E-2</c:v>
                </c:pt>
                <c:pt idx="1">
                  <c:v>0.12189999999999999</c:v>
                </c:pt>
                <c:pt idx="2">
                  <c:v>0.1178</c:v>
                </c:pt>
                <c:pt idx="3">
                  <c:v>8.6800000000000002E-2</c:v>
                </c:pt>
                <c:pt idx="4">
                  <c:v>0.1134</c:v>
                </c:pt>
                <c:pt idx="5">
                  <c:v>0.1027</c:v>
                </c:pt>
                <c:pt idx="6">
                  <c:v>0.1145</c:v>
                </c:pt>
                <c:pt idx="7">
                  <c:v>9.7500000000000003E-2</c:v>
                </c:pt>
                <c:pt idx="8">
                  <c:v>0.1037</c:v>
                </c:pt>
                <c:pt idx="9">
                  <c:v>0.1203</c:v>
                </c:pt>
                <c:pt idx="10">
                  <c:v>0.1177</c:v>
                </c:pt>
              </c:numCache>
            </c:numRef>
          </c:yVal>
          <c:smooth val="1"/>
          <c:extLst xmlns:c16r2="http://schemas.microsoft.com/office/drawing/2015/06/chart">
            <c:ext xmlns:c16="http://schemas.microsoft.com/office/drawing/2014/chart" uri="{C3380CC4-5D6E-409C-BE32-E72D297353CC}">
              <c16:uniqueId val="{00000001-F9B3-4E33-8F0F-36FC686B348B}"/>
            </c:ext>
          </c:extLst>
        </c:ser>
        <c:ser>
          <c:idx val="2"/>
          <c:order val="2"/>
          <c:tx>
            <c:strRef>
              <c:f>'Dependent Variables'!$D$106</c:f>
              <c:strCache>
                <c:ptCount val="1"/>
                <c:pt idx="0">
                  <c:v>ROA</c:v>
                </c:pt>
              </c:strCache>
            </c:strRef>
          </c:tx>
          <c:marker>
            <c:symbol val="none"/>
          </c:marker>
          <c:xVal>
            <c:strRef>
              <c:f>'Dependent Variables'!$A$107:$A$117</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'Dependent Variables'!$D$107:$D$117</c:f>
              <c:numCache>
                <c:formatCode>0.00%</c:formatCode>
                <c:ptCount val="11"/>
                <c:pt idx="0">
                  <c:v>1.15E-2</c:v>
                </c:pt>
                <c:pt idx="1">
                  <c:v>8.3999999999999995E-3</c:v>
                </c:pt>
                <c:pt idx="2">
                  <c:v>1.09E-2</c:v>
                </c:pt>
                <c:pt idx="3">
                  <c:v>1.06E-2</c:v>
                </c:pt>
                <c:pt idx="4">
                  <c:v>6.6E-3</c:v>
                </c:pt>
                <c:pt idx="5">
                  <c:v>1.06E-2</c:v>
                </c:pt>
                <c:pt idx="6">
                  <c:v>1.4500000000000001E-2</c:v>
                </c:pt>
                <c:pt idx="7">
                  <c:v>1.6500000000000001E-2</c:v>
                </c:pt>
                <c:pt idx="8">
                  <c:v>3.5400000000000001E-2</c:v>
                </c:pt>
                <c:pt idx="9">
                  <c:v>2.1899999999999999E-2</c:v>
                </c:pt>
                <c:pt idx="10">
                  <c:v>1.83E-2</c:v>
                </c:pt>
              </c:numCache>
            </c:numRef>
          </c:yVal>
          <c:smooth val="1"/>
          <c:extLst xmlns:c16r2="http://schemas.microsoft.com/office/drawing/2015/06/chart">
            <c:ext xmlns:c16="http://schemas.microsoft.com/office/drawing/2014/chart" uri="{C3380CC4-5D6E-409C-BE32-E72D297353CC}">
              <c16:uniqueId val="{00000002-F9B3-4E33-8F0F-36FC686B348B}"/>
            </c:ext>
          </c:extLst>
        </c:ser>
        <c:ser>
          <c:idx val="4"/>
          <c:order val="4"/>
          <c:tx>
            <c:strRef>
              <c:f>'Dependent Variables'!$F$106</c:f>
              <c:strCache>
                <c:ptCount val="1"/>
                <c:pt idx="0">
                  <c:v>ROCE</c:v>
                </c:pt>
              </c:strCache>
            </c:strRef>
          </c:tx>
          <c:marker>
            <c:symbol val="none"/>
          </c:marker>
          <c:xVal>
            <c:strRef>
              <c:f>'Dependent Variables'!$A$107:$A$117</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'Dependent Variables'!$F$107:$F$117</c:f>
              <c:numCache>
                <c:formatCode>0.00%</c:formatCode>
                <c:ptCount val="11"/>
                <c:pt idx="0">
                  <c:v>3.09E-2</c:v>
                </c:pt>
                <c:pt idx="1">
                  <c:v>3.3300000000000003E-2</c:v>
                </c:pt>
                <c:pt idx="2">
                  <c:v>2.4E-2</c:v>
                </c:pt>
                <c:pt idx="3">
                  <c:v>2.87E-2</c:v>
                </c:pt>
                <c:pt idx="4">
                  <c:v>1.9800000000000002E-2</c:v>
                </c:pt>
                <c:pt idx="5">
                  <c:v>1.6500000000000001E-2</c:v>
                </c:pt>
                <c:pt idx="6">
                  <c:v>2.6499999999999999E-2</c:v>
                </c:pt>
                <c:pt idx="7">
                  <c:v>2.5399999999999999E-2</c:v>
                </c:pt>
                <c:pt idx="8">
                  <c:v>3.8800000000000001E-2</c:v>
                </c:pt>
                <c:pt idx="9">
                  <c:v>0.03</c:v>
                </c:pt>
                <c:pt idx="10">
                  <c:v>2.3E-2</c:v>
                </c:pt>
              </c:numCache>
            </c:numRef>
          </c:yVal>
          <c:smooth val="1"/>
          <c:extLst xmlns:c16r2="http://schemas.microsoft.com/office/drawing/2015/06/chart">
            <c:ext xmlns:c16="http://schemas.microsoft.com/office/drawing/2014/chart" uri="{C3380CC4-5D6E-409C-BE32-E72D297353CC}">
              <c16:uniqueId val="{00000003-F9B3-4E33-8F0F-36FC686B348B}"/>
            </c:ext>
          </c:extLst>
        </c:ser>
        <c:dLbls>
          <c:showLegendKey val="0"/>
          <c:showVal val="0"/>
          <c:showCatName val="0"/>
          <c:showSerName val="0"/>
          <c:showPercent val="0"/>
          <c:showBubbleSize val="0"/>
        </c:dLbls>
        <c:axId val="139086848"/>
        <c:axId val="139105024"/>
      </c:scatterChart>
      <c:scatterChart>
        <c:scatterStyle val="smoothMarker"/>
        <c:varyColors val="0"/>
        <c:ser>
          <c:idx val="3"/>
          <c:order val="3"/>
          <c:tx>
            <c:strRef>
              <c:f>'Dependent Variables'!$E$106</c:f>
              <c:strCache>
                <c:ptCount val="1"/>
                <c:pt idx="0">
                  <c:v>EPS</c:v>
                </c:pt>
              </c:strCache>
            </c:strRef>
          </c:tx>
          <c:marker>
            <c:symbol val="none"/>
          </c:marker>
          <c:xVal>
            <c:strRef>
              <c:f>'Dependent Variables'!$A$107:$A$117</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'Dependent Variables'!$E$107:$E$117</c:f>
              <c:numCache>
                <c:formatCode>General</c:formatCode>
                <c:ptCount val="11"/>
                <c:pt idx="0">
                  <c:v>1.65</c:v>
                </c:pt>
                <c:pt idx="1">
                  <c:v>2.36</c:v>
                </c:pt>
                <c:pt idx="2">
                  <c:v>2.15</c:v>
                </c:pt>
                <c:pt idx="3">
                  <c:v>1.48</c:v>
                </c:pt>
                <c:pt idx="4">
                  <c:v>1.92</c:v>
                </c:pt>
                <c:pt idx="5">
                  <c:v>1.65</c:v>
                </c:pt>
                <c:pt idx="6">
                  <c:v>2.0499999999999998</c:v>
                </c:pt>
                <c:pt idx="7">
                  <c:v>2.1800000000000002</c:v>
                </c:pt>
                <c:pt idx="8">
                  <c:v>3.77</c:v>
                </c:pt>
                <c:pt idx="9">
                  <c:v>5.21</c:v>
                </c:pt>
                <c:pt idx="10">
                  <c:v>40.950000000000003</c:v>
                </c:pt>
              </c:numCache>
            </c:numRef>
          </c:yVal>
          <c:smooth val="1"/>
          <c:extLst xmlns:c16r2="http://schemas.microsoft.com/office/drawing/2015/06/chart">
            <c:ext xmlns:c16="http://schemas.microsoft.com/office/drawing/2014/chart" uri="{C3380CC4-5D6E-409C-BE32-E72D297353CC}">
              <c16:uniqueId val="{00000004-F9B3-4E33-8F0F-36FC686B348B}"/>
            </c:ext>
          </c:extLst>
        </c:ser>
        <c:dLbls>
          <c:showLegendKey val="0"/>
          <c:showVal val="0"/>
          <c:showCatName val="0"/>
          <c:showSerName val="0"/>
          <c:showPercent val="0"/>
          <c:showBubbleSize val="0"/>
        </c:dLbls>
        <c:axId val="139112448"/>
        <c:axId val="139106560"/>
      </c:scatterChart>
      <c:valAx>
        <c:axId val="139086848"/>
        <c:scaling>
          <c:orientation val="minMax"/>
        </c:scaling>
        <c:delete val="0"/>
        <c:axPos val="b"/>
        <c:majorTickMark val="out"/>
        <c:minorTickMark val="none"/>
        <c:tickLblPos val="nextTo"/>
        <c:crossAx val="139105024"/>
        <c:crosses val="autoZero"/>
        <c:crossBetween val="midCat"/>
      </c:valAx>
      <c:valAx>
        <c:axId val="139105024"/>
        <c:scaling>
          <c:orientation val="minMax"/>
        </c:scaling>
        <c:delete val="0"/>
        <c:axPos val="l"/>
        <c:majorGridlines/>
        <c:numFmt formatCode="0.00%" sourceLinked="1"/>
        <c:majorTickMark val="out"/>
        <c:minorTickMark val="none"/>
        <c:tickLblPos val="nextTo"/>
        <c:crossAx val="139086848"/>
        <c:crosses val="autoZero"/>
        <c:crossBetween val="midCat"/>
      </c:valAx>
      <c:valAx>
        <c:axId val="139106560"/>
        <c:scaling>
          <c:orientation val="minMax"/>
        </c:scaling>
        <c:delete val="0"/>
        <c:axPos val="r"/>
        <c:numFmt formatCode="General" sourceLinked="1"/>
        <c:majorTickMark val="out"/>
        <c:minorTickMark val="none"/>
        <c:tickLblPos val="nextTo"/>
        <c:crossAx val="139112448"/>
        <c:crosses val="max"/>
        <c:crossBetween val="midCat"/>
      </c:valAx>
      <c:valAx>
        <c:axId val="139112448"/>
        <c:scaling>
          <c:orientation val="minMax"/>
        </c:scaling>
        <c:delete val="1"/>
        <c:axPos val="b"/>
        <c:majorTickMark val="out"/>
        <c:minorTickMark val="none"/>
        <c:tickLblPos val="nextTo"/>
        <c:crossAx val="139106560"/>
        <c:crosses val="autoZero"/>
        <c:crossBetween val="midCat"/>
      </c:valAx>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'Dependent Variables'!$B$119</c:f>
              <c:strCache>
                <c:ptCount val="1"/>
                <c:pt idx="0">
                  <c:v>ROI</c:v>
                </c:pt>
              </c:strCache>
            </c:strRef>
          </c:tx>
          <c:marker>
            <c:symbol val="none"/>
          </c:marker>
          <c:xVal>
            <c:strRef>
              <c:f>'Dependent Variables'!$A$120:$A$127</c:f>
              <c:strCache>
                <c:ptCount val="8"/>
                <c:pt idx="0">
                  <c:v>First Security  Islami Bank 2018</c:v>
                </c:pt>
                <c:pt idx="1">
                  <c:v>First Security  Islami Bank 2017</c:v>
                </c:pt>
                <c:pt idx="2">
                  <c:v>First Security  Islami Bank 2016</c:v>
                </c:pt>
                <c:pt idx="3">
                  <c:v>First Security  Islami Bank 2015</c:v>
                </c:pt>
                <c:pt idx="4">
                  <c:v>First Security  Islami Bank 2014</c:v>
                </c:pt>
                <c:pt idx="5">
                  <c:v>First Security  Islami Bank 2013</c:v>
                </c:pt>
                <c:pt idx="6">
                  <c:v>First Security  Islami Bank 2012</c:v>
                </c:pt>
                <c:pt idx="7">
                  <c:v>First Security  Islami Bank 2011</c:v>
                </c:pt>
              </c:strCache>
            </c:strRef>
          </c:xVal>
          <c:yVal>
            <c:numRef>
              <c:f>'Dependent Variables'!$B$120:$B$127</c:f>
              <c:numCache>
                <c:formatCode>0.00%</c:formatCode>
                <c:ptCount val="8"/>
                <c:pt idx="0">
                  <c:v>4.2900000000000001E-2</c:v>
                </c:pt>
                <c:pt idx="1">
                  <c:v>3.1099999999999999E-2</c:v>
                </c:pt>
                <c:pt idx="2">
                  <c:v>4.6699999999999998E-2</c:v>
                </c:pt>
                <c:pt idx="3">
                  <c:v>5.8000000000000003E-2</c:v>
                </c:pt>
                <c:pt idx="4">
                  <c:v>3.3000000000000002E-2</c:v>
                </c:pt>
                <c:pt idx="5">
                  <c:v>4.7899999999999998E-2</c:v>
                </c:pt>
                <c:pt idx="6">
                  <c:v>2.46E-2</c:v>
                </c:pt>
                <c:pt idx="7">
                  <c:v>2.0500000000000001E-2</c:v>
                </c:pt>
              </c:numCache>
            </c:numRef>
          </c:yVal>
          <c:smooth val="1"/>
          <c:extLst xmlns:c16r2="http://schemas.microsoft.com/office/drawing/2015/06/chart">
            <c:ext xmlns:c16="http://schemas.microsoft.com/office/drawing/2014/chart" uri="{C3380CC4-5D6E-409C-BE32-E72D297353CC}">
              <c16:uniqueId val="{00000000-D30C-4372-8B9E-BCDB94EBA245}"/>
            </c:ext>
          </c:extLst>
        </c:ser>
        <c:ser>
          <c:idx val="1"/>
          <c:order val="1"/>
          <c:tx>
            <c:strRef>
              <c:f>'Dependent Variables'!$C$119</c:f>
              <c:strCache>
                <c:ptCount val="1"/>
                <c:pt idx="0">
                  <c:v>ROE</c:v>
                </c:pt>
              </c:strCache>
            </c:strRef>
          </c:tx>
          <c:marker>
            <c:symbol val="none"/>
          </c:marker>
          <c:xVal>
            <c:strRef>
              <c:f>'Dependent Variables'!$A$120:$A$127</c:f>
              <c:strCache>
                <c:ptCount val="8"/>
                <c:pt idx="0">
                  <c:v>First Security  Islami Bank 2018</c:v>
                </c:pt>
                <c:pt idx="1">
                  <c:v>First Security  Islami Bank 2017</c:v>
                </c:pt>
                <c:pt idx="2">
                  <c:v>First Security  Islami Bank 2016</c:v>
                </c:pt>
                <c:pt idx="3">
                  <c:v>First Security  Islami Bank 2015</c:v>
                </c:pt>
                <c:pt idx="4">
                  <c:v>First Security  Islami Bank 2014</c:v>
                </c:pt>
                <c:pt idx="5">
                  <c:v>First Security  Islami Bank 2013</c:v>
                </c:pt>
                <c:pt idx="6">
                  <c:v>First Security  Islami Bank 2012</c:v>
                </c:pt>
                <c:pt idx="7">
                  <c:v>First Security  Islami Bank 2011</c:v>
                </c:pt>
              </c:strCache>
            </c:strRef>
          </c:xVal>
          <c:yVal>
            <c:numRef>
              <c:f>'Dependent Variables'!$C$120:$C$127</c:f>
              <c:numCache>
                <c:formatCode>0.00%</c:formatCode>
                <c:ptCount val="8"/>
                <c:pt idx="0">
                  <c:v>9.0999999999999998E-2</c:v>
                </c:pt>
                <c:pt idx="1">
                  <c:v>0.11799999999999999</c:v>
                </c:pt>
                <c:pt idx="2">
                  <c:v>0.13100000000000001</c:v>
                </c:pt>
                <c:pt idx="3">
                  <c:v>0.1043</c:v>
                </c:pt>
                <c:pt idx="4">
                  <c:v>8.0199999999999994E-2</c:v>
                </c:pt>
                <c:pt idx="5">
                  <c:v>0.1074</c:v>
                </c:pt>
                <c:pt idx="6">
                  <c:v>7.3499999999999996E-2</c:v>
                </c:pt>
                <c:pt idx="7">
                  <c:v>0.1132</c:v>
                </c:pt>
              </c:numCache>
            </c:numRef>
          </c:yVal>
          <c:smooth val="1"/>
          <c:extLst xmlns:c16r2="http://schemas.microsoft.com/office/drawing/2015/06/chart">
            <c:ext xmlns:c16="http://schemas.microsoft.com/office/drawing/2014/chart" uri="{C3380CC4-5D6E-409C-BE32-E72D297353CC}">
              <c16:uniqueId val="{00000001-D30C-4372-8B9E-BCDB94EBA245}"/>
            </c:ext>
          </c:extLst>
        </c:ser>
        <c:ser>
          <c:idx val="2"/>
          <c:order val="2"/>
          <c:tx>
            <c:strRef>
              <c:f>'Dependent Variables'!$D$119</c:f>
              <c:strCache>
                <c:ptCount val="1"/>
                <c:pt idx="0">
                  <c:v>ROA</c:v>
                </c:pt>
              </c:strCache>
            </c:strRef>
          </c:tx>
          <c:spPr>
            <a:ln>
              <a:solidFill>
                <a:srgbClr val="FF0000"/>
              </a:solidFill>
            </a:ln>
          </c:spPr>
          <c:marker>
            <c:symbol val="none"/>
          </c:marker>
          <c:xVal>
            <c:strRef>
              <c:f>'Dependent Variables'!$A$120:$A$127</c:f>
              <c:strCache>
                <c:ptCount val="8"/>
                <c:pt idx="0">
                  <c:v>First Security  Islami Bank 2018</c:v>
                </c:pt>
                <c:pt idx="1">
                  <c:v>First Security  Islami Bank 2017</c:v>
                </c:pt>
                <c:pt idx="2">
                  <c:v>First Security  Islami Bank 2016</c:v>
                </c:pt>
                <c:pt idx="3">
                  <c:v>First Security  Islami Bank 2015</c:v>
                </c:pt>
                <c:pt idx="4">
                  <c:v>First Security  Islami Bank 2014</c:v>
                </c:pt>
                <c:pt idx="5">
                  <c:v>First Security  Islami Bank 2013</c:v>
                </c:pt>
                <c:pt idx="6">
                  <c:v>First Security  Islami Bank 2012</c:v>
                </c:pt>
                <c:pt idx="7">
                  <c:v>First Security  Islami Bank 2011</c:v>
                </c:pt>
              </c:strCache>
            </c:strRef>
          </c:xVal>
          <c:yVal>
            <c:numRef>
              <c:f>'Dependent Variables'!$D$120:$D$127</c:f>
              <c:numCache>
                <c:formatCode>0.00%</c:formatCode>
                <c:ptCount val="8"/>
                <c:pt idx="0">
                  <c:v>4.4999999999999997E-3</c:v>
                </c:pt>
                <c:pt idx="1">
                  <c:v>4.1000000000000003E-3</c:v>
                </c:pt>
                <c:pt idx="2">
                  <c:v>5.1000000000000004E-3</c:v>
                </c:pt>
                <c:pt idx="3">
                  <c:v>3.0999999999999999E-3</c:v>
                </c:pt>
                <c:pt idx="4">
                  <c:v>3.8E-3</c:v>
                </c:pt>
                <c:pt idx="5">
                  <c:v>5.3E-3</c:v>
                </c:pt>
                <c:pt idx="6">
                  <c:v>1.4999999999999999E-2</c:v>
                </c:pt>
                <c:pt idx="7">
                  <c:v>1.7500000000000002E-2</c:v>
                </c:pt>
              </c:numCache>
            </c:numRef>
          </c:yVal>
          <c:smooth val="1"/>
          <c:extLst xmlns:c16r2="http://schemas.microsoft.com/office/drawing/2015/06/chart">
            <c:ext xmlns:c16="http://schemas.microsoft.com/office/drawing/2014/chart" uri="{C3380CC4-5D6E-409C-BE32-E72D297353CC}">
              <c16:uniqueId val="{00000002-D30C-4372-8B9E-BCDB94EBA245}"/>
            </c:ext>
          </c:extLst>
        </c:ser>
        <c:ser>
          <c:idx val="4"/>
          <c:order val="4"/>
          <c:tx>
            <c:strRef>
              <c:f>'Dependent Variables'!$F$119</c:f>
              <c:strCache>
                <c:ptCount val="1"/>
                <c:pt idx="0">
                  <c:v>ROCE</c:v>
                </c:pt>
              </c:strCache>
            </c:strRef>
          </c:tx>
          <c:spPr>
            <a:ln>
              <a:solidFill>
                <a:srgbClr val="9BBB59">
                  <a:lumMod val="75000"/>
                </a:srgbClr>
              </a:solidFill>
            </a:ln>
          </c:spPr>
          <c:marker>
            <c:symbol val="none"/>
          </c:marker>
          <c:xVal>
            <c:strRef>
              <c:f>'Dependent Variables'!$A$120:$A$127</c:f>
              <c:strCache>
                <c:ptCount val="8"/>
                <c:pt idx="0">
                  <c:v>First Security  Islami Bank 2018</c:v>
                </c:pt>
                <c:pt idx="1">
                  <c:v>First Security  Islami Bank 2017</c:v>
                </c:pt>
                <c:pt idx="2">
                  <c:v>First Security  Islami Bank 2016</c:v>
                </c:pt>
                <c:pt idx="3">
                  <c:v>First Security  Islami Bank 2015</c:v>
                </c:pt>
                <c:pt idx="4">
                  <c:v>First Security  Islami Bank 2014</c:v>
                </c:pt>
                <c:pt idx="5">
                  <c:v>First Security  Islami Bank 2013</c:v>
                </c:pt>
                <c:pt idx="6">
                  <c:v>First Security  Islami Bank 2012</c:v>
                </c:pt>
                <c:pt idx="7">
                  <c:v>First Security  Islami Bank 2011</c:v>
                </c:pt>
              </c:strCache>
            </c:strRef>
          </c:xVal>
          <c:yVal>
            <c:numRef>
              <c:f>'Dependent Variables'!$F$120:$F$127</c:f>
              <c:numCache>
                <c:formatCode>0.00%</c:formatCode>
                <c:ptCount val="8"/>
                <c:pt idx="0">
                  <c:v>3.3300000000000003E-2</c:v>
                </c:pt>
                <c:pt idx="1">
                  <c:v>3.7600000000000001E-2</c:v>
                </c:pt>
                <c:pt idx="2">
                  <c:v>2.0899999999999998E-2</c:v>
                </c:pt>
                <c:pt idx="3">
                  <c:v>2.1700000000000001E-2</c:v>
                </c:pt>
                <c:pt idx="4">
                  <c:v>3.7599999999999995E-2</c:v>
                </c:pt>
                <c:pt idx="5">
                  <c:v>3.7400000000000003E-2</c:v>
                </c:pt>
                <c:pt idx="6">
                  <c:v>2.2200000000000001E-2</c:v>
                </c:pt>
                <c:pt idx="7">
                  <c:v>2.4300000000000002E-2</c:v>
                </c:pt>
              </c:numCache>
            </c:numRef>
          </c:yVal>
          <c:smooth val="1"/>
          <c:extLst xmlns:c16r2="http://schemas.microsoft.com/office/drawing/2015/06/chart">
            <c:ext xmlns:c16="http://schemas.microsoft.com/office/drawing/2014/chart" uri="{C3380CC4-5D6E-409C-BE32-E72D297353CC}">
              <c16:uniqueId val="{00000003-D30C-4372-8B9E-BCDB94EBA245}"/>
            </c:ext>
          </c:extLst>
        </c:ser>
        <c:dLbls>
          <c:showLegendKey val="0"/>
          <c:showVal val="0"/>
          <c:showCatName val="0"/>
          <c:showSerName val="0"/>
          <c:showPercent val="0"/>
          <c:showBubbleSize val="0"/>
        </c:dLbls>
        <c:axId val="139229824"/>
        <c:axId val="139235712"/>
      </c:scatterChart>
      <c:scatterChart>
        <c:scatterStyle val="smoothMarker"/>
        <c:varyColors val="0"/>
        <c:ser>
          <c:idx val="3"/>
          <c:order val="3"/>
          <c:tx>
            <c:strRef>
              <c:f>'Dependent Variables'!$E$119</c:f>
              <c:strCache>
                <c:ptCount val="1"/>
                <c:pt idx="0">
                  <c:v>EPS</c:v>
                </c:pt>
              </c:strCache>
            </c:strRef>
          </c:tx>
          <c:marker>
            <c:symbol val="none"/>
          </c:marker>
          <c:xVal>
            <c:strRef>
              <c:f>'Dependent Variables'!$A$120:$A$127</c:f>
              <c:strCache>
                <c:ptCount val="8"/>
                <c:pt idx="0">
                  <c:v>First Security  Islami Bank 2018</c:v>
                </c:pt>
                <c:pt idx="1">
                  <c:v>First Security  Islami Bank 2017</c:v>
                </c:pt>
                <c:pt idx="2">
                  <c:v>First Security  Islami Bank 2016</c:v>
                </c:pt>
                <c:pt idx="3">
                  <c:v>First Security  Islami Bank 2015</c:v>
                </c:pt>
                <c:pt idx="4">
                  <c:v>First Security  Islami Bank 2014</c:v>
                </c:pt>
                <c:pt idx="5">
                  <c:v>First Security  Islami Bank 2013</c:v>
                </c:pt>
                <c:pt idx="6">
                  <c:v>First Security  Islami Bank 2012</c:v>
                </c:pt>
                <c:pt idx="7">
                  <c:v>First Security  Islami Bank 2011</c:v>
                </c:pt>
              </c:strCache>
            </c:strRef>
          </c:xVal>
          <c:yVal>
            <c:numRef>
              <c:f>'Dependent Variables'!$E$120:$E$127</c:f>
              <c:numCache>
                <c:formatCode>General</c:formatCode>
                <c:ptCount val="8"/>
                <c:pt idx="0">
                  <c:v>2.0299999999999998</c:v>
                </c:pt>
                <c:pt idx="1">
                  <c:v>1.89</c:v>
                </c:pt>
                <c:pt idx="2">
                  <c:v>2.08</c:v>
                </c:pt>
                <c:pt idx="3">
                  <c:v>1.26</c:v>
                </c:pt>
                <c:pt idx="4">
                  <c:v>1.02</c:v>
                </c:pt>
                <c:pt idx="5" formatCode="0.00%">
                  <c:v>1.8700000000000001E-2</c:v>
                </c:pt>
                <c:pt idx="6">
                  <c:v>2.04</c:v>
                </c:pt>
                <c:pt idx="7">
                  <c:v>1.71</c:v>
                </c:pt>
              </c:numCache>
            </c:numRef>
          </c:yVal>
          <c:smooth val="1"/>
          <c:extLst xmlns:c16r2="http://schemas.microsoft.com/office/drawing/2015/06/chart">
            <c:ext xmlns:c16="http://schemas.microsoft.com/office/drawing/2014/chart" uri="{C3380CC4-5D6E-409C-BE32-E72D297353CC}">
              <c16:uniqueId val="{00000004-D30C-4372-8B9E-BCDB94EBA245}"/>
            </c:ext>
          </c:extLst>
        </c:ser>
        <c:dLbls>
          <c:showLegendKey val="0"/>
          <c:showVal val="0"/>
          <c:showCatName val="0"/>
          <c:showSerName val="0"/>
          <c:showPercent val="0"/>
          <c:showBubbleSize val="0"/>
        </c:dLbls>
        <c:axId val="139238784"/>
        <c:axId val="139237248"/>
      </c:scatterChart>
      <c:valAx>
        <c:axId val="139229824"/>
        <c:scaling>
          <c:orientation val="minMax"/>
        </c:scaling>
        <c:delete val="0"/>
        <c:axPos val="b"/>
        <c:majorTickMark val="out"/>
        <c:minorTickMark val="none"/>
        <c:tickLblPos val="nextTo"/>
        <c:crossAx val="139235712"/>
        <c:crosses val="autoZero"/>
        <c:crossBetween val="midCat"/>
      </c:valAx>
      <c:valAx>
        <c:axId val="139235712"/>
        <c:scaling>
          <c:orientation val="minMax"/>
        </c:scaling>
        <c:delete val="0"/>
        <c:axPos val="l"/>
        <c:majorGridlines>
          <c:spPr>
            <a:ln>
              <a:solidFill>
                <a:srgbClr val="7030A0"/>
              </a:solidFill>
            </a:ln>
          </c:spPr>
        </c:majorGridlines>
        <c:numFmt formatCode="0.00%" sourceLinked="1"/>
        <c:majorTickMark val="out"/>
        <c:minorTickMark val="none"/>
        <c:tickLblPos val="nextTo"/>
        <c:crossAx val="139229824"/>
        <c:crosses val="autoZero"/>
        <c:crossBetween val="midCat"/>
      </c:valAx>
      <c:valAx>
        <c:axId val="139237248"/>
        <c:scaling>
          <c:orientation val="minMax"/>
        </c:scaling>
        <c:delete val="0"/>
        <c:axPos val="r"/>
        <c:numFmt formatCode="General" sourceLinked="1"/>
        <c:majorTickMark val="out"/>
        <c:minorTickMark val="none"/>
        <c:tickLblPos val="nextTo"/>
        <c:crossAx val="139238784"/>
        <c:crosses val="max"/>
        <c:crossBetween val="midCat"/>
      </c:valAx>
      <c:valAx>
        <c:axId val="139238784"/>
        <c:scaling>
          <c:orientation val="minMax"/>
        </c:scaling>
        <c:delete val="1"/>
        <c:axPos val="b"/>
        <c:majorTickMark val="out"/>
        <c:minorTickMark val="none"/>
        <c:tickLblPos val="nextTo"/>
        <c:crossAx val="139237248"/>
        <c:crosses val="autoZero"/>
        <c:crossBetween val="midCat"/>
      </c:valAx>
    </c:plotArea>
    <c:legend>
      <c:legendPos val="r"/>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'Dependent Variables'!$B$129</c:f>
              <c:strCache>
                <c:ptCount val="1"/>
                <c:pt idx="0">
                  <c:v>ROI</c:v>
                </c:pt>
              </c:strCache>
            </c:strRef>
          </c:tx>
          <c:marker>
            <c:symbol val="none"/>
          </c:marker>
          <c:xVal>
            <c:strRef>
              <c:f>'Dependent Variables'!$A$130:$A$140</c:f>
              <c:strCache>
                <c:ptCount val="11"/>
                <c:pt idx="0">
                  <c:v>ICB Islami Bank 2018</c:v>
                </c:pt>
                <c:pt idx="1">
                  <c:v>ICB Islami Bank 2017</c:v>
                </c:pt>
                <c:pt idx="2">
                  <c:v>ICB Islami Bank 2016</c:v>
                </c:pt>
                <c:pt idx="3">
                  <c:v>ICB Islami Bank 2015</c:v>
                </c:pt>
                <c:pt idx="4">
                  <c:v>ICB Islami Bank 2014</c:v>
                </c:pt>
                <c:pt idx="5">
                  <c:v>ICB Islami Bank 2013</c:v>
                </c:pt>
                <c:pt idx="6">
                  <c:v>ICB Islami Bank 2012</c:v>
                </c:pt>
                <c:pt idx="7">
                  <c:v>ICB Islami Bank 2011</c:v>
                </c:pt>
                <c:pt idx="8">
                  <c:v>ICB Islami Bank 2010</c:v>
                </c:pt>
                <c:pt idx="9">
                  <c:v>ICB Islami Bank 2009</c:v>
                </c:pt>
                <c:pt idx="10">
                  <c:v>ICB Islami Bank 2008</c:v>
                </c:pt>
              </c:strCache>
            </c:strRef>
          </c:xVal>
          <c:yVal>
            <c:numRef>
              <c:f>'Dependent Variables'!$B$130:$B$140</c:f>
              <c:numCache>
                <c:formatCode>0.00%</c:formatCode>
                <c:ptCount val="11"/>
                <c:pt idx="0" formatCode="0%">
                  <c:v>0.03</c:v>
                </c:pt>
                <c:pt idx="1">
                  <c:v>6.3E-3</c:v>
                </c:pt>
                <c:pt idx="2">
                  <c:v>2.1299999999999999E-2</c:v>
                </c:pt>
                <c:pt idx="3" formatCode="0%">
                  <c:v>0.02</c:v>
                </c:pt>
                <c:pt idx="4" formatCode="0%">
                  <c:v>0.03</c:v>
                </c:pt>
                <c:pt idx="5" formatCode="0%">
                  <c:v>0.04</c:v>
                </c:pt>
                <c:pt idx="6" formatCode="0%">
                  <c:v>0.01</c:v>
                </c:pt>
                <c:pt idx="7" formatCode="0%">
                  <c:v>0.02</c:v>
                </c:pt>
                <c:pt idx="8" formatCode="0%">
                  <c:v>0.03</c:v>
                </c:pt>
                <c:pt idx="9" formatCode="0%">
                  <c:v>0.08</c:v>
                </c:pt>
                <c:pt idx="10" formatCode="0%">
                  <c:v>0.15</c:v>
                </c:pt>
              </c:numCache>
            </c:numRef>
          </c:yVal>
          <c:smooth val="1"/>
          <c:extLst xmlns:c16r2="http://schemas.microsoft.com/office/drawing/2015/06/chart">
            <c:ext xmlns:c16="http://schemas.microsoft.com/office/drawing/2014/chart" uri="{C3380CC4-5D6E-409C-BE32-E72D297353CC}">
              <c16:uniqueId val="{00000000-3180-4CCB-BF41-FB32F3A9D17F}"/>
            </c:ext>
          </c:extLst>
        </c:ser>
        <c:ser>
          <c:idx val="1"/>
          <c:order val="1"/>
          <c:tx>
            <c:strRef>
              <c:f>'Dependent Variables'!$C$129</c:f>
              <c:strCache>
                <c:ptCount val="1"/>
                <c:pt idx="0">
                  <c:v>ROE</c:v>
                </c:pt>
              </c:strCache>
            </c:strRef>
          </c:tx>
          <c:marker>
            <c:symbol val="none"/>
          </c:marker>
          <c:xVal>
            <c:strRef>
              <c:f>'Dependent Variables'!$A$130:$A$140</c:f>
              <c:strCache>
                <c:ptCount val="11"/>
                <c:pt idx="0">
                  <c:v>ICB Islami Bank 2018</c:v>
                </c:pt>
                <c:pt idx="1">
                  <c:v>ICB Islami Bank 2017</c:v>
                </c:pt>
                <c:pt idx="2">
                  <c:v>ICB Islami Bank 2016</c:v>
                </c:pt>
                <c:pt idx="3">
                  <c:v>ICB Islami Bank 2015</c:v>
                </c:pt>
                <c:pt idx="4">
                  <c:v>ICB Islami Bank 2014</c:v>
                </c:pt>
                <c:pt idx="5">
                  <c:v>ICB Islami Bank 2013</c:v>
                </c:pt>
                <c:pt idx="6">
                  <c:v>ICB Islami Bank 2012</c:v>
                </c:pt>
                <c:pt idx="7">
                  <c:v>ICB Islami Bank 2011</c:v>
                </c:pt>
                <c:pt idx="8">
                  <c:v>ICB Islami Bank 2010</c:v>
                </c:pt>
                <c:pt idx="9">
                  <c:v>ICB Islami Bank 2009</c:v>
                </c:pt>
                <c:pt idx="10">
                  <c:v>ICB Islami Bank 2008</c:v>
                </c:pt>
              </c:strCache>
            </c:strRef>
          </c:xVal>
          <c:yVal>
            <c:numRef>
              <c:f>'Dependent Variables'!$C$130:$C$140</c:f>
              <c:numCache>
                <c:formatCode>0.00%</c:formatCode>
                <c:ptCount val="11"/>
                <c:pt idx="0">
                  <c:v>4.4299999999999999E-2</c:v>
                </c:pt>
                <c:pt idx="1">
                  <c:v>3.8699999999999998E-2</c:v>
                </c:pt>
                <c:pt idx="2">
                  <c:v>2.69E-2</c:v>
                </c:pt>
                <c:pt idx="3">
                  <c:v>1.44E-2</c:v>
                </c:pt>
                <c:pt idx="4">
                  <c:v>2.9700000000000001E-2</c:v>
                </c:pt>
                <c:pt idx="5">
                  <c:v>7.2800000000000004E-2</c:v>
                </c:pt>
                <c:pt idx="6">
                  <c:v>0.12180000000000001</c:v>
                </c:pt>
                <c:pt idx="7">
                  <c:v>0.23569999999999999</c:v>
                </c:pt>
                <c:pt idx="8">
                  <c:v>0.2339</c:v>
                </c:pt>
                <c:pt idx="9">
                  <c:v>0.16450000000000001</c:v>
                </c:pt>
                <c:pt idx="10">
                  <c:v>0.11700000000000001</c:v>
                </c:pt>
              </c:numCache>
            </c:numRef>
          </c:yVal>
          <c:smooth val="1"/>
          <c:extLst xmlns:c16r2="http://schemas.microsoft.com/office/drawing/2015/06/chart">
            <c:ext xmlns:c16="http://schemas.microsoft.com/office/drawing/2014/chart" uri="{C3380CC4-5D6E-409C-BE32-E72D297353CC}">
              <c16:uniqueId val="{00000001-3180-4CCB-BF41-FB32F3A9D17F}"/>
            </c:ext>
          </c:extLst>
        </c:ser>
        <c:ser>
          <c:idx val="2"/>
          <c:order val="2"/>
          <c:tx>
            <c:strRef>
              <c:f>'Dependent Variables'!$D$129</c:f>
              <c:strCache>
                <c:ptCount val="1"/>
                <c:pt idx="0">
                  <c:v>ROA</c:v>
                </c:pt>
              </c:strCache>
            </c:strRef>
          </c:tx>
          <c:marker>
            <c:symbol val="none"/>
          </c:marker>
          <c:xVal>
            <c:strRef>
              <c:f>'Dependent Variables'!$A$130:$A$140</c:f>
              <c:strCache>
                <c:ptCount val="11"/>
                <c:pt idx="0">
                  <c:v>ICB Islami Bank 2018</c:v>
                </c:pt>
                <c:pt idx="1">
                  <c:v>ICB Islami Bank 2017</c:v>
                </c:pt>
                <c:pt idx="2">
                  <c:v>ICB Islami Bank 2016</c:v>
                </c:pt>
                <c:pt idx="3">
                  <c:v>ICB Islami Bank 2015</c:v>
                </c:pt>
                <c:pt idx="4">
                  <c:v>ICB Islami Bank 2014</c:v>
                </c:pt>
                <c:pt idx="5">
                  <c:v>ICB Islami Bank 2013</c:v>
                </c:pt>
                <c:pt idx="6">
                  <c:v>ICB Islami Bank 2012</c:v>
                </c:pt>
                <c:pt idx="7">
                  <c:v>ICB Islami Bank 2011</c:v>
                </c:pt>
                <c:pt idx="8">
                  <c:v>ICB Islami Bank 2010</c:v>
                </c:pt>
                <c:pt idx="9">
                  <c:v>ICB Islami Bank 2009</c:v>
                </c:pt>
                <c:pt idx="10">
                  <c:v>ICB Islami Bank 2008</c:v>
                </c:pt>
              </c:strCache>
            </c:strRef>
          </c:xVal>
          <c:yVal>
            <c:numRef>
              <c:f>'Dependent Variables'!$D$130:$D$140</c:f>
              <c:numCache>
                <c:formatCode>0.00%</c:formatCode>
                <c:ptCount val="11"/>
                <c:pt idx="0">
                  <c:v>-4.2500000000000003E-2</c:v>
                </c:pt>
                <c:pt idx="1">
                  <c:v>-3.44E-2</c:v>
                </c:pt>
                <c:pt idx="2">
                  <c:v>-2.2100000000000002E-2</c:v>
                </c:pt>
                <c:pt idx="3">
                  <c:v>-1.11E-2</c:v>
                </c:pt>
                <c:pt idx="4">
                  <c:v>-1.3299999999999999E-2</c:v>
                </c:pt>
                <c:pt idx="5">
                  <c:v>-4.7600000000000003E-2</c:v>
                </c:pt>
                <c:pt idx="6">
                  <c:v>-7.0199999999999999E-2</c:v>
                </c:pt>
                <c:pt idx="7">
                  <c:v>-9.9699999999999997E-2</c:v>
                </c:pt>
                <c:pt idx="8">
                  <c:v>-7.2900000000000006E-2</c:v>
                </c:pt>
                <c:pt idx="9">
                  <c:v>-0.10920000000000001</c:v>
                </c:pt>
                <c:pt idx="10">
                  <c:v>-3.9600000000000003E-2</c:v>
                </c:pt>
              </c:numCache>
            </c:numRef>
          </c:yVal>
          <c:smooth val="1"/>
          <c:extLst xmlns:c16r2="http://schemas.microsoft.com/office/drawing/2015/06/chart">
            <c:ext xmlns:c16="http://schemas.microsoft.com/office/drawing/2014/chart" uri="{C3380CC4-5D6E-409C-BE32-E72D297353CC}">
              <c16:uniqueId val="{00000002-3180-4CCB-BF41-FB32F3A9D17F}"/>
            </c:ext>
          </c:extLst>
        </c:ser>
        <c:ser>
          <c:idx val="4"/>
          <c:order val="4"/>
          <c:tx>
            <c:strRef>
              <c:f>'Dependent Variables'!$F$129</c:f>
              <c:strCache>
                <c:ptCount val="1"/>
                <c:pt idx="0">
                  <c:v>ROCE</c:v>
                </c:pt>
              </c:strCache>
            </c:strRef>
          </c:tx>
          <c:spPr>
            <a:ln>
              <a:solidFill>
                <a:srgbClr val="002060"/>
              </a:solidFill>
            </a:ln>
          </c:spPr>
          <c:marker>
            <c:symbol val="none"/>
          </c:marker>
          <c:xVal>
            <c:strRef>
              <c:f>'Dependent Variables'!$A$130:$A$140</c:f>
              <c:strCache>
                <c:ptCount val="11"/>
                <c:pt idx="0">
                  <c:v>ICB Islami Bank 2018</c:v>
                </c:pt>
                <c:pt idx="1">
                  <c:v>ICB Islami Bank 2017</c:v>
                </c:pt>
                <c:pt idx="2">
                  <c:v>ICB Islami Bank 2016</c:v>
                </c:pt>
                <c:pt idx="3">
                  <c:v>ICB Islami Bank 2015</c:v>
                </c:pt>
                <c:pt idx="4">
                  <c:v>ICB Islami Bank 2014</c:v>
                </c:pt>
                <c:pt idx="5">
                  <c:v>ICB Islami Bank 2013</c:v>
                </c:pt>
                <c:pt idx="6">
                  <c:v>ICB Islami Bank 2012</c:v>
                </c:pt>
                <c:pt idx="7">
                  <c:v>ICB Islami Bank 2011</c:v>
                </c:pt>
                <c:pt idx="8">
                  <c:v>ICB Islami Bank 2010</c:v>
                </c:pt>
                <c:pt idx="9">
                  <c:v>ICB Islami Bank 2009</c:v>
                </c:pt>
                <c:pt idx="10">
                  <c:v>ICB Islami Bank 2008</c:v>
                </c:pt>
              </c:strCache>
            </c:strRef>
          </c:xVal>
          <c:yVal>
            <c:numRef>
              <c:f>'Dependent Variables'!$F$130:$F$140</c:f>
              <c:numCache>
                <c:formatCode>0.00%</c:formatCode>
                <c:ptCount val="11"/>
                <c:pt idx="0">
                  <c:v>1.8E-3</c:v>
                </c:pt>
                <c:pt idx="1">
                  <c:v>8.8000000000000005E-3</c:v>
                </c:pt>
                <c:pt idx="2">
                  <c:v>1.0500000000000001E-2</c:v>
                </c:pt>
                <c:pt idx="3">
                  <c:v>8.9999999999999993E-3</c:v>
                </c:pt>
                <c:pt idx="4">
                  <c:v>2.0299999999999999E-2</c:v>
                </c:pt>
                <c:pt idx="5">
                  <c:v>2.1100000000000001E-2</c:v>
                </c:pt>
                <c:pt idx="6">
                  <c:v>1.7500000000000002E-2</c:v>
                </c:pt>
                <c:pt idx="7">
                  <c:v>9.7999999999999997E-3</c:v>
                </c:pt>
                <c:pt idx="8">
                  <c:v>1.44E-2</c:v>
                </c:pt>
                <c:pt idx="9">
                  <c:v>1.5599999999999999E-2</c:v>
                </c:pt>
                <c:pt idx="10">
                  <c:v>1.3299999999999999E-2</c:v>
                </c:pt>
              </c:numCache>
            </c:numRef>
          </c:yVal>
          <c:smooth val="1"/>
          <c:extLst xmlns:c16r2="http://schemas.microsoft.com/office/drawing/2015/06/chart">
            <c:ext xmlns:c16="http://schemas.microsoft.com/office/drawing/2014/chart" uri="{C3380CC4-5D6E-409C-BE32-E72D297353CC}">
              <c16:uniqueId val="{00000003-3180-4CCB-BF41-FB32F3A9D17F}"/>
            </c:ext>
          </c:extLst>
        </c:ser>
        <c:dLbls>
          <c:showLegendKey val="0"/>
          <c:showVal val="0"/>
          <c:showCatName val="0"/>
          <c:showSerName val="0"/>
          <c:showPercent val="0"/>
          <c:showBubbleSize val="0"/>
        </c:dLbls>
        <c:axId val="142428416"/>
        <c:axId val="142430208"/>
      </c:scatterChart>
      <c:scatterChart>
        <c:scatterStyle val="smoothMarker"/>
        <c:varyColors val="0"/>
        <c:ser>
          <c:idx val="3"/>
          <c:order val="3"/>
          <c:tx>
            <c:strRef>
              <c:f>'Dependent Variables'!$E$129</c:f>
              <c:strCache>
                <c:ptCount val="1"/>
                <c:pt idx="0">
                  <c:v>EPS</c:v>
                </c:pt>
              </c:strCache>
            </c:strRef>
          </c:tx>
          <c:marker>
            <c:symbol val="none"/>
          </c:marker>
          <c:xVal>
            <c:strRef>
              <c:f>'Dependent Variables'!$A$130:$A$140</c:f>
              <c:strCache>
                <c:ptCount val="11"/>
                <c:pt idx="0">
                  <c:v>ICB Islami Bank 2018</c:v>
                </c:pt>
                <c:pt idx="1">
                  <c:v>ICB Islami Bank 2017</c:v>
                </c:pt>
                <c:pt idx="2">
                  <c:v>ICB Islami Bank 2016</c:v>
                </c:pt>
                <c:pt idx="3">
                  <c:v>ICB Islami Bank 2015</c:v>
                </c:pt>
                <c:pt idx="4">
                  <c:v>ICB Islami Bank 2014</c:v>
                </c:pt>
                <c:pt idx="5">
                  <c:v>ICB Islami Bank 2013</c:v>
                </c:pt>
                <c:pt idx="6">
                  <c:v>ICB Islami Bank 2012</c:v>
                </c:pt>
                <c:pt idx="7">
                  <c:v>ICB Islami Bank 2011</c:v>
                </c:pt>
                <c:pt idx="8">
                  <c:v>ICB Islami Bank 2010</c:v>
                </c:pt>
                <c:pt idx="9">
                  <c:v>ICB Islami Bank 2009</c:v>
                </c:pt>
                <c:pt idx="10">
                  <c:v>ICB Islami Bank 2008</c:v>
                </c:pt>
              </c:strCache>
            </c:strRef>
          </c:xVal>
          <c:yVal>
            <c:numRef>
              <c:f>'Dependent Variables'!$E$130:$E$140</c:f>
              <c:numCache>
                <c:formatCode>General</c:formatCode>
                <c:ptCount val="11"/>
                <c:pt idx="0">
                  <c:v>-0.73</c:v>
                </c:pt>
                <c:pt idx="1">
                  <c:v>-0.61</c:v>
                </c:pt>
                <c:pt idx="2">
                  <c:v>-0.41</c:v>
                </c:pt>
                <c:pt idx="3">
                  <c:v>-0.21</c:v>
                </c:pt>
                <c:pt idx="4">
                  <c:v>-0.43</c:v>
                </c:pt>
                <c:pt idx="5">
                  <c:v>-1.02</c:v>
                </c:pt>
                <c:pt idx="6">
                  <c:v>-1.6</c:v>
                </c:pt>
                <c:pt idx="7">
                  <c:v>-2.7</c:v>
                </c:pt>
                <c:pt idx="8">
                  <c:v>-2.04</c:v>
                </c:pt>
                <c:pt idx="9">
                  <c:v>-3.1</c:v>
                </c:pt>
                <c:pt idx="10">
                  <c:v>-156.63999999999999</c:v>
                </c:pt>
              </c:numCache>
            </c:numRef>
          </c:yVal>
          <c:smooth val="1"/>
          <c:extLst xmlns:c16r2="http://schemas.microsoft.com/office/drawing/2015/06/chart">
            <c:ext xmlns:c16="http://schemas.microsoft.com/office/drawing/2014/chart" uri="{C3380CC4-5D6E-409C-BE32-E72D297353CC}">
              <c16:uniqueId val="{00000004-3180-4CCB-BF41-FB32F3A9D17F}"/>
            </c:ext>
          </c:extLst>
        </c:ser>
        <c:dLbls>
          <c:showLegendKey val="0"/>
          <c:showVal val="0"/>
          <c:showCatName val="0"/>
          <c:showSerName val="0"/>
          <c:showPercent val="0"/>
          <c:showBubbleSize val="0"/>
        </c:dLbls>
        <c:axId val="142433280"/>
        <c:axId val="142431744"/>
      </c:scatterChart>
      <c:valAx>
        <c:axId val="142428416"/>
        <c:scaling>
          <c:orientation val="minMax"/>
        </c:scaling>
        <c:delete val="0"/>
        <c:axPos val="b"/>
        <c:majorTickMark val="out"/>
        <c:minorTickMark val="none"/>
        <c:tickLblPos val="nextTo"/>
        <c:crossAx val="142430208"/>
        <c:crosses val="autoZero"/>
        <c:crossBetween val="midCat"/>
      </c:valAx>
      <c:valAx>
        <c:axId val="142430208"/>
        <c:scaling>
          <c:orientation val="minMax"/>
        </c:scaling>
        <c:delete val="0"/>
        <c:axPos val="l"/>
        <c:majorGridlines/>
        <c:numFmt formatCode="0%" sourceLinked="1"/>
        <c:majorTickMark val="out"/>
        <c:minorTickMark val="none"/>
        <c:tickLblPos val="nextTo"/>
        <c:crossAx val="142428416"/>
        <c:crosses val="autoZero"/>
        <c:crossBetween val="midCat"/>
      </c:valAx>
      <c:valAx>
        <c:axId val="142431744"/>
        <c:scaling>
          <c:orientation val="minMax"/>
        </c:scaling>
        <c:delete val="0"/>
        <c:axPos val="r"/>
        <c:numFmt formatCode="General" sourceLinked="1"/>
        <c:majorTickMark val="out"/>
        <c:minorTickMark val="none"/>
        <c:tickLblPos val="nextTo"/>
        <c:crossAx val="142433280"/>
        <c:crosses val="max"/>
        <c:crossBetween val="midCat"/>
      </c:valAx>
      <c:valAx>
        <c:axId val="142433280"/>
        <c:scaling>
          <c:orientation val="minMax"/>
        </c:scaling>
        <c:delete val="1"/>
        <c:axPos val="b"/>
        <c:majorTickMark val="out"/>
        <c:minorTickMark val="none"/>
        <c:tickLblPos val="nextTo"/>
        <c:crossAx val="142431744"/>
        <c:crosses val="autoZero"/>
        <c:crossBetween val="midCat"/>
      </c:valAx>
    </c:plotArea>
    <c:legend>
      <c:legendPos val="r"/>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'Dependent Variables'!$B$142</c:f>
              <c:strCache>
                <c:ptCount val="1"/>
                <c:pt idx="0">
                  <c:v>ROI</c:v>
                </c:pt>
              </c:strCache>
            </c:strRef>
          </c:tx>
          <c:marker>
            <c:symbol val="none"/>
          </c:marker>
          <c:xVal>
            <c:strRef>
              <c:f>'Dependent Variables'!$A$143:$A$152</c:f>
              <c:strCache>
                <c:ptCount val="10"/>
                <c:pt idx="0">
                  <c:v>IFIC Bank 2018</c:v>
                </c:pt>
                <c:pt idx="1">
                  <c:v>IFIC Bank 2017</c:v>
                </c:pt>
                <c:pt idx="2">
                  <c:v>IFIC Bank 2016</c:v>
                </c:pt>
                <c:pt idx="3">
                  <c:v>IFIC Bank 2015</c:v>
                </c:pt>
                <c:pt idx="4">
                  <c:v>IFIC Bank 2014</c:v>
                </c:pt>
                <c:pt idx="5">
                  <c:v>IFIC Bank 2013</c:v>
                </c:pt>
                <c:pt idx="6">
                  <c:v>IFIC Bank 2012</c:v>
                </c:pt>
                <c:pt idx="7">
                  <c:v>IFIC Bank 2011</c:v>
                </c:pt>
                <c:pt idx="8">
                  <c:v>IFIC Bank 2010</c:v>
                </c:pt>
                <c:pt idx="9">
                  <c:v>IFIC Bank 2009</c:v>
                </c:pt>
              </c:strCache>
            </c:strRef>
          </c:xVal>
          <c:yVal>
            <c:numRef>
              <c:f>'Dependent Variables'!$B$143:$B$152</c:f>
              <c:numCache>
                <c:formatCode>0.00%</c:formatCode>
                <c:ptCount val="10"/>
                <c:pt idx="0">
                  <c:v>6.9599999999999995E-2</c:v>
                </c:pt>
                <c:pt idx="1">
                  <c:v>0.1084</c:v>
                </c:pt>
                <c:pt idx="2">
                  <c:v>9.4500000000000001E-2</c:v>
                </c:pt>
                <c:pt idx="3">
                  <c:v>8.5400000000000004E-2</c:v>
                </c:pt>
                <c:pt idx="4">
                  <c:v>0.15759999999999999</c:v>
                </c:pt>
                <c:pt idx="5">
                  <c:v>0.16539999999999999</c:v>
                </c:pt>
                <c:pt idx="6">
                  <c:v>5.6500000000000002E-2</c:v>
                </c:pt>
                <c:pt idx="7">
                  <c:v>0.1132</c:v>
                </c:pt>
                <c:pt idx="8">
                  <c:v>0.28460000000000002</c:v>
                </c:pt>
                <c:pt idx="9">
                  <c:v>0.21429999999999999</c:v>
                </c:pt>
              </c:numCache>
            </c:numRef>
          </c:yVal>
          <c:smooth val="1"/>
          <c:extLst xmlns:c16r2="http://schemas.microsoft.com/office/drawing/2015/06/chart">
            <c:ext xmlns:c16="http://schemas.microsoft.com/office/drawing/2014/chart" uri="{C3380CC4-5D6E-409C-BE32-E72D297353CC}">
              <c16:uniqueId val="{00000000-2EC5-46F5-8D35-F92347946F23}"/>
            </c:ext>
          </c:extLst>
        </c:ser>
        <c:ser>
          <c:idx val="1"/>
          <c:order val="1"/>
          <c:tx>
            <c:strRef>
              <c:f>'Dependent Variables'!$C$142</c:f>
              <c:strCache>
                <c:ptCount val="1"/>
                <c:pt idx="0">
                  <c:v>ROE</c:v>
                </c:pt>
              </c:strCache>
            </c:strRef>
          </c:tx>
          <c:marker>
            <c:symbol val="none"/>
          </c:marker>
          <c:xVal>
            <c:strRef>
              <c:f>'Dependent Variables'!$A$143:$A$152</c:f>
              <c:strCache>
                <c:ptCount val="10"/>
                <c:pt idx="0">
                  <c:v>IFIC Bank 2018</c:v>
                </c:pt>
                <c:pt idx="1">
                  <c:v>IFIC Bank 2017</c:v>
                </c:pt>
                <c:pt idx="2">
                  <c:v>IFIC Bank 2016</c:v>
                </c:pt>
                <c:pt idx="3">
                  <c:v>IFIC Bank 2015</c:v>
                </c:pt>
                <c:pt idx="4">
                  <c:v>IFIC Bank 2014</c:v>
                </c:pt>
                <c:pt idx="5">
                  <c:v>IFIC Bank 2013</c:v>
                </c:pt>
                <c:pt idx="6">
                  <c:v>IFIC Bank 2012</c:v>
                </c:pt>
                <c:pt idx="7">
                  <c:v>IFIC Bank 2011</c:v>
                </c:pt>
                <c:pt idx="8">
                  <c:v>IFIC Bank 2010</c:v>
                </c:pt>
                <c:pt idx="9">
                  <c:v>IFIC Bank 2009</c:v>
                </c:pt>
              </c:strCache>
            </c:strRef>
          </c:xVal>
          <c:yVal>
            <c:numRef>
              <c:f>'Dependent Variables'!$C$143:$C$152</c:f>
              <c:numCache>
                <c:formatCode>0.00%</c:formatCode>
                <c:ptCount val="10"/>
                <c:pt idx="0">
                  <c:v>7.3999999999999996E-2</c:v>
                </c:pt>
                <c:pt idx="1">
                  <c:v>0.124</c:v>
                </c:pt>
                <c:pt idx="2">
                  <c:v>9.9000000000000005E-2</c:v>
                </c:pt>
                <c:pt idx="3">
                  <c:v>0.08</c:v>
                </c:pt>
                <c:pt idx="4">
                  <c:v>0.157</c:v>
                </c:pt>
                <c:pt idx="5">
                  <c:v>0.1598</c:v>
                </c:pt>
                <c:pt idx="6">
                  <c:v>0.15429999999999999</c:v>
                </c:pt>
                <c:pt idx="7">
                  <c:v>0.1215</c:v>
                </c:pt>
                <c:pt idx="8">
                  <c:v>0.33119999999999999</c:v>
                </c:pt>
                <c:pt idx="9">
                  <c:v>0.22520000000000001</c:v>
                </c:pt>
              </c:numCache>
            </c:numRef>
          </c:yVal>
          <c:smooth val="1"/>
          <c:extLst xmlns:c16r2="http://schemas.microsoft.com/office/drawing/2015/06/chart">
            <c:ext xmlns:c16="http://schemas.microsoft.com/office/drawing/2014/chart" uri="{C3380CC4-5D6E-409C-BE32-E72D297353CC}">
              <c16:uniqueId val="{00000001-2EC5-46F5-8D35-F92347946F23}"/>
            </c:ext>
          </c:extLst>
        </c:ser>
        <c:ser>
          <c:idx val="2"/>
          <c:order val="2"/>
          <c:tx>
            <c:strRef>
              <c:f>'Dependent Variables'!$D$142</c:f>
              <c:strCache>
                <c:ptCount val="1"/>
                <c:pt idx="0">
                  <c:v>ROA</c:v>
                </c:pt>
              </c:strCache>
            </c:strRef>
          </c:tx>
          <c:marker>
            <c:symbol val="none"/>
          </c:marker>
          <c:xVal>
            <c:strRef>
              <c:f>'Dependent Variables'!$A$143:$A$152</c:f>
              <c:strCache>
                <c:ptCount val="10"/>
                <c:pt idx="0">
                  <c:v>IFIC Bank 2018</c:v>
                </c:pt>
                <c:pt idx="1">
                  <c:v>IFIC Bank 2017</c:v>
                </c:pt>
                <c:pt idx="2">
                  <c:v>IFIC Bank 2016</c:v>
                </c:pt>
                <c:pt idx="3">
                  <c:v>IFIC Bank 2015</c:v>
                </c:pt>
                <c:pt idx="4">
                  <c:v>IFIC Bank 2014</c:v>
                </c:pt>
                <c:pt idx="5">
                  <c:v>IFIC Bank 2013</c:v>
                </c:pt>
                <c:pt idx="6">
                  <c:v>IFIC Bank 2012</c:v>
                </c:pt>
                <c:pt idx="7">
                  <c:v>IFIC Bank 2011</c:v>
                </c:pt>
                <c:pt idx="8">
                  <c:v>IFIC Bank 2010</c:v>
                </c:pt>
                <c:pt idx="9">
                  <c:v>IFIC Bank 2009</c:v>
                </c:pt>
              </c:strCache>
            </c:strRef>
          </c:xVal>
          <c:yVal>
            <c:numRef>
              <c:f>'Dependent Variables'!$D$143:$D$152</c:f>
              <c:numCache>
                <c:formatCode>0.00%</c:formatCode>
                <c:ptCount val="10"/>
                <c:pt idx="0">
                  <c:v>6.0000000000000001E-3</c:v>
                </c:pt>
                <c:pt idx="1">
                  <c:v>8.9999999999999993E-3</c:v>
                </c:pt>
                <c:pt idx="2">
                  <c:v>7.0000000000000001E-3</c:v>
                </c:pt>
                <c:pt idx="3">
                  <c:v>5.0000000000000001E-3</c:v>
                </c:pt>
                <c:pt idx="4">
                  <c:v>1.0999999999999999E-2</c:v>
                </c:pt>
                <c:pt idx="5">
                  <c:v>1.09E-2</c:v>
                </c:pt>
                <c:pt idx="6">
                  <c:v>1.0699999999999999E-2</c:v>
                </c:pt>
                <c:pt idx="7">
                  <c:v>9.2999999999999992E-3</c:v>
                </c:pt>
                <c:pt idx="8">
                  <c:v>2.4899999999999999E-2</c:v>
                </c:pt>
                <c:pt idx="9">
                  <c:v>1.66E-2</c:v>
                </c:pt>
              </c:numCache>
            </c:numRef>
          </c:yVal>
          <c:smooth val="1"/>
          <c:extLst xmlns:c16r2="http://schemas.microsoft.com/office/drawing/2015/06/chart">
            <c:ext xmlns:c16="http://schemas.microsoft.com/office/drawing/2014/chart" uri="{C3380CC4-5D6E-409C-BE32-E72D297353CC}">
              <c16:uniqueId val="{00000002-2EC5-46F5-8D35-F92347946F23}"/>
            </c:ext>
          </c:extLst>
        </c:ser>
        <c:ser>
          <c:idx val="4"/>
          <c:order val="4"/>
          <c:tx>
            <c:strRef>
              <c:f>'Dependent Variables'!$F$142</c:f>
              <c:strCache>
                <c:ptCount val="1"/>
                <c:pt idx="0">
                  <c:v>ROCE</c:v>
                </c:pt>
              </c:strCache>
            </c:strRef>
          </c:tx>
          <c:spPr>
            <a:ln>
              <a:solidFill>
                <a:srgbClr val="002060"/>
              </a:solidFill>
            </a:ln>
          </c:spPr>
          <c:marker>
            <c:symbol val="none"/>
          </c:marker>
          <c:xVal>
            <c:strRef>
              <c:f>'Dependent Variables'!$A$143:$A$152</c:f>
              <c:strCache>
                <c:ptCount val="10"/>
                <c:pt idx="0">
                  <c:v>IFIC Bank 2018</c:v>
                </c:pt>
                <c:pt idx="1">
                  <c:v>IFIC Bank 2017</c:v>
                </c:pt>
                <c:pt idx="2">
                  <c:v>IFIC Bank 2016</c:v>
                </c:pt>
                <c:pt idx="3">
                  <c:v>IFIC Bank 2015</c:v>
                </c:pt>
                <c:pt idx="4">
                  <c:v>IFIC Bank 2014</c:v>
                </c:pt>
                <c:pt idx="5">
                  <c:v>IFIC Bank 2013</c:v>
                </c:pt>
                <c:pt idx="6">
                  <c:v>IFIC Bank 2012</c:v>
                </c:pt>
                <c:pt idx="7">
                  <c:v>IFIC Bank 2011</c:v>
                </c:pt>
                <c:pt idx="8">
                  <c:v>IFIC Bank 2010</c:v>
                </c:pt>
                <c:pt idx="9">
                  <c:v>IFIC Bank 2009</c:v>
                </c:pt>
              </c:strCache>
            </c:strRef>
          </c:xVal>
          <c:yVal>
            <c:numRef>
              <c:f>'Dependent Variables'!$F$143:$F$152</c:f>
              <c:numCache>
                <c:formatCode>0.00%</c:formatCode>
                <c:ptCount val="10"/>
                <c:pt idx="0">
                  <c:v>3.7999999999999999E-2</c:v>
                </c:pt>
                <c:pt idx="1">
                  <c:v>3.2199999999999999E-2</c:v>
                </c:pt>
                <c:pt idx="2">
                  <c:v>3.2500000000000001E-2</c:v>
                </c:pt>
                <c:pt idx="3">
                  <c:v>3.1099999999999999E-2</c:v>
                </c:pt>
                <c:pt idx="4">
                  <c:v>2.8799999999999999E-2</c:v>
                </c:pt>
                <c:pt idx="5">
                  <c:v>3.1200000000000002E-2</c:v>
                </c:pt>
                <c:pt idx="6">
                  <c:v>2.7799999999999998E-2</c:v>
                </c:pt>
                <c:pt idx="7">
                  <c:v>2.76E-2</c:v>
                </c:pt>
                <c:pt idx="8">
                  <c:v>2.6499999999999999E-2</c:v>
                </c:pt>
                <c:pt idx="9">
                  <c:v>2.8000000000000001E-2</c:v>
                </c:pt>
              </c:numCache>
            </c:numRef>
          </c:yVal>
          <c:smooth val="1"/>
          <c:extLst xmlns:c16r2="http://schemas.microsoft.com/office/drawing/2015/06/chart">
            <c:ext xmlns:c16="http://schemas.microsoft.com/office/drawing/2014/chart" uri="{C3380CC4-5D6E-409C-BE32-E72D297353CC}">
              <c16:uniqueId val="{00000003-2EC5-46F5-8D35-F92347946F23}"/>
            </c:ext>
          </c:extLst>
        </c:ser>
        <c:dLbls>
          <c:showLegendKey val="0"/>
          <c:showVal val="0"/>
          <c:showCatName val="0"/>
          <c:showSerName val="0"/>
          <c:showPercent val="0"/>
          <c:showBubbleSize val="0"/>
        </c:dLbls>
        <c:axId val="142936320"/>
        <c:axId val="142946304"/>
      </c:scatterChart>
      <c:scatterChart>
        <c:scatterStyle val="smoothMarker"/>
        <c:varyColors val="0"/>
        <c:ser>
          <c:idx val="3"/>
          <c:order val="3"/>
          <c:tx>
            <c:strRef>
              <c:f>'Dependent Variables'!$E$142</c:f>
              <c:strCache>
                <c:ptCount val="1"/>
                <c:pt idx="0">
                  <c:v>EPS</c:v>
                </c:pt>
              </c:strCache>
            </c:strRef>
          </c:tx>
          <c:marker>
            <c:symbol val="none"/>
          </c:marker>
          <c:xVal>
            <c:strRef>
              <c:f>'Dependent Variables'!$A$143:$A$152</c:f>
              <c:strCache>
                <c:ptCount val="10"/>
                <c:pt idx="0">
                  <c:v>IFIC Bank 2018</c:v>
                </c:pt>
                <c:pt idx="1">
                  <c:v>IFIC Bank 2017</c:v>
                </c:pt>
                <c:pt idx="2">
                  <c:v>IFIC Bank 2016</c:v>
                </c:pt>
                <c:pt idx="3">
                  <c:v>IFIC Bank 2015</c:v>
                </c:pt>
                <c:pt idx="4">
                  <c:v>IFIC Bank 2014</c:v>
                </c:pt>
                <c:pt idx="5">
                  <c:v>IFIC Bank 2013</c:v>
                </c:pt>
                <c:pt idx="6">
                  <c:v>IFIC Bank 2012</c:v>
                </c:pt>
                <c:pt idx="7">
                  <c:v>IFIC Bank 2011</c:v>
                </c:pt>
                <c:pt idx="8">
                  <c:v>IFIC Bank 2010</c:v>
                </c:pt>
                <c:pt idx="9">
                  <c:v>IFIC Bank 2009</c:v>
                </c:pt>
              </c:strCache>
            </c:strRef>
          </c:xVal>
          <c:yVal>
            <c:numRef>
              <c:f>'Dependent Variables'!$E$143:$E$152</c:f>
              <c:numCache>
                <c:formatCode>General</c:formatCode>
                <c:ptCount val="10"/>
                <c:pt idx="0">
                  <c:v>1.17</c:v>
                </c:pt>
                <c:pt idx="1">
                  <c:v>1.54</c:v>
                </c:pt>
                <c:pt idx="2">
                  <c:v>1.38</c:v>
                </c:pt>
                <c:pt idx="3">
                  <c:v>1.57</c:v>
                </c:pt>
                <c:pt idx="4">
                  <c:v>3.07</c:v>
                </c:pt>
                <c:pt idx="5">
                  <c:v>3.53</c:v>
                </c:pt>
                <c:pt idx="6">
                  <c:v>2.9</c:v>
                </c:pt>
                <c:pt idx="7">
                  <c:v>2.16</c:v>
                </c:pt>
                <c:pt idx="8">
                  <c:v>5.95</c:v>
                </c:pt>
                <c:pt idx="9">
                  <c:v>4.12</c:v>
                </c:pt>
              </c:numCache>
            </c:numRef>
          </c:yVal>
          <c:smooth val="1"/>
          <c:extLst xmlns:c16r2="http://schemas.microsoft.com/office/drawing/2015/06/chart">
            <c:ext xmlns:c16="http://schemas.microsoft.com/office/drawing/2014/chart" uri="{C3380CC4-5D6E-409C-BE32-E72D297353CC}">
              <c16:uniqueId val="{00000004-2EC5-46F5-8D35-F92347946F23}"/>
            </c:ext>
          </c:extLst>
        </c:ser>
        <c:dLbls>
          <c:showLegendKey val="0"/>
          <c:showVal val="0"/>
          <c:showCatName val="0"/>
          <c:showSerName val="0"/>
          <c:showPercent val="0"/>
          <c:showBubbleSize val="0"/>
        </c:dLbls>
        <c:axId val="142949376"/>
        <c:axId val="142947840"/>
      </c:scatterChart>
      <c:valAx>
        <c:axId val="142936320"/>
        <c:scaling>
          <c:orientation val="minMax"/>
        </c:scaling>
        <c:delete val="0"/>
        <c:axPos val="b"/>
        <c:majorTickMark val="out"/>
        <c:minorTickMark val="none"/>
        <c:tickLblPos val="nextTo"/>
        <c:crossAx val="142946304"/>
        <c:crosses val="autoZero"/>
        <c:crossBetween val="midCat"/>
      </c:valAx>
      <c:valAx>
        <c:axId val="142946304"/>
        <c:scaling>
          <c:orientation val="minMax"/>
        </c:scaling>
        <c:delete val="0"/>
        <c:axPos val="l"/>
        <c:majorGridlines/>
        <c:numFmt formatCode="0.00%" sourceLinked="1"/>
        <c:majorTickMark val="out"/>
        <c:minorTickMark val="none"/>
        <c:tickLblPos val="nextTo"/>
        <c:crossAx val="142936320"/>
        <c:crosses val="autoZero"/>
        <c:crossBetween val="midCat"/>
      </c:valAx>
      <c:valAx>
        <c:axId val="142947840"/>
        <c:scaling>
          <c:orientation val="minMax"/>
        </c:scaling>
        <c:delete val="0"/>
        <c:axPos val="r"/>
        <c:numFmt formatCode="General" sourceLinked="1"/>
        <c:majorTickMark val="out"/>
        <c:minorTickMark val="none"/>
        <c:tickLblPos val="nextTo"/>
        <c:crossAx val="142949376"/>
        <c:crosses val="max"/>
        <c:crossBetween val="midCat"/>
      </c:valAx>
      <c:valAx>
        <c:axId val="142949376"/>
        <c:scaling>
          <c:orientation val="minMax"/>
        </c:scaling>
        <c:delete val="1"/>
        <c:axPos val="b"/>
        <c:majorTickMark val="out"/>
        <c:minorTickMark val="none"/>
        <c:tickLblPos val="nextTo"/>
        <c:crossAx val="142947840"/>
        <c:crosses val="autoZero"/>
        <c:crossBetween val="midCat"/>
      </c:valAx>
    </c:plotArea>
    <c:legend>
      <c:legendPos val="r"/>
      <c:overlay val="0"/>
    </c:legend>
    <c:plotVisOnly val="1"/>
    <c:dispBlanksAs val="gap"/>
    <c:showDLblsOverMax val="0"/>
  </c:chart>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'Independent Variables'!$A$2</c:f>
              <c:strCache>
                <c:ptCount val="1"/>
                <c:pt idx="0">
                  <c:v>Ab Bank 2018</c:v>
                </c:pt>
              </c:strCache>
            </c:strRef>
          </c:tx>
          <c:spPr>
            <a:ln>
              <a:solidFill>
                <a:srgbClr val="FF0000"/>
              </a:solidFill>
            </a:ln>
          </c:spPr>
          <c:marker>
            <c:symbol val="none"/>
          </c:marker>
          <c:xVal>
            <c:strRef>
              <c:f>'Independent Variables'!$B$1:$I$1</c:f>
              <c:strCache>
                <c:ptCount val="8"/>
                <c:pt idx="0">
                  <c:v>Leverage</c:v>
                </c:pt>
                <c:pt idx="1">
                  <c:v>Religion</c:v>
                </c:pt>
                <c:pt idx="2">
                  <c:v>Board Size</c:v>
                </c:pt>
                <c:pt idx="3">
                  <c:v>Woman on Board </c:v>
                </c:pt>
                <c:pt idx="4">
                  <c:v>Foreign member on Board</c:v>
                </c:pt>
                <c:pt idx="5">
                  <c:v>Family Member's on Board</c:v>
                </c:pt>
                <c:pt idx="6">
                  <c:v>Foreign Wonership </c:v>
                </c:pt>
                <c:pt idx="7">
                  <c:v>Family Ownership</c:v>
                </c:pt>
              </c:strCache>
            </c:strRef>
          </c:xVal>
          <c:yVal>
            <c:numRef>
              <c:f>'Independent Variables'!$B$2:$I$2</c:f>
              <c:numCache>
                <c:formatCode>General</c:formatCode>
                <c:ptCount val="8"/>
                <c:pt idx="0" formatCode="0.00%">
                  <c:v>0.92977160332164877</c:v>
                </c:pt>
                <c:pt idx="1">
                  <c:v>1</c:v>
                </c:pt>
                <c:pt idx="2">
                  <c:v>9</c:v>
                </c:pt>
                <c:pt idx="3">
                  <c:v>0</c:v>
                </c:pt>
                <c:pt idx="4">
                  <c:v>0</c:v>
                </c:pt>
                <c:pt idx="5">
                  <c:v>1</c:v>
                </c:pt>
                <c:pt idx="6" formatCode="0.00%">
                  <c:v>1.7899999999999999E-3</c:v>
                </c:pt>
                <c:pt idx="7" formatCode="0.00%">
                  <c:v>4.0999999999999999E-4</c:v>
                </c:pt>
              </c:numCache>
            </c:numRef>
          </c:yVal>
          <c:smooth val="1"/>
          <c:extLst xmlns:c16r2="http://schemas.microsoft.com/office/drawing/2015/06/chart">
            <c:ext xmlns:c16="http://schemas.microsoft.com/office/drawing/2014/chart" uri="{C3380CC4-5D6E-409C-BE32-E72D297353CC}">
              <c16:uniqueId val="{00000000-C0A3-414F-9D87-DFCE0AEB57BF}"/>
            </c:ext>
          </c:extLst>
        </c:ser>
        <c:ser>
          <c:idx val="1"/>
          <c:order val="1"/>
          <c:tx>
            <c:strRef>
              <c:f>'Independent Variables'!$A$3</c:f>
              <c:strCache>
                <c:ptCount val="1"/>
                <c:pt idx="0">
                  <c:v>Ab Bank 2017</c:v>
                </c:pt>
              </c:strCache>
            </c:strRef>
          </c:tx>
          <c:marker>
            <c:symbol val="none"/>
          </c:marker>
          <c:xVal>
            <c:strRef>
              <c:f>'Independent Variables'!$B$1:$I$1</c:f>
              <c:strCache>
                <c:ptCount val="8"/>
                <c:pt idx="0">
                  <c:v>Leverage</c:v>
                </c:pt>
                <c:pt idx="1">
                  <c:v>Religion</c:v>
                </c:pt>
                <c:pt idx="2">
                  <c:v>Board Size</c:v>
                </c:pt>
                <c:pt idx="3">
                  <c:v>Woman on Board </c:v>
                </c:pt>
                <c:pt idx="4">
                  <c:v>Foreign member on Board</c:v>
                </c:pt>
                <c:pt idx="5">
                  <c:v>Family Member's on Board</c:v>
                </c:pt>
                <c:pt idx="6">
                  <c:v>Foreign Wonership </c:v>
                </c:pt>
                <c:pt idx="7">
                  <c:v>Family Ownership</c:v>
                </c:pt>
              </c:strCache>
            </c:strRef>
          </c:xVal>
          <c:yVal>
            <c:numRef>
              <c:f>'Independent Variables'!$B$3:$I$3</c:f>
              <c:numCache>
                <c:formatCode>General</c:formatCode>
                <c:ptCount val="8"/>
                <c:pt idx="0" formatCode="0.00%">
                  <c:v>0.92761036629104932</c:v>
                </c:pt>
                <c:pt idx="1">
                  <c:v>1</c:v>
                </c:pt>
                <c:pt idx="2">
                  <c:v>12</c:v>
                </c:pt>
                <c:pt idx="3">
                  <c:v>1</c:v>
                </c:pt>
                <c:pt idx="4">
                  <c:v>0</c:v>
                </c:pt>
                <c:pt idx="5">
                  <c:v>1</c:v>
                </c:pt>
                <c:pt idx="6" formatCode="0.00%">
                  <c:v>3.14E-3</c:v>
                </c:pt>
                <c:pt idx="7" formatCode="0.00%">
                  <c:v>4.0999999999999999E-4</c:v>
                </c:pt>
              </c:numCache>
            </c:numRef>
          </c:yVal>
          <c:smooth val="1"/>
          <c:extLst xmlns:c16r2="http://schemas.microsoft.com/office/drawing/2015/06/chart">
            <c:ext xmlns:c16="http://schemas.microsoft.com/office/drawing/2014/chart" uri="{C3380CC4-5D6E-409C-BE32-E72D297353CC}">
              <c16:uniqueId val="{00000001-C0A3-414F-9D87-DFCE0AEB57BF}"/>
            </c:ext>
          </c:extLst>
        </c:ser>
        <c:ser>
          <c:idx val="2"/>
          <c:order val="2"/>
          <c:tx>
            <c:strRef>
              <c:f>'Independent Variables'!$A$4</c:f>
              <c:strCache>
                <c:ptCount val="1"/>
                <c:pt idx="0">
                  <c:v>Ab Bank 2016</c:v>
                </c:pt>
              </c:strCache>
            </c:strRef>
          </c:tx>
          <c:marker>
            <c:symbol val="none"/>
          </c:marker>
          <c:xVal>
            <c:strRef>
              <c:f>'Independent Variables'!$B$1:$I$1</c:f>
              <c:strCache>
                <c:ptCount val="8"/>
                <c:pt idx="0">
                  <c:v>Leverage</c:v>
                </c:pt>
                <c:pt idx="1">
                  <c:v>Religion</c:v>
                </c:pt>
                <c:pt idx="2">
                  <c:v>Board Size</c:v>
                </c:pt>
                <c:pt idx="3">
                  <c:v>Woman on Board </c:v>
                </c:pt>
                <c:pt idx="4">
                  <c:v>Foreign member on Board</c:v>
                </c:pt>
                <c:pt idx="5">
                  <c:v>Family Member's on Board</c:v>
                </c:pt>
                <c:pt idx="6">
                  <c:v>Foreign Wonership </c:v>
                </c:pt>
                <c:pt idx="7">
                  <c:v>Family Ownership</c:v>
                </c:pt>
              </c:strCache>
            </c:strRef>
          </c:xVal>
          <c:yVal>
            <c:numRef>
              <c:f>'Independent Variables'!$B$4:$I$4</c:f>
              <c:numCache>
                <c:formatCode>General</c:formatCode>
                <c:ptCount val="8"/>
                <c:pt idx="0" formatCode="0.00%">
                  <c:v>0.60721575911392311</c:v>
                </c:pt>
                <c:pt idx="1">
                  <c:v>1</c:v>
                </c:pt>
                <c:pt idx="2">
                  <c:v>12</c:v>
                </c:pt>
                <c:pt idx="3">
                  <c:v>0</c:v>
                </c:pt>
                <c:pt idx="4">
                  <c:v>0</c:v>
                </c:pt>
                <c:pt idx="5">
                  <c:v>1</c:v>
                </c:pt>
                <c:pt idx="6" formatCode="0.00%">
                  <c:v>1.9300000000000001E-3</c:v>
                </c:pt>
                <c:pt idx="7" formatCode="0.00%">
                  <c:v>8.6799999999999996E-4</c:v>
                </c:pt>
              </c:numCache>
            </c:numRef>
          </c:yVal>
          <c:smooth val="1"/>
          <c:extLst xmlns:c16r2="http://schemas.microsoft.com/office/drawing/2015/06/chart">
            <c:ext xmlns:c16="http://schemas.microsoft.com/office/drawing/2014/chart" uri="{C3380CC4-5D6E-409C-BE32-E72D297353CC}">
              <c16:uniqueId val="{00000002-C0A3-414F-9D87-DFCE0AEB57BF}"/>
            </c:ext>
          </c:extLst>
        </c:ser>
        <c:ser>
          <c:idx val="3"/>
          <c:order val="3"/>
          <c:tx>
            <c:strRef>
              <c:f>'Independent Variables'!$A$5</c:f>
              <c:strCache>
                <c:ptCount val="1"/>
                <c:pt idx="0">
                  <c:v>Ab Bank 2015</c:v>
                </c:pt>
              </c:strCache>
            </c:strRef>
          </c:tx>
          <c:marker>
            <c:symbol val="none"/>
          </c:marker>
          <c:xVal>
            <c:strRef>
              <c:f>'Independent Variables'!$B$1:$I$1</c:f>
              <c:strCache>
                <c:ptCount val="8"/>
                <c:pt idx="0">
                  <c:v>Leverage</c:v>
                </c:pt>
                <c:pt idx="1">
                  <c:v>Religion</c:v>
                </c:pt>
                <c:pt idx="2">
                  <c:v>Board Size</c:v>
                </c:pt>
                <c:pt idx="3">
                  <c:v>Woman on Board </c:v>
                </c:pt>
                <c:pt idx="4">
                  <c:v>Foreign member on Board</c:v>
                </c:pt>
                <c:pt idx="5">
                  <c:v>Family Member's on Board</c:v>
                </c:pt>
                <c:pt idx="6">
                  <c:v>Foreign Wonership </c:v>
                </c:pt>
                <c:pt idx="7">
                  <c:v>Family Ownership</c:v>
                </c:pt>
              </c:strCache>
            </c:strRef>
          </c:xVal>
          <c:yVal>
            <c:numRef>
              <c:f>'Independent Variables'!$B$5:$I$5</c:f>
              <c:numCache>
                <c:formatCode>General</c:formatCode>
                <c:ptCount val="8"/>
                <c:pt idx="0" formatCode="0.00%">
                  <c:v>0.65905460504918045</c:v>
                </c:pt>
                <c:pt idx="1">
                  <c:v>1</c:v>
                </c:pt>
                <c:pt idx="2">
                  <c:v>14</c:v>
                </c:pt>
                <c:pt idx="3">
                  <c:v>0</c:v>
                </c:pt>
                <c:pt idx="4">
                  <c:v>0</c:v>
                </c:pt>
                <c:pt idx="5">
                  <c:v>1</c:v>
                </c:pt>
                <c:pt idx="6" formatCode="0.00%">
                  <c:v>2.4399999999999999E-3</c:v>
                </c:pt>
                <c:pt idx="7" formatCode="0.00%">
                  <c:v>8.5999999999999998E-4</c:v>
                </c:pt>
              </c:numCache>
            </c:numRef>
          </c:yVal>
          <c:smooth val="1"/>
          <c:extLst xmlns:c16r2="http://schemas.microsoft.com/office/drawing/2015/06/chart">
            <c:ext xmlns:c16="http://schemas.microsoft.com/office/drawing/2014/chart" uri="{C3380CC4-5D6E-409C-BE32-E72D297353CC}">
              <c16:uniqueId val="{00000003-C0A3-414F-9D87-DFCE0AEB57BF}"/>
            </c:ext>
          </c:extLst>
        </c:ser>
        <c:ser>
          <c:idx val="4"/>
          <c:order val="4"/>
          <c:tx>
            <c:strRef>
              <c:f>'Independent Variables'!$A$6</c:f>
              <c:strCache>
                <c:ptCount val="1"/>
                <c:pt idx="0">
                  <c:v>Ab Bank 2014</c:v>
                </c:pt>
              </c:strCache>
            </c:strRef>
          </c:tx>
          <c:marker>
            <c:symbol val="none"/>
          </c:marker>
          <c:xVal>
            <c:strRef>
              <c:f>'Independent Variables'!$B$1:$I$1</c:f>
              <c:strCache>
                <c:ptCount val="8"/>
                <c:pt idx="0">
                  <c:v>Leverage</c:v>
                </c:pt>
                <c:pt idx="1">
                  <c:v>Religion</c:v>
                </c:pt>
                <c:pt idx="2">
                  <c:v>Board Size</c:v>
                </c:pt>
                <c:pt idx="3">
                  <c:v>Woman on Board </c:v>
                </c:pt>
                <c:pt idx="4">
                  <c:v>Foreign member on Board</c:v>
                </c:pt>
                <c:pt idx="5">
                  <c:v>Family Member's on Board</c:v>
                </c:pt>
                <c:pt idx="6">
                  <c:v>Foreign Wonership </c:v>
                </c:pt>
                <c:pt idx="7">
                  <c:v>Family Ownership</c:v>
                </c:pt>
              </c:strCache>
            </c:strRef>
          </c:xVal>
          <c:yVal>
            <c:numRef>
              <c:f>'Independent Variables'!$B$6:$I$6</c:f>
              <c:numCache>
                <c:formatCode>General</c:formatCode>
                <c:ptCount val="8"/>
                <c:pt idx="0" formatCode="0.00%">
                  <c:v>0.92870285058162061</c:v>
                </c:pt>
                <c:pt idx="1">
                  <c:v>1</c:v>
                </c:pt>
                <c:pt idx="2">
                  <c:v>13</c:v>
                </c:pt>
                <c:pt idx="3">
                  <c:v>0</c:v>
                </c:pt>
                <c:pt idx="4">
                  <c:v>0</c:v>
                </c:pt>
                <c:pt idx="5">
                  <c:v>1</c:v>
                </c:pt>
                <c:pt idx="6" formatCode="0.00%">
                  <c:v>6.1000000000000004E-3</c:v>
                </c:pt>
                <c:pt idx="7" formatCode="0.00%">
                  <c:v>8.9999999999999998E-4</c:v>
                </c:pt>
              </c:numCache>
            </c:numRef>
          </c:yVal>
          <c:smooth val="1"/>
          <c:extLst xmlns:c16r2="http://schemas.microsoft.com/office/drawing/2015/06/chart">
            <c:ext xmlns:c16="http://schemas.microsoft.com/office/drawing/2014/chart" uri="{C3380CC4-5D6E-409C-BE32-E72D297353CC}">
              <c16:uniqueId val="{00000004-C0A3-414F-9D87-DFCE0AEB57BF}"/>
            </c:ext>
          </c:extLst>
        </c:ser>
        <c:ser>
          <c:idx val="5"/>
          <c:order val="5"/>
          <c:tx>
            <c:strRef>
              <c:f>'Independent Variables'!$A$7</c:f>
              <c:strCache>
                <c:ptCount val="1"/>
                <c:pt idx="0">
                  <c:v>Ab Bank 2013</c:v>
                </c:pt>
              </c:strCache>
            </c:strRef>
          </c:tx>
          <c:marker>
            <c:symbol val="none"/>
          </c:marker>
          <c:xVal>
            <c:strRef>
              <c:f>'Independent Variables'!$B$1:$I$1</c:f>
              <c:strCache>
                <c:ptCount val="8"/>
                <c:pt idx="0">
                  <c:v>Leverage</c:v>
                </c:pt>
                <c:pt idx="1">
                  <c:v>Religion</c:v>
                </c:pt>
                <c:pt idx="2">
                  <c:v>Board Size</c:v>
                </c:pt>
                <c:pt idx="3">
                  <c:v>Woman on Board </c:v>
                </c:pt>
                <c:pt idx="4">
                  <c:v>Foreign member on Board</c:v>
                </c:pt>
                <c:pt idx="5">
                  <c:v>Family Member's on Board</c:v>
                </c:pt>
                <c:pt idx="6">
                  <c:v>Foreign Wonership </c:v>
                </c:pt>
                <c:pt idx="7">
                  <c:v>Family Ownership</c:v>
                </c:pt>
              </c:strCache>
            </c:strRef>
          </c:xVal>
          <c:yVal>
            <c:numRef>
              <c:f>'Independent Variables'!$B$7:$I$7</c:f>
              <c:numCache>
                <c:formatCode>General</c:formatCode>
                <c:ptCount val="8"/>
                <c:pt idx="0" formatCode="0.00%">
                  <c:v>0.91855962701005034</c:v>
                </c:pt>
                <c:pt idx="1">
                  <c:v>1</c:v>
                </c:pt>
                <c:pt idx="2">
                  <c:v>16</c:v>
                </c:pt>
                <c:pt idx="3">
                  <c:v>1</c:v>
                </c:pt>
                <c:pt idx="4">
                  <c:v>0</c:v>
                </c:pt>
                <c:pt idx="5">
                  <c:v>1</c:v>
                </c:pt>
                <c:pt idx="6" formatCode="0.00%">
                  <c:v>3.5100000000000001E-3</c:v>
                </c:pt>
                <c:pt idx="7" formatCode="0.00%">
                  <c:v>8.9999999999999998E-4</c:v>
                </c:pt>
              </c:numCache>
            </c:numRef>
          </c:yVal>
          <c:smooth val="1"/>
          <c:extLst xmlns:c16r2="http://schemas.microsoft.com/office/drawing/2015/06/chart">
            <c:ext xmlns:c16="http://schemas.microsoft.com/office/drawing/2014/chart" uri="{C3380CC4-5D6E-409C-BE32-E72D297353CC}">
              <c16:uniqueId val="{00000005-C0A3-414F-9D87-DFCE0AEB57BF}"/>
            </c:ext>
          </c:extLst>
        </c:ser>
        <c:ser>
          <c:idx val="6"/>
          <c:order val="6"/>
          <c:tx>
            <c:strRef>
              <c:f>'Independent Variables'!$A$8</c:f>
              <c:strCache>
                <c:ptCount val="1"/>
                <c:pt idx="0">
                  <c:v>Ab Bank 2012</c:v>
                </c:pt>
              </c:strCache>
            </c:strRef>
          </c:tx>
          <c:marker>
            <c:symbol val="none"/>
          </c:marker>
          <c:xVal>
            <c:strRef>
              <c:f>'Independent Variables'!$B$1:$I$1</c:f>
              <c:strCache>
                <c:ptCount val="8"/>
                <c:pt idx="0">
                  <c:v>Leverage</c:v>
                </c:pt>
                <c:pt idx="1">
                  <c:v>Religion</c:v>
                </c:pt>
                <c:pt idx="2">
                  <c:v>Board Size</c:v>
                </c:pt>
                <c:pt idx="3">
                  <c:v>Woman on Board </c:v>
                </c:pt>
                <c:pt idx="4">
                  <c:v>Foreign member on Board</c:v>
                </c:pt>
                <c:pt idx="5">
                  <c:v>Family Member's on Board</c:v>
                </c:pt>
                <c:pt idx="6">
                  <c:v>Foreign Wonership </c:v>
                </c:pt>
                <c:pt idx="7">
                  <c:v>Family Ownership</c:v>
                </c:pt>
              </c:strCache>
            </c:strRef>
          </c:xVal>
          <c:yVal>
            <c:numRef>
              <c:f>'Independent Variables'!$B$8:$I$8</c:f>
              <c:numCache>
                <c:formatCode>General</c:formatCode>
                <c:ptCount val="8"/>
                <c:pt idx="0" formatCode="0.00%">
                  <c:v>0.9077681664120002</c:v>
                </c:pt>
                <c:pt idx="1">
                  <c:v>1</c:v>
                </c:pt>
                <c:pt idx="2">
                  <c:v>15</c:v>
                </c:pt>
                <c:pt idx="3">
                  <c:v>1</c:v>
                </c:pt>
                <c:pt idx="4">
                  <c:v>0</c:v>
                </c:pt>
                <c:pt idx="5">
                  <c:v>1</c:v>
                </c:pt>
                <c:pt idx="6" formatCode="0.00%">
                  <c:v>3.3E-3</c:v>
                </c:pt>
                <c:pt idx="7" formatCode="0.00%">
                  <c:v>8.9999999999999998E-4</c:v>
                </c:pt>
              </c:numCache>
            </c:numRef>
          </c:yVal>
          <c:smooth val="1"/>
          <c:extLst xmlns:c16r2="http://schemas.microsoft.com/office/drawing/2015/06/chart">
            <c:ext xmlns:c16="http://schemas.microsoft.com/office/drawing/2014/chart" uri="{C3380CC4-5D6E-409C-BE32-E72D297353CC}">
              <c16:uniqueId val="{00000006-C0A3-414F-9D87-DFCE0AEB57BF}"/>
            </c:ext>
          </c:extLst>
        </c:ser>
        <c:ser>
          <c:idx val="7"/>
          <c:order val="7"/>
          <c:tx>
            <c:strRef>
              <c:f>'Independent Variables'!$A$9</c:f>
              <c:strCache>
                <c:ptCount val="1"/>
                <c:pt idx="0">
                  <c:v>Ab Bank 2011</c:v>
                </c:pt>
              </c:strCache>
            </c:strRef>
          </c:tx>
          <c:spPr>
            <a:ln>
              <a:solidFill>
                <a:srgbClr val="7030A0"/>
              </a:solidFill>
            </a:ln>
          </c:spPr>
          <c:marker>
            <c:symbol val="none"/>
          </c:marker>
          <c:xVal>
            <c:strRef>
              <c:f>'Independent Variables'!$B$1:$I$1</c:f>
              <c:strCache>
                <c:ptCount val="8"/>
                <c:pt idx="0">
                  <c:v>Leverage</c:v>
                </c:pt>
                <c:pt idx="1">
                  <c:v>Religion</c:v>
                </c:pt>
                <c:pt idx="2">
                  <c:v>Board Size</c:v>
                </c:pt>
                <c:pt idx="3">
                  <c:v>Woman on Board </c:v>
                </c:pt>
                <c:pt idx="4">
                  <c:v>Foreign member on Board</c:v>
                </c:pt>
                <c:pt idx="5">
                  <c:v>Family Member's on Board</c:v>
                </c:pt>
                <c:pt idx="6">
                  <c:v>Foreign Wonership </c:v>
                </c:pt>
                <c:pt idx="7">
                  <c:v>Family Ownership</c:v>
                </c:pt>
              </c:strCache>
            </c:strRef>
          </c:xVal>
          <c:yVal>
            <c:numRef>
              <c:f>'Independent Variables'!$B$9:$I$9</c:f>
              <c:numCache>
                <c:formatCode>General</c:formatCode>
                <c:ptCount val="8"/>
                <c:pt idx="0" formatCode="0.00%">
                  <c:v>0.90289994072845925</c:v>
                </c:pt>
                <c:pt idx="1">
                  <c:v>1</c:v>
                </c:pt>
                <c:pt idx="2">
                  <c:v>15</c:v>
                </c:pt>
                <c:pt idx="3">
                  <c:v>1</c:v>
                </c:pt>
                <c:pt idx="4">
                  <c:v>0</c:v>
                </c:pt>
                <c:pt idx="5">
                  <c:v>1</c:v>
                </c:pt>
                <c:pt idx="6" formatCode="0.00%">
                  <c:v>3.5000000000000001E-3</c:v>
                </c:pt>
                <c:pt idx="7" formatCode="0.00%">
                  <c:v>8.9999999999999998E-4</c:v>
                </c:pt>
              </c:numCache>
            </c:numRef>
          </c:yVal>
          <c:smooth val="1"/>
          <c:extLst xmlns:c16r2="http://schemas.microsoft.com/office/drawing/2015/06/chart">
            <c:ext xmlns:c16="http://schemas.microsoft.com/office/drawing/2014/chart" uri="{C3380CC4-5D6E-409C-BE32-E72D297353CC}">
              <c16:uniqueId val="{00000007-C0A3-414F-9D87-DFCE0AEB57BF}"/>
            </c:ext>
          </c:extLst>
        </c:ser>
        <c:dLbls>
          <c:showLegendKey val="0"/>
          <c:showVal val="0"/>
          <c:showCatName val="0"/>
          <c:showSerName val="0"/>
          <c:showPercent val="0"/>
          <c:showBubbleSize val="0"/>
        </c:dLbls>
        <c:axId val="143352192"/>
        <c:axId val="143353728"/>
      </c:scatterChart>
      <c:valAx>
        <c:axId val="143352192"/>
        <c:scaling>
          <c:orientation val="minMax"/>
        </c:scaling>
        <c:delete val="0"/>
        <c:axPos val="b"/>
        <c:majorTickMark val="out"/>
        <c:minorTickMark val="none"/>
        <c:tickLblPos val="nextTo"/>
        <c:crossAx val="143353728"/>
        <c:crosses val="autoZero"/>
        <c:crossBetween val="midCat"/>
      </c:valAx>
      <c:valAx>
        <c:axId val="143353728"/>
        <c:scaling>
          <c:orientation val="minMax"/>
        </c:scaling>
        <c:delete val="0"/>
        <c:axPos val="l"/>
        <c:majorGridlines/>
        <c:numFmt formatCode="0.00%" sourceLinked="1"/>
        <c:majorTickMark val="out"/>
        <c:minorTickMark val="none"/>
        <c:tickLblPos val="nextTo"/>
        <c:crossAx val="143352192"/>
        <c:crosses val="autoZero"/>
        <c:crossBetween val="midCat"/>
      </c:valAx>
    </c:plotArea>
    <c:legend>
      <c:legendPos val="r"/>
      <c:overlay val="0"/>
    </c:legend>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'Independent Variables'!$A$12</c:f>
              <c:strCache>
                <c:ptCount val="1"/>
                <c:pt idx="0">
                  <c:v>Al-Arafah Bank 2018</c:v>
                </c:pt>
              </c:strCache>
            </c:strRef>
          </c:tx>
          <c:marker>
            <c:symbol val="none"/>
          </c:marker>
          <c:xVal>
            <c:strRef>
              <c:f>'Independent Variables'!$B$11:$I$11</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Variables'!$B$12:$I$12</c:f>
              <c:numCache>
                <c:formatCode>General</c:formatCode>
                <c:ptCount val="8"/>
                <c:pt idx="0" formatCode="0.00%">
                  <c:v>0.93521942678882286</c:v>
                </c:pt>
                <c:pt idx="1">
                  <c:v>1</c:v>
                </c:pt>
                <c:pt idx="2">
                  <c:v>20</c:v>
                </c:pt>
                <c:pt idx="3">
                  <c:v>0</c:v>
                </c:pt>
                <c:pt idx="4">
                  <c:v>0</c:v>
                </c:pt>
                <c:pt idx="5">
                  <c:v>1</c:v>
                </c:pt>
                <c:pt idx="6">
                  <c:v>0</c:v>
                </c:pt>
                <c:pt idx="7" formatCode="0.00%">
                  <c:v>7.5517500000000001E-2</c:v>
                </c:pt>
              </c:numCache>
            </c:numRef>
          </c:yVal>
          <c:smooth val="1"/>
          <c:extLst xmlns:c16r2="http://schemas.microsoft.com/office/drawing/2015/06/chart">
            <c:ext xmlns:c16="http://schemas.microsoft.com/office/drawing/2014/chart" uri="{C3380CC4-5D6E-409C-BE32-E72D297353CC}">
              <c16:uniqueId val="{00000000-3644-464E-9D25-1BF822415109}"/>
            </c:ext>
          </c:extLst>
        </c:ser>
        <c:ser>
          <c:idx val="1"/>
          <c:order val="1"/>
          <c:tx>
            <c:strRef>
              <c:f>'Independent Variables'!$A$13</c:f>
              <c:strCache>
                <c:ptCount val="1"/>
                <c:pt idx="0">
                  <c:v>Al-Arafah Bankk 2017</c:v>
                </c:pt>
              </c:strCache>
            </c:strRef>
          </c:tx>
          <c:marker>
            <c:symbol val="none"/>
          </c:marker>
          <c:xVal>
            <c:strRef>
              <c:f>'Independent Variables'!$B$11:$I$11</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Variables'!$B$13:$I$13</c:f>
              <c:numCache>
                <c:formatCode>General</c:formatCode>
                <c:ptCount val="8"/>
                <c:pt idx="0" formatCode="0.00%">
                  <c:v>0.93427580672628396</c:v>
                </c:pt>
                <c:pt idx="1">
                  <c:v>1</c:v>
                </c:pt>
                <c:pt idx="2">
                  <c:v>20</c:v>
                </c:pt>
                <c:pt idx="3">
                  <c:v>0</c:v>
                </c:pt>
                <c:pt idx="4">
                  <c:v>0</c:v>
                </c:pt>
                <c:pt idx="5">
                  <c:v>1</c:v>
                </c:pt>
                <c:pt idx="6">
                  <c:v>0</c:v>
                </c:pt>
                <c:pt idx="7" formatCode="0.00%">
                  <c:v>7.5517500000000001E-2</c:v>
                </c:pt>
              </c:numCache>
            </c:numRef>
          </c:yVal>
          <c:smooth val="1"/>
          <c:extLst xmlns:c16r2="http://schemas.microsoft.com/office/drawing/2015/06/chart">
            <c:ext xmlns:c16="http://schemas.microsoft.com/office/drawing/2014/chart" uri="{C3380CC4-5D6E-409C-BE32-E72D297353CC}">
              <c16:uniqueId val="{00000001-3644-464E-9D25-1BF822415109}"/>
            </c:ext>
          </c:extLst>
        </c:ser>
        <c:ser>
          <c:idx val="2"/>
          <c:order val="2"/>
          <c:tx>
            <c:strRef>
              <c:f>'Independent Variables'!$A$14</c:f>
              <c:strCache>
                <c:ptCount val="1"/>
                <c:pt idx="0">
                  <c:v>Al-Arafah Bank 2016</c:v>
                </c:pt>
              </c:strCache>
            </c:strRef>
          </c:tx>
          <c:marker>
            <c:symbol val="none"/>
          </c:marker>
          <c:xVal>
            <c:strRef>
              <c:f>'Independent Variables'!$B$11:$I$11</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Variables'!$B$14:$I$14</c:f>
              <c:numCache>
                <c:formatCode>General</c:formatCode>
                <c:ptCount val="8"/>
                <c:pt idx="0" formatCode="0.00%">
                  <c:v>0.80746756865536207</c:v>
                </c:pt>
                <c:pt idx="1">
                  <c:v>1</c:v>
                </c:pt>
                <c:pt idx="2">
                  <c:v>20</c:v>
                </c:pt>
                <c:pt idx="3">
                  <c:v>0</c:v>
                </c:pt>
                <c:pt idx="4">
                  <c:v>0</c:v>
                </c:pt>
                <c:pt idx="5">
                  <c:v>1</c:v>
                </c:pt>
                <c:pt idx="6">
                  <c:v>0</c:v>
                </c:pt>
                <c:pt idx="7" formatCode="0.00%">
                  <c:v>0.24147843004</c:v>
                </c:pt>
              </c:numCache>
            </c:numRef>
          </c:yVal>
          <c:smooth val="1"/>
          <c:extLst xmlns:c16r2="http://schemas.microsoft.com/office/drawing/2015/06/chart">
            <c:ext xmlns:c16="http://schemas.microsoft.com/office/drawing/2014/chart" uri="{C3380CC4-5D6E-409C-BE32-E72D297353CC}">
              <c16:uniqueId val="{00000002-3644-464E-9D25-1BF822415109}"/>
            </c:ext>
          </c:extLst>
        </c:ser>
        <c:ser>
          <c:idx val="3"/>
          <c:order val="3"/>
          <c:tx>
            <c:strRef>
              <c:f>'Independent Variables'!$A$15</c:f>
              <c:strCache>
                <c:ptCount val="1"/>
                <c:pt idx="0">
                  <c:v>Al-Arafah Bank 2015</c:v>
                </c:pt>
              </c:strCache>
            </c:strRef>
          </c:tx>
          <c:marker>
            <c:symbol val="none"/>
          </c:marker>
          <c:xVal>
            <c:strRef>
              <c:f>'Independent Variables'!$B$11:$I$11</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Variables'!$B$15:$I$15</c:f>
              <c:numCache>
                <c:formatCode>General</c:formatCode>
                <c:ptCount val="8"/>
                <c:pt idx="0" formatCode="0.00%">
                  <c:v>0.80142625840290893</c:v>
                </c:pt>
                <c:pt idx="1">
                  <c:v>1</c:v>
                </c:pt>
                <c:pt idx="2">
                  <c:v>18</c:v>
                </c:pt>
                <c:pt idx="3">
                  <c:v>0</c:v>
                </c:pt>
                <c:pt idx="4">
                  <c:v>0</c:v>
                </c:pt>
                <c:pt idx="5">
                  <c:v>1</c:v>
                </c:pt>
                <c:pt idx="6">
                  <c:v>0</c:v>
                </c:pt>
                <c:pt idx="7" formatCode="0.00%">
                  <c:v>8.1460832000000011E-2</c:v>
                </c:pt>
              </c:numCache>
            </c:numRef>
          </c:yVal>
          <c:smooth val="1"/>
          <c:extLst xmlns:c16r2="http://schemas.microsoft.com/office/drawing/2015/06/chart">
            <c:ext xmlns:c16="http://schemas.microsoft.com/office/drawing/2014/chart" uri="{C3380CC4-5D6E-409C-BE32-E72D297353CC}">
              <c16:uniqueId val="{00000003-3644-464E-9D25-1BF822415109}"/>
            </c:ext>
          </c:extLst>
        </c:ser>
        <c:ser>
          <c:idx val="4"/>
          <c:order val="4"/>
          <c:tx>
            <c:strRef>
              <c:f>'Independent Variables'!$A$16</c:f>
              <c:strCache>
                <c:ptCount val="1"/>
                <c:pt idx="0">
                  <c:v>Al-Arafah Bankk 2014</c:v>
                </c:pt>
              </c:strCache>
            </c:strRef>
          </c:tx>
          <c:marker>
            <c:symbol val="none"/>
          </c:marker>
          <c:xVal>
            <c:strRef>
              <c:f>'Independent Variables'!$B$11:$I$11</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Variables'!$B$16:$I$16</c:f>
              <c:numCache>
                <c:formatCode>General</c:formatCode>
                <c:ptCount val="8"/>
                <c:pt idx="0" formatCode="0.00%">
                  <c:v>0.91370647477114519</c:v>
                </c:pt>
                <c:pt idx="1">
                  <c:v>1</c:v>
                </c:pt>
                <c:pt idx="2">
                  <c:v>18</c:v>
                </c:pt>
                <c:pt idx="3">
                  <c:v>0</c:v>
                </c:pt>
                <c:pt idx="4">
                  <c:v>0</c:v>
                </c:pt>
                <c:pt idx="5">
                  <c:v>1</c:v>
                </c:pt>
                <c:pt idx="6">
                  <c:v>0</c:v>
                </c:pt>
                <c:pt idx="7" formatCode="0.00%">
                  <c:v>8.6747047500000007E-2</c:v>
                </c:pt>
              </c:numCache>
            </c:numRef>
          </c:yVal>
          <c:smooth val="1"/>
          <c:extLst xmlns:c16r2="http://schemas.microsoft.com/office/drawing/2015/06/chart">
            <c:ext xmlns:c16="http://schemas.microsoft.com/office/drawing/2014/chart" uri="{C3380CC4-5D6E-409C-BE32-E72D297353CC}">
              <c16:uniqueId val="{00000004-3644-464E-9D25-1BF822415109}"/>
            </c:ext>
          </c:extLst>
        </c:ser>
        <c:ser>
          <c:idx val="5"/>
          <c:order val="5"/>
          <c:tx>
            <c:strRef>
              <c:f>'Independent Variables'!$A$17</c:f>
              <c:strCache>
                <c:ptCount val="1"/>
                <c:pt idx="0">
                  <c:v>Al-Arafah Bank 2013</c:v>
                </c:pt>
              </c:strCache>
            </c:strRef>
          </c:tx>
          <c:marker>
            <c:symbol val="none"/>
          </c:marker>
          <c:xVal>
            <c:strRef>
              <c:f>'Independent Variables'!$B$11:$I$11</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Variables'!$B$17:$I$17</c:f>
              <c:numCache>
                <c:formatCode>General</c:formatCode>
                <c:ptCount val="8"/>
                <c:pt idx="0" formatCode="0.00%">
                  <c:v>0.9070742732092657</c:v>
                </c:pt>
                <c:pt idx="1">
                  <c:v>1</c:v>
                </c:pt>
                <c:pt idx="2">
                  <c:v>18</c:v>
                </c:pt>
                <c:pt idx="3">
                  <c:v>0</c:v>
                </c:pt>
                <c:pt idx="4">
                  <c:v>0</c:v>
                </c:pt>
                <c:pt idx="5">
                  <c:v>1</c:v>
                </c:pt>
                <c:pt idx="6">
                  <c:v>0</c:v>
                </c:pt>
                <c:pt idx="7" formatCode="0.00%">
                  <c:v>2.3856787499999997E-2</c:v>
                </c:pt>
              </c:numCache>
            </c:numRef>
          </c:yVal>
          <c:smooth val="1"/>
          <c:extLst xmlns:c16r2="http://schemas.microsoft.com/office/drawing/2015/06/chart">
            <c:ext xmlns:c16="http://schemas.microsoft.com/office/drawing/2014/chart" uri="{C3380CC4-5D6E-409C-BE32-E72D297353CC}">
              <c16:uniqueId val="{00000005-3644-464E-9D25-1BF822415109}"/>
            </c:ext>
          </c:extLst>
        </c:ser>
        <c:ser>
          <c:idx val="6"/>
          <c:order val="6"/>
          <c:tx>
            <c:strRef>
              <c:f>'Independent Variables'!$A$18</c:f>
              <c:strCache>
                <c:ptCount val="1"/>
                <c:pt idx="0">
                  <c:v>Al-Arafah Bankk 2012</c:v>
                </c:pt>
              </c:strCache>
            </c:strRef>
          </c:tx>
          <c:spPr>
            <a:ln>
              <a:solidFill>
                <a:srgbClr val="00B0F0"/>
              </a:solidFill>
            </a:ln>
          </c:spPr>
          <c:marker>
            <c:symbol val="none"/>
          </c:marker>
          <c:xVal>
            <c:strRef>
              <c:f>'Independent Variables'!$B$11:$I$11</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Variables'!$B$18:$I$18</c:f>
              <c:numCache>
                <c:formatCode>General</c:formatCode>
                <c:ptCount val="8"/>
                <c:pt idx="0" formatCode="0.00%">
                  <c:v>0.90590239251790072</c:v>
                </c:pt>
                <c:pt idx="1">
                  <c:v>1</c:v>
                </c:pt>
                <c:pt idx="2">
                  <c:v>19</c:v>
                </c:pt>
                <c:pt idx="3">
                  <c:v>0</c:v>
                </c:pt>
                <c:pt idx="4">
                  <c:v>0</c:v>
                </c:pt>
                <c:pt idx="5">
                  <c:v>1</c:v>
                </c:pt>
                <c:pt idx="6">
                  <c:v>0</c:v>
                </c:pt>
                <c:pt idx="7" formatCode="0.00%">
                  <c:v>6.0120102500000007E-3</c:v>
                </c:pt>
              </c:numCache>
            </c:numRef>
          </c:yVal>
          <c:smooth val="1"/>
          <c:extLst xmlns:c16r2="http://schemas.microsoft.com/office/drawing/2015/06/chart">
            <c:ext xmlns:c16="http://schemas.microsoft.com/office/drawing/2014/chart" uri="{C3380CC4-5D6E-409C-BE32-E72D297353CC}">
              <c16:uniqueId val="{00000006-3644-464E-9D25-1BF822415109}"/>
            </c:ext>
          </c:extLst>
        </c:ser>
        <c:dLbls>
          <c:showLegendKey val="0"/>
          <c:showVal val="0"/>
          <c:showCatName val="0"/>
          <c:showSerName val="0"/>
          <c:showPercent val="0"/>
          <c:showBubbleSize val="0"/>
        </c:dLbls>
        <c:axId val="143280000"/>
        <c:axId val="143281536"/>
      </c:scatterChart>
      <c:valAx>
        <c:axId val="143280000"/>
        <c:scaling>
          <c:orientation val="minMax"/>
        </c:scaling>
        <c:delete val="0"/>
        <c:axPos val="b"/>
        <c:majorTickMark val="out"/>
        <c:minorTickMark val="none"/>
        <c:tickLblPos val="nextTo"/>
        <c:crossAx val="143281536"/>
        <c:crosses val="autoZero"/>
        <c:crossBetween val="midCat"/>
      </c:valAx>
      <c:valAx>
        <c:axId val="143281536"/>
        <c:scaling>
          <c:orientation val="minMax"/>
        </c:scaling>
        <c:delete val="0"/>
        <c:axPos val="l"/>
        <c:majorGridlines/>
        <c:numFmt formatCode="0.00%" sourceLinked="1"/>
        <c:majorTickMark val="out"/>
        <c:minorTickMark val="none"/>
        <c:tickLblPos val="nextTo"/>
        <c:crossAx val="143280000"/>
        <c:crosses val="autoZero"/>
        <c:crossBetween val="midCat"/>
      </c:valAx>
    </c:plotArea>
    <c:legend>
      <c:legendPos val="r"/>
      <c:overlay val="0"/>
    </c:legend>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'Independent Variables'!$B$20</c:f>
              <c:strCache>
                <c:ptCount val="1"/>
                <c:pt idx="0">
                  <c:v>Leverage</c:v>
                </c:pt>
              </c:strCache>
            </c:strRef>
          </c:tx>
          <c:marker>
            <c:symbol val="none"/>
          </c:marker>
          <c:xVal>
            <c:strRef>
              <c:f>'Independent Variables'!$A$21:$A$31</c:f>
              <c:strCache>
                <c:ptCount val="11"/>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strCache>
            </c:strRef>
          </c:xVal>
          <c:yVal>
            <c:numRef>
              <c:f>'Independent Variables'!$B$21:$B$31</c:f>
              <c:numCache>
                <c:formatCode>0.00%</c:formatCode>
                <c:ptCount val="11"/>
                <c:pt idx="0">
                  <c:v>0.88352054061912544</c:v>
                </c:pt>
                <c:pt idx="1">
                  <c:v>0.9110316894164403</c:v>
                </c:pt>
                <c:pt idx="2">
                  <c:v>0.91152524852900374</c:v>
                </c:pt>
                <c:pt idx="3">
                  <c:v>0.90729675846131175</c:v>
                </c:pt>
                <c:pt idx="4">
                  <c:v>0.9020705181070533</c:v>
                </c:pt>
                <c:pt idx="5">
                  <c:v>0.92522197772212877</c:v>
                </c:pt>
                <c:pt idx="6">
                  <c:v>0.93639071358111325</c:v>
                </c:pt>
                <c:pt idx="7">
                  <c:v>0.92559999999999998</c:v>
                </c:pt>
                <c:pt idx="8">
                  <c:v>0.91400000000000003</c:v>
                </c:pt>
                <c:pt idx="9">
                  <c:v>0.90720000000000001</c:v>
                </c:pt>
                <c:pt idx="10">
                  <c:v>0.92500000000000004</c:v>
                </c:pt>
              </c:numCache>
            </c:numRef>
          </c:yVal>
          <c:smooth val="1"/>
          <c:extLst xmlns:c16r2="http://schemas.microsoft.com/office/drawing/2015/06/chart">
            <c:ext xmlns:c16="http://schemas.microsoft.com/office/drawing/2014/chart" uri="{C3380CC4-5D6E-409C-BE32-E72D297353CC}">
              <c16:uniqueId val="{00000000-15EF-464F-AFEF-6997D22FDB8C}"/>
            </c:ext>
          </c:extLst>
        </c:ser>
        <c:ser>
          <c:idx val="1"/>
          <c:order val="1"/>
          <c:tx>
            <c:strRef>
              <c:f>'Independent Variables'!$C$20</c:f>
              <c:strCache>
                <c:ptCount val="1"/>
                <c:pt idx="0">
                  <c:v>Religion</c:v>
                </c:pt>
              </c:strCache>
            </c:strRef>
          </c:tx>
          <c:marker>
            <c:symbol val="none"/>
          </c:marker>
          <c:xVal>
            <c:strRef>
              <c:f>'Independent Variables'!$A$21:$A$31</c:f>
              <c:strCache>
                <c:ptCount val="11"/>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strCache>
            </c:strRef>
          </c:xVal>
          <c:yVal>
            <c:numRef>
              <c:f>'Independent Variables'!$C$21:$C$31</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yVal>
          <c:smooth val="1"/>
          <c:extLst xmlns:c16r2="http://schemas.microsoft.com/office/drawing/2015/06/chart">
            <c:ext xmlns:c16="http://schemas.microsoft.com/office/drawing/2014/chart" uri="{C3380CC4-5D6E-409C-BE32-E72D297353CC}">
              <c16:uniqueId val="{00000001-15EF-464F-AFEF-6997D22FDB8C}"/>
            </c:ext>
          </c:extLst>
        </c:ser>
        <c:ser>
          <c:idx val="3"/>
          <c:order val="3"/>
          <c:tx>
            <c:strRef>
              <c:f>'Independent Variables'!$E$20</c:f>
              <c:strCache>
                <c:ptCount val="1"/>
                <c:pt idx="0">
                  <c:v>Woman on Board </c:v>
                </c:pt>
              </c:strCache>
            </c:strRef>
          </c:tx>
          <c:marker>
            <c:symbol val="none"/>
          </c:marker>
          <c:xVal>
            <c:strRef>
              <c:f>'Independent Variables'!$A$21:$A$31</c:f>
              <c:strCache>
                <c:ptCount val="11"/>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strCache>
            </c:strRef>
          </c:xVal>
          <c:yVal>
            <c:numRef>
              <c:f>'Independent Variables'!$E$21:$E$31</c:f>
              <c:numCache>
                <c:formatCode>General</c:formatCode>
                <c:ptCount val="11"/>
                <c:pt idx="0">
                  <c:v>1</c:v>
                </c:pt>
                <c:pt idx="1">
                  <c:v>1</c:v>
                </c:pt>
                <c:pt idx="2">
                  <c:v>1</c:v>
                </c:pt>
                <c:pt idx="3">
                  <c:v>1</c:v>
                </c:pt>
                <c:pt idx="4">
                  <c:v>1</c:v>
                </c:pt>
                <c:pt idx="5">
                  <c:v>1</c:v>
                </c:pt>
                <c:pt idx="6">
                  <c:v>1</c:v>
                </c:pt>
                <c:pt idx="7">
                  <c:v>1</c:v>
                </c:pt>
                <c:pt idx="8">
                  <c:v>1</c:v>
                </c:pt>
                <c:pt idx="9">
                  <c:v>1</c:v>
                </c:pt>
                <c:pt idx="10">
                  <c:v>1</c:v>
                </c:pt>
              </c:numCache>
            </c:numRef>
          </c:yVal>
          <c:smooth val="1"/>
          <c:extLst xmlns:c16r2="http://schemas.microsoft.com/office/drawing/2015/06/chart">
            <c:ext xmlns:c16="http://schemas.microsoft.com/office/drawing/2014/chart" uri="{C3380CC4-5D6E-409C-BE32-E72D297353CC}">
              <c16:uniqueId val="{00000002-15EF-464F-AFEF-6997D22FDB8C}"/>
            </c:ext>
          </c:extLst>
        </c:ser>
        <c:ser>
          <c:idx val="4"/>
          <c:order val="4"/>
          <c:tx>
            <c:strRef>
              <c:f>'Independent Variables'!$F$20</c:f>
              <c:strCache>
                <c:ptCount val="1"/>
                <c:pt idx="0">
                  <c:v>Foreign member on Board</c:v>
                </c:pt>
              </c:strCache>
            </c:strRef>
          </c:tx>
          <c:marker>
            <c:symbol val="none"/>
          </c:marker>
          <c:xVal>
            <c:strRef>
              <c:f>'Independent Variables'!$A$21:$A$31</c:f>
              <c:strCache>
                <c:ptCount val="11"/>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strCache>
            </c:strRef>
          </c:xVal>
          <c:yVal>
            <c:numRef>
              <c:f>'Independent Variables'!$F$21:$F$31</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yVal>
          <c:smooth val="1"/>
          <c:extLst xmlns:c16r2="http://schemas.microsoft.com/office/drawing/2015/06/chart">
            <c:ext xmlns:c16="http://schemas.microsoft.com/office/drawing/2014/chart" uri="{C3380CC4-5D6E-409C-BE32-E72D297353CC}">
              <c16:uniqueId val="{00000003-15EF-464F-AFEF-6997D22FDB8C}"/>
            </c:ext>
          </c:extLst>
        </c:ser>
        <c:ser>
          <c:idx val="5"/>
          <c:order val="5"/>
          <c:tx>
            <c:strRef>
              <c:f>'Independent Variables'!$G$20</c:f>
              <c:strCache>
                <c:ptCount val="1"/>
                <c:pt idx="0">
                  <c:v>Family Member's on Board</c:v>
                </c:pt>
              </c:strCache>
            </c:strRef>
          </c:tx>
          <c:spPr>
            <a:ln>
              <a:solidFill>
                <a:srgbClr val="FFFF00"/>
              </a:solidFill>
            </a:ln>
          </c:spPr>
          <c:marker>
            <c:symbol val="none"/>
          </c:marker>
          <c:xVal>
            <c:strRef>
              <c:f>'Independent Variables'!$A$21:$A$31</c:f>
              <c:strCache>
                <c:ptCount val="11"/>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strCache>
            </c:strRef>
          </c:xVal>
          <c:yVal>
            <c:numRef>
              <c:f>'Independent Variables'!$G$21:$G$31</c:f>
              <c:numCache>
                <c:formatCode>General</c:formatCode>
                <c:ptCount val="11"/>
                <c:pt idx="0">
                  <c:v>1</c:v>
                </c:pt>
                <c:pt idx="1">
                  <c:v>1</c:v>
                </c:pt>
                <c:pt idx="2">
                  <c:v>1</c:v>
                </c:pt>
                <c:pt idx="3">
                  <c:v>1</c:v>
                </c:pt>
                <c:pt idx="4">
                  <c:v>1</c:v>
                </c:pt>
                <c:pt idx="5">
                  <c:v>1</c:v>
                </c:pt>
                <c:pt idx="6">
                  <c:v>1</c:v>
                </c:pt>
                <c:pt idx="7">
                  <c:v>1</c:v>
                </c:pt>
                <c:pt idx="8">
                  <c:v>1</c:v>
                </c:pt>
                <c:pt idx="9">
                  <c:v>1</c:v>
                </c:pt>
                <c:pt idx="10">
                  <c:v>1</c:v>
                </c:pt>
              </c:numCache>
            </c:numRef>
          </c:yVal>
          <c:smooth val="1"/>
          <c:extLst xmlns:c16r2="http://schemas.microsoft.com/office/drawing/2015/06/chart">
            <c:ext xmlns:c16="http://schemas.microsoft.com/office/drawing/2014/chart" uri="{C3380CC4-5D6E-409C-BE32-E72D297353CC}">
              <c16:uniqueId val="{00000004-15EF-464F-AFEF-6997D22FDB8C}"/>
            </c:ext>
          </c:extLst>
        </c:ser>
        <c:ser>
          <c:idx val="6"/>
          <c:order val="6"/>
          <c:tx>
            <c:strRef>
              <c:f>'Independent Variables'!$H$20</c:f>
              <c:strCache>
                <c:ptCount val="1"/>
                <c:pt idx="0">
                  <c:v>Foreign Ownership </c:v>
                </c:pt>
              </c:strCache>
            </c:strRef>
          </c:tx>
          <c:marker>
            <c:symbol val="none"/>
          </c:marker>
          <c:xVal>
            <c:strRef>
              <c:f>'Independent Variables'!$A$21:$A$31</c:f>
              <c:strCache>
                <c:ptCount val="11"/>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strCache>
            </c:strRef>
          </c:xVal>
          <c:yVal>
            <c:numRef>
              <c:f>'Independent Variables'!$H$21:$H$31</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yVal>
          <c:smooth val="1"/>
          <c:extLst xmlns:c16r2="http://schemas.microsoft.com/office/drawing/2015/06/chart">
            <c:ext xmlns:c16="http://schemas.microsoft.com/office/drawing/2014/chart" uri="{C3380CC4-5D6E-409C-BE32-E72D297353CC}">
              <c16:uniqueId val="{00000005-15EF-464F-AFEF-6997D22FDB8C}"/>
            </c:ext>
          </c:extLst>
        </c:ser>
        <c:ser>
          <c:idx val="7"/>
          <c:order val="7"/>
          <c:tx>
            <c:strRef>
              <c:f>'Independent Variables'!$I$20</c:f>
              <c:strCache>
                <c:ptCount val="1"/>
                <c:pt idx="0">
                  <c:v>Family Ownership</c:v>
                </c:pt>
              </c:strCache>
            </c:strRef>
          </c:tx>
          <c:spPr>
            <a:ln>
              <a:solidFill>
                <a:srgbClr val="7030A0"/>
              </a:solidFill>
            </a:ln>
          </c:spPr>
          <c:marker>
            <c:symbol val="none"/>
          </c:marker>
          <c:xVal>
            <c:strRef>
              <c:f>'Independent Variables'!$A$21:$A$31</c:f>
              <c:strCache>
                <c:ptCount val="11"/>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strCache>
            </c:strRef>
          </c:xVal>
          <c:yVal>
            <c:numRef>
              <c:f>'Independent Variables'!$I$21:$I$31</c:f>
              <c:numCache>
                <c:formatCode>0.00%</c:formatCode>
                <c:ptCount val="11"/>
                <c:pt idx="0">
                  <c:v>2.0000000000000001E-4</c:v>
                </c:pt>
                <c:pt idx="1">
                  <c:v>5.0000000000000002E-5</c:v>
                </c:pt>
                <c:pt idx="2" formatCode="General">
                  <c:v>0</c:v>
                </c:pt>
                <c:pt idx="3" formatCode="General">
                  <c:v>0</c:v>
                </c:pt>
                <c:pt idx="4" formatCode="General">
                  <c:v>0</c:v>
                </c:pt>
                <c:pt idx="5" formatCode="General">
                  <c:v>0</c:v>
                </c:pt>
                <c:pt idx="6" formatCode="General">
                  <c:v>0</c:v>
                </c:pt>
                <c:pt idx="7" formatCode="General">
                  <c:v>0</c:v>
                </c:pt>
                <c:pt idx="8" formatCode="General">
                  <c:v>0</c:v>
                </c:pt>
                <c:pt idx="9" formatCode="General">
                  <c:v>0</c:v>
                </c:pt>
                <c:pt idx="10" formatCode="General">
                  <c:v>0</c:v>
                </c:pt>
              </c:numCache>
            </c:numRef>
          </c:yVal>
          <c:smooth val="1"/>
          <c:extLst xmlns:c16r2="http://schemas.microsoft.com/office/drawing/2015/06/chart">
            <c:ext xmlns:c16="http://schemas.microsoft.com/office/drawing/2014/chart" uri="{C3380CC4-5D6E-409C-BE32-E72D297353CC}">
              <c16:uniqueId val="{00000006-15EF-464F-AFEF-6997D22FDB8C}"/>
            </c:ext>
          </c:extLst>
        </c:ser>
        <c:dLbls>
          <c:showLegendKey val="0"/>
          <c:showVal val="0"/>
          <c:showCatName val="0"/>
          <c:showSerName val="0"/>
          <c:showPercent val="0"/>
          <c:showBubbleSize val="0"/>
        </c:dLbls>
        <c:axId val="145897344"/>
        <c:axId val="145898880"/>
      </c:scatterChart>
      <c:scatterChart>
        <c:scatterStyle val="smoothMarker"/>
        <c:varyColors val="0"/>
        <c:ser>
          <c:idx val="2"/>
          <c:order val="2"/>
          <c:tx>
            <c:strRef>
              <c:f>'Independent Variables'!$D$20</c:f>
              <c:strCache>
                <c:ptCount val="1"/>
                <c:pt idx="0">
                  <c:v>Board Size</c:v>
                </c:pt>
              </c:strCache>
            </c:strRef>
          </c:tx>
          <c:spPr>
            <a:ln>
              <a:solidFill>
                <a:srgbClr val="FF0000"/>
              </a:solidFill>
            </a:ln>
          </c:spPr>
          <c:marker>
            <c:symbol val="none"/>
          </c:marker>
          <c:xVal>
            <c:strRef>
              <c:f>'Independent Variables'!$A$21:$A$31</c:f>
              <c:strCache>
                <c:ptCount val="11"/>
                <c:pt idx="0">
                  <c:v>Brac Bank 2018</c:v>
                </c:pt>
                <c:pt idx="1">
                  <c:v>Brac Bank 2017</c:v>
                </c:pt>
                <c:pt idx="2">
                  <c:v>Brac Bank  2016</c:v>
                </c:pt>
                <c:pt idx="3">
                  <c:v>Brac Bank 2015</c:v>
                </c:pt>
                <c:pt idx="4">
                  <c:v>Brac Bank 2014</c:v>
                </c:pt>
                <c:pt idx="5">
                  <c:v>Brac Bank 2013</c:v>
                </c:pt>
                <c:pt idx="6">
                  <c:v>Brac Bank 2012</c:v>
                </c:pt>
                <c:pt idx="7">
                  <c:v>Brac Bank 2011</c:v>
                </c:pt>
                <c:pt idx="8">
                  <c:v>Brac Bank 2010</c:v>
                </c:pt>
                <c:pt idx="9">
                  <c:v>Brac Bank 2009</c:v>
                </c:pt>
                <c:pt idx="10">
                  <c:v>Brac Bank 2008</c:v>
                </c:pt>
              </c:strCache>
            </c:strRef>
          </c:xVal>
          <c:yVal>
            <c:numRef>
              <c:f>'Independent Variables'!$D$21:$D$31</c:f>
              <c:numCache>
                <c:formatCode>General</c:formatCode>
                <c:ptCount val="11"/>
                <c:pt idx="0">
                  <c:v>9</c:v>
                </c:pt>
                <c:pt idx="1">
                  <c:v>8</c:v>
                </c:pt>
                <c:pt idx="2">
                  <c:v>5</c:v>
                </c:pt>
                <c:pt idx="3">
                  <c:v>7</c:v>
                </c:pt>
                <c:pt idx="4">
                  <c:v>6</c:v>
                </c:pt>
                <c:pt idx="5">
                  <c:v>5</c:v>
                </c:pt>
                <c:pt idx="6">
                  <c:v>6</c:v>
                </c:pt>
                <c:pt idx="7">
                  <c:v>6</c:v>
                </c:pt>
                <c:pt idx="8">
                  <c:v>6</c:v>
                </c:pt>
                <c:pt idx="9">
                  <c:v>7</c:v>
                </c:pt>
                <c:pt idx="10">
                  <c:v>7</c:v>
                </c:pt>
              </c:numCache>
            </c:numRef>
          </c:yVal>
          <c:smooth val="1"/>
          <c:extLst xmlns:c16r2="http://schemas.microsoft.com/office/drawing/2015/06/chart">
            <c:ext xmlns:c16="http://schemas.microsoft.com/office/drawing/2014/chart" uri="{C3380CC4-5D6E-409C-BE32-E72D297353CC}">
              <c16:uniqueId val="{00000007-15EF-464F-AFEF-6997D22FDB8C}"/>
            </c:ext>
          </c:extLst>
        </c:ser>
        <c:dLbls>
          <c:showLegendKey val="0"/>
          <c:showVal val="0"/>
          <c:showCatName val="0"/>
          <c:showSerName val="0"/>
          <c:showPercent val="0"/>
          <c:showBubbleSize val="0"/>
        </c:dLbls>
        <c:axId val="145939072"/>
        <c:axId val="145937536"/>
      </c:scatterChart>
      <c:valAx>
        <c:axId val="145897344"/>
        <c:scaling>
          <c:orientation val="minMax"/>
        </c:scaling>
        <c:delete val="0"/>
        <c:axPos val="b"/>
        <c:majorTickMark val="out"/>
        <c:minorTickMark val="none"/>
        <c:tickLblPos val="nextTo"/>
        <c:crossAx val="145898880"/>
        <c:crosses val="autoZero"/>
        <c:crossBetween val="midCat"/>
      </c:valAx>
      <c:valAx>
        <c:axId val="145898880"/>
        <c:scaling>
          <c:orientation val="minMax"/>
        </c:scaling>
        <c:delete val="0"/>
        <c:axPos val="l"/>
        <c:majorGridlines/>
        <c:numFmt formatCode="0.00%" sourceLinked="1"/>
        <c:majorTickMark val="out"/>
        <c:minorTickMark val="none"/>
        <c:tickLblPos val="nextTo"/>
        <c:crossAx val="145897344"/>
        <c:crosses val="autoZero"/>
        <c:crossBetween val="midCat"/>
      </c:valAx>
      <c:valAx>
        <c:axId val="145937536"/>
        <c:scaling>
          <c:orientation val="minMax"/>
        </c:scaling>
        <c:delete val="0"/>
        <c:axPos val="r"/>
        <c:numFmt formatCode="General" sourceLinked="1"/>
        <c:majorTickMark val="out"/>
        <c:minorTickMark val="none"/>
        <c:tickLblPos val="nextTo"/>
        <c:crossAx val="145939072"/>
        <c:crosses val="max"/>
        <c:crossBetween val="midCat"/>
      </c:valAx>
      <c:valAx>
        <c:axId val="145939072"/>
        <c:scaling>
          <c:orientation val="minMax"/>
        </c:scaling>
        <c:delete val="1"/>
        <c:axPos val="b"/>
        <c:majorTickMark val="out"/>
        <c:minorTickMark val="none"/>
        <c:tickLblPos val="nextTo"/>
        <c:crossAx val="145937536"/>
        <c:crosses val="autoZero"/>
        <c:crossBetween val="midCat"/>
      </c:valAx>
    </c:plotArea>
    <c:legend>
      <c:legendPos val="r"/>
      <c:overlay val="0"/>
    </c:legend>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'Independent Variables'!$B$33</c:f>
              <c:strCache>
                <c:ptCount val="1"/>
                <c:pt idx="0">
                  <c:v>Leverage</c:v>
                </c:pt>
              </c:strCache>
            </c:strRef>
          </c:tx>
          <c:marker>
            <c:symbol val="none"/>
          </c:marker>
          <c:xVal>
            <c:strRef>
              <c:f>'Independent Variables'!$A$34:$A$42</c:f>
              <c:strCache>
                <c:ptCount val="9"/>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strCache>
            </c:strRef>
          </c:xVal>
          <c:yVal>
            <c:numRef>
              <c:f>'Independent Variables'!$B$34:$B$42</c:f>
              <c:numCache>
                <c:formatCode>0.00%</c:formatCode>
                <c:ptCount val="9"/>
                <c:pt idx="0">
                  <c:v>0.92378647009581294</c:v>
                </c:pt>
                <c:pt idx="1">
                  <c:v>0.90585334322054367</c:v>
                </c:pt>
                <c:pt idx="2">
                  <c:v>0.90553564475348702</c:v>
                </c:pt>
                <c:pt idx="3">
                  <c:v>0.88523332775515706</c:v>
                </c:pt>
                <c:pt idx="4">
                  <c:v>0.87390117740866791</c:v>
                </c:pt>
                <c:pt idx="5">
                  <c:v>0.87670056309892064</c:v>
                </c:pt>
                <c:pt idx="6">
                  <c:v>0.88290000000000002</c:v>
                </c:pt>
                <c:pt idx="7">
                  <c:v>0.87250000000000005</c:v>
                </c:pt>
                <c:pt idx="8">
                  <c:v>0.87119999999999997</c:v>
                </c:pt>
              </c:numCache>
            </c:numRef>
          </c:yVal>
          <c:smooth val="1"/>
          <c:extLst xmlns:c16r2="http://schemas.microsoft.com/office/drawing/2015/06/chart">
            <c:ext xmlns:c16="http://schemas.microsoft.com/office/drawing/2014/chart" uri="{C3380CC4-5D6E-409C-BE32-E72D297353CC}">
              <c16:uniqueId val="{00000000-214C-4B42-A010-F71F3823CA70}"/>
            </c:ext>
          </c:extLst>
        </c:ser>
        <c:ser>
          <c:idx val="1"/>
          <c:order val="1"/>
          <c:tx>
            <c:strRef>
              <c:f>'Independent Variables'!$C$33</c:f>
              <c:strCache>
                <c:ptCount val="1"/>
                <c:pt idx="0">
                  <c:v>Religion</c:v>
                </c:pt>
              </c:strCache>
            </c:strRef>
          </c:tx>
          <c:marker>
            <c:symbol val="none"/>
          </c:marker>
          <c:xVal>
            <c:strRef>
              <c:f>'Independent Variables'!$A$34:$A$42</c:f>
              <c:strCache>
                <c:ptCount val="9"/>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strCache>
            </c:strRef>
          </c:xVal>
          <c:yVal>
            <c:numRef>
              <c:f>'Independent Variables'!$C$34:$C$42</c:f>
              <c:numCache>
                <c:formatCode>General</c:formatCode>
                <c:ptCount val="9"/>
                <c:pt idx="0">
                  <c:v>0</c:v>
                </c:pt>
                <c:pt idx="1">
                  <c:v>0</c:v>
                </c:pt>
                <c:pt idx="2">
                  <c:v>0</c:v>
                </c:pt>
                <c:pt idx="3">
                  <c:v>0</c:v>
                </c:pt>
                <c:pt idx="4">
                  <c:v>0</c:v>
                </c:pt>
                <c:pt idx="5">
                  <c:v>0</c:v>
                </c:pt>
                <c:pt idx="6">
                  <c:v>0</c:v>
                </c:pt>
                <c:pt idx="7">
                  <c:v>0</c:v>
                </c:pt>
                <c:pt idx="8">
                  <c:v>0</c:v>
                </c:pt>
              </c:numCache>
            </c:numRef>
          </c:yVal>
          <c:smooth val="1"/>
          <c:extLst xmlns:c16r2="http://schemas.microsoft.com/office/drawing/2015/06/chart">
            <c:ext xmlns:c16="http://schemas.microsoft.com/office/drawing/2014/chart" uri="{C3380CC4-5D6E-409C-BE32-E72D297353CC}">
              <c16:uniqueId val="{00000001-214C-4B42-A010-F71F3823CA70}"/>
            </c:ext>
          </c:extLst>
        </c:ser>
        <c:ser>
          <c:idx val="3"/>
          <c:order val="3"/>
          <c:tx>
            <c:strRef>
              <c:f>'Independent Variables'!$E$33</c:f>
              <c:strCache>
                <c:ptCount val="1"/>
                <c:pt idx="0">
                  <c:v>Woman on Board </c:v>
                </c:pt>
              </c:strCache>
            </c:strRef>
          </c:tx>
          <c:marker>
            <c:symbol val="none"/>
          </c:marker>
          <c:xVal>
            <c:strRef>
              <c:f>'Independent Variables'!$A$34:$A$42</c:f>
              <c:strCache>
                <c:ptCount val="9"/>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strCache>
            </c:strRef>
          </c:xVal>
          <c:yVal>
            <c:numRef>
              <c:f>'Independent Variables'!$E$34:$E$42</c:f>
              <c:numCache>
                <c:formatCode>General</c:formatCode>
                <c:ptCount val="9"/>
                <c:pt idx="0">
                  <c:v>1</c:v>
                </c:pt>
                <c:pt idx="1">
                  <c:v>1</c:v>
                </c:pt>
                <c:pt idx="2">
                  <c:v>1</c:v>
                </c:pt>
                <c:pt idx="3">
                  <c:v>1</c:v>
                </c:pt>
                <c:pt idx="4">
                  <c:v>1</c:v>
                </c:pt>
                <c:pt idx="5">
                  <c:v>1</c:v>
                </c:pt>
                <c:pt idx="6">
                  <c:v>1</c:v>
                </c:pt>
                <c:pt idx="7">
                  <c:v>1</c:v>
                </c:pt>
                <c:pt idx="8">
                  <c:v>1</c:v>
                </c:pt>
              </c:numCache>
            </c:numRef>
          </c:yVal>
          <c:smooth val="1"/>
          <c:extLst xmlns:c16r2="http://schemas.microsoft.com/office/drawing/2015/06/chart">
            <c:ext xmlns:c16="http://schemas.microsoft.com/office/drawing/2014/chart" uri="{C3380CC4-5D6E-409C-BE32-E72D297353CC}">
              <c16:uniqueId val="{00000002-214C-4B42-A010-F71F3823CA70}"/>
            </c:ext>
          </c:extLst>
        </c:ser>
        <c:ser>
          <c:idx val="4"/>
          <c:order val="4"/>
          <c:tx>
            <c:strRef>
              <c:f>'Independent Variables'!$F$33</c:f>
              <c:strCache>
                <c:ptCount val="1"/>
                <c:pt idx="0">
                  <c:v>Foreign member on Board</c:v>
                </c:pt>
              </c:strCache>
            </c:strRef>
          </c:tx>
          <c:marker>
            <c:symbol val="none"/>
          </c:marker>
          <c:xVal>
            <c:strRef>
              <c:f>'Independent Variables'!$A$34:$A$42</c:f>
              <c:strCache>
                <c:ptCount val="9"/>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strCache>
            </c:strRef>
          </c:xVal>
          <c:yVal>
            <c:numRef>
              <c:f>'Independent Variables'!$F$34:$F$42</c:f>
              <c:numCache>
                <c:formatCode>General</c:formatCode>
                <c:ptCount val="9"/>
                <c:pt idx="0">
                  <c:v>0</c:v>
                </c:pt>
                <c:pt idx="1">
                  <c:v>0</c:v>
                </c:pt>
                <c:pt idx="2">
                  <c:v>0</c:v>
                </c:pt>
                <c:pt idx="3">
                  <c:v>0</c:v>
                </c:pt>
                <c:pt idx="4">
                  <c:v>0</c:v>
                </c:pt>
                <c:pt idx="5">
                  <c:v>0</c:v>
                </c:pt>
                <c:pt idx="6">
                  <c:v>0</c:v>
                </c:pt>
                <c:pt idx="7">
                  <c:v>0</c:v>
                </c:pt>
                <c:pt idx="8">
                  <c:v>0</c:v>
                </c:pt>
              </c:numCache>
            </c:numRef>
          </c:yVal>
          <c:smooth val="1"/>
          <c:extLst xmlns:c16r2="http://schemas.microsoft.com/office/drawing/2015/06/chart">
            <c:ext xmlns:c16="http://schemas.microsoft.com/office/drawing/2014/chart" uri="{C3380CC4-5D6E-409C-BE32-E72D297353CC}">
              <c16:uniqueId val="{00000003-214C-4B42-A010-F71F3823CA70}"/>
            </c:ext>
          </c:extLst>
        </c:ser>
        <c:ser>
          <c:idx val="5"/>
          <c:order val="5"/>
          <c:tx>
            <c:strRef>
              <c:f>'Independent Variables'!$G$33</c:f>
              <c:strCache>
                <c:ptCount val="1"/>
                <c:pt idx="0">
                  <c:v>Family Member's on Board</c:v>
                </c:pt>
              </c:strCache>
            </c:strRef>
          </c:tx>
          <c:marker>
            <c:symbol val="none"/>
          </c:marker>
          <c:xVal>
            <c:strRef>
              <c:f>'Independent Variables'!$A$34:$A$42</c:f>
              <c:strCache>
                <c:ptCount val="9"/>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strCache>
            </c:strRef>
          </c:xVal>
          <c:yVal>
            <c:numRef>
              <c:f>'Independent Variables'!$G$34:$G$42</c:f>
              <c:numCache>
                <c:formatCode>General</c:formatCode>
                <c:ptCount val="9"/>
                <c:pt idx="0">
                  <c:v>1</c:v>
                </c:pt>
                <c:pt idx="1">
                  <c:v>1</c:v>
                </c:pt>
                <c:pt idx="2">
                  <c:v>1</c:v>
                </c:pt>
                <c:pt idx="3">
                  <c:v>1</c:v>
                </c:pt>
                <c:pt idx="4">
                  <c:v>1</c:v>
                </c:pt>
                <c:pt idx="5">
                  <c:v>1</c:v>
                </c:pt>
                <c:pt idx="6">
                  <c:v>1</c:v>
                </c:pt>
                <c:pt idx="7">
                  <c:v>1</c:v>
                </c:pt>
                <c:pt idx="8">
                  <c:v>1</c:v>
                </c:pt>
              </c:numCache>
            </c:numRef>
          </c:yVal>
          <c:smooth val="1"/>
          <c:extLst xmlns:c16r2="http://schemas.microsoft.com/office/drawing/2015/06/chart">
            <c:ext xmlns:c16="http://schemas.microsoft.com/office/drawing/2014/chart" uri="{C3380CC4-5D6E-409C-BE32-E72D297353CC}">
              <c16:uniqueId val="{00000004-214C-4B42-A010-F71F3823CA70}"/>
            </c:ext>
          </c:extLst>
        </c:ser>
        <c:ser>
          <c:idx val="6"/>
          <c:order val="6"/>
          <c:tx>
            <c:strRef>
              <c:f>'Independent Variables'!$H$33</c:f>
              <c:strCache>
                <c:ptCount val="1"/>
                <c:pt idx="0">
                  <c:v>Foreign Ownership </c:v>
                </c:pt>
              </c:strCache>
            </c:strRef>
          </c:tx>
          <c:marker>
            <c:symbol val="none"/>
          </c:marker>
          <c:xVal>
            <c:strRef>
              <c:f>'Independent Variables'!$A$34:$A$42</c:f>
              <c:strCache>
                <c:ptCount val="9"/>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strCache>
            </c:strRef>
          </c:xVal>
          <c:yVal>
            <c:numRef>
              <c:f>'Independent Variables'!$H$34:$H$42</c:f>
              <c:numCache>
                <c:formatCode>0.00%</c:formatCode>
                <c:ptCount val="9"/>
                <c:pt idx="0">
                  <c:v>0.1255</c:v>
                </c:pt>
                <c:pt idx="1">
                  <c:v>0.15160000000000001</c:v>
                </c:pt>
                <c:pt idx="2" formatCode="General">
                  <c:v>0</c:v>
                </c:pt>
                <c:pt idx="3" formatCode="General">
                  <c:v>0</c:v>
                </c:pt>
                <c:pt idx="4" formatCode="General">
                  <c:v>0</c:v>
                </c:pt>
                <c:pt idx="5" formatCode="General">
                  <c:v>0</c:v>
                </c:pt>
                <c:pt idx="6" formatCode="General">
                  <c:v>0</c:v>
                </c:pt>
                <c:pt idx="7" formatCode="General">
                  <c:v>0</c:v>
                </c:pt>
                <c:pt idx="8" formatCode="General">
                  <c:v>0</c:v>
                </c:pt>
              </c:numCache>
            </c:numRef>
          </c:yVal>
          <c:smooth val="1"/>
          <c:extLst xmlns:c16r2="http://schemas.microsoft.com/office/drawing/2015/06/chart">
            <c:ext xmlns:c16="http://schemas.microsoft.com/office/drawing/2014/chart" uri="{C3380CC4-5D6E-409C-BE32-E72D297353CC}">
              <c16:uniqueId val="{00000005-214C-4B42-A010-F71F3823CA70}"/>
            </c:ext>
          </c:extLst>
        </c:ser>
        <c:ser>
          <c:idx val="7"/>
          <c:order val="7"/>
          <c:tx>
            <c:strRef>
              <c:f>'Independent Variables'!$I$33</c:f>
              <c:strCache>
                <c:ptCount val="1"/>
                <c:pt idx="0">
                  <c:v>Family Ownership</c:v>
                </c:pt>
              </c:strCache>
            </c:strRef>
          </c:tx>
          <c:marker>
            <c:symbol val="none"/>
          </c:marker>
          <c:xVal>
            <c:strRef>
              <c:f>'Independent Variables'!$A$34:$A$42</c:f>
              <c:strCache>
                <c:ptCount val="9"/>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strCache>
            </c:strRef>
          </c:xVal>
          <c:yVal>
            <c:numRef>
              <c:f>'Independent Variables'!$I$34:$I$42</c:f>
              <c:numCache>
                <c:formatCode>General</c:formatCode>
                <c:ptCount val="9"/>
                <c:pt idx="0">
                  <c:v>0</c:v>
                </c:pt>
                <c:pt idx="1">
                  <c:v>0</c:v>
                </c:pt>
                <c:pt idx="2">
                  <c:v>0</c:v>
                </c:pt>
                <c:pt idx="3">
                  <c:v>0</c:v>
                </c:pt>
                <c:pt idx="4">
                  <c:v>0</c:v>
                </c:pt>
                <c:pt idx="5">
                  <c:v>0</c:v>
                </c:pt>
                <c:pt idx="6">
                  <c:v>0</c:v>
                </c:pt>
                <c:pt idx="7">
                  <c:v>0</c:v>
                </c:pt>
                <c:pt idx="8">
                  <c:v>0</c:v>
                </c:pt>
              </c:numCache>
            </c:numRef>
          </c:yVal>
          <c:smooth val="1"/>
          <c:extLst xmlns:c16r2="http://schemas.microsoft.com/office/drawing/2015/06/chart">
            <c:ext xmlns:c16="http://schemas.microsoft.com/office/drawing/2014/chart" uri="{C3380CC4-5D6E-409C-BE32-E72D297353CC}">
              <c16:uniqueId val="{00000006-214C-4B42-A010-F71F3823CA70}"/>
            </c:ext>
          </c:extLst>
        </c:ser>
        <c:dLbls>
          <c:showLegendKey val="0"/>
          <c:showVal val="0"/>
          <c:showCatName val="0"/>
          <c:showSerName val="0"/>
          <c:showPercent val="0"/>
          <c:showBubbleSize val="0"/>
        </c:dLbls>
        <c:axId val="142664832"/>
        <c:axId val="142666368"/>
      </c:scatterChart>
      <c:scatterChart>
        <c:scatterStyle val="smoothMarker"/>
        <c:varyColors val="0"/>
        <c:ser>
          <c:idx val="2"/>
          <c:order val="2"/>
          <c:tx>
            <c:strRef>
              <c:f>'Independent Variables'!$D$33</c:f>
              <c:strCache>
                <c:ptCount val="1"/>
                <c:pt idx="0">
                  <c:v>Board Size</c:v>
                </c:pt>
              </c:strCache>
            </c:strRef>
          </c:tx>
          <c:marker>
            <c:symbol val="none"/>
          </c:marker>
          <c:xVal>
            <c:strRef>
              <c:f>'Independent Variables'!$A$34:$A$42</c:f>
              <c:strCache>
                <c:ptCount val="9"/>
                <c:pt idx="0">
                  <c:v>City Bank 2018</c:v>
                </c:pt>
                <c:pt idx="1">
                  <c:v>City Bank 2017</c:v>
                </c:pt>
                <c:pt idx="2">
                  <c:v>City Bank 2016</c:v>
                </c:pt>
                <c:pt idx="3">
                  <c:v>City Bank 2015</c:v>
                </c:pt>
                <c:pt idx="4">
                  <c:v>City Bank 2014</c:v>
                </c:pt>
                <c:pt idx="5">
                  <c:v>City Bank 2013</c:v>
                </c:pt>
                <c:pt idx="6">
                  <c:v>City Bank 2012</c:v>
                </c:pt>
                <c:pt idx="7">
                  <c:v>City Bank 2011</c:v>
                </c:pt>
                <c:pt idx="8">
                  <c:v>City Bank 2010</c:v>
                </c:pt>
              </c:strCache>
            </c:strRef>
          </c:xVal>
          <c:yVal>
            <c:numRef>
              <c:f>'Independent Variables'!$D$34:$D$42</c:f>
              <c:numCache>
                <c:formatCode>General</c:formatCode>
                <c:ptCount val="9"/>
                <c:pt idx="0">
                  <c:v>14</c:v>
                </c:pt>
                <c:pt idx="1">
                  <c:v>13</c:v>
                </c:pt>
                <c:pt idx="2">
                  <c:v>14</c:v>
                </c:pt>
                <c:pt idx="3">
                  <c:v>13</c:v>
                </c:pt>
                <c:pt idx="4">
                  <c:v>15</c:v>
                </c:pt>
                <c:pt idx="5">
                  <c:v>14</c:v>
                </c:pt>
                <c:pt idx="6">
                  <c:v>14</c:v>
                </c:pt>
                <c:pt idx="7">
                  <c:v>14</c:v>
                </c:pt>
                <c:pt idx="8">
                  <c:v>15</c:v>
                </c:pt>
              </c:numCache>
            </c:numRef>
          </c:yVal>
          <c:smooth val="1"/>
          <c:extLst xmlns:c16r2="http://schemas.microsoft.com/office/drawing/2015/06/chart">
            <c:ext xmlns:c16="http://schemas.microsoft.com/office/drawing/2014/chart" uri="{C3380CC4-5D6E-409C-BE32-E72D297353CC}">
              <c16:uniqueId val="{00000007-214C-4B42-A010-F71F3823CA70}"/>
            </c:ext>
          </c:extLst>
        </c:ser>
        <c:dLbls>
          <c:showLegendKey val="0"/>
          <c:showVal val="0"/>
          <c:showCatName val="0"/>
          <c:showSerName val="0"/>
          <c:showPercent val="0"/>
          <c:showBubbleSize val="0"/>
        </c:dLbls>
        <c:axId val="145901440"/>
        <c:axId val="145899904"/>
      </c:scatterChart>
      <c:valAx>
        <c:axId val="142664832"/>
        <c:scaling>
          <c:orientation val="minMax"/>
        </c:scaling>
        <c:delete val="0"/>
        <c:axPos val="b"/>
        <c:majorTickMark val="out"/>
        <c:minorTickMark val="none"/>
        <c:tickLblPos val="nextTo"/>
        <c:crossAx val="142666368"/>
        <c:crosses val="autoZero"/>
        <c:crossBetween val="midCat"/>
      </c:valAx>
      <c:valAx>
        <c:axId val="142666368"/>
        <c:scaling>
          <c:orientation val="minMax"/>
        </c:scaling>
        <c:delete val="0"/>
        <c:axPos val="l"/>
        <c:majorGridlines/>
        <c:numFmt formatCode="0.00%" sourceLinked="1"/>
        <c:majorTickMark val="out"/>
        <c:minorTickMark val="none"/>
        <c:tickLblPos val="nextTo"/>
        <c:crossAx val="142664832"/>
        <c:crosses val="autoZero"/>
        <c:crossBetween val="midCat"/>
      </c:valAx>
      <c:valAx>
        <c:axId val="145899904"/>
        <c:scaling>
          <c:orientation val="minMax"/>
        </c:scaling>
        <c:delete val="0"/>
        <c:axPos val="r"/>
        <c:numFmt formatCode="General" sourceLinked="1"/>
        <c:majorTickMark val="out"/>
        <c:minorTickMark val="none"/>
        <c:tickLblPos val="nextTo"/>
        <c:crossAx val="145901440"/>
        <c:crosses val="max"/>
        <c:crossBetween val="midCat"/>
      </c:valAx>
      <c:valAx>
        <c:axId val="145901440"/>
        <c:scaling>
          <c:orientation val="minMax"/>
        </c:scaling>
        <c:delete val="1"/>
        <c:axPos val="b"/>
        <c:majorTickMark val="out"/>
        <c:minorTickMark val="none"/>
        <c:tickLblPos val="nextTo"/>
        <c:crossAx val="145899904"/>
        <c:crosses val="autoZero"/>
        <c:crossBetween val="midCat"/>
      </c:valAx>
    </c:plotArea>
    <c:legend>
      <c:legendPos val="r"/>
      <c:overlay val="0"/>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'Independent Variables'!$A$55</c:f>
              <c:strCache>
                <c:ptCount val="1"/>
                <c:pt idx="0">
                  <c:v>Dutch Bangla Bank 2018</c:v>
                </c:pt>
              </c:strCache>
            </c:strRef>
          </c:tx>
          <c:marker>
            <c:symbol val="none"/>
          </c:marker>
          <c:xVal>
            <c:strRef>
              <c:f>'Independent Variables'!$B$54:$I$54</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Variables'!$B$55:$I$55</c:f>
              <c:numCache>
                <c:formatCode>General</c:formatCode>
                <c:ptCount val="8"/>
                <c:pt idx="0" formatCode="0.00%">
                  <c:v>0.93326623929266417</c:v>
                </c:pt>
                <c:pt idx="1">
                  <c:v>0</c:v>
                </c:pt>
                <c:pt idx="2">
                  <c:v>7</c:v>
                </c:pt>
                <c:pt idx="3">
                  <c:v>0</c:v>
                </c:pt>
                <c:pt idx="4">
                  <c:v>1</c:v>
                </c:pt>
                <c:pt idx="5">
                  <c:v>1</c:v>
                </c:pt>
                <c:pt idx="6" formatCode="0.00%">
                  <c:v>0.25700000000000001</c:v>
                </c:pt>
                <c:pt idx="7">
                  <c:v>0</c:v>
                </c:pt>
              </c:numCache>
            </c:numRef>
          </c:yVal>
          <c:smooth val="1"/>
          <c:extLst xmlns:c16r2="http://schemas.microsoft.com/office/drawing/2015/06/chart">
            <c:ext xmlns:c16="http://schemas.microsoft.com/office/drawing/2014/chart" uri="{C3380CC4-5D6E-409C-BE32-E72D297353CC}">
              <c16:uniqueId val="{00000000-8557-455E-92B9-1080C7260BA8}"/>
            </c:ext>
          </c:extLst>
        </c:ser>
        <c:ser>
          <c:idx val="1"/>
          <c:order val="1"/>
          <c:tx>
            <c:strRef>
              <c:f>'Independent Variables'!$A$56</c:f>
              <c:strCache>
                <c:ptCount val="1"/>
                <c:pt idx="0">
                  <c:v>Dutch Bangla Bank 2017</c:v>
                </c:pt>
              </c:strCache>
            </c:strRef>
          </c:tx>
          <c:marker>
            <c:symbol val="none"/>
          </c:marker>
          <c:xVal>
            <c:strRef>
              <c:f>'Independent Variables'!$B$54:$I$54</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Variables'!$B$56:$I$56</c:f>
              <c:numCache>
                <c:formatCode>General</c:formatCode>
                <c:ptCount val="8"/>
                <c:pt idx="0" formatCode="0.00%">
                  <c:v>0.93764185348874785</c:v>
                </c:pt>
                <c:pt idx="1">
                  <c:v>0</c:v>
                </c:pt>
                <c:pt idx="2">
                  <c:v>7</c:v>
                </c:pt>
                <c:pt idx="3">
                  <c:v>0</c:v>
                </c:pt>
                <c:pt idx="4">
                  <c:v>1</c:v>
                </c:pt>
                <c:pt idx="5">
                  <c:v>1</c:v>
                </c:pt>
                <c:pt idx="6" formatCode="0.00%">
                  <c:v>0.25700000000000001</c:v>
                </c:pt>
                <c:pt idx="7">
                  <c:v>0</c:v>
                </c:pt>
              </c:numCache>
            </c:numRef>
          </c:yVal>
          <c:smooth val="1"/>
          <c:extLst xmlns:c16r2="http://schemas.microsoft.com/office/drawing/2015/06/chart">
            <c:ext xmlns:c16="http://schemas.microsoft.com/office/drawing/2014/chart" uri="{C3380CC4-5D6E-409C-BE32-E72D297353CC}">
              <c16:uniqueId val="{00000001-8557-455E-92B9-1080C7260BA8}"/>
            </c:ext>
          </c:extLst>
        </c:ser>
        <c:ser>
          <c:idx val="2"/>
          <c:order val="2"/>
          <c:tx>
            <c:strRef>
              <c:f>'Independent Variables'!$A$57</c:f>
              <c:strCache>
                <c:ptCount val="1"/>
                <c:pt idx="0">
                  <c:v>Dutch Bangla Bank 2016</c:v>
                </c:pt>
              </c:strCache>
            </c:strRef>
          </c:tx>
          <c:marker>
            <c:symbol val="none"/>
          </c:marker>
          <c:xVal>
            <c:strRef>
              <c:f>'Independent Variables'!$B$54:$I$54</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Variables'!$B$57:$I$57</c:f>
              <c:numCache>
                <c:formatCode>General</c:formatCode>
                <c:ptCount val="8"/>
                <c:pt idx="0" formatCode="0.00%">
                  <c:v>0.93390730203710293</c:v>
                </c:pt>
                <c:pt idx="1">
                  <c:v>0</c:v>
                </c:pt>
                <c:pt idx="2">
                  <c:v>7</c:v>
                </c:pt>
                <c:pt idx="3">
                  <c:v>0</c:v>
                </c:pt>
                <c:pt idx="4">
                  <c:v>1</c:v>
                </c:pt>
                <c:pt idx="5">
                  <c:v>1</c:v>
                </c:pt>
                <c:pt idx="6" formatCode="0.00%">
                  <c:v>0.25700000000000001</c:v>
                </c:pt>
                <c:pt idx="7">
                  <c:v>0</c:v>
                </c:pt>
              </c:numCache>
            </c:numRef>
          </c:yVal>
          <c:smooth val="1"/>
          <c:extLst xmlns:c16r2="http://schemas.microsoft.com/office/drawing/2015/06/chart">
            <c:ext xmlns:c16="http://schemas.microsoft.com/office/drawing/2014/chart" uri="{C3380CC4-5D6E-409C-BE32-E72D297353CC}">
              <c16:uniqueId val="{00000002-8557-455E-92B9-1080C7260BA8}"/>
            </c:ext>
          </c:extLst>
        </c:ser>
        <c:ser>
          <c:idx val="3"/>
          <c:order val="3"/>
          <c:tx>
            <c:strRef>
              <c:f>'Independent Variables'!$A$58</c:f>
              <c:strCache>
                <c:ptCount val="1"/>
                <c:pt idx="0">
                  <c:v>Dutch Bangla Bank 2015</c:v>
                </c:pt>
              </c:strCache>
            </c:strRef>
          </c:tx>
          <c:marker>
            <c:symbol val="none"/>
          </c:marker>
          <c:xVal>
            <c:strRef>
              <c:f>'Independent Variables'!$B$54:$I$54</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Variables'!$B$58:$I$58</c:f>
              <c:numCache>
                <c:formatCode>General</c:formatCode>
                <c:ptCount val="8"/>
                <c:pt idx="0" formatCode="0.00%">
                  <c:v>0.93135088800663846</c:v>
                </c:pt>
                <c:pt idx="1">
                  <c:v>0</c:v>
                </c:pt>
                <c:pt idx="2">
                  <c:v>7</c:v>
                </c:pt>
                <c:pt idx="3">
                  <c:v>0</c:v>
                </c:pt>
                <c:pt idx="4">
                  <c:v>1</c:v>
                </c:pt>
                <c:pt idx="5">
                  <c:v>1</c:v>
                </c:pt>
                <c:pt idx="6" formatCode="0.00%">
                  <c:v>0.25700000000000001</c:v>
                </c:pt>
                <c:pt idx="7">
                  <c:v>0</c:v>
                </c:pt>
              </c:numCache>
            </c:numRef>
          </c:yVal>
          <c:smooth val="1"/>
          <c:extLst xmlns:c16r2="http://schemas.microsoft.com/office/drawing/2015/06/chart">
            <c:ext xmlns:c16="http://schemas.microsoft.com/office/drawing/2014/chart" uri="{C3380CC4-5D6E-409C-BE32-E72D297353CC}">
              <c16:uniqueId val="{00000003-8557-455E-92B9-1080C7260BA8}"/>
            </c:ext>
          </c:extLst>
        </c:ser>
        <c:ser>
          <c:idx val="4"/>
          <c:order val="4"/>
          <c:tx>
            <c:strRef>
              <c:f>'Independent Variables'!$A$59</c:f>
              <c:strCache>
                <c:ptCount val="1"/>
                <c:pt idx="0">
                  <c:v>Dutch Bangla Bank 2014</c:v>
                </c:pt>
              </c:strCache>
            </c:strRef>
          </c:tx>
          <c:marker>
            <c:symbol val="none"/>
          </c:marker>
          <c:xVal>
            <c:strRef>
              <c:f>'Independent Variables'!$B$54:$I$54</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Variables'!$B$59:$I$59</c:f>
              <c:numCache>
                <c:formatCode>General</c:formatCode>
                <c:ptCount val="8"/>
                <c:pt idx="0" formatCode="0.00%">
                  <c:v>0.93246698147798401</c:v>
                </c:pt>
                <c:pt idx="1">
                  <c:v>0</c:v>
                </c:pt>
                <c:pt idx="2">
                  <c:v>7</c:v>
                </c:pt>
                <c:pt idx="3">
                  <c:v>0</c:v>
                </c:pt>
                <c:pt idx="4">
                  <c:v>1</c:v>
                </c:pt>
                <c:pt idx="5">
                  <c:v>1</c:v>
                </c:pt>
                <c:pt idx="6" formatCode="0.00%">
                  <c:v>0.25700000000000001</c:v>
                </c:pt>
                <c:pt idx="7">
                  <c:v>0</c:v>
                </c:pt>
              </c:numCache>
            </c:numRef>
          </c:yVal>
          <c:smooth val="1"/>
          <c:extLst xmlns:c16r2="http://schemas.microsoft.com/office/drawing/2015/06/chart">
            <c:ext xmlns:c16="http://schemas.microsoft.com/office/drawing/2014/chart" uri="{C3380CC4-5D6E-409C-BE32-E72D297353CC}">
              <c16:uniqueId val="{00000004-8557-455E-92B9-1080C7260BA8}"/>
            </c:ext>
          </c:extLst>
        </c:ser>
        <c:ser>
          <c:idx val="5"/>
          <c:order val="5"/>
          <c:tx>
            <c:strRef>
              <c:f>'Independent Variables'!$A$60</c:f>
              <c:strCache>
                <c:ptCount val="1"/>
                <c:pt idx="0">
                  <c:v>Dutch Bangla Bank 2013</c:v>
                </c:pt>
              </c:strCache>
            </c:strRef>
          </c:tx>
          <c:marker>
            <c:symbol val="none"/>
          </c:marker>
          <c:xVal>
            <c:strRef>
              <c:f>'Independent Variables'!$B$54:$I$54</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Variables'!$B$60:$I$60</c:f>
              <c:numCache>
                <c:formatCode>General</c:formatCode>
                <c:ptCount val="8"/>
                <c:pt idx="0" formatCode="0.00%">
                  <c:v>0.93186429540897664</c:v>
                </c:pt>
                <c:pt idx="1">
                  <c:v>0</c:v>
                </c:pt>
                <c:pt idx="2">
                  <c:v>7</c:v>
                </c:pt>
                <c:pt idx="3">
                  <c:v>0</c:v>
                </c:pt>
                <c:pt idx="4">
                  <c:v>1</c:v>
                </c:pt>
                <c:pt idx="5">
                  <c:v>1</c:v>
                </c:pt>
                <c:pt idx="6" formatCode="0.00%">
                  <c:v>0.25750000000000001</c:v>
                </c:pt>
                <c:pt idx="7">
                  <c:v>0</c:v>
                </c:pt>
              </c:numCache>
            </c:numRef>
          </c:yVal>
          <c:smooth val="1"/>
          <c:extLst xmlns:c16r2="http://schemas.microsoft.com/office/drawing/2015/06/chart">
            <c:ext xmlns:c16="http://schemas.microsoft.com/office/drawing/2014/chart" uri="{C3380CC4-5D6E-409C-BE32-E72D297353CC}">
              <c16:uniqueId val="{00000005-8557-455E-92B9-1080C7260BA8}"/>
            </c:ext>
          </c:extLst>
        </c:ser>
        <c:ser>
          <c:idx val="6"/>
          <c:order val="6"/>
          <c:tx>
            <c:strRef>
              <c:f>'Independent Variables'!$A$61</c:f>
              <c:strCache>
                <c:ptCount val="1"/>
                <c:pt idx="0">
                  <c:v>Dutch Bangla Bank 2012</c:v>
                </c:pt>
              </c:strCache>
            </c:strRef>
          </c:tx>
          <c:marker>
            <c:symbol val="none"/>
          </c:marker>
          <c:xVal>
            <c:strRef>
              <c:f>'Independent Variables'!$B$54:$I$54</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Variables'!$B$61:$I$61</c:f>
              <c:numCache>
                <c:formatCode>General</c:formatCode>
                <c:ptCount val="8"/>
                <c:pt idx="0" formatCode="0.00%">
                  <c:v>0.9345</c:v>
                </c:pt>
                <c:pt idx="1">
                  <c:v>0</c:v>
                </c:pt>
                <c:pt idx="2">
                  <c:v>9</c:v>
                </c:pt>
                <c:pt idx="3">
                  <c:v>0</c:v>
                </c:pt>
                <c:pt idx="4">
                  <c:v>1</c:v>
                </c:pt>
                <c:pt idx="5">
                  <c:v>1</c:v>
                </c:pt>
                <c:pt idx="6" formatCode="0.00%">
                  <c:v>0.25750000000000001</c:v>
                </c:pt>
                <c:pt idx="7">
                  <c:v>0</c:v>
                </c:pt>
              </c:numCache>
            </c:numRef>
          </c:yVal>
          <c:smooth val="1"/>
          <c:extLst xmlns:c16r2="http://schemas.microsoft.com/office/drawing/2015/06/chart">
            <c:ext xmlns:c16="http://schemas.microsoft.com/office/drawing/2014/chart" uri="{C3380CC4-5D6E-409C-BE32-E72D297353CC}">
              <c16:uniqueId val="{00000006-8557-455E-92B9-1080C7260BA8}"/>
            </c:ext>
          </c:extLst>
        </c:ser>
        <c:ser>
          <c:idx val="7"/>
          <c:order val="7"/>
          <c:tx>
            <c:strRef>
              <c:f>'Independent Variables'!$A$62</c:f>
              <c:strCache>
                <c:ptCount val="1"/>
                <c:pt idx="0">
                  <c:v>Dutch Bangla Bank 2011</c:v>
                </c:pt>
              </c:strCache>
            </c:strRef>
          </c:tx>
          <c:marker>
            <c:symbol val="none"/>
          </c:marker>
          <c:xVal>
            <c:strRef>
              <c:f>'Independent Variables'!$B$54:$I$54</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Variables'!$B$62:$I$62</c:f>
              <c:numCache>
                <c:formatCode>General</c:formatCode>
                <c:ptCount val="8"/>
                <c:pt idx="0" formatCode="0.00%">
                  <c:v>0.93200000000000005</c:v>
                </c:pt>
                <c:pt idx="1">
                  <c:v>0</c:v>
                </c:pt>
                <c:pt idx="2">
                  <c:v>9</c:v>
                </c:pt>
                <c:pt idx="3">
                  <c:v>0</c:v>
                </c:pt>
                <c:pt idx="4">
                  <c:v>1</c:v>
                </c:pt>
                <c:pt idx="5">
                  <c:v>1</c:v>
                </c:pt>
                <c:pt idx="6" formatCode="0.00%">
                  <c:v>0.25750000000000001</c:v>
                </c:pt>
                <c:pt idx="7">
                  <c:v>0</c:v>
                </c:pt>
              </c:numCache>
            </c:numRef>
          </c:yVal>
          <c:smooth val="1"/>
          <c:extLst xmlns:c16r2="http://schemas.microsoft.com/office/drawing/2015/06/chart">
            <c:ext xmlns:c16="http://schemas.microsoft.com/office/drawing/2014/chart" uri="{C3380CC4-5D6E-409C-BE32-E72D297353CC}">
              <c16:uniqueId val="{00000007-8557-455E-92B9-1080C7260BA8}"/>
            </c:ext>
          </c:extLst>
        </c:ser>
        <c:dLbls>
          <c:showLegendKey val="0"/>
          <c:showVal val="0"/>
          <c:showCatName val="0"/>
          <c:showSerName val="0"/>
          <c:showPercent val="0"/>
          <c:showBubbleSize val="0"/>
        </c:dLbls>
        <c:axId val="147168256"/>
        <c:axId val="147604224"/>
      </c:scatterChart>
      <c:valAx>
        <c:axId val="147168256"/>
        <c:scaling>
          <c:orientation val="minMax"/>
        </c:scaling>
        <c:delete val="0"/>
        <c:axPos val="b"/>
        <c:majorTickMark val="out"/>
        <c:minorTickMark val="none"/>
        <c:tickLblPos val="nextTo"/>
        <c:crossAx val="147604224"/>
        <c:crosses val="autoZero"/>
        <c:crossBetween val="midCat"/>
      </c:valAx>
      <c:valAx>
        <c:axId val="147604224"/>
        <c:scaling>
          <c:orientation val="minMax"/>
        </c:scaling>
        <c:delete val="0"/>
        <c:axPos val="l"/>
        <c:majorGridlines/>
        <c:numFmt formatCode="0.00%" sourceLinked="1"/>
        <c:majorTickMark val="out"/>
        <c:minorTickMark val="none"/>
        <c:tickLblPos val="nextTo"/>
        <c:crossAx val="147168256"/>
        <c:crosses val="autoZero"/>
        <c:crossBetween val="midCat"/>
      </c:valAx>
    </c:plotArea>
    <c:legend>
      <c:legendPos val="r"/>
      <c:overlay val="0"/>
    </c:legend>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'Independent Variables'!$B$77</c:f>
              <c:strCache>
                <c:ptCount val="1"/>
                <c:pt idx="0">
                  <c:v>Leverage</c:v>
                </c:pt>
              </c:strCache>
            </c:strRef>
          </c:tx>
          <c:marker>
            <c:symbol val="none"/>
          </c:marker>
          <c:xVal>
            <c:strRef>
              <c:f>'Independent Variables'!$A$78:$A$88</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'Independent Variables'!$B$78:$B$88</c:f>
              <c:numCache>
                <c:formatCode>0.00%</c:formatCode>
                <c:ptCount val="11"/>
                <c:pt idx="0">
                  <c:v>0.9304</c:v>
                </c:pt>
                <c:pt idx="1">
                  <c:v>0.93559999999999999</c:v>
                </c:pt>
                <c:pt idx="2">
                  <c:v>0.93869999999999998</c:v>
                </c:pt>
                <c:pt idx="3">
                  <c:v>0.92879999999999996</c:v>
                </c:pt>
                <c:pt idx="4">
                  <c:v>0.92669999999999997</c:v>
                </c:pt>
                <c:pt idx="5">
                  <c:v>0.9133</c:v>
                </c:pt>
                <c:pt idx="6">
                  <c:v>0.92549999999999999</c:v>
                </c:pt>
                <c:pt idx="7">
                  <c:v>0.92889999999999995</c:v>
                </c:pt>
                <c:pt idx="8">
                  <c:v>0.91090000000000004</c:v>
                </c:pt>
                <c:pt idx="9">
                  <c:v>0.91659999999999997</c:v>
                </c:pt>
                <c:pt idx="10">
                  <c:v>0.92849999999999999</c:v>
                </c:pt>
              </c:numCache>
            </c:numRef>
          </c:yVal>
          <c:smooth val="1"/>
          <c:extLst xmlns:c16r2="http://schemas.microsoft.com/office/drawing/2015/06/chart">
            <c:ext xmlns:c16="http://schemas.microsoft.com/office/drawing/2014/chart" uri="{C3380CC4-5D6E-409C-BE32-E72D297353CC}">
              <c16:uniqueId val="{00000000-CBFF-4A75-A796-03435E0411CE}"/>
            </c:ext>
          </c:extLst>
        </c:ser>
        <c:ser>
          <c:idx val="1"/>
          <c:order val="1"/>
          <c:tx>
            <c:strRef>
              <c:f>'Independent Variables'!$C$77</c:f>
              <c:strCache>
                <c:ptCount val="1"/>
                <c:pt idx="0">
                  <c:v>Religion</c:v>
                </c:pt>
              </c:strCache>
            </c:strRef>
          </c:tx>
          <c:marker>
            <c:symbol val="none"/>
          </c:marker>
          <c:xVal>
            <c:strRef>
              <c:f>'Independent Variables'!$A$78:$A$88</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'Independent Variables'!$C$78:$C$88</c:f>
              <c:numCache>
                <c:formatCode>General</c:formatCode>
                <c:ptCount val="11"/>
                <c:pt idx="0">
                  <c:v>1</c:v>
                </c:pt>
                <c:pt idx="1">
                  <c:v>1</c:v>
                </c:pt>
                <c:pt idx="2">
                  <c:v>1</c:v>
                </c:pt>
                <c:pt idx="3">
                  <c:v>1</c:v>
                </c:pt>
                <c:pt idx="4">
                  <c:v>1</c:v>
                </c:pt>
                <c:pt idx="5">
                  <c:v>1</c:v>
                </c:pt>
                <c:pt idx="6">
                  <c:v>1</c:v>
                </c:pt>
                <c:pt idx="7">
                  <c:v>1</c:v>
                </c:pt>
                <c:pt idx="8">
                  <c:v>1</c:v>
                </c:pt>
                <c:pt idx="9">
                  <c:v>1</c:v>
                </c:pt>
                <c:pt idx="10">
                  <c:v>1</c:v>
                </c:pt>
              </c:numCache>
            </c:numRef>
          </c:yVal>
          <c:smooth val="1"/>
          <c:extLst xmlns:c16r2="http://schemas.microsoft.com/office/drawing/2015/06/chart">
            <c:ext xmlns:c16="http://schemas.microsoft.com/office/drawing/2014/chart" uri="{C3380CC4-5D6E-409C-BE32-E72D297353CC}">
              <c16:uniqueId val="{00000001-CBFF-4A75-A796-03435E0411CE}"/>
            </c:ext>
          </c:extLst>
        </c:ser>
        <c:ser>
          <c:idx val="3"/>
          <c:order val="3"/>
          <c:tx>
            <c:strRef>
              <c:f>'Independent Variables'!$E$77</c:f>
              <c:strCache>
                <c:ptCount val="1"/>
                <c:pt idx="0">
                  <c:v>Woman on Board </c:v>
                </c:pt>
              </c:strCache>
            </c:strRef>
          </c:tx>
          <c:marker>
            <c:symbol val="none"/>
          </c:marker>
          <c:xVal>
            <c:strRef>
              <c:f>'Independent Variables'!$A$78:$A$88</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'Independent Variables'!$E$78:$E$88</c:f>
              <c:numCache>
                <c:formatCode>General</c:formatCode>
                <c:ptCount val="11"/>
                <c:pt idx="0">
                  <c:v>1</c:v>
                </c:pt>
                <c:pt idx="1">
                  <c:v>1</c:v>
                </c:pt>
                <c:pt idx="2">
                  <c:v>1</c:v>
                </c:pt>
                <c:pt idx="3">
                  <c:v>1</c:v>
                </c:pt>
                <c:pt idx="4">
                  <c:v>1</c:v>
                </c:pt>
                <c:pt idx="5">
                  <c:v>1</c:v>
                </c:pt>
                <c:pt idx="6">
                  <c:v>1</c:v>
                </c:pt>
                <c:pt idx="7">
                  <c:v>1</c:v>
                </c:pt>
                <c:pt idx="8">
                  <c:v>1</c:v>
                </c:pt>
                <c:pt idx="9">
                  <c:v>1</c:v>
                </c:pt>
                <c:pt idx="10">
                  <c:v>1</c:v>
                </c:pt>
              </c:numCache>
            </c:numRef>
          </c:yVal>
          <c:smooth val="1"/>
          <c:extLst xmlns:c16r2="http://schemas.microsoft.com/office/drawing/2015/06/chart">
            <c:ext xmlns:c16="http://schemas.microsoft.com/office/drawing/2014/chart" uri="{C3380CC4-5D6E-409C-BE32-E72D297353CC}">
              <c16:uniqueId val="{00000002-CBFF-4A75-A796-03435E0411CE}"/>
            </c:ext>
          </c:extLst>
        </c:ser>
        <c:ser>
          <c:idx val="4"/>
          <c:order val="4"/>
          <c:tx>
            <c:strRef>
              <c:f>'Independent Variables'!$F$77</c:f>
              <c:strCache>
                <c:ptCount val="1"/>
                <c:pt idx="0">
                  <c:v>Foreign member on Board</c:v>
                </c:pt>
              </c:strCache>
            </c:strRef>
          </c:tx>
          <c:marker>
            <c:symbol val="none"/>
          </c:marker>
          <c:xVal>
            <c:strRef>
              <c:f>'Independent Variables'!$A$78:$A$88</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'Independent Variables'!$F$78:$F$88</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yVal>
          <c:smooth val="1"/>
          <c:extLst xmlns:c16r2="http://schemas.microsoft.com/office/drawing/2015/06/chart">
            <c:ext xmlns:c16="http://schemas.microsoft.com/office/drawing/2014/chart" uri="{C3380CC4-5D6E-409C-BE32-E72D297353CC}">
              <c16:uniqueId val="{00000003-CBFF-4A75-A796-03435E0411CE}"/>
            </c:ext>
          </c:extLst>
        </c:ser>
        <c:ser>
          <c:idx val="5"/>
          <c:order val="5"/>
          <c:tx>
            <c:strRef>
              <c:f>'Independent Variables'!$G$77</c:f>
              <c:strCache>
                <c:ptCount val="1"/>
                <c:pt idx="0">
                  <c:v>Family Member's on Board</c:v>
                </c:pt>
              </c:strCache>
            </c:strRef>
          </c:tx>
          <c:marker>
            <c:symbol val="none"/>
          </c:marker>
          <c:xVal>
            <c:strRef>
              <c:f>'Independent Variables'!$A$78:$A$88</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'Independent Variables'!$G$78:$G$88</c:f>
              <c:numCache>
                <c:formatCode>General</c:formatCode>
                <c:ptCount val="11"/>
                <c:pt idx="0">
                  <c:v>1</c:v>
                </c:pt>
                <c:pt idx="1">
                  <c:v>1</c:v>
                </c:pt>
                <c:pt idx="2">
                  <c:v>1</c:v>
                </c:pt>
                <c:pt idx="3">
                  <c:v>1</c:v>
                </c:pt>
                <c:pt idx="4">
                  <c:v>1</c:v>
                </c:pt>
                <c:pt idx="5">
                  <c:v>1</c:v>
                </c:pt>
                <c:pt idx="6">
                  <c:v>1</c:v>
                </c:pt>
                <c:pt idx="7">
                  <c:v>1</c:v>
                </c:pt>
                <c:pt idx="8">
                  <c:v>1</c:v>
                </c:pt>
                <c:pt idx="9">
                  <c:v>1</c:v>
                </c:pt>
                <c:pt idx="10">
                  <c:v>1</c:v>
                </c:pt>
              </c:numCache>
            </c:numRef>
          </c:yVal>
          <c:smooth val="1"/>
          <c:extLst xmlns:c16r2="http://schemas.microsoft.com/office/drawing/2015/06/chart">
            <c:ext xmlns:c16="http://schemas.microsoft.com/office/drawing/2014/chart" uri="{C3380CC4-5D6E-409C-BE32-E72D297353CC}">
              <c16:uniqueId val="{00000004-CBFF-4A75-A796-03435E0411CE}"/>
            </c:ext>
          </c:extLst>
        </c:ser>
        <c:ser>
          <c:idx val="6"/>
          <c:order val="6"/>
          <c:tx>
            <c:strRef>
              <c:f>'Independent Variables'!$H$77</c:f>
              <c:strCache>
                <c:ptCount val="1"/>
                <c:pt idx="0">
                  <c:v>Foreign Ownership </c:v>
                </c:pt>
              </c:strCache>
            </c:strRef>
          </c:tx>
          <c:marker>
            <c:symbol val="none"/>
          </c:marker>
          <c:xVal>
            <c:strRef>
              <c:f>'Independent Variables'!$A$78:$A$88</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'Independent Variables'!$H$78:$H$88</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yVal>
          <c:smooth val="1"/>
          <c:extLst xmlns:c16r2="http://schemas.microsoft.com/office/drawing/2015/06/chart">
            <c:ext xmlns:c16="http://schemas.microsoft.com/office/drawing/2014/chart" uri="{C3380CC4-5D6E-409C-BE32-E72D297353CC}">
              <c16:uniqueId val="{00000005-CBFF-4A75-A796-03435E0411CE}"/>
            </c:ext>
          </c:extLst>
        </c:ser>
        <c:ser>
          <c:idx val="7"/>
          <c:order val="7"/>
          <c:tx>
            <c:strRef>
              <c:f>'Independent Variables'!$I$77</c:f>
              <c:strCache>
                <c:ptCount val="1"/>
                <c:pt idx="0">
                  <c:v>Family Ownership</c:v>
                </c:pt>
              </c:strCache>
            </c:strRef>
          </c:tx>
          <c:marker>
            <c:symbol val="none"/>
          </c:marker>
          <c:xVal>
            <c:strRef>
              <c:f>'Independent Variables'!$A$78:$A$88</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'Independent Variables'!$I$78:$I$88</c:f>
              <c:numCache>
                <c:formatCode>0.00%</c:formatCode>
                <c:ptCount val="11"/>
                <c:pt idx="0">
                  <c:v>7.0000000000000001E-3</c:v>
                </c:pt>
                <c:pt idx="1">
                  <c:v>7.0000000000000001E-3</c:v>
                </c:pt>
                <c:pt idx="2">
                  <c:v>5.0000000000000001E-3</c:v>
                </c:pt>
                <c:pt idx="3">
                  <c:v>5.0000000000000001E-3</c:v>
                </c:pt>
                <c:pt idx="4">
                  <c:v>4.3E-3</c:v>
                </c:pt>
                <c:pt idx="5">
                  <c:v>4.4999999999999997E-3</c:v>
                </c:pt>
                <c:pt idx="6">
                  <c:v>3.3E-3</c:v>
                </c:pt>
                <c:pt idx="7">
                  <c:v>0</c:v>
                </c:pt>
                <c:pt idx="8">
                  <c:v>2.3E-3</c:v>
                </c:pt>
                <c:pt idx="9">
                  <c:v>5.5999999999999999E-3</c:v>
                </c:pt>
                <c:pt idx="10">
                  <c:v>5.5999999999999999E-3</c:v>
                </c:pt>
              </c:numCache>
            </c:numRef>
          </c:yVal>
          <c:smooth val="1"/>
          <c:extLst xmlns:c16r2="http://schemas.microsoft.com/office/drawing/2015/06/chart">
            <c:ext xmlns:c16="http://schemas.microsoft.com/office/drawing/2014/chart" uri="{C3380CC4-5D6E-409C-BE32-E72D297353CC}">
              <c16:uniqueId val="{00000006-CBFF-4A75-A796-03435E0411CE}"/>
            </c:ext>
          </c:extLst>
        </c:ser>
        <c:dLbls>
          <c:showLegendKey val="0"/>
          <c:showVal val="0"/>
          <c:showCatName val="0"/>
          <c:showSerName val="0"/>
          <c:showPercent val="0"/>
          <c:showBubbleSize val="0"/>
        </c:dLbls>
        <c:axId val="148065280"/>
        <c:axId val="148067072"/>
      </c:scatterChart>
      <c:scatterChart>
        <c:scatterStyle val="smoothMarker"/>
        <c:varyColors val="0"/>
        <c:ser>
          <c:idx val="2"/>
          <c:order val="2"/>
          <c:tx>
            <c:strRef>
              <c:f>'Independent Variables'!$D$77</c:f>
              <c:strCache>
                <c:ptCount val="1"/>
                <c:pt idx="0">
                  <c:v>Board Size</c:v>
                </c:pt>
              </c:strCache>
            </c:strRef>
          </c:tx>
          <c:marker>
            <c:symbol val="none"/>
          </c:marker>
          <c:xVal>
            <c:strRef>
              <c:f>'Independent Variables'!$A$78:$A$88</c:f>
              <c:strCache>
                <c:ptCount val="11"/>
                <c:pt idx="0">
                  <c:v>Exim Bank 2018</c:v>
                </c:pt>
                <c:pt idx="1">
                  <c:v>Exim Bank 2017</c:v>
                </c:pt>
                <c:pt idx="2">
                  <c:v>Exim Bank 2016</c:v>
                </c:pt>
                <c:pt idx="3">
                  <c:v>Exim Bank 2015</c:v>
                </c:pt>
                <c:pt idx="4">
                  <c:v>Exim Bank 2014</c:v>
                </c:pt>
                <c:pt idx="5">
                  <c:v>Exim Bank 2013</c:v>
                </c:pt>
                <c:pt idx="6">
                  <c:v>Exim Bank 2012</c:v>
                </c:pt>
                <c:pt idx="7">
                  <c:v>Exim Bank 2011</c:v>
                </c:pt>
                <c:pt idx="8">
                  <c:v>Exim Bank 2010</c:v>
                </c:pt>
                <c:pt idx="9">
                  <c:v>Exim Bank 2009</c:v>
                </c:pt>
                <c:pt idx="10">
                  <c:v>Exim Bank 2008</c:v>
                </c:pt>
              </c:strCache>
            </c:strRef>
          </c:xVal>
          <c:yVal>
            <c:numRef>
              <c:f>'Independent Variables'!$D$78:$D$88</c:f>
              <c:numCache>
                <c:formatCode>General</c:formatCode>
                <c:ptCount val="11"/>
                <c:pt idx="0">
                  <c:v>15</c:v>
                </c:pt>
                <c:pt idx="1">
                  <c:v>15</c:v>
                </c:pt>
                <c:pt idx="2">
                  <c:v>15</c:v>
                </c:pt>
                <c:pt idx="3">
                  <c:v>15</c:v>
                </c:pt>
                <c:pt idx="4">
                  <c:v>16</c:v>
                </c:pt>
                <c:pt idx="5">
                  <c:v>16</c:v>
                </c:pt>
                <c:pt idx="6">
                  <c:v>16</c:v>
                </c:pt>
                <c:pt idx="7">
                  <c:v>15</c:v>
                </c:pt>
                <c:pt idx="8">
                  <c:v>16</c:v>
                </c:pt>
                <c:pt idx="9">
                  <c:v>16</c:v>
                </c:pt>
                <c:pt idx="10">
                  <c:v>16</c:v>
                </c:pt>
              </c:numCache>
            </c:numRef>
          </c:yVal>
          <c:smooth val="1"/>
          <c:extLst xmlns:c16r2="http://schemas.microsoft.com/office/drawing/2015/06/chart">
            <c:ext xmlns:c16="http://schemas.microsoft.com/office/drawing/2014/chart" uri="{C3380CC4-5D6E-409C-BE32-E72D297353CC}">
              <c16:uniqueId val="{00000007-CBFF-4A75-A796-03435E0411CE}"/>
            </c:ext>
          </c:extLst>
        </c:ser>
        <c:dLbls>
          <c:showLegendKey val="0"/>
          <c:showVal val="0"/>
          <c:showCatName val="0"/>
          <c:showSerName val="0"/>
          <c:showPercent val="0"/>
          <c:showBubbleSize val="0"/>
        </c:dLbls>
        <c:axId val="148078592"/>
        <c:axId val="148068608"/>
      </c:scatterChart>
      <c:valAx>
        <c:axId val="148065280"/>
        <c:scaling>
          <c:orientation val="minMax"/>
        </c:scaling>
        <c:delete val="0"/>
        <c:axPos val="b"/>
        <c:majorTickMark val="out"/>
        <c:minorTickMark val="none"/>
        <c:tickLblPos val="nextTo"/>
        <c:crossAx val="148067072"/>
        <c:crosses val="autoZero"/>
        <c:crossBetween val="midCat"/>
      </c:valAx>
      <c:valAx>
        <c:axId val="148067072"/>
        <c:scaling>
          <c:orientation val="minMax"/>
        </c:scaling>
        <c:delete val="0"/>
        <c:axPos val="l"/>
        <c:majorGridlines/>
        <c:numFmt formatCode="0.00%" sourceLinked="1"/>
        <c:majorTickMark val="out"/>
        <c:minorTickMark val="none"/>
        <c:tickLblPos val="nextTo"/>
        <c:crossAx val="148065280"/>
        <c:crosses val="autoZero"/>
        <c:crossBetween val="midCat"/>
      </c:valAx>
      <c:valAx>
        <c:axId val="148068608"/>
        <c:scaling>
          <c:orientation val="minMax"/>
        </c:scaling>
        <c:delete val="0"/>
        <c:axPos val="r"/>
        <c:numFmt formatCode="General" sourceLinked="1"/>
        <c:majorTickMark val="out"/>
        <c:minorTickMark val="none"/>
        <c:tickLblPos val="nextTo"/>
        <c:crossAx val="148078592"/>
        <c:crosses val="max"/>
        <c:crossBetween val="midCat"/>
      </c:valAx>
      <c:valAx>
        <c:axId val="148078592"/>
        <c:scaling>
          <c:orientation val="minMax"/>
        </c:scaling>
        <c:delete val="1"/>
        <c:axPos val="b"/>
        <c:majorTickMark val="out"/>
        <c:minorTickMark val="none"/>
        <c:tickLblPos val="nextTo"/>
        <c:crossAx val="148068608"/>
        <c:crosses val="autoZero"/>
        <c:crossBetween val="midCat"/>
      </c:valAx>
    </c:plotArea>
    <c:legend>
      <c:legendPos val="r"/>
      <c:overlay val="0"/>
    </c:legend>
    <c:plotVisOnly val="1"/>
    <c:dispBlanksAs val="gap"/>
    <c:showDLblsOverMax val="0"/>
  </c:chart>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'Independent Variables'!$B$55</c:f>
              <c:strCache>
                <c:ptCount val="1"/>
                <c:pt idx="0">
                  <c:v>Leverage</c:v>
                </c:pt>
              </c:strCache>
            </c:strRef>
          </c:tx>
          <c:marker>
            <c:symbol val="none"/>
          </c:marker>
          <c:xVal>
            <c:strRef>
              <c:f>'Independent Variables'!$A$56:$A$66</c:f>
              <c:strCache>
                <c:ptCount val="11"/>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strCache>
            </c:strRef>
          </c:xVal>
          <c:yVal>
            <c:numRef>
              <c:f>'Independent Variables'!$B$56:$B$66</c:f>
              <c:numCache>
                <c:formatCode>0.00%</c:formatCode>
                <c:ptCount val="11"/>
                <c:pt idx="0">
                  <c:v>0.91812450312765459</c:v>
                </c:pt>
                <c:pt idx="1">
                  <c:v>0.91454689873366202</c:v>
                </c:pt>
                <c:pt idx="2">
                  <c:v>0.92759999999999998</c:v>
                </c:pt>
                <c:pt idx="3">
                  <c:v>0.92090000000000005</c:v>
                </c:pt>
                <c:pt idx="4">
                  <c:v>0.91930000000000001</c:v>
                </c:pt>
                <c:pt idx="5">
                  <c:v>0.91869999999999996</c:v>
                </c:pt>
                <c:pt idx="6">
                  <c:v>0.9345</c:v>
                </c:pt>
                <c:pt idx="7">
                  <c:v>0.93089999999999995</c:v>
                </c:pt>
                <c:pt idx="8">
                  <c:v>0.92659999999999998</c:v>
                </c:pt>
                <c:pt idx="9">
                  <c:v>0.91759999999999997</c:v>
                </c:pt>
                <c:pt idx="10">
                  <c:v>0.91320000000000001</c:v>
                </c:pt>
              </c:numCache>
            </c:numRef>
          </c:yVal>
          <c:smooth val="1"/>
          <c:extLst xmlns:c16r2="http://schemas.microsoft.com/office/drawing/2015/06/chart">
            <c:ext xmlns:c16="http://schemas.microsoft.com/office/drawing/2014/chart" uri="{C3380CC4-5D6E-409C-BE32-E72D297353CC}">
              <c16:uniqueId val="{00000000-1AFC-4515-AF7F-9A90BF69B671}"/>
            </c:ext>
          </c:extLst>
        </c:ser>
        <c:ser>
          <c:idx val="1"/>
          <c:order val="1"/>
          <c:tx>
            <c:strRef>
              <c:f>'Independent Variables'!$C$55</c:f>
              <c:strCache>
                <c:ptCount val="1"/>
                <c:pt idx="0">
                  <c:v>Religion</c:v>
                </c:pt>
              </c:strCache>
            </c:strRef>
          </c:tx>
          <c:marker>
            <c:symbol val="none"/>
          </c:marker>
          <c:xVal>
            <c:strRef>
              <c:f>'Independent Variables'!$A$56:$A$66</c:f>
              <c:strCache>
                <c:ptCount val="11"/>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strCache>
            </c:strRef>
          </c:xVal>
          <c:yVal>
            <c:numRef>
              <c:f>'Independent Variables'!$C$56:$C$66</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yVal>
          <c:smooth val="1"/>
          <c:extLst xmlns:c16r2="http://schemas.microsoft.com/office/drawing/2015/06/chart">
            <c:ext xmlns:c16="http://schemas.microsoft.com/office/drawing/2014/chart" uri="{C3380CC4-5D6E-409C-BE32-E72D297353CC}">
              <c16:uniqueId val="{00000001-1AFC-4515-AF7F-9A90BF69B671}"/>
            </c:ext>
          </c:extLst>
        </c:ser>
        <c:ser>
          <c:idx val="3"/>
          <c:order val="3"/>
          <c:tx>
            <c:strRef>
              <c:f>'Independent Variables'!$E$55</c:f>
              <c:strCache>
                <c:ptCount val="1"/>
                <c:pt idx="0">
                  <c:v>Woman on Board </c:v>
                </c:pt>
              </c:strCache>
            </c:strRef>
          </c:tx>
          <c:marker>
            <c:symbol val="none"/>
          </c:marker>
          <c:xVal>
            <c:strRef>
              <c:f>'Independent Variables'!$A$56:$A$66</c:f>
              <c:strCache>
                <c:ptCount val="11"/>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strCache>
            </c:strRef>
          </c:xVal>
          <c:yVal>
            <c:numRef>
              <c:f>'Independent Variables'!$E$56:$E$66</c:f>
              <c:numCache>
                <c:formatCode>General</c:formatCode>
                <c:ptCount val="11"/>
                <c:pt idx="0">
                  <c:v>1</c:v>
                </c:pt>
                <c:pt idx="1">
                  <c:v>1</c:v>
                </c:pt>
                <c:pt idx="2">
                  <c:v>1</c:v>
                </c:pt>
                <c:pt idx="3">
                  <c:v>1</c:v>
                </c:pt>
                <c:pt idx="4">
                  <c:v>1</c:v>
                </c:pt>
                <c:pt idx="5">
                  <c:v>1</c:v>
                </c:pt>
                <c:pt idx="6">
                  <c:v>1</c:v>
                </c:pt>
                <c:pt idx="7">
                  <c:v>1</c:v>
                </c:pt>
                <c:pt idx="8">
                  <c:v>1</c:v>
                </c:pt>
                <c:pt idx="9">
                  <c:v>1</c:v>
                </c:pt>
                <c:pt idx="10">
                  <c:v>1</c:v>
                </c:pt>
              </c:numCache>
            </c:numRef>
          </c:yVal>
          <c:smooth val="1"/>
          <c:extLst xmlns:c16r2="http://schemas.microsoft.com/office/drawing/2015/06/chart">
            <c:ext xmlns:c16="http://schemas.microsoft.com/office/drawing/2014/chart" uri="{C3380CC4-5D6E-409C-BE32-E72D297353CC}">
              <c16:uniqueId val="{00000002-1AFC-4515-AF7F-9A90BF69B671}"/>
            </c:ext>
          </c:extLst>
        </c:ser>
        <c:ser>
          <c:idx val="4"/>
          <c:order val="4"/>
          <c:tx>
            <c:strRef>
              <c:f>'Independent Variables'!$F$55</c:f>
              <c:strCache>
                <c:ptCount val="1"/>
                <c:pt idx="0">
                  <c:v>Foreign member on Board</c:v>
                </c:pt>
              </c:strCache>
            </c:strRef>
          </c:tx>
          <c:marker>
            <c:symbol val="none"/>
          </c:marker>
          <c:xVal>
            <c:strRef>
              <c:f>'Independent Variables'!$A$56:$A$66</c:f>
              <c:strCache>
                <c:ptCount val="11"/>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strCache>
            </c:strRef>
          </c:xVal>
          <c:yVal>
            <c:numRef>
              <c:f>'Independent Variables'!$F$56:$F$66</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yVal>
          <c:smooth val="1"/>
          <c:extLst xmlns:c16r2="http://schemas.microsoft.com/office/drawing/2015/06/chart">
            <c:ext xmlns:c16="http://schemas.microsoft.com/office/drawing/2014/chart" uri="{C3380CC4-5D6E-409C-BE32-E72D297353CC}">
              <c16:uniqueId val="{00000003-1AFC-4515-AF7F-9A90BF69B671}"/>
            </c:ext>
          </c:extLst>
        </c:ser>
        <c:ser>
          <c:idx val="5"/>
          <c:order val="5"/>
          <c:tx>
            <c:strRef>
              <c:f>'Independent Variables'!$G$55</c:f>
              <c:strCache>
                <c:ptCount val="1"/>
                <c:pt idx="0">
                  <c:v>Family Member's on Board</c:v>
                </c:pt>
              </c:strCache>
            </c:strRef>
          </c:tx>
          <c:marker>
            <c:symbol val="none"/>
          </c:marker>
          <c:xVal>
            <c:strRef>
              <c:f>'Independent Variables'!$A$56:$A$66</c:f>
              <c:strCache>
                <c:ptCount val="11"/>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strCache>
            </c:strRef>
          </c:xVal>
          <c:yVal>
            <c:numRef>
              <c:f>'Independent Variables'!$G$56:$G$66</c:f>
              <c:numCache>
                <c:formatCode>General</c:formatCode>
                <c:ptCount val="11"/>
                <c:pt idx="0">
                  <c:v>1</c:v>
                </c:pt>
                <c:pt idx="1">
                  <c:v>1</c:v>
                </c:pt>
                <c:pt idx="2">
                  <c:v>1</c:v>
                </c:pt>
                <c:pt idx="3">
                  <c:v>1</c:v>
                </c:pt>
                <c:pt idx="4">
                  <c:v>1</c:v>
                </c:pt>
                <c:pt idx="5">
                  <c:v>1</c:v>
                </c:pt>
                <c:pt idx="6">
                  <c:v>1</c:v>
                </c:pt>
                <c:pt idx="7">
                  <c:v>1</c:v>
                </c:pt>
                <c:pt idx="8">
                  <c:v>1</c:v>
                </c:pt>
                <c:pt idx="9">
                  <c:v>1</c:v>
                </c:pt>
                <c:pt idx="10">
                  <c:v>1</c:v>
                </c:pt>
              </c:numCache>
            </c:numRef>
          </c:yVal>
          <c:smooth val="1"/>
          <c:extLst xmlns:c16r2="http://schemas.microsoft.com/office/drawing/2015/06/chart">
            <c:ext xmlns:c16="http://schemas.microsoft.com/office/drawing/2014/chart" uri="{C3380CC4-5D6E-409C-BE32-E72D297353CC}">
              <c16:uniqueId val="{00000004-1AFC-4515-AF7F-9A90BF69B671}"/>
            </c:ext>
          </c:extLst>
        </c:ser>
        <c:ser>
          <c:idx val="6"/>
          <c:order val="6"/>
          <c:tx>
            <c:strRef>
              <c:f>'Independent Variables'!$H$55</c:f>
              <c:strCache>
                <c:ptCount val="1"/>
                <c:pt idx="0">
                  <c:v>Foreign Ownership </c:v>
                </c:pt>
              </c:strCache>
            </c:strRef>
          </c:tx>
          <c:marker>
            <c:symbol val="none"/>
          </c:marker>
          <c:xVal>
            <c:strRef>
              <c:f>'Independent Variables'!$A$56:$A$66</c:f>
              <c:strCache>
                <c:ptCount val="11"/>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strCache>
            </c:strRef>
          </c:xVal>
          <c:yVal>
            <c:numRef>
              <c:f>'Independent Variables'!$H$56:$H$66</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yVal>
          <c:smooth val="1"/>
          <c:extLst xmlns:c16r2="http://schemas.microsoft.com/office/drawing/2015/06/chart">
            <c:ext xmlns:c16="http://schemas.microsoft.com/office/drawing/2014/chart" uri="{C3380CC4-5D6E-409C-BE32-E72D297353CC}">
              <c16:uniqueId val="{00000005-1AFC-4515-AF7F-9A90BF69B671}"/>
            </c:ext>
          </c:extLst>
        </c:ser>
        <c:ser>
          <c:idx val="7"/>
          <c:order val="7"/>
          <c:tx>
            <c:strRef>
              <c:f>'Independent Variables'!$I$55</c:f>
              <c:strCache>
                <c:ptCount val="1"/>
                <c:pt idx="0">
                  <c:v>Family Ownership</c:v>
                </c:pt>
              </c:strCache>
            </c:strRef>
          </c:tx>
          <c:marker>
            <c:symbol val="none"/>
          </c:marker>
          <c:xVal>
            <c:strRef>
              <c:f>'Independent Variables'!$A$56:$A$66</c:f>
              <c:strCache>
                <c:ptCount val="11"/>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strCache>
            </c:strRef>
          </c:xVal>
          <c:yVal>
            <c:numRef>
              <c:f>'Independent Variables'!$I$56:$I$66</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yVal>
          <c:smooth val="1"/>
          <c:extLst xmlns:c16r2="http://schemas.microsoft.com/office/drawing/2015/06/chart">
            <c:ext xmlns:c16="http://schemas.microsoft.com/office/drawing/2014/chart" uri="{C3380CC4-5D6E-409C-BE32-E72D297353CC}">
              <c16:uniqueId val="{00000006-1AFC-4515-AF7F-9A90BF69B671}"/>
            </c:ext>
          </c:extLst>
        </c:ser>
        <c:dLbls>
          <c:showLegendKey val="0"/>
          <c:showVal val="0"/>
          <c:showCatName val="0"/>
          <c:showSerName val="0"/>
          <c:showPercent val="0"/>
          <c:showBubbleSize val="0"/>
        </c:dLbls>
        <c:axId val="145872768"/>
        <c:axId val="145874304"/>
      </c:scatterChart>
      <c:scatterChart>
        <c:scatterStyle val="smoothMarker"/>
        <c:varyColors val="0"/>
        <c:ser>
          <c:idx val="2"/>
          <c:order val="2"/>
          <c:tx>
            <c:strRef>
              <c:f>'Independent Variables'!$D$55</c:f>
              <c:strCache>
                <c:ptCount val="1"/>
                <c:pt idx="0">
                  <c:v>Board Size</c:v>
                </c:pt>
              </c:strCache>
            </c:strRef>
          </c:tx>
          <c:marker>
            <c:symbol val="none"/>
          </c:marker>
          <c:xVal>
            <c:strRef>
              <c:f>'Independent Variables'!$A$56:$A$66</c:f>
              <c:strCache>
                <c:ptCount val="11"/>
                <c:pt idx="0">
                  <c:v>Eastern Bank 2018</c:v>
                </c:pt>
                <c:pt idx="1">
                  <c:v>Eastern Bank 2017</c:v>
                </c:pt>
                <c:pt idx="2">
                  <c:v>Eastern Bank 2015</c:v>
                </c:pt>
                <c:pt idx="3">
                  <c:v>Eastern Bank 2014</c:v>
                </c:pt>
                <c:pt idx="4">
                  <c:v>Eastern Bank 2013</c:v>
                </c:pt>
                <c:pt idx="5">
                  <c:v>Eastern Bank 2012</c:v>
                </c:pt>
                <c:pt idx="6">
                  <c:v>Eastern Bank 2011</c:v>
                </c:pt>
                <c:pt idx="7">
                  <c:v>Eastern Bank 2010</c:v>
                </c:pt>
                <c:pt idx="8">
                  <c:v>Eastern Bank 2009</c:v>
                </c:pt>
                <c:pt idx="9">
                  <c:v>Eastern Bank 2008</c:v>
                </c:pt>
                <c:pt idx="10">
                  <c:v>Eastern Bank 2007</c:v>
                </c:pt>
              </c:strCache>
            </c:strRef>
          </c:xVal>
          <c:yVal>
            <c:numRef>
              <c:f>'Independent Variables'!$D$56:$D$66</c:f>
              <c:numCache>
                <c:formatCode>General</c:formatCode>
                <c:ptCount val="11"/>
                <c:pt idx="0">
                  <c:v>11</c:v>
                </c:pt>
                <c:pt idx="1">
                  <c:v>11</c:v>
                </c:pt>
                <c:pt idx="2">
                  <c:v>11</c:v>
                </c:pt>
                <c:pt idx="3">
                  <c:v>11</c:v>
                </c:pt>
                <c:pt idx="4">
                  <c:v>11</c:v>
                </c:pt>
                <c:pt idx="5">
                  <c:v>11</c:v>
                </c:pt>
                <c:pt idx="6">
                  <c:v>11</c:v>
                </c:pt>
                <c:pt idx="7">
                  <c:v>11</c:v>
                </c:pt>
                <c:pt idx="8">
                  <c:v>11</c:v>
                </c:pt>
                <c:pt idx="9">
                  <c:v>11</c:v>
                </c:pt>
                <c:pt idx="10">
                  <c:v>11</c:v>
                </c:pt>
              </c:numCache>
            </c:numRef>
          </c:yVal>
          <c:smooth val="1"/>
          <c:extLst xmlns:c16r2="http://schemas.microsoft.com/office/drawing/2015/06/chart">
            <c:ext xmlns:c16="http://schemas.microsoft.com/office/drawing/2014/chart" uri="{C3380CC4-5D6E-409C-BE32-E72D297353CC}">
              <c16:uniqueId val="{00000007-1AFC-4515-AF7F-9A90BF69B671}"/>
            </c:ext>
          </c:extLst>
        </c:ser>
        <c:dLbls>
          <c:showLegendKey val="0"/>
          <c:showVal val="0"/>
          <c:showCatName val="0"/>
          <c:showSerName val="0"/>
          <c:showPercent val="0"/>
          <c:showBubbleSize val="0"/>
        </c:dLbls>
        <c:axId val="145881728"/>
        <c:axId val="145880192"/>
      </c:scatterChart>
      <c:valAx>
        <c:axId val="145872768"/>
        <c:scaling>
          <c:orientation val="minMax"/>
        </c:scaling>
        <c:delete val="0"/>
        <c:axPos val="b"/>
        <c:majorTickMark val="out"/>
        <c:minorTickMark val="none"/>
        <c:tickLblPos val="nextTo"/>
        <c:crossAx val="145874304"/>
        <c:crosses val="autoZero"/>
        <c:crossBetween val="midCat"/>
      </c:valAx>
      <c:valAx>
        <c:axId val="145874304"/>
        <c:scaling>
          <c:orientation val="minMax"/>
        </c:scaling>
        <c:delete val="0"/>
        <c:axPos val="l"/>
        <c:majorGridlines/>
        <c:numFmt formatCode="0.00%" sourceLinked="1"/>
        <c:majorTickMark val="out"/>
        <c:minorTickMark val="none"/>
        <c:tickLblPos val="nextTo"/>
        <c:crossAx val="145872768"/>
        <c:crosses val="autoZero"/>
        <c:crossBetween val="midCat"/>
      </c:valAx>
      <c:valAx>
        <c:axId val="145880192"/>
        <c:scaling>
          <c:orientation val="minMax"/>
        </c:scaling>
        <c:delete val="0"/>
        <c:axPos val="r"/>
        <c:numFmt formatCode="General" sourceLinked="1"/>
        <c:majorTickMark val="out"/>
        <c:minorTickMark val="none"/>
        <c:tickLblPos val="nextTo"/>
        <c:crossAx val="145881728"/>
        <c:crosses val="max"/>
        <c:crossBetween val="midCat"/>
      </c:valAx>
      <c:valAx>
        <c:axId val="145881728"/>
        <c:scaling>
          <c:orientation val="minMax"/>
        </c:scaling>
        <c:delete val="1"/>
        <c:axPos val="b"/>
        <c:majorTickMark val="out"/>
        <c:minorTickMark val="none"/>
        <c:tickLblPos val="nextTo"/>
        <c:crossAx val="145880192"/>
        <c:crosses val="autoZero"/>
        <c:crossBetween val="midCat"/>
      </c:valAx>
    </c:plotArea>
    <c:legend>
      <c:legendPos val="r"/>
      <c:overlay val="0"/>
    </c:legend>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13079615048119"/>
          <c:y val="3.75116652085156E-2"/>
          <c:w val="0.47537139107611548"/>
          <c:h val="0.89719889180519097"/>
        </c:manualLayout>
      </c:layout>
      <c:scatterChart>
        <c:scatterStyle val="smoothMarker"/>
        <c:varyColors val="0"/>
        <c:ser>
          <c:idx val="0"/>
          <c:order val="0"/>
          <c:tx>
            <c:strRef>
              <c:f>'Independent Variables'!$A$82</c:f>
              <c:strCache>
                <c:ptCount val="1"/>
                <c:pt idx="0">
                  <c:v>First Security  Islami Bank 2018</c:v>
                </c:pt>
              </c:strCache>
            </c:strRef>
          </c:tx>
          <c:marker>
            <c:symbol val="none"/>
          </c:marker>
          <c:xVal>
            <c:strRef>
              <c:f>'Independent Variables'!$B$81:$I$81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Variables'!$B$82:$I$82</c:f>
              <c:numCache>
                <c:formatCode>General</c:formatCode>
                <c:ptCount val="8"/>
                <c:pt idx="0" formatCode="0.00%">
                  <c:v>0.91900000000000004</c:v>
                </c:pt>
                <c:pt idx="1">
                  <c:v>1</c:v>
                </c:pt>
                <c:pt idx="2">
                  <c:v>14</c:v>
                </c:pt>
                <c:pt idx="3">
                  <c:v>1</c:v>
                </c:pt>
                <c:pt idx="4">
                  <c:v>0</c:v>
                </c:pt>
                <c:pt idx="5">
                  <c:v>1</c:v>
                </c:pt>
                <c:pt idx="6">
                  <c:v>0</c:v>
                </c:pt>
                <c:pt idx="7" formatCode="0.00%">
                  <c:v>2.5000000000000001E-3</c:v>
                </c:pt>
              </c:numCache>
            </c:numRef>
          </c:yVal>
          <c:smooth val="1"/>
          <c:extLst xmlns:c16r2="http://schemas.microsoft.com/office/drawing/2015/06/chart">
            <c:ext xmlns:c16="http://schemas.microsoft.com/office/drawing/2014/chart" uri="{C3380CC4-5D6E-409C-BE32-E72D297353CC}">
              <c16:uniqueId val="{00000000-68DC-4F10-9C71-8F8679AAAB71}"/>
            </c:ext>
          </c:extLst>
        </c:ser>
        <c:ser>
          <c:idx val="1"/>
          <c:order val="1"/>
          <c:tx>
            <c:strRef>
              <c:f>'Independent Variables'!$A$83</c:f>
              <c:strCache>
                <c:ptCount val="1"/>
                <c:pt idx="0">
                  <c:v>First Security  Islami Bank 2017</c:v>
                </c:pt>
              </c:strCache>
            </c:strRef>
          </c:tx>
          <c:marker>
            <c:symbol val="none"/>
          </c:marker>
          <c:xVal>
            <c:strRef>
              <c:f>'Independent Variables'!$B$81:$I$81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Variables'!$B$83:$I$83</c:f>
              <c:numCache>
                <c:formatCode>General</c:formatCode>
                <c:ptCount val="8"/>
                <c:pt idx="0" formatCode="0.00%">
                  <c:v>0.89880000000000004</c:v>
                </c:pt>
                <c:pt idx="1">
                  <c:v>1</c:v>
                </c:pt>
                <c:pt idx="2">
                  <c:v>12</c:v>
                </c:pt>
                <c:pt idx="3">
                  <c:v>1</c:v>
                </c:pt>
                <c:pt idx="4">
                  <c:v>0</c:v>
                </c:pt>
                <c:pt idx="5">
                  <c:v>1</c:v>
                </c:pt>
                <c:pt idx="6">
                  <c:v>0</c:v>
                </c:pt>
                <c:pt idx="7" formatCode="0.00%">
                  <c:v>3.2000000000000002E-3</c:v>
                </c:pt>
              </c:numCache>
            </c:numRef>
          </c:yVal>
          <c:smooth val="1"/>
          <c:extLst xmlns:c16r2="http://schemas.microsoft.com/office/drawing/2015/06/chart">
            <c:ext xmlns:c16="http://schemas.microsoft.com/office/drawing/2014/chart" uri="{C3380CC4-5D6E-409C-BE32-E72D297353CC}">
              <c16:uniqueId val="{00000001-68DC-4F10-9C71-8F8679AAAB71}"/>
            </c:ext>
          </c:extLst>
        </c:ser>
        <c:ser>
          <c:idx val="2"/>
          <c:order val="2"/>
          <c:tx>
            <c:strRef>
              <c:f>'Independent Variables'!$A$84</c:f>
              <c:strCache>
                <c:ptCount val="1"/>
                <c:pt idx="0">
                  <c:v>First Security  Islami Bank 2016</c:v>
                </c:pt>
              </c:strCache>
            </c:strRef>
          </c:tx>
          <c:marker>
            <c:symbol val="none"/>
          </c:marker>
          <c:xVal>
            <c:strRef>
              <c:f>'Independent Variables'!$B$81:$I$81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Variables'!$B$84:$I$84</c:f>
              <c:numCache>
                <c:formatCode>General</c:formatCode>
                <c:ptCount val="8"/>
                <c:pt idx="0" formatCode="0.00%">
                  <c:v>0.89670000000000005</c:v>
                </c:pt>
                <c:pt idx="1">
                  <c:v>1</c:v>
                </c:pt>
                <c:pt idx="2">
                  <c:v>13</c:v>
                </c:pt>
                <c:pt idx="3">
                  <c:v>1</c:v>
                </c:pt>
                <c:pt idx="4">
                  <c:v>0</c:v>
                </c:pt>
                <c:pt idx="5">
                  <c:v>1</c:v>
                </c:pt>
                <c:pt idx="6">
                  <c:v>0</c:v>
                </c:pt>
                <c:pt idx="7" formatCode="0.00%">
                  <c:v>2.5000000000000001E-3</c:v>
                </c:pt>
              </c:numCache>
            </c:numRef>
          </c:yVal>
          <c:smooth val="1"/>
          <c:extLst xmlns:c16r2="http://schemas.microsoft.com/office/drawing/2015/06/chart">
            <c:ext xmlns:c16="http://schemas.microsoft.com/office/drawing/2014/chart" uri="{C3380CC4-5D6E-409C-BE32-E72D297353CC}">
              <c16:uniqueId val="{00000002-68DC-4F10-9C71-8F8679AAAB71}"/>
            </c:ext>
          </c:extLst>
        </c:ser>
        <c:ser>
          <c:idx val="3"/>
          <c:order val="3"/>
          <c:tx>
            <c:strRef>
              <c:f>'Independent Variables'!$A$85</c:f>
              <c:strCache>
                <c:ptCount val="1"/>
                <c:pt idx="0">
                  <c:v>First Security  Islami Bank 2015</c:v>
                </c:pt>
              </c:strCache>
            </c:strRef>
          </c:tx>
          <c:marker>
            <c:symbol val="none"/>
          </c:marker>
          <c:xVal>
            <c:strRef>
              <c:f>'Independent Variables'!$B$81:$I$81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Variables'!$B$85:$I$85</c:f>
              <c:numCache>
                <c:formatCode>General</c:formatCode>
                <c:ptCount val="8"/>
                <c:pt idx="0" formatCode="0.00%">
                  <c:v>0.92449999999999999</c:v>
                </c:pt>
                <c:pt idx="1">
                  <c:v>1</c:v>
                </c:pt>
                <c:pt idx="2">
                  <c:v>13</c:v>
                </c:pt>
                <c:pt idx="3">
                  <c:v>1</c:v>
                </c:pt>
                <c:pt idx="4">
                  <c:v>0</c:v>
                </c:pt>
                <c:pt idx="5">
                  <c:v>1</c:v>
                </c:pt>
                <c:pt idx="6">
                  <c:v>0</c:v>
                </c:pt>
                <c:pt idx="7" formatCode="0.00%">
                  <c:v>2.2000000000000001E-3</c:v>
                </c:pt>
              </c:numCache>
            </c:numRef>
          </c:yVal>
          <c:smooth val="1"/>
          <c:extLst xmlns:c16r2="http://schemas.microsoft.com/office/drawing/2015/06/chart">
            <c:ext xmlns:c16="http://schemas.microsoft.com/office/drawing/2014/chart" uri="{C3380CC4-5D6E-409C-BE32-E72D297353CC}">
              <c16:uniqueId val="{00000003-68DC-4F10-9C71-8F8679AAAB71}"/>
            </c:ext>
          </c:extLst>
        </c:ser>
        <c:ser>
          <c:idx val="4"/>
          <c:order val="4"/>
          <c:tx>
            <c:strRef>
              <c:f>'Independent Variables'!$A$86</c:f>
              <c:strCache>
                <c:ptCount val="1"/>
                <c:pt idx="0">
                  <c:v>First Security  Islami Bank 2014</c:v>
                </c:pt>
              </c:strCache>
            </c:strRef>
          </c:tx>
          <c:marker>
            <c:symbol val="none"/>
          </c:marker>
          <c:xVal>
            <c:strRef>
              <c:f>'Independent Variables'!$B$81:$I$81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Variables'!$B$86:$I$86</c:f>
              <c:numCache>
                <c:formatCode>General</c:formatCode>
                <c:ptCount val="8"/>
                <c:pt idx="0" formatCode="0.00%">
                  <c:v>0.92759999999999998</c:v>
                </c:pt>
                <c:pt idx="1">
                  <c:v>1</c:v>
                </c:pt>
                <c:pt idx="2">
                  <c:v>12</c:v>
                </c:pt>
                <c:pt idx="3">
                  <c:v>1</c:v>
                </c:pt>
                <c:pt idx="4">
                  <c:v>0</c:v>
                </c:pt>
                <c:pt idx="5">
                  <c:v>1</c:v>
                </c:pt>
                <c:pt idx="6">
                  <c:v>0</c:v>
                </c:pt>
                <c:pt idx="7" formatCode="0.00%">
                  <c:v>2.7000000000000001E-3</c:v>
                </c:pt>
              </c:numCache>
            </c:numRef>
          </c:yVal>
          <c:smooth val="1"/>
          <c:extLst xmlns:c16r2="http://schemas.microsoft.com/office/drawing/2015/06/chart">
            <c:ext xmlns:c16="http://schemas.microsoft.com/office/drawing/2014/chart" uri="{C3380CC4-5D6E-409C-BE32-E72D297353CC}">
              <c16:uniqueId val="{00000004-68DC-4F10-9C71-8F8679AAAB71}"/>
            </c:ext>
          </c:extLst>
        </c:ser>
        <c:ser>
          <c:idx val="5"/>
          <c:order val="5"/>
          <c:tx>
            <c:strRef>
              <c:f>'Independent Variables'!$A$87</c:f>
              <c:strCache>
                <c:ptCount val="1"/>
                <c:pt idx="0">
                  <c:v>First Security  Islami Bank 2013</c:v>
                </c:pt>
              </c:strCache>
            </c:strRef>
          </c:tx>
          <c:marker>
            <c:symbol val="none"/>
          </c:marker>
          <c:xVal>
            <c:strRef>
              <c:f>'Independent Variables'!$B$81:$I$81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Variables'!$B$87:$I$87</c:f>
              <c:numCache>
                <c:formatCode>General</c:formatCode>
                <c:ptCount val="8"/>
                <c:pt idx="0" formatCode="0.00%">
                  <c:v>0.92869999999999997</c:v>
                </c:pt>
                <c:pt idx="1">
                  <c:v>1</c:v>
                </c:pt>
                <c:pt idx="2">
                  <c:v>0</c:v>
                </c:pt>
                <c:pt idx="3">
                  <c:v>1</c:v>
                </c:pt>
                <c:pt idx="4">
                  <c:v>0</c:v>
                </c:pt>
                <c:pt idx="5">
                  <c:v>1</c:v>
                </c:pt>
                <c:pt idx="6">
                  <c:v>0</c:v>
                </c:pt>
                <c:pt idx="7" formatCode="0.00%">
                  <c:v>2.0999999999999999E-3</c:v>
                </c:pt>
              </c:numCache>
            </c:numRef>
          </c:yVal>
          <c:smooth val="1"/>
          <c:extLst xmlns:c16r2="http://schemas.microsoft.com/office/drawing/2015/06/chart">
            <c:ext xmlns:c16="http://schemas.microsoft.com/office/drawing/2014/chart" uri="{C3380CC4-5D6E-409C-BE32-E72D297353CC}">
              <c16:uniqueId val="{00000005-68DC-4F10-9C71-8F8679AAAB71}"/>
            </c:ext>
          </c:extLst>
        </c:ser>
        <c:ser>
          <c:idx val="6"/>
          <c:order val="6"/>
          <c:tx>
            <c:strRef>
              <c:f>'Independent Variables'!$A$88</c:f>
              <c:strCache>
                <c:ptCount val="1"/>
                <c:pt idx="0">
                  <c:v>First Security  Islami Bank 2012</c:v>
                </c:pt>
              </c:strCache>
            </c:strRef>
          </c:tx>
          <c:marker>
            <c:symbol val="none"/>
          </c:marker>
          <c:xVal>
            <c:strRef>
              <c:f>'Independent Variables'!$B$81:$I$81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Variables'!$B$88:$I$88</c:f>
              <c:numCache>
                <c:formatCode>General</c:formatCode>
                <c:ptCount val="8"/>
                <c:pt idx="0" formatCode="0.00%">
                  <c:v>0.9173</c:v>
                </c:pt>
                <c:pt idx="1">
                  <c:v>1</c:v>
                </c:pt>
                <c:pt idx="2">
                  <c:v>13</c:v>
                </c:pt>
                <c:pt idx="3">
                  <c:v>1</c:v>
                </c:pt>
                <c:pt idx="4">
                  <c:v>0</c:v>
                </c:pt>
                <c:pt idx="5">
                  <c:v>1</c:v>
                </c:pt>
                <c:pt idx="6">
                  <c:v>0</c:v>
                </c:pt>
                <c:pt idx="7" formatCode="0.00%">
                  <c:v>1.9E-3</c:v>
                </c:pt>
              </c:numCache>
            </c:numRef>
          </c:yVal>
          <c:smooth val="1"/>
          <c:extLst xmlns:c16r2="http://schemas.microsoft.com/office/drawing/2015/06/chart">
            <c:ext xmlns:c16="http://schemas.microsoft.com/office/drawing/2014/chart" uri="{C3380CC4-5D6E-409C-BE32-E72D297353CC}">
              <c16:uniqueId val="{00000006-68DC-4F10-9C71-8F8679AAAB71}"/>
            </c:ext>
          </c:extLst>
        </c:ser>
        <c:ser>
          <c:idx val="7"/>
          <c:order val="7"/>
          <c:tx>
            <c:strRef>
              <c:f>'Independent Variables'!$A$89</c:f>
              <c:strCache>
                <c:ptCount val="1"/>
                <c:pt idx="0">
                  <c:v>First Security  Islami Bank 2011</c:v>
                </c:pt>
              </c:strCache>
            </c:strRef>
          </c:tx>
          <c:marker>
            <c:symbol val="none"/>
          </c:marker>
          <c:xVal>
            <c:strRef>
              <c:f>'Independent Variables'!$B$81:$I$81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Variables'!$B$89:$I$89</c:f>
              <c:numCache>
                <c:formatCode>General</c:formatCode>
                <c:ptCount val="8"/>
                <c:pt idx="0" formatCode="0.00%">
                  <c:v>0.91749999999999998</c:v>
                </c:pt>
                <c:pt idx="1">
                  <c:v>1</c:v>
                </c:pt>
                <c:pt idx="2">
                  <c:v>13</c:v>
                </c:pt>
                <c:pt idx="3">
                  <c:v>1</c:v>
                </c:pt>
                <c:pt idx="4">
                  <c:v>0</c:v>
                </c:pt>
                <c:pt idx="5">
                  <c:v>1</c:v>
                </c:pt>
                <c:pt idx="6">
                  <c:v>0</c:v>
                </c:pt>
                <c:pt idx="7" formatCode="0%">
                  <c:v>1.6999999999999999E-3</c:v>
                </c:pt>
              </c:numCache>
            </c:numRef>
          </c:yVal>
          <c:smooth val="1"/>
          <c:extLst xmlns:c16r2="http://schemas.microsoft.com/office/drawing/2015/06/chart">
            <c:ext xmlns:c16="http://schemas.microsoft.com/office/drawing/2014/chart" uri="{C3380CC4-5D6E-409C-BE32-E72D297353CC}">
              <c16:uniqueId val="{00000007-68DC-4F10-9C71-8F8679AAAB71}"/>
            </c:ext>
          </c:extLst>
        </c:ser>
        <c:dLbls>
          <c:showLegendKey val="0"/>
          <c:showVal val="0"/>
          <c:showCatName val="0"/>
          <c:showSerName val="0"/>
          <c:showPercent val="0"/>
          <c:showBubbleSize val="0"/>
        </c:dLbls>
        <c:axId val="148025344"/>
        <c:axId val="148026880"/>
      </c:scatterChart>
      <c:valAx>
        <c:axId val="148025344"/>
        <c:scaling>
          <c:orientation val="minMax"/>
        </c:scaling>
        <c:delete val="0"/>
        <c:axPos val="b"/>
        <c:majorTickMark val="out"/>
        <c:minorTickMark val="none"/>
        <c:tickLblPos val="nextTo"/>
        <c:crossAx val="148026880"/>
        <c:crosses val="autoZero"/>
        <c:crossBetween val="midCat"/>
      </c:valAx>
      <c:valAx>
        <c:axId val="148026880"/>
        <c:scaling>
          <c:orientation val="minMax"/>
        </c:scaling>
        <c:delete val="0"/>
        <c:axPos val="l"/>
        <c:majorGridlines/>
        <c:numFmt formatCode="0.00%" sourceLinked="1"/>
        <c:majorTickMark val="out"/>
        <c:minorTickMark val="none"/>
        <c:tickLblPos val="nextTo"/>
        <c:crossAx val="148025344"/>
        <c:crosses val="autoZero"/>
        <c:crossBetween val="midCat"/>
      </c:valAx>
    </c:plotArea>
    <c:legend>
      <c:legendPos val="r"/>
      <c:overlay val="0"/>
    </c:legend>
    <c:plotVisOnly val="1"/>
    <c:dispBlanksAs val="gap"/>
    <c:showDLblsOverMax val="0"/>
  </c:chart>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'Independent Variables'!$A$92</c:f>
              <c:strCache>
                <c:ptCount val="1"/>
                <c:pt idx="0">
                  <c:v>ICB Islami Bank 2018</c:v>
                </c:pt>
              </c:strCache>
            </c:strRef>
          </c:tx>
          <c:marker>
            <c:symbol val="none"/>
          </c:marker>
          <c:xVal>
            <c:strRef>
              <c:f>'Independent Variables'!$B$91:$I$91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Variables'!$B$92:$I$92</c:f>
              <c:numCache>
                <c:formatCode>General</c:formatCode>
                <c:ptCount val="8"/>
                <c:pt idx="0" formatCode="0.00%">
                  <c:v>0.89880000000000004</c:v>
                </c:pt>
                <c:pt idx="1">
                  <c:v>1</c:v>
                </c:pt>
                <c:pt idx="2">
                  <c:v>7</c:v>
                </c:pt>
                <c:pt idx="3">
                  <c:v>0</c:v>
                </c:pt>
                <c:pt idx="4">
                  <c:v>1</c:v>
                </c:pt>
                <c:pt idx="5">
                  <c:v>1</c:v>
                </c:pt>
                <c:pt idx="6" formatCode="0.00%">
                  <c:v>0.52980000000000005</c:v>
                </c:pt>
                <c:pt idx="7">
                  <c:v>0</c:v>
                </c:pt>
              </c:numCache>
            </c:numRef>
          </c:yVal>
          <c:smooth val="1"/>
          <c:extLst xmlns:c16r2="http://schemas.microsoft.com/office/drawing/2015/06/chart">
            <c:ext xmlns:c16="http://schemas.microsoft.com/office/drawing/2014/chart" uri="{C3380CC4-5D6E-409C-BE32-E72D297353CC}">
              <c16:uniqueId val="{00000000-5BD9-4EAD-B113-EAEF8EB418FC}"/>
            </c:ext>
          </c:extLst>
        </c:ser>
        <c:ser>
          <c:idx val="1"/>
          <c:order val="1"/>
          <c:tx>
            <c:strRef>
              <c:f>'Independent Variables'!$A$93</c:f>
              <c:strCache>
                <c:ptCount val="1"/>
                <c:pt idx="0">
                  <c:v>ICB Islami Bank 2017</c:v>
                </c:pt>
              </c:strCache>
            </c:strRef>
          </c:tx>
          <c:marker>
            <c:symbol val="none"/>
          </c:marker>
          <c:xVal>
            <c:strRef>
              <c:f>'Independent Variables'!$B$91:$I$91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Variables'!$B$93:$I$93</c:f>
              <c:numCache>
                <c:formatCode>General</c:formatCode>
                <c:ptCount val="8"/>
                <c:pt idx="0" formatCode="0.00%">
                  <c:v>0.89759999999999995</c:v>
                </c:pt>
                <c:pt idx="1">
                  <c:v>1</c:v>
                </c:pt>
                <c:pt idx="2">
                  <c:v>7</c:v>
                </c:pt>
                <c:pt idx="3">
                  <c:v>0</c:v>
                </c:pt>
                <c:pt idx="4">
                  <c:v>1</c:v>
                </c:pt>
                <c:pt idx="5">
                  <c:v>1</c:v>
                </c:pt>
                <c:pt idx="6" formatCode="0.00%">
                  <c:v>0.52980000000000005</c:v>
                </c:pt>
                <c:pt idx="7">
                  <c:v>0</c:v>
                </c:pt>
              </c:numCache>
            </c:numRef>
          </c:yVal>
          <c:smooth val="1"/>
          <c:extLst xmlns:c16r2="http://schemas.microsoft.com/office/drawing/2015/06/chart">
            <c:ext xmlns:c16="http://schemas.microsoft.com/office/drawing/2014/chart" uri="{C3380CC4-5D6E-409C-BE32-E72D297353CC}">
              <c16:uniqueId val="{00000001-5BD9-4EAD-B113-EAEF8EB418FC}"/>
            </c:ext>
          </c:extLst>
        </c:ser>
        <c:ser>
          <c:idx val="2"/>
          <c:order val="2"/>
          <c:tx>
            <c:strRef>
              <c:f>'Independent Variables'!$A$94</c:f>
              <c:strCache>
                <c:ptCount val="1"/>
                <c:pt idx="0">
                  <c:v>ICB Islami Bank 2016</c:v>
                </c:pt>
              </c:strCache>
            </c:strRef>
          </c:tx>
          <c:marker>
            <c:symbol val="none"/>
          </c:marker>
          <c:xVal>
            <c:strRef>
              <c:f>'Independent Variables'!$B$91:$I$91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Variables'!$B$94:$I$94</c:f>
              <c:numCache>
                <c:formatCode>General</c:formatCode>
                <c:ptCount val="8"/>
                <c:pt idx="0" formatCode="0.00%">
                  <c:v>0.88670000000000004</c:v>
                </c:pt>
                <c:pt idx="1">
                  <c:v>1</c:v>
                </c:pt>
                <c:pt idx="2">
                  <c:v>8</c:v>
                </c:pt>
                <c:pt idx="3">
                  <c:v>0</c:v>
                </c:pt>
                <c:pt idx="4">
                  <c:v>1</c:v>
                </c:pt>
                <c:pt idx="5">
                  <c:v>1</c:v>
                </c:pt>
                <c:pt idx="6" formatCode="0.00%">
                  <c:v>0.52980000000000005</c:v>
                </c:pt>
                <c:pt idx="7">
                  <c:v>0</c:v>
                </c:pt>
              </c:numCache>
            </c:numRef>
          </c:yVal>
          <c:smooth val="1"/>
          <c:extLst xmlns:c16r2="http://schemas.microsoft.com/office/drawing/2015/06/chart">
            <c:ext xmlns:c16="http://schemas.microsoft.com/office/drawing/2014/chart" uri="{C3380CC4-5D6E-409C-BE32-E72D297353CC}">
              <c16:uniqueId val="{00000002-5BD9-4EAD-B113-EAEF8EB418FC}"/>
            </c:ext>
          </c:extLst>
        </c:ser>
        <c:ser>
          <c:idx val="3"/>
          <c:order val="3"/>
          <c:tx>
            <c:strRef>
              <c:f>'Independent Variables'!$A$95</c:f>
              <c:strCache>
                <c:ptCount val="1"/>
                <c:pt idx="0">
                  <c:v>ICB Islami Bank 2015</c:v>
                </c:pt>
              </c:strCache>
            </c:strRef>
          </c:tx>
          <c:marker>
            <c:symbol val="none"/>
          </c:marker>
          <c:xVal>
            <c:strRef>
              <c:f>'Independent Variables'!$B$91:$I$91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Variables'!$B$95:$I$95</c:f>
              <c:numCache>
                <c:formatCode>General</c:formatCode>
                <c:ptCount val="8"/>
                <c:pt idx="0" formatCode="0.00%">
                  <c:v>0.92390000000000005</c:v>
                </c:pt>
                <c:pt idx="1">
                  <c:v>1</c:v>
                </c:pt>
                <c:pt idx="2">
                  <c:v>8</c:v>
                </c:pt>
                <c:pt idx="3">
                  <c:v>0</c:v>
                </c:pt>
                <c:pt idx="4">
                  <c:v>1</c:v>
                </c:pt>
                <c:pt idx="5">
                  <c:v>1</c:v>
                </c:pt>
                <c:pt idx="6" formatCode="0.00%">
                  <c:v>0.52980000000000005</c:v>
                </c:pt>
                <c:pt idx="7">
                  <c:v>0</c:v>
                </c:pt>
              </c:numCache>
            </c:numRef>
          </c:yVal>
          <c:smooth val="1"/>
          <c:extLst xmlns:c16r2="http://schemas.microsoft.com/office/drawing/2015/06/chart">
            <c:ext xmlns:c16="http://schemas.microsoft.com/office/drawing/2014/chart" uri="{C3380CC4-5D6E-409C-BE32-E72D297353CC}">
              <c16:uniqueId val="{00000003-5BD9-4EAD-B113-EAEF8EB418FC}"/>
            </c:ext>
          </c:extLst>
        </c:ser>
        <c:ser>
          <c:idx val="4"/>
          <c:order val="4"/>
          <c:tx>
            <c:strRef>
              <c:f>'Independent Variables'!$A$96</c:f>
              <c:strCache>
                <c:ptCount val="1"/>
                <c:pt idx="0">
                  <c:v>ICB Islami Bank 2014</c:v>
                </c:pt>
              </c:strCache>
            </c:strRef>
          </c:tx>
          <c:marker>
            <c:symbol val="none"/>
          </c:marker>
          <c:xVal>
            <c:strRef>
              <c:f>'Independent Variables'!$B$91:$I$91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Variables'!$B$96:$I$96</c:f>
              <c:numCache>
                <c:formatCode>General</c:formatCode>
                <c:ptCount val="8"/>
                <c:pt idx="0" formatCode="0.00%">
                  <c:v>0.92779999999999996</c:v>
                </c:pt>
                <c:pt idx="1">
                  <c:v>1</c:v>
                </c:pt>
                <c:pt idx="2">
                  <c:v>9</c:v>
                </c:pt>
                <c:pt idx="3">
                  <c:v>0</c:v>
                </c:pt>
                <c:pt idx="4">
                  <c:v>1</c:v>
                </c:pt>
                <c:pt idx="5">
                  <c:v>1</c:v>
                </c:pt>
                <c:pt idx="6" formatCode="0.00%">
                  <c:v>0.52980000000000005</c:v>
                </c:pt>
                <c:pt idx="7">
                  <c:v>0</c:v>
                </c:pt>
              </c:numCache>
            </c:numRef>
          </c:yVal>
          <c:smooth val="1"/>
          <c:extLst xmlns:c16r2="http://schemas.microsoft.com/office/drawing/2015/06/chart">
            <c:ext xmlns:c16="http://schemas.microsoft.com/office/drawing/2014/chart" uri="{C3380CC4-5D6E-409C-BE32-E72D297353CC}">
              <c16:uniqueId val="{00000004-5BD9-4EAD-B113-EAEF8EB418FC}"/>
            </c:ext>
          </c:extLst>
        </c:ser>
        <c:ser>
          <c:idx val="5"/>
          <c:order val="5"/>
          <c:tx>
            <c:strRef>
              <c:f>'Independent Variables'!$A$97</c:f>
              <c:strCache>
                <c:ptCount val="1"/>
                <c:pt idx="0">
                  <c:v>ICB Islami Bank 2013</c:v>
                </c:pt>
              </c:strCache>
            </c:strRef>
          </c:tx>
          <c:marker>
            <c:symbol val="none"/>
          </c:marker>
          <c:xVal>
            <c:strRef>
              <c:f>'Independent Variables'!$B$91:$I$91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Variables'!$B$97:$I$97</c:f>
              <c:numCache>
                <c:formatCode>General</c:formatCode>
                <c:ptCount val="8"/>
                <c:pt idx="0" formatCode="0.00%">
                  <c:v>0.91879999999999995</c:v>
                </c:pt>
                <c:pt idx="1">
                  <c:v>1</c:v>
                </c:pt>
                <c:pt idx="2">
                  <c:v>9</c:v>
                </c:pt>
                <c:pt idx="3">
                  <c:v>0</c:v>
                </c:pt>
                <c:pt idx="4">
                  <c:v>1</c:v>
                </c:pt>
                <c:pt idx="5">
                  <c:v>1</c:v>
                </c:pt>
                <c:pt idx="6" formatCode="0.00%">
                  <c:v>5.9799999999999999E-2</c:v>
                </c:pt>
                <c:pt idx="7">
                  <c:v>0</c:v>
                </c:pt>
              </c:numCache>
            </c:numRef>
          </c:yVal>
          <c:smooth val="1"/>
          <c:extLst xmlns:c16r2="http://schemas.microsoft.com/office/drawing/2015/06/chart">
            <c:ext xmlns:c16="http://schemas.microsoft.com/office/drawing/2014/chart" uri="{C3380CC4-5D6E-409C-BE32-E72D297353CC}">
              <c16:uniqueId val="{00000005-5BD9-4EAD-B113-EAEF8EB418FC}"/>
            </c:ext>
          </c:extLst>
        </c:ser>
        <c:ser>
          <c:idx val="6"/>
          <c:order val="6"/>
          <c:tx>
            <c:strRef>
              <c:f>'Independent Variables'!$A$98</c:f>
              <c:strCache>
                <c:ptCount val="1"/>
                <c:pt idx="0">
                  <c:v>ICB Islami Bank 2012</c:v>
                </c:pt>
              </c:strCache>
            </c:strRef>
          </c:tx>
          <c:marker>
            <c:symbol val="none"/>
          </c:marker>
          <c:xVal>
            <c:strRef>
              <c:f>'Independent Variables'!$B$91:$I$91</c:f>
              <c:strCache>
                <c:ptCount val="8"/>
                <c:pt idx="0">
                  <c:v>Leverage</c:v>
                </c:pt>
                <c:pt idx="1">
                  <c:v>Religion</c:v>
                </c:pt>
                <c:pt idx="2">
                  <c:v>Board Size</c:v>
                </c:pt>
                <c:pt idx="3">
                  <c:v>Woman on Board </c:v>
                </c:pt>
                <c:pt idx="4">
                  <c:v>Foreign member on Board</c:v>
                </c:pt>
                <c:pt idx="5">
                  <c:v>Family Member's on Board</c:v>
                </c:pt>
                <c:pt idx="6">
                  <c:v>Foreign Ownership </c:v>
                </c:pt>
                <c:pt idx="7">
                  <c:v>Family Ownership</c:v>
                </c:pt>
              </c:strCache>
            </c:strRef>
          </c:xVal>
          <c:yVal>
            <c:numRef>
              <c:f>'Independent Variables'!$B$98:$I$98</c:f>
              <c:numCache>
                <c:formatCode>General</c:formatCode>
                <c:ptCount val="8"/>
                <c:pt idx="0" formatCode="0.00%">
                  <c:v>0.91669999999999996</c:v>
                </c:pt>
                <c:pt idx="1">
                  <c:v>1</c:v>
                </c:pt>
                <c:pt idx="2">
                  <c:v>7</c:v>
                </c:pt>
                <c:pt idx="3">
                  <c:v>0</c:v>
                </c:pt>
                <c:pt idx="4">
                  <c:v>1</c:v>
                </c:pt>
                <c:pt idx="5">
                  <c:v>1</c:v>
                </c:pt>
                <c:pt idx="6" formatCode="0.00%">
                  <c:v>0.52980000000000005</c:v>
                </c:pt>
                <c:pt idx="7">
                  <c:v>0</c:v>
                </c:pt>
              </c:numCache>
            </c:numRef>
          </c:yVal>
          <c:smooth val="1"/>
          <c:extLst xmlns:c16r2="http://schemas.microsoft.com/office/drawing/2015/06/chart">
            <c:ext xmlns:c16="http://schemas.microsoft.com/office/drawing/2014/chart" uri="{C3380CC4-5D6E-409C-BE32-E72D297353CC}">
              <c16:uniqueId val="{00000006-5BD9-4EAD-B113-EAEF8EB418FC}"/>
            </c:ext>
          </c:extLst>
        </c:ser>
        <c:dLbls>
          <c:showLegendKey val="0"/>
          <c:showVal val="0"/>
          <c:showCatName val="0"/>
          <c:showSerName val="0"/>
          <c:showPercent val="0"/>
          <c:showBubbleSize val="0"/>
        </c:dLbls>
        <c:axId val="148198912"/>
        <c:axId val="148200448"/>
      </c:scatterChart>
      <c:valAx>
        <c:axId val="148198912"/>
        <c:scaling>
          <c:orientation val="minMax"/>
        </c:scaling>
        <c:delete val="0"/>
        <c:axPos val="b"/>
        <c:majorTickMark val="out"/>
        <c:minorTickMark val="none"/>
        <c:tickLblPos val="nextTo"/>
        <c:crossAx val="148200448"/>
        <c:crosses val="autoZero"/>
        <c:crossBetween val="midCat"/>
      </c:valAx>
      <c:valAx>
        <c:axId val="148200448"/>
        <c:scaling>
          <c:orientation val="minMax"/>
        </c:scaling>
        <c:delete val="0"/>
        <c:axPos val="l"/>
        <c:majorGridlines/>
        <c:numFmt formatCode="0.00%" sourceLinked="1"/>
        <c:majorTickMark val="out"/>
        <c:minorTickMark val="none"/>
        <c:tickLblPos val="nextTo"/>
        <c:crossAx val="148198912"/>
        <c:crosses val="autoZero"/>
        <c:crossBetween val="midCat"/>
      </c:valAx>
    </c:plotArea>
    <c:legend>
      <c:legendPos val="r"/>
      <c:overlay val="0"/>
    </c:legend>
    <c:plotVisOnly val="1"/>
    <c:dispBlanksAs val="gap"/>
    <c:showDLblsOverMax val="0"/>
  </c:chart>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scatterChart>
        <c:scatterStyle val="smoothMarker"/>
        <c:varyColors val="0"/>
        <c:ser>
          <c:idx val="0"/>
          <c:order val="0"/>
          <c:tx>
            <c:strRef>
              <c:f>'Independent Variables'!$A$101</c:f>
              <c:strCache>
                <c:ptCount val="1"/>
                <c:pt idx="0">
                  <c:v>IFIC Bank 2018</c:v>
                </c:pt>
              </c:strCache>
            </c:strRef>
          </c:tx>
          <c:marker>
            <c:symbol val="none"/>
          </c:marker>
          <c:xVal>
            <c:strRef>
              <c:f>'Independent Variables'!$B$100:$I$100</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Variables'!$B$101:$I$101</c:f>
              <c:numCache>
                <c:formatCode>General</c:formatCode>
                <c:ptCount val="8"/>
                <c:pt idx="0" formatCode="0.00%">
                  <c:v>0.93769999999999998</c:v>
                </c:pt>
                <c:pt idx="1">
                  <c:v>0</c:v>
                </c:pt>
                <c:pt idx="2">
                  <c:v>9</c:v>
                </c:pt>
                <c:pt idx="3">
                  <c:v>1</c:v>
                </c:pt>
                <c:pt idx="4">
                  <c:v>0</c:v>
                </c:pt>
                <c:pt idx="5">
                  <c:v>1</c:v>
                </c:pt>
                <c:pt idx="6">
                  <c:v>0</c:v>
                </c:pt>
                <c:pt idx="7">
                  <c:v>0</c:v>
                </c:pt>
              </c:numCache>
            </c:numRef>
          </c:yVal>
          <c:smooth val="1"/>
          <c:extLst xmlns:c16r2="http://schemas.microsoft.com/office/drawing/2015/06/chart">
            <c:ext xmlns:c16="http://schemas.microsoft.com/office/drawing/2014/chart" uri="{C3380CC4-5D6E-409C-BE32-E72D297353CC}">
              <c16:uniqueId val="{00000000-7A83-4864-9838-DA87BEAE55A4}"/>
            </c:ext>
          </c:extLst>
        </c:ser>
        <c:ser>
          <c:idx val="1"/>
          <c:order val="1"/>
          <c:tx>
            <c:strRef>
              <c:f>'Independent Variables'!$A$102</c:f>
              <c:strCache>
                <c:ptCount val="1"/>
                <c:pt idx="0">
                  <c:v>IFIC Bank 2017</c:v>
                </c:pt>
              </c:strCache>
            </c:strRef>
          </c:tx>
          <c:marker>
            <c:symbol val="none"/>
          </c:marker>
          <c:xVal>
            <c:strRef>
              <c:f>'Independent Variables'!$B$100:$I$100</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Variables'!$B$102:$I$102</c:f>
              <c:numCache>
                <c:formatCode>General</c:formatCode>
                <c:ptCount val="8"/>
                <c:pt idx="0" formatCode="0.00%">
                  <c:v>0.93669999999999998</c:v>
                </c:pt>
                <c:pt idx="1">
                  <c:v>0</c:v>
                </c:pt>
                <c:pt idx="2">
                  <c:v>8</c:v>
                </c:pt>
                <c:pt idx="3">
                  <c:v>1</c:v>
                </c:pt>
                <c:pt idx="4">
                  <c:v>0</c:v>
                </c:pt>
                <c:pt idx="5">
                  <c:v>1</c:v>
                </c:pt>
                <c:pt idx="6">
                  <c:v>0</c:v>
                </c:pt>
                <c:pt idx="7">
                  <c:v>0</c:v>
                </c:pt>
              </c:numCache>
            </c:numRef>
          </c:yVal>
          <c:smooth val="1"/>
          <c:extLst xmlns:c16r2="http://schemas.microsoft.com/office/drawing/2015/06/chart">
            <c:ext xmlns:c16="http://schemas.microsoft.com/office/drawing/2014/chart" uri="{C3380CC4-5D6E-409C-BE32-E72D297353CC}">
              <c16:uniqueId val="{00000001-7A83-4864-9838-DA87BEAE55A4}"/>
            </c:ext>
          </c:extLst>
        </c:ser>
        <c:ser>
          <c:idx val="2"/>
          <c:order val="2"/>
          <c:tx>
            <c:strRef>
              <c:f>'Independent Variables'!$A$103</c:f>
              <c:strCache>
                <c:ptCount val="1"/>
                <c:pt idx="0">
                  <c:v>IFIC Bank 2016</c:v>
                </c:pt>
              </c:strCache>
            </c:strRef>
          </c:tx>
          <c:marker>
            <c:symbol val="none"/>
          </c:marker>
          <c:xVal>
            <c:strRef>
              <c:f>'Independent Variables'!$B$100:$I$100</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Variables'!$B$103:$I$103</c:f>
              <c:numCache>
                <c:formatCode>General</c:formatCode>
                <c:ptCount val="8"/>
                <c:pt idx="0" formatCode="0.00%">
                  <c:v>0.93540000000000001</c:v>
                </c:pt>
                <c:pt idx="1">
                  <c:v>0</c:v>
                </c:pt>
                <c:pt idx="2">
                  <c:v>8</c:v>
                </c:pt>
                <c:pt idx="3">
                  <c:v>1</c:v>
                </c:pt>
                <c:pt idx="4">
                  <c:v>0</c:v>
                </c:pt>
                <c:pt idx="5">
                  <c:v>0</c:v>
                </c:pt>
                <c:pt idx="6">
                  <c:v>0</c:v>
                </c:pt>
                <c:pt idx="7">
                  <c:v>0</c:v>
                </c:pt>
              </c:numCache>
            </c:numRef>
          </c:yVal>
          <c:smooth val="1"/>
          <c:extLst xmlns:c16r2="http://schemas.microsoft.com/office/drawing/2015/06/chart">
            <c:ext xmlns:c16="http://schemas.microsoft.com/office/drawing/2014/chart" uri="{C3380CC4-5D6E-409C-BE32-E72D297353CC}">
              <c16:uniqueId val="{00000002-7A83-4864-9838-DA87BEAE55A4}"/>
            </c:ext>
          </c:extLst>
        </c:ser>
        <c:ser>
          <c:idx val="3"/>
          <c:order val="3"/>
          <c:tx>
            <c:strRef>
              <c:f>'Independent Variables'!$A$104</c:f>
              <c:strCache>
                <c:ptCount val="1"/>
                <c:pt idx="0">
                  <c:v>IFIC Bank 2015</c:v>
                </c:pt>
              </c:strCache>
            </c:strRef>
          </c:tx>
          <c:marker>
            <c:symbol val="none"/>
          </c:marker>
          <c:xVal>
            <c:strRef>
              <c:f>'Independent Variables'!$B$100:$I$100</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Variables'!$B$104:$I$104</c:f>
              <c:numCache>
                <c:formatCode>General</c:formatCode>
                <c:ptCount val="8"/>
                <c:pt idx="0" formatCode="0.00%">
                  <c:v>0.92879999999999996</c:v>
                </c:pt>
                <c:pt idx="1">
                  <c:v>0</c:v>
                </c:pt>
                <c:pt idx="2">
                  <c:v>8</c:v>
                </c:pt>
                <c:pt idx="3">
                  <c:v>0</c:v>
                </c:pt>
                <c:pt idx="4">
                  <c:v>0</c:v>
                </c:pt>
                <c:pt idx="5">
                  <c:v>0</c:v>
                </c:pt>
                <c:pt idx="6">
                  <c:v>0</c:v>
                </c:pt>
                <c:pt idx="7">
                  <c:v>0</c:v>
                </c:pt>
              </c:numCache>
            </c:numRef>
          </c:yVal>
          <c:smooth val="1"/>
          <c:extLst xmlns:c16r2="http://schemas.microsoft.com/office/drawing/2015/06/chart">
            <c:ext xmlns:c16="http://schemas.microsoft.com/office/drawing/2014/chart" uri="{C3380CC4-5D6E-409C-BE32-E72D297353CC}">
              <c16:uniqueId val="{00000003-7A83-4864-9838-DA87BEAE55A4}"/>
            </c:ext>
          </c:extLst>
        </c:ser>
        <c:ser>
          <c:idx val="4"/>
          <c:order val="4"/>
          <c:tx>
            <c:strRef>
              <c:f>'Independent Variables'!$A$105</c:f>
              <c:strCache>
                <c:ptCount val="1"/>
                <c:pt idx="0">
                  <c:v>IFIC Bank 2014</c:v>
                </c:pt>
              </c:strCache>
            </c:strRef>
          </c:tx>
          <c:marker>
            <c:symbol val="none"/>
          </c:marker>
          <c:xVal>
            <c:strRef>
              <c:f>'Independent Variables'!$B$100:$I$100</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Variables'!$B$105:$I$105</c:f>
              <c:numCache>
                <c:formatCode>General</c:formatCode>
                <c:ptCount val="8"/>
                <c:pt idx="0" formatCode="0.00%">
                  <c:v>0.92430000000000001</c:v>
                </c:pt>
                <c:pt idx="1">
                  <c:v>0</c:v>
                </c:pt>
                <c:pt idx="2">
                  <c:v>9</c:v>
                </c:pt>
                <c:pt idx="3">
                  <c:v>0</c:v>
                </c:pt>
                <c:pt idx="4">
                  <c:v>0</c:v>
                </c:pt>
                <c:pt idx="5">
                  <c:v>1</c:v>
                </c:pt>
                <c:pt idx="6" formatCode="0.00%">
                  <c:v>4.3E-3</c:v>
                </c:pt>
                <c:pt idx="7">
                  <c:v>0</c:v>
                </c:pt>
              </c:numCache>
            </c:numRef>
          </c:yVal>
          <c:smooth val="1"/>
          <c:extLst xmlns:c16r2="http://schemas.microsoft.com/office/drawing/2015/06/chart">
            <c:ext xmlns:c16="http://schemas.microsoft.com/office/drawing/2014/chart" uri="{C3380CC4-5D6E-409C-BE32-E72D297353CC}">
              <c16:uniqueId val="{00000004-7A83-4864-9838-DA87BEAE55A4}"/>
            </c:ext>
          </c:extLst>
        </c:ser>
        <c:ser>
          <c:idx val="5"/>
          <c:order val="5"/>
          <c:tx>
            <c:strRef>
              <c:f>'Independent Variables'!$A$106</c:f>
              <c:strCache>
                <c:ptCount val="1"/>
                <c:pt idx="0">
                  <c:v>IFIC Bank 2013</c:v>
                </c:pt>
              </c:strCache>
            </c:strRef>
          </c:tx>
          <c:marker>
            <c:symbol val="none"/>
          </c:marker>
          <c:xVal>
            <c:strRef>
              <c:f>'Independent Variables'!$B$100:$I$100</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Variables'!$B$106:$I$106</c:f>
              <c:numCache>
                <c:formatCode>General</c:formatCode>
                <c:ptCount val="8"/>
                <c:pt idx="0" formatCode="0.00%">
                  <c:v>0.92869999999999997</c:v>
                </c:pt>
                <c:pt idx="1">
                  <c:v>0</c:v>
                </c:pt>
                <c:pt idx="2">
                  <c:v>9</c:v>
                </c:pt>
                <c:pt idx="3">
                  <c:v>1</c:v>
                </c:pt>
                <c:pt idx="4">
                  <c:v>0</c:v>
                </c:pt>
                <c:pt idx="5">
                  <c:v>1</c:v>
                </c:pt>
                <c:pt idx="6" formatCode="0.00%">
                  <c:v>4.4999999999999997E-3</c:v>
                </c:pt>
                <c:pt idx="7">
                  <c:v>0</c:v>
                </c:pt>
              </c:numCache>
            </c:numRef>
          </c:yVal>
          <c:smooth val="1"/>
          <c:extLst xmlns:c16r2="http://schemas.microsoft.com/office/drawing/2015/06/chart">
            <c:ext xmlns:c16="http://schemas.microsoft.com/office/drawing/2014/chart" uri="{C3380CC4-5D6E-409C-BE32-E72D297353CC}">
              <c16:uniqueId val="{00000005-7A83-4864-9838-DA87BEAE55A4}"/>
            </c:ext>
          </c:extLst>
        </c:ser>
        <c:ser>
          <c:idx val="6"/>
          <c:order val="6"/>
          <c:tx>
            <c:strRef>
              <c:f>'Independent Variables'!$A$107</c:f>
              <c:strCache>
                <c:ptCount val="1"/>
                <c:pt idx="0">
                  <c:v>IFIC Bank 2012</c:v>
                </c:pt>
              </c:strCache>
            </c:strRef>
          </c:tx>
          <c:marker>
            <c:symbol val="none"/>
          </c:marker>
          <c:xVal>
            <c:strRef>
              <c:f>'Independent Variables'!$B$100:$I$100</c:f>
              <c:strCache>
                <c:ptCount val="8"/>
                <c:pt idx="0">
                  <c:v>Leverage</c:v>
                </c:pt>
                <c:pt idx="1">
                  <c:v>Religion</c:v>
                </c:pt>
                <c:pt idx="2">
                  <c:v>Board Size</c:v>
                </c:pt>
                <c:pt idx="3">
                  <c:v>Woman on Board </c:v>
                </c:pt>
                <c:pt idx="4">
                  <c:v>Foreign member on Board</c:v>
                </c:pt>
                <c:pt idx="5">
                  <c:v>Family Member's on Board</c:v>
                </c:pt>
                <c:pt idx="6">
                  <c:v>Foreign Ownership</c:v>
                </c:pt>
                <c:pt idx="7">
                  <c:v>Family Ownership</c:v>
                </c:pt>
              </c:strCache>
            </c:strRef>
          </c:xVal>
          <c:yVal>
            <c:numRef>
              <c:f>'Independent Variables'!$B$107:$I$107</c:f>
              <c:numCache>
                <c:formatCode>General</c:formatCode>
                <c:ptCount val="8"/>
                <c:pt idx="0" formatCode="0.00%">
                  <c:v>0.91879999999999995</c:v>
                </c:pt>
                <c:pt idx="1">
                  <c:v>0</c:v>
                </c:pt>
                <c:pt idx="2">
                  <c:v>6</c:v>
                </c:pt>
                <c:pt idx="3">
                  <c:v>0</c:v>
                </c:pt>
                <c:pt idx="4">
                  <c:v>0</c:v>
                </c:pt>
                <c:pt idx="5">
                  <c:v>0</c:v>
                </c:pt>
                <c:pt idx="6">
                  <c:v>0.28000000000000003</c:v>
                </c:pt>
                <c:pt idx="7">
                  <c:v>0</c:v>
                </c:pt>
              </c:numCache>
            </c:numRef>
          </c:yVal>
          <c:smooth val="1"/>
          <c:extLst xmlns:c16r2="http://schemas.microsoft.com/office/drawing/2015/06/chart">
            <c:ext xmlns:c16="http://schemas.microsoft.com/office/drawing/2014/chart" uri="{C3380CC4-5D6E-409C-BE32-E72D297353CC}">
              <c16:uniqueId val="{00000006-7A83-4864-9838-DA87BEAE55A4}"/>
            </c:ext>
          </c:extLst>
        </c:ser>
        <c:dLbls>
          <c:showLegendKey val="0"/>
          <c:showVal val="0"/>
          <c:showCatName val="0"/>
          <c:showSerName val="0"/>
          <c:showPercent val="0"/>
          <c:showBubbleSize val="0"/>
        </c:dLbls>
        <c:axId val="152792064"/>
        <c:axId val="152793856"/>
      </c:scatterChart>
      <c:valAx>
        <c:axId val="152792064"/>
        <c:scaling>
          <c:orientation val="minMax"/>
        </c:scaling>
        <c:delete val="0"/>
        <c:axPos val="b"/>
        <c:majorTickMark val="out"/>
        <c:minorTickMark val="none"/>
        <c:tickLblPos val="nextTo"/>
        <c:crossAx val="152793856"/>
        <c:crosses val="autoZero"/>
        <c:crossBetween val="midCat"/>
      </c:valAx>
      <c:valAx>
        <c:axId val="152793856"/>
        <c:scaling>
          <c:orientation val="minMax"/>
        </c:scaling>
        <c:delete val="0"/>
        <c:axPos val="l"/>
        <c:majorGridlines/>
        <c:numFmt formatCode="0.00%" sourceLinked="1"/>
        <c:majorTickMark val="out"/>
        <c:minorTickMark val="none"/>
        <c:tickLblPos val="nextTo"/>
        <c:crossAx val="152792064"/>
        <c:crosses val="autoZero"/>
        <c:crossBetween val="midCat"/>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htt</b:Tag>
    <b:SourceType>InternetSite</b:SourceType>
    <b:Guid>{AD74652D-2609-4B6E-95A3-9E2A9D7CF36F}</b:Guid>
    <b:Author>
      <b:Author>
        <b:NameList>
          <b:Person>
            <b:Last>https://www.dsebd.org/companylistbyindustry.php?industryno=11</b:Last>
          </b:Person>
        </b:NameList>
      </b:Author>
    </b:Author>
    <b:URL>https://www.dsebd.org/companylistbyindustry.php?industryno=11</b:URL>
    <b:RefOrder>1</b:RefOrder>
  </b:Source>
  <b:Source>
    <b:Tag>htt1</b:Tag>
    <b:SourceType>InternetSite</b:SourceType>
    <b:Guid>{940A947A-13E3-438D-9F25-5B49189537E9}</b:Guid>
    <b:URL>https://www.dsebd.org/companylistbyindustry.php?industryno=11</b:URL>
    <b:RefOrder>2</b:RefOrder>
  </b:Source>
  <b:Source>
    <b:Tag>Dha</b:Tag>
    <b:SourceType>InternetSite</b:SourceType>
    <b:Guid>{22A93A01-27FB-41D2-8A11-4175478EA874}</b:Guid>
    <b:InternetSiteTitle>Dhaka Stock Exchange </b:InternetSiteTitle>
    <b:URL>https://www.dsebd.org/companylistbyindustry.php?industryno=11</b:URL>
    <b:RefOrder>3</b:RefOrder>
  </b:Source>
  <b:Source>
    <b:Tag>ROI</b:Tag>
    <b:SourceType>InternetSite</b:SourceType>
    <b:Guid>{0982E83E-187D-4D49-A27E-C61C849797AB}</b:Guid>
    <b:InternetSiteTitle>ROI</b:InternetSiteTitle>
    <b:URL>https://www.investopedia.com/terms/r/returnoninvestment.asp</b:URL>
    <b:RefOrder>4</b:RefOrder>
  </b:Source>
</b:Sources>
</file>

<file path=customXml/itemProps1.xml><?xml version="1.0" encoding="utf-8"?>
<ds:datastoreItem xmlns:ds="http://schemas.openxmlformats.org/officeDocument/2006/customXml" ds:itemID="{5D6B30AA-D372-407B-8C80-DE9577F4D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5568</Words>
  <Characters>31744</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Project Report</vt:lpstr>
    </vt:vector>
  </TitlesOfParts>
  <Company/>
  <LinksUpToDate>false</LinksUpToDate>
  <CharactersWithSpaces>37238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Report</dc:title>
  <dc:subject>Performance Measurement of Banking Industry: Evidence from DSE listed Banks</dc:subject>
  <dc:creator>Mahedi Hasan</dc:creator>
  <cp:lastModifiedBy>Mofijul Hoq Masum</cp:lastModifiedBy>
  <cp:revision>2</cp:revision>
  <dcterms:created xsi:type="dcterms:W3CDTF">2019-09-07T05:24:00Z</dcterms:created>
  <dcterms:modified xsi:type="dcterms:W3CDTF">2019-09-07T05:24:00Z</dcterms:modified>
</cp:coreProperties>
</file>