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76771"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1B88493F"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566EBEA4"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719481BA"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6941A8D7"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16F72C14"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2362CB4B"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201DAF6D"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2DDF9E66" w14:textId="77777777" w:rsidR="00950EAC" w:rsidRPr="000E70CC" w:rsidRDefault="00950EAC" w:rsidP="009F365A">
      <w:pPr>
        <w:spacing w:line="360" w:lineRule="auto"/>
        <w:jc w:val="both"/>
        <w:rPr>
          <w:rFonts w:ascii="Arial" w:eastAsia="Arial" w:hAnsi="Arial" w:cs="Arial"/>
          <w:color w:val="000000" w:themeColor="text1"/>
          <w:sz w:val="40"/>
          <w:szCs w:val="40"/>
        </w:rPr>
      </w:pPr>
    </w:p>
    <w:p w14:paraId="76CC7290" w14:textId="77777777" w:rsidR="00950EAC" w:rsidRPr="000E70CC" w:rsidRDefault="00950EAC" w:rsidP="009F365A">
      <w:pPr>
        <w:spacing w:line="360" w:lineRule="auto"/>
        <w:jc w:val="center"/>
        <w:rPr>
          <w:rFonts w:ascii="Arial" w:eastAsia="Arial" w:hAnsi="Arial" w:cs="Arial"/>
          <w:b/>
          <w:bCs/>
          <w:color w:val="000000" w:themeColor="text1"/>
          <w:sz w:val="36"/>
          <w:szCs w:val="36"/>
        </w:rPr>
      </w:pPr>
      <w:r w:rsidRPr="000E70CC">
        <w:rPr>
          <w:rFonts w:ascii="Arial" w:eastAsia="Arial" w:hAnsi="Arial" w:cs="Arial"/>
          <w:b/>
          <w:bCs/>
          <w:color w:val="000000" w:themeColor="text1"/>
          <w:sz w:val="36"/>
          <w:szCs w:val="36"/>
        </w:rPr>
        <w:t>Performance Analysis of Alliance Finance PLC</w:t>
      </w:r>
    </w:p>
    <w:p w14:paraId="1C53F168" w14:textId="77777777" w:rsidR="00950EAC" w:rsidRPr="000E70CC" w:rsidRDefault="00950EAC" w:rsidP="009F365A">
      <w:pPr>
        <w:spacing w:line="360" w:lineRule="auto"/>
        <w:jc w:val="both"/>
        <w:rPr>
          <w:rFonts w:ascii="Arial" w:hAnsi="Arial" w:cs="Arial"/>
          <w:color w:val="000000" w:themeColor="text1"/>
        </w:rPr>
      </w:pPr>
    </w:p>
    <w:p w14:paraId="5B60D641" w14:textId="77777777" w:rsidR="00950EAC" w:rsidRPr="000E70CC" w:rsidRDefault="00950EAC" w:rsidP="009F365A">
      <w:pPr>
        <w:spacing w:line="360" w:lineRule="auto"/>
        <w:jc w:val="both"/>
        <w:rPr>
          <w:rFonts w:ascii="Arial" w:hAnsi="Arial" w:cs="Arial"/>
          <w:color w:val="000000" w:themeColor="text1"/>
        </w:rPr>
      </w:pPr>
    </w:p>
    <w:p w14:paraId="2D0873A6" w14:textId="77777777" w:rsidR="00950EAC" w:rsidRPr="000E70CC" w:rsidRDefault="00950EAC" w:rsidP="009F365A">
      <w:pPr>
        <w:spacing w:line="360" w:lineRule="auto"/>
        <w:jc w:val="both"/>
        <w:rPr>
          <w:rFonts w:ascii="Arial" w:hAnsi="Arial" w:cs="Arial"/>
          <w:color w:val="000000" w:themeColor="text1"/>
        </w:rPr>
      </w:pPr>
    </w:p>
    <w:p w14:paraId="384980B2" w14:textId="77777777" w:rsidR="00950EAC" w:rsidRPr="000E70CC" w:rsidRDefault="00950EAC" w:rsidP="009F365A">
      <w:pPr>
        <w:spacing w:line="360" w:lineRule="auto"/>
        <w:jc w:val="both"/>
        <w:rPr>
          <w:rFonts w:ascii="Arial" w:hAnsi="Arial" w:cs="Arial"/>
          <w:color w:val="000000" w:themeColor="text1"/>
        </w:rPr>
      </w:pPr>
    </w:p>
    <w:p w14:paraId="76DAFAE3" w14:textId="77777777" w:rsidR="00950EAC" w:rsidRPr="000E70CC" w:rsidRDefault="00950EAC" w:rsidP="009F365A">
      <w:pPr>
        <w:spacing w:line="360" w:lineRule="auto"/>
        <w:jc w:val="both"/>
        <w:rPr>
          <w:rFonts w:ascii="Arial" w:hAnsi="Arial" w:cs="Arial"/>
          <w:color w:val="000000" w:themeColor="text1"/>
        </w:rPr>
      </w:pPr>
    </w:p>
    <w:p w14:paraId="49D7C895" w14:textId="77777777" w:rsidR="00950EAC" w:rsidRPr="000E70CC" w:rsidRDefault="00950EAC" w:rsidP="009F365A">
      <w:pPr>
        <w:spacing w:line="360" w:lineRule="auto"/>
        <w:jc w:val="both"/>
        <w:rPr>
          <w:rFonts w:ascii="Arial" w:hAnsi="Arial" w:cs="Arial"/>
          <w:color w:val="000000" w:themeColor="text1"/>
        </w:rPr>
      </w:pPr>
    </w:p>
    <w:p w14:paraId="05184DF0" w14:textId="77777777" w:rsidR="00D77237" w:rsidRDefault="00D77237" w:rsidP="009F365A">
      <w:pPr>
        <w:spacing w:after="160" w:line="360" w:lineRule="auto"/>
        <w:rPr>
          <w:rFonts w:ascii="Arial" w:eastAsia="Arial" w:hAnsi="Arial" w:cs="Arial"/>
          <w:b/>
          <w:bCs/>
          <w:color w:val="000000" w:themeColor="text1"/>
          <w:sz w:val="36"/>
          <w:szCs w:val="36"/>
        </w:rPr>
      </w:pPr>
      <w:r>
        <w:rPr>
          <w:rFonts w:ascii="Arial" w:eastAsia="Arial" w:hAnsi="Arial" w:cs="Arial"/>
          <w:b/>
          <w:bCs/>
          <w:color w:val="000000" w:themeColor="text1"/>
          <w:sz w:val="36"/>
          <w:szCs w:val="36"/>
        </w:rPr>
        <w:br w:type="page"/>
      </w:r>
    </w:p>
    <w:p w14:paraId="4721CE0D" w14:textId="2FD4784F" w:rsidR="00950EAC" w:rsidRPr="000E70CC" w:rsidRDefault="00950EAC" w:rsidP="009F365A">
      <w:pPr>
        <w:spacing w:line="360" w:lineRule="auto"/>
        <w:jc w:val="center"/>
        <w:rPr>
          <w:rFonts w:ascii="Arial" w:eastAsia="Arial" w:hAnsi="Arial" w:cs="Arial"/>
          <w:b/>
          <w:bCs/>
          <w:color w:val="000000" w:themeColor="text1"/>
          <w:sz w:val="36"/>
          <w:szCs w:val="36"/>
        </w:rPr>
      </w:pPr>
      <w:r w:rsidRPr="000E70CC">
        <w:rPr>
          <w:rFonts w:ascii="Arial" w:eastAsia="Arial" w:hAnsi="Arial" w:cs="Arial"/>
          <w:b/>
          <w:bCs/>
          <w:color w:val="000000" w:themeColor="text1"/>
          <w:sz w:val="36"/>
          <w:szCs w:val="36"/>
        </w:rPr>
        <w:lastRenderedPageBreak/>
        <w:t>Performance Analysis of Alliance Finance PLC</w:t>
      </w:r>
    </w:p>
    <w:p w14:paraId="76EAB537" w14:textId="77777777" w:rsidR="00950EAC" w:rsidRPr="000E70CC" w:rsidRDefault="00950EAC" w:rsidP="009F365A">
      <w:pPr>
        <w:spacing w:line="360" w:lineRule="auto"/>
        <w:jc w:val="both"/>
        <w:rPr>
          <w:rFonts w:ascii="Arial" w:hAnsi="Arial" w:cs="Arial"/>
          <w:color w:val="000000" w:themeColor="text1"/>
        </w:rPr>
      </w:pPr>
    </w:p>
    <w:p w14:paraId="2536FFC9" w14:textId="77777777" w:rsidR="00950EAC" w:rsidRPr="000E70CC" w:rsidRDefault="00950EAC" w:rsidP="009F365A">
      <w:pPr>
        <w:spacing w:line="360" w:lineRule="auto"/>
        <w:jc w:val="both"/>
        <w:rPr>
          <w:rFonts w:ascii="Arial" w:eastAsia="Arial" w:hAnsi="Arial" w:cs="Arial"/>
          <w:color w:val="000000" w:themeColor="text1"/>
          <w:sz w:val="28"/>
          <w:szCs w:val="28"/>
        </w:rPr>
      </w:pPr>
    </w:p>
    <w:p w14:paraId="49FF7EC9" w14:textId="77777777" w:rsidR="00950EAC" w:rsidRPr="000E70CC" w:rsidRDefault="00950EAC" w:rsidP="009F365A">
      <w:pPr>
        <w:spacing w:line="360" w:lineRule="auto"/>
        <w:jc w:val="center"/>
        <w:rPr>
          <w:rFonts w:ascii="Arial" w:eastAsia="Arial" w:hAnsi="Arial" w:cs="Arial"/>
          <w:b/>
          <w:bCs/>
          <w:color w:val="000000" w:themeColor="text1"/>
          <w:sz w:val="28"/>
          <w:szCs w:val="28"/>
        </w:rPr>
      </w:pPr>
      <w:commentRangeStart w:id="0"/>
      <w:r w:rsidRPr="000E70CC">
        <w:rPr>
          <w:rFonts w:ascii="Arial" w:eastAsia="Arial" w:hAnsi="Arial" w:cs="Arial"/>
          <w:b/>
          <w:bCs/>
          <w:color w:val="000000" w:themeColor="text1"/>
          <w:sz w:val="28"/>
          <w:szCs w:val="28"/>
        </w:rPr>
        <w:t>Submitted to:</w:t>
      </w:r>
      <w:commentRangeEnd w:id="0"/>
      <w:r w:rsidRPr="000E70CC">
        <w:rPr>
          <w:rFonts w:ascii="Arial" w:hAnsi="Arial" w:cs="Arial"/>
          <w:color w:val="000000" w:themeColor="text1"/>
        </w:rPr>
        <w:commentReference w:id="0"/>
      </w:r>
    </w:p>
    <w:p w14:paraId="69AFCAC5" w14:textId="77777777" w:rsidR="00950EAC" w:rsidRPr="000E70CC" w:rsidRDefault="00950EAC" w:rsidP="009F365A">
      <w:pPr>
        <w:spacing w:line="360" w:lineRule="auto"/>
        <w:jc w:val="center"/>
        <w:rPr>
          <w:rFonts w:ascii="Arial" w:eastAsia="Arial" w:hAnsi="Arial" w:cs="Arial"/>
          <w:b/>
          <w:bCs/>
          <w:color w:val="000000" w:themeColor="text1"/>
          <w:sz w:val="24"/>
          <w:szCs w:val="24"/>
        </w:rPr>
      </w:pPr>
      <w:r w:rsidRPr="000E70CC">
        <w:rPr>
          <w:rFonts w:ascii="Arial" w:eastAsia="Arial" w:hAnsi="Arial" w:cs="Arial"/>
          <w:b/>
          <w:bCs/>
          <w:color w:val="000000" w:themeColor="text1"/>
          <w:sz w:val="24"/>
          <w:szCs w:val="24"/>
        </w:rPr>
        <w:t>Muhammad Enamul Haque</w:t>
      </w:r>
    </w:p>
    <w:p w14:paraId="1802DB09" w14:textId="1D767145" w:rsidR="00950EAC" w:rsidRPr="000E70CC" w:rsidRDefault="00950EAC" w:rsidP="009F365A">
      <w:pPr>
        <w:spacing w:line="360" w:lineRule="auto"/>
        <w:jc w:val="center"/>
        <w:rPr>
          <w:rFonts w:ascii="Arial" w:eastAsia="Arial" w:hAnsi="Arial" w:cs="Arial"/>
          <w:b/>
          <w:bCs/>
          <w:color w:val="000000" w:themeColor="text1"/>
          <w:sz w:val="24"/>
          <w:szCs w:val="24"/>
        </w:rPr>
      </w:pPr>
      <w:proofErr w:type="gramStart"/>
      <w:r w:rsidRPr="000E70CC">
        <w:rPr>
          <w:rFonts w:ascii="Arial" w:eastAsia="Arial" w:hAnsi="Arial" w:cs="Arial"/>
          <w:b/>
          <w:bCs/>
          <w:color w:val="000000" w:themeColor="text1"/>
          <w:sz w:val="24"/>
          <w:szCs w:val="24"/>
        </w:rPr>
        <w:t>Ass</w:t>
      </w:r>
      <w:r w:rsidR="001F70A8">
        <w:rPr>
          <w:rFonts w:ascii="Arial" w:eastAsia="Arial" w:hAnsi="Arial" w:cs="Arial"/>
          <w:b/>
          <w:bCs/>
          <w:color w:val="000000" w:themeColor="text1"/>
          <w:sz w:val="24"/>
          <w:szCs w:val="24"/>
        </w:rPr>
        <w:t xml:space="preserve">ociate </w:t>
      </w:r>
      <w:r w:rsidRPr="000E70CC">
        <w:rPr>
          <w:rFonts w:ascii="Arial" w:eastAsia="Arial" w:hAnsi="Arial" w:cs="Arial"/>
          <w:b/>
          <w:bCs/>
          <w:color w:val="000000" w:themeColor="text1"/>
          <w:sz w:val="24"/>
          <w:szCs w:val="24"/>
        </w:rPr>
        <w:t xml:space="preserve"> Professor</w:t>
      </w:r>
      <w:proofErr w:type="gramEnd"/>
      <w:r w:rsidRPr="000E70CC">
        <w:rPr>
          <w:rFonts w:ascii="Arial" w:eastAsia="Arial" w:hAnsi="Arial" w:cs="Arial"/>
          <w:b/>
          <w:bCs/>
          <w:color w:val="000000" w:themeColor="text1"/>
          <w:sz w:val="24"/>
          <w:szCs w:val="24"/>
        </w:rPr>
        <w:t>, School of Business &amp; Economics (SoBE)</w:t>
      </w:r>
    </w:p>
    <w:p w14:paraId="40999839" w14:textId="77777777" w:rsidR="00950EAC" w:rsidRPr="000E70CC" w:rsidRDefault="00950EAC" w:rsidP="009F365A">
      <w:pPr>
        <w:spacing w:line="360" w:lineRule="auto"/>
        <w:jc w:val="center"/>
        <w:rPr>
          <w:rFonts w:ascii="Arial" w:eastAsia="Arial" w:hAnsi="Arial" w:cs="Arial"/>
          <w:b/>
          <w:bCs/>
          <w:color w:val="000000" w:themeColor="text1"/>
          <w:sz w:val="24"/>
          <w:szCs w:val="24"/>
        </w:rPr>
      </w:pPr>
      <w:r w:rsidRPr="000E70CC">
        <w:rPr>
          <w:rFonts w:ascii="Arial" w:eastAsia="Arial" w:hAnsi="Arial" w:cs="Arial"/>
          <w:b/>
          <w:bCs/>
          <w:color w:val="000000" w:themeColor="text1"/>
          <w:sz w:val="24"/>
          <w:szCs w:val="24"/>
        </w:rPr>
        <w:t>Finance and Fintech</w:t>
      </w:r>
    </w:p>
    <w:p w14:paraId="5F71A623" w14:textId="77777777" w:rsidR="00950EAC" w:rsidRPr="000E70CC" w:rsidRDefault="00950EAC" w:rsidP="009F365A">
      <w:pPr>
        <w:spacing w:line="360" w:lineRule="auto"/>
        <w:jc w:val="center"/>
        <w:rPr>
          <w:rFonts w:ascii="Arial" w:eastAsia="Arial" w:hAnsi="Arial" w:cs="Arial"/>
          <w:b/>
          <w:bCs/>
          <w:color w:val="000000" w:themeColor="text1"/>
          <w:sz w:val="24"/>
          <w:szCs w:val="24"/>
        </w:rPr>
      </w:pPr>
    </w:p>
    <w:p w14:paraId="25FF67FB" w14:textId="77777777" w:rsidR="00950EAC" w:rsidRPr="000E70CC" w:rsidRDefault="00950EAC" w:rsidP="009F365A">
      <w:pPr>
        <w:spacing w:line="360" w:lineRule="auto"/>
        <w:jc w:val="center"/>
        <w:rPr>
          <w:rFonts w:ascii="Arial" w:eastAsia="Arial" w:hAnsi="Arial" w:cs="Arial"/>
          <w:b/>
          <w:bCs/>
          <w:color w:val="000000" w:themeColor="text1"/>
          <w:sz w:val="24"/>
          <w:szCs w:val="24"/>
        </w:rPr>
      </w:pPr>
    </w:p>
    <w:p w14:paraId="5244C4CD" w14:textId="77777777" w:rsidR="00950EAC" w:rsidRPr="000E70CC" w:rsidRDefault="00950EAC" w:rsidP="009F365A">
      <w:pPr>
        <w:spacing w:line="360" w:lineRule="auto"/>
        <w:jc w:val="center"/>
        <w:rPr>
          <w:rFonts w:ascii="Arial" w:eastAsia="Arial" w:hAnsi="Arial" w:cs="Arial"/>
          <w:b/>
          <w:bCs/>
          <w:color w:val="000000" w:themeColor="text1"/>
          <w:sz w:val="28"/>
          <w:szCs w:val="28"/>
        </w:rPr>
      </w:pPr>
      <w:commentRangeStart w:id="1"/>
      <w:r w:rsidRPr="000E70CC">
        <w:rPr>
          <w:rFonts w:ascii="Arial" w:eastAsia="Arial" w:hAnsi="Arial" w:cs="Arial"/>
          <w:b/>
          <w:bCs/>
          <w:color w:val="000000" w:themeColor="text1"/>
          <w:sz w:val="28"/>
          <w:szCs w:val="28"/>
        </w:rPr>
        <w:t>Submitted by:</w:t>
      </w:r>
      <w:commentRangeEnd w:id="1"/>
      <w:r w:rsidRPr="000E70CC">
        <w:rPr>
          <w:rFonts w:ascii="Arial" w:hAnsi="Arial" w:cs="Arial"/>
          <w:b/>
          <w:bCs/>
          <w:color w:val="000000" w:themeColor="text1"/>
        </w:rPr>
        <w:commentReference w:id="1"/>
      </w:r>
    </w:p>
    <w:p w14:paraId="333EC44A" w14:textId="0746D592" w:rsidR="00950EAC" w:rsidRPr="000E70CC" w:rsidRDefault="00950EAC" w:rsidP="009F365A">
      <w:pPr>
        <w:spacing w:line="360" w:lineRule="auto"/>
        <w:jc w:val="center"/>
        <w:rPr>
          <w:rFonts w:ascii="Arial" w:eastAsia="Arial" w:hAnsi="Arial" w:cs="Arial"/>
          <w:b/>
          <w:bCs/>
          <w:color w:val="000000" w:themeColor="text1"/>
          <w:sz w:val="24"/>
          <w:szCs w:val="24"/>
        </w:rPr>
      </w:pPr>
      <w:r w:rsidRPr="000E70CC">
        <w:rPr>
          <w:rFonts w:ascii="Arial" w:eastAsia="Arial" w:hAnsi="Arial" w:cs="Arial"/>
          <w:b/>
          <w:bCs/>
          <w:color w:val="000000" w:themeColor="text1"/>
          <w:sz w:val="24"/>
          <w:szCs w:val="24"/>
        </w:rPr>
        <w:t>Tahmid Ahmed</w:t>
      </w:r>
    </w:p>
    <w:p w14:paraId="09FD203B" w14:textId="77777777" w:rsidR="00950EAC" w:rsidRPr="000E70CC" w:rsidRDefault="00950EAC" w:rsidP="009F365A">
      <w:pPr>
        <w:spacing w:line="360" w:lineRule="auto"/>
        <w:jc w:val="center"/>
        <w:rPr>
          <w:rFonts w:ascii="Arial" w:eastAsia="Arial" w:hAnsi="Arial" w:cs="Arial"/>
          <w:b/>
          <w:bCs/>
          <w:color w:val="000000" w:themeColor="text1"/>
          <w:sz w:val="24"/>
          <w:szCs w:val="24"/>
        </w:rPr>
      </w:pPr>
      <w:r w:rsidRPr="000E70CC">
        <w:rPr>
          <w:rFonts w:ascii="Arial" w:eastAsia="Arial" w:hAnsi="Arial" w:cs="Arial"/>
          <w:b/>
          <w:bCs/>
          <w:color w:val="000000" w:themeColor="text1"/>
          <w:sz w:val="24"/>
          <w:szCs w:val="24"/>
        </w:rPr>
        <w:t>1112230004</w:t>
      </w:r>
    </w:p>
    <w:p w14:paraId="4ECA26A3" w14:textId="77777777" w:rsidR="00950EAC" w:rsidRPr="000E70CC" w:rsidRDefault="00950EAC" w:rsidP="009F365A">
      <w:pPr>
        <w:spacing w:line="360" w:lineRule="auto"/>
        <w:jc w:val="center"/>
        <w:rPr>
          <w:rFonts w:ascii="Arial" w:eastAsia="Arial" w:hAnsi="Arial" w:cs="Arial"/>
          <w:b/>
          <w:bCs/>
          <w:color w:val="000000" w:themeColor="text1"/>
          <w:sz w:val="24"/>
          <w:szCs w:val="24"/>
        </w:rPr>
      </w:pPr>
      <w:r w:rsidRPr="000E70CC">
        <w:rPr>
          <w:rFonts w:ascii="Arial" w:eastAsia="Arial" w:hAnsi="Arial" w:cs="Arial"/>
          <w:b/>
          <w:bCs/>
          <w:color w:val="000000" w:themeColor="text1"/>
          <w:sz w:val="24"/>
          <w:szCs w:val="24"/>
        </w:rPr>
        <w:t>Finance and Fintech</w:t>
      </w:r>
    </w:p>
    <w:p w14:paraId="3C3925B0" w14:textId="77777777" w:rsidR="00950EAC" w:rsidRPr="000E70CC" w:rsidRDefault="00950EAC" w:rsidP="009F365A">
      <w:pPr>
        <w:spacing w:line="360" w:lineRule="auto"/>
        <w:jc w:val="center"/>
        <w:rPr>
          <w:rFonts w:ascii="Arial" w:eastAsia="Arial" w:hAnsi="Arial" w:cs="Arial"/>
          <w:b/>
          <w:bCs/>
          <w:color w:val="000000" w:themeColor="text1"/>
          <w:sz w:val="24"/>
          <w:szCs w:val="24"/>
        </w:rPr>
      </w:pPr>
      <w:r w:rsidRPr="000E70CC">
        <w:rPr>
          <w:rFonts w:ascii="Arial" w:eastAsia="Arial" w:hAnsi="Arial" w:cs="Arial"/>
          <w:b/>
          <w:bCs/>
          <w:color w:val="000000" w:themeColor="text1"/>
          <w:sz w:val="24"/>
          <w:szCs w:val="24"/>
        </w:rPr>
        <w:t>Spring 2026</w:t>
      </w:r>
    </w:p>
    <w:p w14:paraId="7767AF0B" w14:textId="77777777" w:rsidR="00950EAC" w:rsidRPr="000E70CC" w:rsidRDefault="00950EAC" w:rsidP="009F365A">
      <w:pPr>
        <w:spacing w:line="360" w:lineRule="auto"/>
        <w:jc w:val="center"/>
        <w:rPr>
          <w:rFonts w:ascii="Arial" w:eastAsia="Arial" w:hAnsi="Arial" w:cs="Arial"/>
          <w:color w:val="000000" w:themeColor="text1"/>
          <w:sz w:val="24"/>
          <w:szCs w:val="24"/>
        </w:rPr>
      </w:pPr>
      <w:r w:rsidRPr="000E70CC">
        <w:rPr>
          <w:rFonts w:ascii="Arial" w:hAnsi="Arial" w:cs="Arial"/>
          <w:noProof/>
          <w:color w:val="000000" w:themeColor="text1"/>
        </w:rPr>
        <w:drawing>
          <wp:inline distT="0" distB="0" distL="0" distR="0" wp14:anchorId="4F5969C9" wp14:editId="343C2427">
            <wp:extent cx="761470" cy="696027"/>
            <wp:effectExtent l="0" t="0" r="0" b="0"/>
            <wp:docPr id="1" name="image1.png" descr="https://upload.wikimedia.org/wikipedia/en/thumb/6/6b/United_International_University_Monogram.svg/200px-United_International_University_Monogram.svg.png"/>
            <wp:cNvGraphicFramePr/>
            <a:graphic xmlns:a="http://schemas.openxmlformats.org/drawingml/2006/main">
              <a:graphicData uri="http://schemas.openxmlformats.org/drawingml/2006/picture">
                <pic:pic xmlns:pic="http://schemas.openxmlformats.org/drawingml/2006/picture">
                  <pic:nvPicPr>
                    <pic:cNvPr id="0" name="image1.png" descr="https://upload.wikimedia.org/wikipedia/en/thumb/6/6b/United_International_University_Monogram.svg/200px-United_International_University_Monogram.svg.png"/>
                    <pic:cNvPicPr preferRelativeResize="0"/>
                  </pic:nvPicPr>
                  <pic:blipFill>
                    <a:blip r:embed="rId11"/>
                    <a:srcRect/>
                    <a:stretch>
                      <a:fillRect/>
                    </a:stretch>
                  </pic:blipFill>
                  <pic:spPr>
                    <a:xfrm>
                      <a:off x="0" y="0"/>
                      <a:ext cx="761470" cy="696027"/>
                    </a:xfrm>
                    <a:prstGeom prst="rect">
                      <a:avLst/>
                    </a:prstGeom>
                    <a:ln/>
                  </pic:spPr>
                </pic:pic>
              </a:graphicData>
            </a:graphic>
          </wp:inline>
        </w:drawing>
      </w:r>
    </w:p>
    <w:p w14:paraId="5FB33E97" w14:textId="77777777" w:rsidR="00950EAC" w:rsidRPr="000E70CC" w:rsidRDefault="00950EAC" w:rsidP="009F365A">
      <w:pPr>
        <w:spacing w:line="360" w:lineRule="auto"/>
        <w:jc w:val="center"/>
        <w:rPr>
          <w:rFonts w:ascii="Arial" w:eastAsia="Arial" w:hAnsi="Arial" w:cs="Arial"/>
          <w:b/>
          <w:bCs/>
          <w:color w:val="000000" w:themeColor="text1"/>
          <w:sz w:val="32"/>
          <w:szCs w:val="32"/>
        </w:rPr>
      </w:pPr>
      <w:commentRangeStart w:id="2"/>
      <w:r w:rsidRPr="000E70CC">
        <w:rPr>
          <w:rFonts w:ascii="Arial" w:eastAsia="Arial" w:hAnsi="Arial" w:cs="Arial"/>
          <w:b/>
          <w:bCs/>
          <w:color w:val="000000" w:themeColor="text1"/>
          <w:sz w:val="32"/>
          <w:szCs w:val="32"/>
        </w:rPr>
        <w:t xml:space="preserve">School of Business and Economics </w:t>
      </w:r>
      <w:commentRangeEnd w:id="2"/>
      <w:r w:rsidRPr="000E70CC">
        <w:rPr>
          <w:rFonts w:ascii="Arial" w:hAnsi="Arial" w:cs="Arial"/>
          <w:color w:val="000000" w:themeColor="text1"/>
        </w:rPr>
        <w:commentReference w:id="2"/>
      </w:r>
    </w:p>
    <w:p w14:paraId="7AA4C4E9" w14:textId="04C8E32A" w:rsidR="00950EAC" w:rsidRPr="000E70CC" w:rsidRDefault="00950EAC" w:rsidP="009F365A">
      <w:pPr>
        <w:spacing w:line="360" w:lineRule="auto"/>
        <w:jc w:val="center"/>
        <w:rPr>
          <w:rFonts w:ascii="Arial" w:eastAsia="Arial" w:hAnsi="Arial" w:cs="Arial"/>
          <w:b/>
          <w:bCs/>
          <w:color w:val="000000" w:themeColor="text1"/>
          <w:sz w:val="40"/>
          <w:szCs w:val="40"/>
        </w:rPr>
      </w:pPr>
      <w:commentRangeStart w:id="3"/>
      <w:r w:rsidRPr="000E70CC">
        <w:rPr>
          <w:rFonts w:ascii="Arial" w:eastAsia="Arial" w:hAnsi="Arial" w:cs="Arial"/>
          <w:b/>
          <w:bCs/>
          <w:color w:val="000000" w:themeColor="text1"/>
          <w:sz w:val="40"/>
          <w:szCs w:val="40"/>
        </w:rPr>
        <w:t xml:space="preserve">United International University </w:t>
      </w:r>
      <w:commentRangeEnd w:id="3"/>
      <w:r w:rsidRPr="000E70CC">
        <w:rPr>
          <w:rFonts w:ascii="Arial" w:hAnsi="Arial" w:cs="Arial"/>
          <w:color w:val="000000" w:themeColor="text1"/>
        </w:rPr>
        <w:commentReference w:id="3"/>
      </w:r>
    </w:p>
    <w:p w14:paraId="461828EC" w14:textId="240580D0" w:rsidR="00950EAC" w:rsidRPr="000E70CC" w:rsidRDefault="00950EAC" w:rsidP="009F365A">
      <w:pPr>
        <w:spacing w:line="360" w:lineRule="auto"/>
        <w:jc w:val="center"/>
        <w:rPr>
          <w:rFonts w:ascii="Arial" w:eastAsia="Arial" w:hAnsi="Arial" w:cs="Arial"/>
          <w:b/>
          <w:bCs/>
          <w:color w:val="000000" w:themeColor="text1"/>
          <w:sz w:val="28"/>
          <w:szCs w:val="28"/>
        </w:rPr>
      </w:pPr>
      <w:r w:rsidRPr="000E70CC">
        <w:rPr>
          <w:rFonts w:ascii="Arial" w:eastAsia="Arial" w:hAnsi="Arial" w:cs="Arial"/>
          <w:b/>
          <w:bCs/>
          <w:color w:val="000000" w:themeColor="text1"/>
          <w:sz w:val="28"/>
          <w:szCs w:val="28"/>
        </w:rPr>
        <w:t>Date of submission: July 23, 2026</w:t>
      </w:r>
    </w:p>
    <w:p w14:paraId="5967668C" w14:textId="4F4BA4FE" w:rsidR="00950EAC" w:rsidRPr="007F04BA" w:rsidRDefault="00950EAC" w:rsidP="009F365A">
      <w:pPr>
        <w:pStyle w:val="Heading1"/>
        <w:spacing w:line="360" w:lineRule="auto"/>
      </w:pPr>
      <w:bookmarkStart w:id="4" w:name="_Toc235653203"/>
      <w:r w:rsidRPr="007F04BA">
        <w:lastRenderedPageBreak/>
        <w:t>Letter of Transmittal</w:t>
      </w:r>
      <w:bookmarkEnd w:id="4"/>
    </w:p>
    <w:p w14:paraId="26AFD5A2" w14:textId="77777777" w:rsidR="000C76D9" w:rsidRPr="000E70CC" w:rsidRDefault="000C76D9" w:rsidP="009F365A">
      <w:pPr>
        <w:spacing w:line="360" w:lineRule="auto"/>
        <w:jc w:val="both"/>
        <w:rPr>
          <w:rFonts w:ascii="Arial" w:hAnsi="Arial" w:cs="Arial"/>
          <w:color w:val="000000" w:themeColor="text1"/>
          <w:sz w:val="24"/>
          <w:szCs w:val="24"/>
        </w:rPr>
      </w:pPr>
    </w:p>
    <w:p w14:paraId="6ED5FD25" w14:textId="7D2C4714" w:rsidR="00950EAC" w:rsidRPr="00A2062A" w:rsidRDefault="00950EAC" w:rsidP="009F365A">
      <w:pPr>
        <w:spacing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July 23, 2026</w:t>
      </w:r>
    </w:p>
    <w:p w14:paraId="41433933" w14:textId="2212A50E"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p>
    <w:p w14:paraId="4AF631DE" w14:textId="119BB9F0" w:rsidR="00950EAC" w:rsidRPr="00A2062A" w:rsidRDefault="00950EAC" w:rsidP="009F365A">
      <w:pPr>
        <w:shd w:val="clear" w:color="auto" w:fill="FFFFFF"/>
        <w:spacing w:before="240" w:after="240" w:line="360" w:lineRule="auto"/>
        <w:rPr>
          <w:rFonts w:ascii="Arial" w:hAnsi="Arial" w:cs="Arial"/>
          <w:color w:val="000000" w:themeColor="text1"/>
          <w:sz w:val="24"/>
          <w:szCs w:val="24"/>
        </w:rPr>
      </w:pPr>
      <w:r w:rsidRPr="00A2062A">
        <w:rPr>
          <w:rStyle w:val="Heading4Char"/>
          <w:rFonts w:ascii="Arial" w:hAnsi="Arial" w:cs="Arial"/>
          <w:i w:val="0"/>
          <w:iCs w:val="0"/>
          <w:color w:val="000000" w:themeColor="text1"/>
          <w:sz w:val="24"/>
          <w:szCs w:val="24"/>
        </w:rPr>
        <w:t>To,</w:t>
      </w:r>
      <w:r w:rsidRPr="00A2062A">
        <w:rPr>
          <w:rFonts w:ascii="Arial" w:hAnsi="Arial" w:cs="Arial"/>
          <w:i/>
          <w:iCs/>
          <w:color w:val="000000" w:themeColor="text1"/>
          <w:sz w:val="24"/>
          <w:szCs w:val="24"/>
        </w:rPr>
        <w:br/>
      </w:r>
      <w:r w:rsidR="00622737" w:rsidRPr="00A2062A">
        <w:rPr>
          <w:rFonts w:ascii="Arial" w:hAnsi="Arial" w:cs="Arial"/>
          <w:color w:val="000000" w:themeColor="text1"/>
          <w:sz w:val="24"/>
          <w:szCs w:val="24"/>
        </w:rPr>
        <w:t xml:space="preserve">Muhammad </w:t>
      </w:r>
      <w:proofErr w:type="spellStart"/>
      <w:r w:rsidR="00622737" w:rsidRPr="00A2062A">
        <w:rPr>
          <w:rFonts w:ascii="Arial" w:hAnsi="Arial" w:cs="Arial"/>
          <w:color w:val="000000" w:themeColor="text1"/>
          <w:sz w:val="24"/>
          <w:szCs w:val="24"/>
        </w:rPr>
        <w:t>Enamul</w:t>
      </w:r>
      <w:proofErr w:type="spellEnd"/>
      <w:r w:rsidR="00622737" w:rsidRPr="00A2062A">
        <w:rPr>
          <w:rFonts w:ascii="Arial" w:hAnsi="Arial" w:cs="Arial"/>
          <w:color w:val="000000" w:themeColor="text1"/>
          <w:sz w:val="24"/>
          <w:szCs w:val="24"/>
        </w:rPr>
        <w:t xml:space="preserve"> Haque</w:t>
      </w:r>
      <w:r w:rsidRPr="00A2062A">
        <w:rPr>
          <w:rFonts w:ascii="Arial" w:hAnsi="Arial" w:cs="Arial"/>
          <w:color w:val="000000" w:themeColor="text1"/>
          <w:sz w:val="24"/>
          <w:szCs w:val="24"/>
        </w:rPr>
        <w:br/>
      </w:r>
      <w:r w:rsidR="00622737" w:rsidRPr="00A2062A">
        <w:rPr>
          <w:rFonts w:ascii="Arial" w:hAnsi="Arial" w:cs="Arial"/>
          <w:color w:val="000000" w:themeColor="text1"/>
          <w:sz w:val="24"/>
          <w:szCs w:val="24"/>
        </w:rPr>
        <w:t>Ass</w:t>
      </w:r>
      <w:r w:rsidR="001F70A8">
        <w:rPr>
          <w:rFonts w:ascii="Arial" w:hAnsi="Arial" w:cs="Arial"/>
          <w:color w:val="000000" w:themeColor="text1"/>
          <w:sz w:val="24"/>
          <w:szCs w:val="24"/>
        </w:rPr>
        <w:t xml:space="preserve">ociate </w:t>
      </w:r>
      <w:r w:rsidR="00622737" w:rsidRPr="00A2062A">
        <w:rPr>
          <w:rFonts w:ascii="Arial" w:hAnsi="Arial" w:cs="Arial"/>
          <w:color w:val="000000" w:themeColor="text1"/>
          <w:sz w:val="24"/>
          <w:szCs w:val="24"/>
        </w:rPr>
        <w:t>Professor</w:t>
      </w:r>
      <w:r w:rsidRPr="00A2062A">
        <w:rPr>
          <w:rFonts w:ascii="Arial" w:hAnsi="Arial" w:cs="Arial"/>
          <w:color w:val="000000" w:themeColor="text1"/>
          <w:sz w:val="24"/>
          <w:szCs w:val="24"/>
        </w:rPr>
        <w:br/>
      </w:r>
      <w:r w:rsidR="00622737" w:rsidRPr="00A2062A">
        <w:rPr>
          <w:rFonts w:ascii="Arial" w:hAnsi="Arial" w:cs="Arial"/>
          <w:color w:val="000000" w:themeColor="text1"/>
          <w:sz w:val="24"/>
          <w:szCs w:val="24"/>
        </w:rPr>
        <w:t>School of Business and Economics</w:t>
      </w:r>
      <w:r w:rsidR="000C76D9" w:rsidRPr="00A2062A">
        <w:rPr>
          <w:rFonts w:ascii="Arial" w:hAnsi="Arial" w:cs="Arial"/>
          <w:color w:val="000000" w:themeColor="text1"/>
          <w:sz w:val="24"/>
          <w:szCs w:val="24"/>
        </w:rPr>
        <w:t xml:space="preserve"> </w:t>
      </w:r>
      <w:r w:rsidR="00622737" w:rsidRPr="00A2062A">
        <w:rPr>
          <w:rFonts w:ascii="Arial" w:hAnsi="Arial" w:cs="Arial"/>
          <w:color w:val="000000" w:themeColor="text1"/>
          <w:sz w:val="24"/>
          <w:szCs w:val="24"/>
        </w:rPr>
        <w:t xml:space="preserve">(SOBE) </w:t>
      </w:r>
      <w:r w:rsidRPr="00A2062A">
        <w:rPr>
          <w:rFonts w:ascii="Arial" w:hAnsi="Arial" w:cs="Arial"/>
          <w:color w:val="000000" w:themeColor="text1"/>
          <w:sz w:val="24"/>
          <w:szCs w:val="24"/>
        </w:rPr>
        <w:br/>
      </w:r>
      <w:r w:rsidR="00622737" w:rsidRPr="00A2062A">
        <w:rPr>
          <w:rFonts w:ascii="Arial" w:hAnsi="Arial" w:cs="Arial"/>
          <w:color w:val="000000" w:themeColor="text1"/>
          <w:sz w:val="24"/>
          <w:szCs w:val="24"/>
        </w:rPr>
        <w:t>United International University</w:t>
      </w:r>
    </w:p>
    <w:p w14:paraId="61E3F168" w14:textId="355202A7"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r w:rsidRPr="00A2062A">
        <w:rPr>
          <w:rStyle w:val="Heading4Char"/>
          <w:rFonts w:ascii="Arial" w:hAnsi="Arial" w:cs="Arial"/>
          <w:color w:val="000000" w:themeColor="text1"/>
          <w:sz w:val="24"/>
          <w:szCs w:val="24"/>
        </w:rPr>
        <w:t>Subject: Submission of Internship Report on "Performance Analysis of Alliance Finance PLC"</w:t>
      </w:r>
    </w:p>
    <w:p w14:paraId="00B101DF" w14:textId="7FDF7728"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Dear Sir</w:t>
      </w:r>
      <w:r w:rsidR="000C76D9" w:rsidRPr="00A2062A">
        <w:rPr>
          <w:rFonts w:ascii="Arial" w:hAnsi="Arial" w:cs="Arial"/>
          <w:color w:val="000000" w:themeColor="text1"/>
          <w:sz w:val="24"/>
          <w:szCs w:val="24"/>
        </w:rPr>
        <w:t>,</w:t>
      </w:r>
    </w:p>
    <w:p w14:paraId="21A16862" w14:textId="17F7D5A0"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It is my pleasure to submit the internship report titled </w:t>
      </w:r>
      <w:r w:rsidRPr="00A2062A">
        <w:rPr>
          <w:rStyle w:val="Heading4Char"/>
          <w:rFonts w:ascii="Arial" w:hAnsi="Arial" w:cs="Arial"/>
          <w:color w:val="000000" w:themeColor="text1"/>
          <w:sz w:val="24"/>
          <w:szCs w:val="24"/>
        </w:rPr>
        <w:t>" Performance Analysis of Alliance Finance PLC"</w:t>
      </w:r>
      <w:r w:rsidRPr="00A2062A">
        <w:rPr>
          <w:rFonts w:ascii="Arial" w:hAnsi="Arial" w:cs="Arial"/>
          <w:color w:val="000000" w:themeColor="text1"/>
          <w:sz w:val="24"/>
          <w:szCs w:val="24"/>
        </w:rPr>
        <w:t> as a partial requirement for the completion of my internship program.</w:t>
      </w:r>
    </w:p>
    <w:p w14:paraId="482E3D10" w14:textId="77777777"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This report presents a comprehensive financial analysis of Alliance Finance PLC (formerly Lankan Alliance Finance Limited) over the five-year period from 2021 to 2025. The analysis employs the Aggregate ROE framework to decompose the company's shareholder returns into their underlying operational and financial drivers, providing insights into profitability, efficiency, and sustainability.</w:t>
      </w:r>
    </w:p>
    <w:p w14:paraId="30E95C67" w14:textId="77777777"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The report covers a detailed ratio analysis across market, profitability, efficiency, liquidity, and solvency dimensions, followed by a systematic decomposition of ROE using the five-component DuPont framework. Additionally, the report assesses the company's sustainable growth capacity and net worth creation over the study period.</w:t>
      </w:r>
    </w:p>
    <w:p w14:paraId="038AA573" w14:textId="65422A43"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I have endeavored to ensure accuracy</w:t>
      </w:r>
      <w:r w:rsidR="000C76D9" w:rsidRPr="00A2062A">
        <w:rPr>
          <w:rFonts w:ascii="Arial" w:hAnsi="Arial" w:cs="Arial"/>
          <w:color w:val="000000" w:themeColor="text1"/>
          <w:sz w:val="24"/>
          <w:szCs w:val="24"/>
        </w:rPr>
        <w:t xml:space="preserve"> and</w:t>
      </w:r>
      <w:r w:rsidRPr="00A2062A">
        <w:rPr>
          <w:rFonts w:ascii="Arial" w:hAnsi="Arial" w:cs="Arial"/>
          <w:color w:val="000000" w:themeColor="text1"/>
          <w:sz w:val="24"/>
          <w:szCs w:val="24"/>
        </w:rPr>
        <w:t xml:space="preserve"> clarity throughout this report. The data used in this analysis has been sourced from the audited annual reports of Alliance Finance PLC for the years 2021 to 2025.</w:t>
      </w:r>
    </w:p>
    <w:p w14:paraId="78F9F1EF" w14:textId="77777777"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lastRenderedPageBreak/>
        <w:t>I am grateful for your guidance and support throughout this internship. I would be happy to provide any additional information or clarifications you may require regarding this report.</w:t>
      </w:r>
    </w:p>
    <w:p w14:paraId="0AFE3B42" w14:textId="1D8A0823" w:rsidR="00950EAC" w:rsidRPr="00A2062A" w:rsidRDefault="00950EAC"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Yours sincerely,</w:t>
      </w:r>
    </w:p>
    <w:p w14:paraId="4B7D8E78" w14:textId="18372B5B" w:rsidR="00950EAC" w:rsidRPr="00A2062A" w:rsidRDefault="000C76D9" w:rsidP="009F365A">
      <w:pPr>
        <w:shd w:val="clear" w:color="auto" w:fill="FFFFFF"/>
        <w:spacing w:before="240" w:after="240" w:line="360" w:lineRule="auto"/>
        <w:rPr>
          <w:rFonts w:ascii="Arial" w:hAnsi="Arial" w:cs="Arial"/>
          <w:color w:val="000000" w:themeColor="text1"/>
          <w:sz w:val="24"/>
          <w:szCs w:val="24"/>
        </w:rPr>
      </w:pPr>
      <w:r w:rsidRPr="00A2062A">
        <w:rPr>
          <w:rFonts w:ascii="Arial" w:hAnsi="Arial" w:cs="Arial"/>
          <w:color w:val="000000" w:themeColor="text1"/>
          <w:sz w:val="24"/>
          <w:szCs w:val="24"/>
        </w:rPr>
        <w:t>Tahmid</w:t>
      </w:r>
      <w:r w:rsidR="00D77237" w:rsidRPr="00A2062A">
        <w:rPr>
          <w:rFonts w:ascii="Arial" w:hAnsi="Arial" w:cs="Arial"/>
          <w:color w:val="000000" w:themeColor="text1"/>
          <w:sz w:val="24"/>
          <w:szCs w:val="24"/>
        </w:rPr>
        <w:t xml:space="preserve"> </w:t>
      </w:r>
      <w:r w:rsidRPr="00A2062A">
        <w:rPr>
          <w:rFonts w:ascii="Arial" w:hAnsi="Arial" w:cs="Arial"/>
          <w:color w:val="000000" w:themeColor="text1"/>
          <w:sz w:val="24"/>
          <w:szCs w:val="24"/>
        </w:rPr>
        <w:t>Ahmed</w:t>
      </w:r>
      <w:r w:rsidR="00950EAC" w:rsidRPr="00A2062A">
        <w:rPr>
          <w:rFonts w:ascii="Arial" w:hAnsi="Arial" w:cs="Arial"/>
          <w:color w:val="000000" w:themeColor="text1"/>
          <w:sz w:val="24"/>
          <w:szCs w:val="24"/>
        </w:rPr>
        <w:br/>
      </w:r>
      <w:r w:rsidRPr="00A2062A">
        <w:rPr>
          <w:rFonts w:ascii="Arial" w:hAnsi="Arial" w:cs="Arial"/>
          <w:color w:val="000000" w:themeColor="text1"/>
          <w:sz w:val="24"/>
          <w:szCs w:val="24"/>
        </w:rPr>
        <w:t>1112230004</w:t>
      </w:r>
      <w:r w:rsidR="00950EAC" w:rsidRPr="00A2062A">
        <w:rPr>
          <w:rFonts w:ascii="Arial" w:hAnsi="Arial" w:cs="Arial"/>
          <w:color w:val="000000" w:themeColor="text1"/>
          <w:sz w:val="24"/>
          <w:szCs w:val="24"/>
        </w:rPr>
        <w:br/>
      </w:r>
    </w:p>
    <w:p w14:paraId="31D39FEE" w14:textId="77777777" w:rsidR="00D77237" w:rsidRDefault="00D77237" w:rsidP="009F365A">
      <w:pPr>
        <w:spacing w:after="160" w:line="360" w:lineRule="auto"/>
        <w:rPr>
          <w:rFonts w:ascii="Arial" w:eastAsia="Arial" w:hAnsi="Arial" w:cs="Arial"/>
          <w:b/>
          <w:bCs/>
          <w:color w:val="000000" w:themeColor="text1"/>
          <w:sz w:val="32"/>
          <w:szCs w:val="32"/>
        </w:rPr>
      </w:pPr>
      <w:r>
        <w:rPr>
          <w:color w:val="000000" w:themeColor="text1"/>
        </w:rPr>
        <w:br w:type="page"/>
      </w:r>
    </w:p>
    <w:p w14:paraId="2ACF6763" w14:textId="178704E6" w:rsidR="00950EAC" w:rsidRPr="007F04BA" w:rsidRDefault="00950EAC" w:rsidP="009F365A">
      <w:pPr>
        <w:pStyle w:val="Heading1"/>
        <w:spacing w:line="360" w:lineRule="auto"/>
      </w:pPr>
      <w:bookmarkStart w:id="5" w:name="_Toc235653204"/>
      <w:commentRangeStart w:id="6"/>
      <w:r w:rsidRPr="007F04BA">
        <w:lastRenderedPageBreak/>
        <w:t>Certification of Similarity Index</w:t>
      </w:r>
      <w:commentRangeEnd w:id="6"/>
      <w:r w:rsidRPr="007F04BA">
        <w:commentReference w:id="6"/>
      </w:r>
      <w:bookmarkEnd w:id="5"/>
    </w:p>
    <w:p w14:paraId="71BE19FA"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24F783EF"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2F5A1F44"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2F6E3BB6"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32F57DF3"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0EED9C09"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4C87C70E"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0FEC505C"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77D39EF4"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0C85E610"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07D7AB30"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77CF0CD4"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1411BFDF" w14:textId="77777777" w:rsidR="007F04BA" w:rsidRDefault="007F04BA" w:rsidP="009F365A">
      <w:pPr>
        <w:spacing w:after="160" w:line="360" w:lineRule="auto"/>
        <w:rPr>
          <w:rFonts w:ascii="Arial" w:eastAsia="Arial" w:hAnsi="Arial" w:cs="Arial"/>
          <w:b/>
          <w:bCs/>
          <w:color w:val="366091"/>
          <w:sz w:val="32"/>
          <w:szCs w:val="32"/>
        </w:rPr>
      </w:pPr>
      <w:r>
        <w:br w:type="page"/>
      </w:r>
    </w:p>
    <w:p w14:paraId="0CC3D6B6" w14:textId="262FD52C" w:rsidR="00950EAC" w:rsidRPr="007F04BA" w:rsidRDefault="00950EAC" w:rsidP="009F365A">
      <w:pPr>
        <w:pStyle w:val="Heading1"/>
        <w:spacing w:line="360" w:lineRule="auto"/>
      </w:pPr>
      <w:bookmarkStart w:id="7" w:name="_Toc235653205"/>
      <w:commentRangeStart w:id="8"/>
      <w:r w:rsidRPr="007F04BA">
        <w:lastRenderedPageBreak/>
        <w:t xml:space="preserve">Declaration of the Student </w:t>
      </w:r>
      <w:commentRangeEnd w:id="8"/>
      <w:r w:rsidRPr="007F04BA">
        <w:commentReference w:id="8"/>
      </w:r>
      <w:bookmarkEnd w:id="7"/>
    </w:p>
    <w:p w14:paraId="5010B3D9" w14:textId="77777777" w:rsidR="00950EAC" w:rsidRPr="000E70CC" w:rsidRDefault="00950EAC" w:rsidP="009F365A">
      <w:pPr>
        <w:spacing w:line="360" w:lineRule="auto"/>
        <w:jc w:val="both"/>
        <w:rPr>
          <w:rFonts w:ascii="Arial" w:eastAsia="Arial" w:hAnsi="Arial" w:cs="Arial"/>
          <w:b/>
          <w:bCs/>
          <w:color w:val="000000" w:themeColor="text1"/>
          <w:sz w:val="40"/>
          <w:szCs w:val="40"/>
        </w:rPr>
      </w:pPr>
    </w:p>
    <w:p w14:paraId="39F62294" w14:textId="51F191EA" w:rsidR="000C76D9" w:rsidRPr="000C76D9" w:rsidRDefault="000C76D9"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I, </w:t>
      </w:r>
      <w:r w:rsidRPr="000E70CC">
        <w:rPr>
          <w:rFonts w:ascii="Arial" w:eastAsia="Times New Roman" w:hAnsi="Arial" w:cs="Arial"/>
          <w:color w:val="000000" w:themeColor="text1"/>
          <w:sz w:val="24"/>
          <w:szCs w:val="24"/>
          <w:lang w:val="en-US"/>
        </w:rPr>
        <w:t>Tahmid Ahmed</w:t>
      </w:r>
      <w:r w:rsidRPr="000C76D9">
        <w:rPr>
          <w:rFonts w:ascii="Arial" w:eastAsia="Times New Roman" w:hAnsi="Arial" w:cs="Arial"/>
          <w:color w:val="000000" w:themeColor="text1"/>
          <w:sz w:val="24"/>
          <w:szCs w:val="24"/>
          <w:lang w:val="en-US"/>
        </w:rPr>
        <w:t>, Student ID: </w:t>
      </w:r>
      <w:r w:rsidRPr="000E70CC">
        <w:rPr>
          <w:rFonts w:ascii="Arial" w:eastAsia="Times New Roman" w:hAnsi="Arial" w:cs="Arial"/>
          <w:color w:val="000000" w:themeColor="text1"/>
          <w:sz w:val="24"/>
          <w:szCs w:val="24"/>
          <w:lang w:val="en-US"/>
        </w:rPr>
        <w:t>1112230004</w:t>
      </w:r>
      <w:r w:rsidRPr="000C76D9">
        <w:rPr>
          <w:rFonts w:ascii="Arial" w:eastAsia="Times New Roman" w:hAnsi="Arial" w:cs="Arial"/>
          <w:color w:val="000000" w:themeColor="text1"/>
          <w:sz w:val="24"/>
          <w:szCs w:val="24"/>
          <w:lang w:val="en-US"/>
        </w:rPr>
        <w:t>, hereby declare that the internship report titled </w:t>
      </w:r>
      <w:r w:rsidRPr="000C76D9">
        <w:rPr>
          <w:rFonts w:ascii="Arial" w:eastAsia="Times New Roman" w:hAnsi="Arial" w:cs="Arial"/>
          <w:b/>
          <w:bCs/>
          <w:color w:val="000000" w:themeColor="text1"/>
          <w:sz w:val="24"/>
          <w:szCs w:val="24"/>
          <w:lang w:val="en-US"/>
        </w:rPr>
        <w:t>"</w:t>
      </w:r>
      <w:r w:rsidRPr="000824F8">
        <w:rPr>
          <w:rFonts w:ascii="Arial" w:eastAsia="Times New Roman" w:hAnsi="Arial" w:cs="Arial"/>
          <w:color w:val="000000" w:themeColor="text1"/>
          <w:sz w:val="24"/>
          <w:szCs w:val="24"/>
          <w:lang w:val="en-US"/>
        </w:rPr>
        <w:t>Performance Analysis of Alliance Finance PLC</w:t>
      </w:r>
      <w:r w:rsidRPr="000C76D9">
        <w:rPr>
          <w:rFonts w:ascii="Arial" w:eastAsia="Times New Roman" w:hAnsi="Arial" w:cs="Arial"/>
          <w:b/>
          <w:bCs/>
          <w:color w:val="000000" w:themeColor="text1"/>
          <w:sz w:val="24"/>
          <w:szCs w:val="24"/>
          <w:lang w:val="en-US"/>
        </w:rPr>
        <w:t>"</w:t>
      </w:r>
      <w:r w:rsidRPr="000C76D9">
        <w:rPr>
          <w:rFonts w:ascii="Arial" w:eastAsia="Times New Roman" w:hAnsi="Arial" w:cs="Arial"/>
          <w:color w:val="000000" w:themeColor="text1"/>
          <w:sz w:val="24"/>
          <w:szCs w:val="24"/>
          <w:lang w:val="en-US"/>
        </w:rPr>
        <w:t xml:space="preserve"> is my original work. This report has been prepared as a partial requirement for the completion of my internship program at </w:t>
      </w:r>
      <w:r w:rsidR="00234F94" w:rsidRPr="000E70CC">
        <w:rPr>
          <w:rFonts w:ascii="Arial" w:eastAsia="Times New Roman" w:hAnsi="Arial" w:cs="Arial"/>
          <w:color w:val="000000" w:themeColor="text1"/>
          <w:sz w:val="24"/>
          <w:szCs w:val="24"/>
          <w:lang w:val="en-US"/>
        </w:rPr>
        <w:t>United International University</w:t>
      </w:r>
      <w:r w:rsidRPr="000C76D9">
        <w:rPr>
          <w:rFonts w:ascii="Arial" w:eastAsia="Times New Roman" w:hAnsi="Arial" w:cs="Arial"/>
          <w:color w:val="000000" w:themeColor="text1"/>
          <w:sz w:val="24"/>
          <w:szCs w:val="24"/>
          <w:lang w:val="en-US"/>
        </w:rPr>
        <w:t>.</w:t>
      </w:r>
    </w:p>
    <w:p w14:paraId="32995D2F" w14:textId="77777777" w:rsidR="000C76D9" w:rsidRPr="000C76D9" w:rsidRDefault="000C76D9"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I further declare that:</w:t>
      </w:r>
    </w:p>
    <w:p w14:paraId="4098B09C" w14:textId="77777777" w:rsidR="000C76D9" w:rsidRPr="000C76D9" w:rsidRDefault="000C76D9" w:rsidP="009F365A">
      <w:pPr>
        <w:numPr>
          <w:ilvl w:val="0"/>
          <w:numId w:val="5"/>
        </w:numPr>
        <w:shd w:val="clear" w:color="auto" w:fill="FFFFFF"/>
        <w:spacing w:before="100" w:beforeAutospacing="1" w:after="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This report has not been submitted previously for any other degree or diploma at any other institution.</w:t>
      </w:r>
    </w:p>
    <w:p w14:paraId="3CBC3706" w14:textId="77777777" w:rsidR="000C76D9" w:rsidRPr="000C76D9" w:rsidRDefault="000C76D9" w:rsidP="009F365A">
      <w:pPr>
        <w:numPr>
          <w:ilvl w:val="0"/>
          <w:numId w:val="5"/>
        </w:numPr>
        <w:shd w:val="clear" w:color="auto" w:fill="FFFFFF"/>
        <w:spacing w:before="100" w:beforeAutospacing="1" w:after="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All data, information, and sources used in this report have been properly acknowledged and cited.</w:t>
      </w:r>
    </w:p>
    <w:p w14:paraId="1B97BFAB" w14:textId="77777777" w:rsidR="000C76D9" w:rsidRPr="000C76D9" w:rsidRDefault="000C76D9" w:rsidP="009F365A">
      <w:pPr>
        <w:numPr>
          <w:ilvl w:val="0"/>
          <w:numId w:val="5"/>
        </w:numPr>
        <w:shd w:val="clear" w:color="auto" w:fill="FFFFFF"/>
        <w:spacing w:before="100" w:beforeAutospacing="1" w:after="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The financial data used in this analysis has been sourced from the audited annual reports of Alliance Finance PLC for the years 2021 to 2025.</w:t>
      </w:r>
    </w:p>
    <w:p w14:paraId="27A0B879" w14:textId="77777777" w:rsidR="000C76D9" w:rsidRPr="000C76D9" w:rsidRDefault="000C76D9" w:rsidP="009F365A">
      <w:pPr>
        <w:numPr>
          <w:ilvl w:val="0"/>
          <w:numId w:val="5"/>
        </w:numPr>
        <w:shd w:val="clear" w:color="auto" w:fill="FFFFFF"/>
        <w:spacing w:before="100" w:beforeAutospacing="1" w:after="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The analysis and interpretations presented in this report are my own, based on the application of financial analysis frameworks learned during my academic studies.</w:t>
      </w:r>
    </w:p>
    <w:p w14:paraId="5BD1BA05" w14:textId="77777777" w:rsidR="000C76D9" w:rsidRPr="000C76D9" w:rsidRDefault="000C76D9" w:rsidP="009F365A">
      <w:pPr>
        <w:numPr>
          <w:ilvl w:val="0"/>
          <w:numId w:val="5"/>
        </w:numPr>
        <w:shd w:val="clear" w:color="auto" w:fill="FFFFFF"/>
        <w:spacing w:before="100" w:beforeAutospacing="1" w:after="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I have maintained academic integrity and honesty throughout the preparation of this report.</w:t>
      </w:r>
    </w:p>
    <w:p w14:paraId="17DA3746" w14:textId="77777777" w:rsidR="000C76D9" w:rsidRPr="000C76D9" w:rsidRDefault="000C76D9"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Any errors or omissions in this report are solely my responsibility.</w:t>
      </w:r>
    </w:p>
    <w:p w14:paraId="3FAD263F" w14:textId="4EF4184F" w:rsidR="00234F94" w:rsidRPr="000E70CC" w:rsidRDefault="000C76D9"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r w:rsidRPr="000C76D9">
        <w:rPr>
          <w:rFonts w:ascii="Arial" w:eastAsia="Times New Roman" w:hAnsi="Arial" w:cs="Arial"/>
          <w:color w:val="000000" w:themeColor="text1"/>
          <w:sz w:val="24"/>
          <w:szCs w:val="24"/>
          <w:lang w:val="en-US"/>
        </w:rPr>
        <w:t xml:space="preserve">Date: </w:t>
      </w:r>
      <w:r w:rsidR="00234F94" w:rsidRPr="000E70CC">
        <w:rPr>
          <w:rFonts w:ascii="Arial" w:eastAsia="Times New Roman" w:hAnsi="Arial" w:cs="Arial"/>
          <w:color w:val="000000" w:themeColor="text1"/>
          <w:sz w:val="24"/>
          <w:szCs w:val="24"/>
          <w:lang w:val="en-US"/>
        </w:rPr>
        <w:t>July 2</w:t>
      </w:r>
      <w:r w:rsidR="00BA41AA">
        <w:rPr>
          <w:rFonts w:ascii="Arial" w:eastAsia="Times New Roman" w:hAnsi="Arial" w:cs="Arial"/>
          <w:color w:val="000000" w:themeColor="text1"/>
          <w:sz w:val="24"/>
          <w:szCs w:val="24"/>
          <w:lang w:val="en-US"/>
        </w:rPr>
        <w:t>3</w:t>
      </w:r>
      <w:r w:rsidR="00234F94" w:rsidRPr="000E70CC">
        <w:rPr>
          <w:rFonts w:ascii="Arial" w:eastAsia="Times New Roman" w:hAnsi="Arial" w:cs="Arial"/>
          <w:color w:val="000000" w:themeColor="text1"/>
          <w:sz w:val="24"/>
          <w:szCs w:val="24"/>
          <w:lang w:val="en-US"/>
        </w:rPr>
        <w:t>, 2026</w:t>
      </w:r>
    </w:p>
    <w:p w14:paraId="590A2E7F" w14:textId="76A6AFF3" w:rsidR="00234F94" w:rsidRPr="000E70CC" w:rsidRDefault="00234F94"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p>
    <w:p w14:paraId="7F7CF630" w14:textId="77777777" w:rsidR="00950EAC" w:rsidRPr="000E70CC" w:rsidRDefault="00950EAC" w:rsidP="009F365A">
      <w:pPr>
        <w:spacing w:line="360" w:lineRule="auto"/>
        <w:jc w:val="both"/>
        <w:rPr>
          <w:rFonts w:ascii="Arial" w:hAnsi="Arial" w:cs="Arial"/>
          <w:color w:val="000000" w:themeColor="text1"/>
        </w:rPr>
      </w:pPr>
    </w:p>
    <w:p w14:paraId="77FD9123" w14:textId="77777777" w:rsidR="00950EAC" w:rsidRPr="000E70CC" w:rsidRDefault="00950EAC" w:rsidP="009F365A">
      <w:pPr>
        <w:spacing w:line="360" w:lineRule="auto"/>
        <w:jc w:val="both"/>
        <w:rPr>
          <w:rFonts w:ascii="Arial" w:hAnsi="Arial" w:cs="Arial"/>
          <w:color w:val="000000" w:themeColor="text1"/>
        </w:rPr>
      </w:pPr>
    </w:p>
    <w:p w14:paraId="55B5D5BD" w14:textId="77777777" w:rsidR="00950EAC" w:rsidRPr="000E70CC" w:rsidRDefault="00950EAC" w:rsidP="009F365A">
      <w:pPr>
        <w:spacing w:line="360" w:lineRule="auto"/>
        <w:jc w:val="both"/>
        <w:rPr>
          <w:rFonts w:ascii="Arial" w:hAnsi="Arial" w:cs="Arial"/>
          <w:color w:val="000000" w:themeColor="text1"/>
        </w:rPr>
      </w:pPr>
    </w:p>
    <w:p w14:paraId="09C2E9C0" w14:textId="0B384592" w:rsidR="00234F94" w:rsidRPr="000E70CC" w:rsidRDefault="00234F94" w:rsidP="009F365A">
      <w:pPr>
        <w:spacing w:after="160" w:line="360" w:lineRule="auto"/>
        <w:jc w:val="both"/>
        <w:rPr>
          <w:rFonts w:ascii="Arial" w:hAnsi="Arial" w:cs="Arial"/>
          <w:color w:val="000000" w:themeColor="text1"/>
        </w:rPr>
      </w:pPr>
    </w:p>
    <w:p w14:paraId="51AA008C" w14:textId="1EAB4607" w:rsidR="00950EAC" w:rsidRPr="00D77237" w:rsidRDefault="00234F94" w:rsidP="009F365A">
      <w:pPr>
        <w:pStyle w:val="Heading1"/>
        <w:spacing w:line="360" w:lineRule="auto"/>
      </w:pPr>
      <w:r w:rsidRPr="000E70CC">
        <w:br w:type="page"/>
      </w:r>
      <w:bookmarkStart w:id="9" w:name="_Toc235653206"/>
      <w:commentRangeStart w:id="10"/>
      <w:r w:rsidR="00950EAC" w:rsidRPr="00D77237">
        <w:lastRenderedPageBreak/>
        <w:t>Acknowledgement</w:t>
      </w:r>
      <w:commentRangeEnd w:id="10"/>
      <w:r w:rsidR="00950EAC" w:rsidRPr="00D77237">
        <w:commentReference w:id="10"/>
      </w:r>
      <w:bookmarkEnd w:id="9"/>
    </w:p>
    <w:p w14:paraId="01E3E556" w14:textId="77777777" w:rsidR="00950EAC" w:rsidRPr="000E70CC" w:rsidRDefault="00950EAC" w:rsidP="009F365A">
      <w:pPr>
        <w:spacing w:line="360" w:lineRule="auto"/>
        <w:jc w:val="both"/>
        <w:rPr>
          <w:rFonts w:ascii="Arial" w:hAnsi="Arial" w:cs="Arial"/>
          <w:color w:val="000000" w:themeColor="text1"/>
        </w:rPr>
      </w:pPr>
    </w:p>
    <w:p w14:paraId="747D1F66" w14:textId="77777777" w:rsidR="00234F94" w:rsidRPr="00A2062A" w:rsidRDefault="00234F94"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r w:rsidRPr="00A2062A">
        <w:rPr>
          <w:rFonts w:ascii="Arial" w:hAnsi="Arial" w:cs="Arial"/>
          <w:color w:val="000000" w:themeColor="text1"/>
          <w:sz w:val="24"/>
          <w:szCs w:val="24"/>
        </w:rPr>
        <w:t>All praises are due to Allah [or your preferred expression] for granting me the strength, patience, and perseverance to complete this internship report successfully.</w:t>
      </w:r>
    </w:p>
    <w:p w14:paraId="7F2A8B0E" w14:textId="501FBB7F" w:rsidR="00234F94" w:rsidRPr="00A2062A" w:rsidRDefault="00234F94"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 xml:space="preserve">I would like to express my sincere gratitude to Muhammad </w:t>
      </w:r>
      <w:proofErr w:type="spellStart"/>
      <w:r w:rsidRPr="00A2062A">
        <w:rPr>
          <w:rFonts w:ascii="Arial" w:hAnsi="Arial" w:cs="Arial"/>
          <w:color w:val="000000" w:themeColor="text1"/>
          <w:sz w:val="24"/>
          <w:szCs w:val="24"/>
        </w:rPr>
        <w:t>Enamul</w:t>
      </w:r>
      <w:proofErr w:type="spellEnd"/>
      <w:r w:rsidRPr="00A2062A">
        <w:rPr>
          <w:rFonts w:ascii="Arial" w:hAnsi="Arial" w:cs="Arial"/>
          <w:color w:val="000000" w:themeColor="text1"/>
          <w:sz w:val="24"/>
          <w:szCs w:val="24"/>
        </w:rPr>
        <w:t xml:space="preserve"> Haque, Ass</w:t>
      </w:r>
      <w:r w:rsidR="001F70A8">
        <w:rPr>
          <w:rFonts w:ascii="Arial" w:hAnsi="Arial" w:cs="Arial"/>
          <w:color w:val="000000" w:themeColor="text1"/>
          <w:sz w:val="24"/>
          <w:szCs w:val="24"/>
        </w:rPr>
        <w:t xml:space="preserve">ociate </w:t>
      </w:r>
      <w:r w:rsidRPr="00A2062A">
        <w:rPr>
          <w:rFonts w:ascii="Arial" w:hAnsi="Arial" w:cs="Arial"/>
          <w:color w:val="000000" w:themeColor="text1"/>
          <w:sz w:val="24"/>
          <w:szCs w:val="24"/>
        </w:rPr>
        <w:t xml:space="preserve">Professor, </w:t>
      </w:r>
      <w:r w:rsidR="00DE4398" w:rsidRPr="00A2062A">
        <w:rPr>
          <w:rFonts w:ascii="Arial" w:hAnsi="Arial" w:cs="Arial"/>
          <w:color w:val="000000" w:themeColor="text1"/>
          <w:sz w:val="24"/>
          <w:szCs w:val="24"/>
        </w:rPr>
        <w:t xml:space="preserve">School of Business and Economics (SOBE) of UIU </w:t>
      </w:r>
      <w:r w:rsidRPr="00A2062A">
        <w:rPr>
          <w:rFonts w:ascii="Arial" w:hAnsi="Arial" w:cs="Arial"/>
          <w:color w:val="000000" w:themeColor="text1"/>
          <w:sz w:val="24"/>
          <w:szCs w:val="24"/>
        </w:rPr>
        <w:t>for his invaluable guidance, continuous support, and constructive feedback throughout the preparation of this report. Their expertise and insights have significantly enhanced the quality of this work.</w:t>
      </w:r>
    </w:p>
    <w:p w14:paraId="1E2593CC" w14:textId="77777777" w:rsidR="00234F94" w:rsidRPr="00A2062A" w:rsidRDefault="00234F94"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I am also grateful to the management and staff of </w:t>
      </w:r>
      <w:r w:rsidRPr="00A2062A">
        <w:rPr>
          <w:rStyle w:val="Heading4Char"/>
          <w:rFonts w:ascii="Arial" w:hAnsi="Arial" w:cs="Arial"/>
          <w:b/>
          <w:bCs/>
          <w:color w:val="000000" w:themeColor="text1"/>
          <w:sz w:val="24"/>
          <w:szCs w:val="24"/>
        </w:rPr>
        <w:t>Alliance Finance PLC</w:t>
      </w:r>
      <w:r w:rsidRPr="00A2062A">
        <w:rPr>
          <w:rFonts w:ascii="Arial" w:hAnsi="Arial" w:cs="Arial"/>
          <w:color w:val="000000" w:themeColor="text1"/>
          <w:sz w:val="24"/>
          <w:szCs w:val="24"/>
        </w:rPr>
        <w:t> for providing me with the opportunity to conduct my internship with the organization. Their cooperation in providing access to the necessary financial data and annual reports was instrumental in completing this analysis.</w:t>
      </w:r>
    </w:p>
    <w:p w14:paraId="22A3A864" w14:textId="0628972D" w:rsidR="00234F94" w:rsidRPr="00A2062A" w:rsidRDefault="00DE4398"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 xml:space="preserve">Finally, </w:t>
      </w:r>
      <w:r w:rsidR="00234F94" w:rsidRPr="00A2062A">
        <w:rPr>
          <w:rFonts w:ascii="Arial" w:hAnsi="Arial" w:cs="Arial"/>
          <w:color w:val="000000" w:themeColor="text1"/>
          <w:sz w:val="24"/>
          <w:szCs w:val="24"/>
        </w:rPr>
        <w:t xml:space="preserve">I would like to extend my appreciation to the faculty members of the </w:t>
      </w:r>
      <w:r w:rsidRPr="00A2062A">
        <w:rPr>
          <w:rFonts w:ascii="Arial" w:hAnsi="Arial" w:cs="Arial"/>
          <w:color w:val="000000" w:themeColor="text1"/>
          <w:sz w:val="24"/>
          <w:szCs w:val="24"/>
        </w:rPr>
        <w:t>School of Business and Economics</w:t>
      </w:r>
      <w:r w:rsidR="00234F94" w:rsidRPr="00A2062A">
        <w:rPr>
          <w:rFonts w:ascii="Arial" w:hAnsi="Arial" w:cs="Arial"/>
          <w:color w:val="000000" w:themeColor="text1"/>
          <w:sz w:val="24"/>
          <w:szCs w:val="24"/>
        </w:rPr>
        <w:t xml:space="preserve"> for their academic support and guidance throughout my studies. Their teachings have provided me with the foundation necessary to undertake this analysis.</w:t>
      </w:r>
    </w:p>
    <w:p w14:paraId="74A30CD1" w14:textId="77777777" w:rsidR="00950EAC" w:rsidRPr="00A2062A" w:rsidRDefault="00950EAC" w:rsidP="009F365A">
      <w:pPr>
        <w:spacing w:line="360" w:lineRule="auto"/>
        <w:jc w:val="both"/>
        <w:rPr>
          <w:rFonts w:ascii="Arial" w:hAnsi="Arial" w:cs="Arial"/>
          <w:color w:val="000000" w:themeColor="text1"/>
          <w:sz w:val="24"/>
          <w:szCs w:val="24"/>
        </w:rPr>
      </w:pPr>
    </w:p>
    <w:p w14:paraId="2E2FA07E" w14:textId="77777777" w:rsidR="00950EAC" w:rsidRPr="000E70CC" w:rsidRDefault="00950EAC" w:rsidP="009F365A">
      <w:pPr>
        <w:spacing w:line="360" w:lineRule="auto"/>
        <w:jc w:val="both"/>
        <w:rPr>
          <w:rFonts w:ascii="Arial" w:hAnsi="Arial" w:cs="Arial"/>
          <w:color w:val="000000" w:themeColor="text1"/>
        </w:rPr>
      </w:pPr>
    </w:p>
    <w:p w14:paraId="742CD145" w14:textId="77777777" w:rsidR="00950EAC" w:rsidRPr="000E70CC" w:rsidRDefault="00950EAC" w:rsidP="009F365A">
      <w:pPr>
        <w:spacing w:line="360" w:lineRule="auto"/>
        <w:jc w:val="both"/>
        <w:rPr>
          <w:rFonts w:ascii="Arial" w:hAnsi="Arial" w:cs="Arial"/>
          <w:color w:val="000000" w:themeColor="text1"/>
        </w:rPr>
      </w:pPr>
    </w:p>
    <w:p w14:paraId="7665398D" w14:textId="77777777" w:rsidR="00950EAC" w:rsidRPr="000E70CC" w:rsidRDefault="00950EAC" w:rsidP="009F365A">
      <w:pPr>
        <w:spacing w:line="360" w:lineRule="auto"/>
        <w:jc w:val="both"/>
        <w:rPr>
          <w:rFonts w:ascii="Arial" w:hAnsi="Arial" w:cs="Arial"/>
          <w:color w:val="000000" w:themeColor="text1"/>
        </w:rPr>
      </w:pPr>
    </w:p>
    <w:p w14:paraId="245DCF3C" w14:textId="77777777" w:rsidR="00950EAC" w:rsidRPr="000E70CC" w:rsidRDefault="00950EAC" w:rsidP="009F365A">
      <w:pPr>
        <w:spacing w:line="360" w:lineRule="auto"/>
        <w:jc w:val="both"/>
        <w:rPr>
          <w:rFonts w:ascii="Arial" w:hAnsi="Arial" w:cs="Arial"/>
          <w:color w:val="000000" w:themeColor="text1"/>
        </w:rPr>
      </w:pPr>
    </w:p>
    <w:p w14:paraId="5551C58A" w14:textId="77777777" w:rsidR="00950EAC" w:rsidRPr="000E70CC" w:rsidRDefault="00950EAC" w:rsidP="009F365A">
      <w:pPr>
        <w:spacing w:line="360" w:lineRule="auto"/>
        <w:jc w:val="both"/>
        <w:rPr>
          <w:rFonts w:ascii="Arial" w:hAnsi="Arial" w:cs="Arial"/>
          <w:color w:val="000000" w:themeColor="text1"/>
        </w:rPr>
      </w:pPr>
    </w:p>
    <w:p w14:paraId="3D142423" w14:textId="77777777" w:rsidR="00950EAC" w:rsidRPr="000E70CC" w:rsidRDefault="00950EAC" w:rsidP="009F365A">
      <w:pPr>
        <w:spacing w:line="360" w:lineRule="auto"/>
        <w:jc w:val="both"/>
        <w:rPr>
          <w:rFonts w:ascii="Arial" w:hAnsi="Arial" w:cs="Arial"/>
          <w:color w:val="000000" w:themeColor="text1"/>
        </w:rPr>
      </w:pPr>
    </w:p>
    <w:p w14:paraId="1340FA20" w14:textId="77777777" w:rsidR="00A2062A" w:rsidRDefault="00A2062A" w:rsidP="009F365A">
      <w:pPr>
        <w:spacing w:after="160" w:line="360" w:lineRule="auto"/>
        <w:rPr>
          <w:rFonts w:ascii="Arial" w:hAnsi="Arial" w:cs="Arial"/>
          <w:b/>
          <w:bCs/>
          <w:color w:val="000000" w:themeColor="text1"/>
          <w:sz w:val="32"/>
          <w:szCs w:val="32"/>
        </w:rPr>
      </w:pPr>
      <w:r>
        <w:rPr>
          <w:rFonts w:ascii="Arial" w:hAnsi="Arial" w:cs="Arial"/>
          <w:b/>
          <w:bCs/>
          <w:color w:val="000000" w:themeColor="text1"/>
          <w:sz w:val="32"/>
          <w:szCs w:val="32"/>
        </w:rPr>
        <w:br w:type="page"/>
      </w:r>
    </w:p>
    <w:p w14:paraId="7F849F93" w14:textId="552C166A" w:rsidR="00950EAC" w:rsidRPr="00D77237" w:rsidRDefault="00950EAC" w:rsidP="009F365A">
      <w:pPr>
        <w:pStyle w:val="Heading1"/>
        <w:spacing w:line="360" w:lineRule="auto"/>
        <w:rPr>
          <w:sz w:val="44"/>
          <w:szCs w:val="44"/>
        </w:rPr>
      </w:pPr>
      <w:bookmarkStart w:id="11" w:name="_Toc235653207"/>
      <w:commentRangeStart w:id="12"/>
      <w:r w:rsidRPr="00D77237">
        <w:lastRenderedPageBreak/>
        <w:t>Abstra</w:t>
      </w:r>
      <w:r w:rsidR="002E70B1">
        <w:t>ct</w:t>
      </w:r>
      <w:r w:rsidRPr="00D77237">
        <w:t xml:space="preserve"> </w:t>
      </w:r>
      <w:commentRangeEnd w:id="12"/>
      <w:r w:rsidRPr="00D77237">
        <w:commentReference w:id="12"/>
      </w:r>
      <w:bookmarkEnd w:id="11"/>
    </w:p>
    <w:p w14:paraId="1DEAB661" w14:textId="77777777" w:rsidR="00950EAC" w:rsidRPr="000E70CC" w:rsidRDefault="00950EAC" w:rsidP="009F365A">
      <w:pPr>
        <w:spacing w:line="360" w:lineRule="auto"/>
        <w:jc w:val="both"/>
        <w:rPr>
          <w:rFonts w:ascii="Arial" w:hAnsi="Arial" w:cs="Arial"/>
          <w:color w:val="000000" w:themeColor="text1"/>
        </w:rPr>
      </w:pPr>
    </w:p>
    <w:p w14:paraId="2D81F47F" w14:textId="17055C0A" w:rsidR="00DE4398" w:rsidRPr="00A2062A" w:rsidRDefault="00DE4398"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r w:rsidRPr="00A2062A">
        <w:rPr>
          <w:rFonts w:ascii="Arial" w:hAnsi="Arial" w:cs="Arial"/>
          <w:color w:val="000000" w:themeColor="text1"/>
          <w:sz w:val="24"/>
          <w:szCs w:val="24"/>
        </w:rPr>
        <w:t xml:space="preserve">This report presents a comprehensive </w:t>
      </w:r>
      <w:r w:rsidR="00B25E99" w:rsidRPr="00A2062A">
        <w:rPr>
          <w:rFonts w:ascii="Arial" w:hAnsi="Arial" w:cs="Arial"/>
          <w:color w:val="000000" w:themeColor="text1"/>
          <w:sz w:val="24"/>
          <w:szCs w:val="24"/>
        </w:rPr>
        <w:t>performance</w:t>
      </w:r>
      <w:r w:rsidRPr="00A2062A">
        <w:rPr>
          <w:rFonts w:ascii="Arial" w:hAnsi="Arial" w:cs="Arial"/>
          <w:color w:val="000000" w:themeColor="text1"/>
          <w:sz w:val="24"/>
          <w:szCs w:val="24"/>
        </w:rPr>
        <w:t xml:space="preserve"> analysis of </w:t>
      </w:r>
      <w:r w:rsidRPr="00A2062A">
        <w:rPr>
          <w:rStyle w:val="Heading4Char"/>
          <w:rFonts w:ascii="Arial" w:hAnsi="Arial" w:cs="Arial"/>
          <w:b/>
          <w:bCs/>
          <w:color w:val="000000" w:themeColor="text1"/>
          <w:sz w:val="24"/>
          <w:szCs w:val="24"/>
        </w:rPr>
        <w:t>Alliance Finance PLC</w:t>
      </w:r>
      <w:r w:rsidRPr="00A2062A">
        <w:rPr>
          <w:rFonts w:ascii="Arial" w:hAnsi="Arial" w:cs="Arial"/>
          <w:color w:val="000000" w:themeColor="text1"/>
          <w:sz w:val="24"/>
          <w:szCs w:val="24"/>
        </w:rPr>
        <w:t xml:space="preserve"> (formerly Lankan Alliance Finance Limited) over the five-year period from 2021 to 2025. The analysis employs the Aggregate Return on Equity (ROE) framework to decompose the company's shareholder returns into their underlying operational and financial drivers, providing insights into profitability, efficiency, liquidity, </w:t>
      </w:r>
      <w:r w:rsidR="00BE2770" w:rsidRPr="00A2062A">
        <w:rPr>
          <w:rFonts w:ascii="Arial" w:hAnsi="Arial" w:cs="Arial"/>
          <w:color w:val="000000" w:themeColor="text1"/>
          <w:sz w:val="24"/>
          <w:szCs w:val="24"/>
        </w:rPr>
        <w:t xml:space="preserve">and </w:t>
      </w:r>
      <w:r w:rsidRPr="00A2062A">
        <w:rPr>
          <w:rFonts w:ascii="Arial" w:hAnsi="Arial" w:cs="Arial"/>
          <w:color w:val="000000" w:themeColor="text1"/>
          <w:sz w:val="24"/>
          <w:szCs w:val="24"/>
        </w:rPr>
        <w:t>solvency.</w:t>
      </w:r>
    </w:p>
    <w:p w14:paraId="6D8D6E4C" w14:textId="4D55A910" w:rsidR="00DE4398" w:rsidRPr="00A2062A" w:rsidRDefault="00DE4398"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The study is based entirely on secondary data sourced from the audited annual reports of Alliance Finance PLC for the fiscal years 2021 through 2025. The methodology includes a detailed ratio analysis across five dimensions: market ratios, profitability ratios, efficiency ratios, liquidity ratios, and solvency ratios. This is followed by a systematic decomposition of ROE using both the traditional two-component framework (ROA × Equity Multiplier) and the expanded five-component DuPont framework (Tax Burden × Interest Burden × Operating Margin × Asset Turnover × Equity Multiplier).</w:t>
      </w:r>
    </w:p>
    <w:p w14:paraId="65CD425B" w14:textId="77777777" w:rsidR="00DE4398" w:rsidRPr="00A2062A" w:rsidRDefault="00DE4398"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The analysis reveals that Alliance Finance PLC's ROE has been highly volatile over the five-year period, ranging from 1.95% in 2023 to a peak of 6.26% in 2024. The primary drivers of ROE were operating margin and asset turnover, while the equity multiplier showed a consistent upward trend from 2.72 in 2021 to 4.68 in 2025, indicating increasing reliance on financial leverage. The company's growth rate consistently exceeded its sustainable growth rate across all years, suggesting that growth has been largely financed through external debt rather than internally generated funds. Key concerns include a declining interest coverage ratio from 1.83 to 0.83 and rising financial leverage, which together indicate increasing financial risk.</w:t>
      </w:r>
    </w:p>
    <w:p w14:paraId="0E779ADE" w14:textId="77777777" w:rsidR="00DE4398" w:rsidRPr="00A2062A" w:rsidRDefault="00DE4398" w:rsidP="009F365A">
      <w:pPr>
        <w:shd w:val="clear" w:color="auto" w:fill="FFFFFF"/>
        <w:spacing w:before="240" w:after="240" w:line="360" w:lineRule="auto"/>
        <w:jc w:val="both"/>
        <w:rPr>
          <w:rFonts w:ascii="Arial" w:hAnsi="Arial" w:cs="Arial"/>
          <w:color w:val="000000" w:themeColor="text1"/>
          <w:sz w:val="24"/>
          <w:szCs w:val="24"/>
        </w:rPr>
      </w:pPr>
      <w:r w:rsidRPr="00A2062A">
        <w:rPr>
          <w:rFonts w:ascii="Arial" w:hAnsi="Arial" w:cs="Arial"/>
          <w:color w:val="000000" w:themeColor="text1"/>
          <w:sz w:val="24"/>
          <w:szCs w:val="24"/>
        </w:rPr>
        <w:t>The findings suggest that the path to improved and sustainable shareholder returns lies in optimizing funding costs, diversifying revenue sources beyond interest income, maintaining credit quality to minimize provisions, and balancing financial leverage with operational efficiency.</w:t>
      </w:r>
    </w:p>
    <w:p w14:paraId="683A455C" w14:textId="6995EB9F" w:rsidR="00950EAC" w:rsidRPr="000E70CC" w:rsidRDefault="00950EAC" w:rsidP="009F365A">
      <w:pPr>
        <w:keepNext/>
        <w:keepLines/>
        <w:pBdr>
          <w:top w:val="nil"/>
          <w:left w:val="nil"/>
          <w:bottom w:val="nil"/>
          <w:right w:val="nil"/>
          <w:between w:val="nil"/>
        </w:pBdr>
        <w:spacing w:before="480" w:after="0" w:line="360" w:lineRule="auto"/>
        <w:jc w:val="center"/>
        <w:rPr>
          <w:rFonts w:ascii="Arial" w:eastAsia="Cambria" w:hAnsi="Arial" w:cs="Arial"/>
          <w:b/>
          <w:bCs/>
          <w:color w:val="000000" w:themeColor="text1"/>
          <w:sz w:val="28"/>
          <w:szCs w:val="28"/>
        </w:rPr>
      </w:pPr>
      <w:r w:rsidRPr="000E70CC">
        <w:rPr>
          <w:rFonts w:ascii="Arial" w:eastAsia="Cambria" w:hAnsi="Arial" w:cs="Arial"/>
          <w:b/>
          <w:bCs/>
          <w:color w:val="000000" w:themeColor="text1"/>
          <w:sz w:val="28"/>
          <w:szCs w:val="28"/>
        </w:rPr>
        <w:lastRenderedPageBreak/>
        <w:t>Table of Contents</w:t>
      </w:r>
    </w:p>
    <w:sdt>
      <w:sdtPr>
        <w:rPr>
          <w:rFonts w:ascii="Arial" w:hAnsi="Arial" w:cs="Arial"/>
          <w:color w:val="000000" w:themeColor="text1"/>
          <w:sz w:val="24"/>
          <w:szCs w:val="24"/>
        </w:rPr>
        <w:id w:val="200280325"/>
        <w:docPartObj>
          <w:docPartGallery w:val="Table of Contents"/>
          <w:docPartUnique/>
        </w:docPartObj>
      </w:sdtPr>
      <w:sdtEndPr>
        <w:rPr>
          <w:sz w:val="22"/>
          <w:szCs w:val="22"/>
        </w:rPr>
      </w:sdtEndPr>
      <w:sdtContent>
        <w:p w14:paraId="334AE8F4" w14:textId="12F229C4" w:rsidR="00A313B9" w:rsidRPr="00A313B9" w:rsidRDefault="00950EAC" w:rsidP="00A313B9">
          <w:pPr>
            <w:pStyle w:val="TOC1"/>
            <w:tabs>
              <w:tab w:val="right" w:pos="9350"/>
            </w:tabs>
            <w:spacing w:line="360" w:lineRule="auto"/>
            <w:rPr>
              <w:rFonts w:ascii="Arial" w:eastAsiaTheme="minorEastAsia" w:hAnsi="Arial" w:cs="Arial"/>
              <w:noProof/>
              <w:sz w:val="24"/>
              <w:szCs w:val="24"/>
              <w:lang w:val="en-US"/>
            </w:rPr>
          </w:pPr>
          <w:r w:rsidRPr="00A313B9">
            <w:rPr>
              <w:rFonts w:ascii="Arial" w:hAnsi="Arial" w:cs="Arial"/>
              <w:color w:val="000000" w:themeColor="text1"/>
              <w:sz w:val="24"/>
              <w:szCs w:val="24"/>
            </w:rPr>
            <w:fldChar w:fldCharType="begin"/>
          </w:r>
          <w:r w:rsidRPr="00A313B9">
            <w:rPr>
              <w:rFonts w:ascii="Arial" w:hAnsi="Arial" w:cs="Arial"/>
              <w:color w:val="000000" w:themeColor="text1"/>
              <w:sz w:val="24"/>
              <w:szCs w:val="24"/>
            </w:rPr>
            <w:instrText xml:space="preserve"> TOC \h \u \z \t "Heading 1,1,Heading 2,2,Heading 3,3,"</w:instrText>
          </w:r>
          <w:r w:rsidRPr="00A313B9">
            <w:rPr>
              <w:rFonts w:ascii="Arial" w:hAnsi="Arial" w:cs="Arial"/>
              <w:color w:val="000000" w:themeColor="text1"/>
              <w:sz w:val="24"/>
              <w:szCs w:val="24"/>
            </w:rPr>
            <w:fldChar w:fldCharType="separate"/>
          </w:r>
          <w:hyperlink w:anchor="_Toc235653203" w:history="1">
            <w:r w:rsidR="00A313B9" w:rsidRPr="00A313B9">
              <w:rPr>
                <w:rStyle w:val="Hyperlink"/>
                <w:rFonts w:ascii="Arial" w:hAnsi="Arial" w:cs="Arial"/>
                <w:noProof/>
                <w:sz w:val="24"/>
                <w:szCs w:val="24"/>
              </w:rPr>
              <w:t>Letter of Transmittal</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_Toc235653203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3</w:t>
            </w:r>
            <w:r w:rsidR="00A313B9" w:rsidRPr="00A313B9">
              <w:rPr>
                <w:rFonts w:ascii="Arial" w:hAnsi="Arial" w:cs="Arial"/>
                <w:noProof/>
                <w:webHidden/>
                <w:sz w:val="24"/>
                <w:szCs w:val="24"/>
              </w:rPr>
              <w:fldChar w:fldCharType="end"/>
            </w:r>
          </w:hyperlink>
        </w:p>
        <w:p w14:paraId="5BD7AC09" w14:textId="76B13106"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04" w:history="1">
            <w:r w:rsidR="00A313B9" w:rsidRPr="00A313B9">
              <w:rPr>
                <w:rStyle w:val="Hyperlink"/>
                <w:rFonts w:ascii="Arial" w:hAnsi="Arial" w:cs="Arial"/>
                <w:noProof/>
                <w:sz w:val="24"/>
                <w:szCs w:val="24"/>
              </w:rPr>
              <w:t>Certification of Similarity Index</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_Toc235653204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5</w:t>
            </w:r>
            <w:r w:rsidR="00A313B9" w:rsidRPr="00A313B9">
              <w:rPr>
                <w:rFonts w:ascii="Arial" w:hAnsi="Arial" w:cs="Arial"/>
                <w:noProof/>
                <w:webHidden/>
                <w:sz w:val="24"/>
                <w:szCs w:val="24"/>
              </w:rPr>
              <w:fldChar w:fldCharType="end"/>
            </w:r>
          </w:hyperlink>
        </w:p>
        <w:p w14:paraId="7BEFB579" w14:textId="1325F892"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05" w:history="1">
            <w:r w:rsidR="00A313B9" w:rsidRPr="00A313B9">
              <w:rPr>
                <w:rStyle w:val="Hyperlink"/>
                <w:rFonts w:ascii="Arial" w:hAnsi="Arial" w:cs="Arial"/>
                <w:noProof/>
                <w:sz w:val="24"/>
                <w:szCs w:val="24"/>
              </w:rPr>
              <w:t xml:space="preserve">Declaration of the Student </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_Toc235653205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6</w:t>
            </w:r>
            <w:r w:rsidR="00A313B9" w:rsidRPr="00A313B9">
              <w:rPr>
                <w:rFonts w:ascii="Arial" w:hAnsi="Arial" w:cs="Arial"/>
                <w:noProof/>
                <w:webHidden/>
                <w:sz w:val="24"/>
                <w:szCs w:val="24"/>
              </w:rPr>
              <w:fldChar w:fldCharType="end"/>
            </w:r>
          </w:hyperlink>
        </w:p>
        <w:p w14:paraId="3611EBDA" w14:textId="2BED0225"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06" w:history="1">
            <w:r w:rsidR="00A313B9" w:rsidRPr="00A313B9">
              <w:rPr>
                <w:rStyle w:val="Hyperlink"/>
                <w:rFonts w:ascii="Arial" w:hAnsi="Arial" w:cs="Arial"/>
                <w:noProof/>
                <w:sz w:val="24"/>
                <w:szCs w:val="24"/>
              </w:rPr>
              <w:t>Acknowledgement</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_Toc235653206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7</w:t>
            </w:r>
            <w:r w:rsidR="00A313B9" w:rsidRPr="00A313B9">
              <w:rPr>
                <w:rFonts w:ascii="Arial" w:hAnsi="Arial" w:cs="Arial"/>
                <w:noProof/>
                <w:webHidden/>
                <w:sz w:val="24"/>
                <w:szCs w:val="24"/>
              </w:rPr>
              <w:fldChar w:fldCharType="end"/>
            </w:r>
          </w:hyperlink>
        </w:p>
        <w:p w14:paraId="6891DEA3" w14:textId="32AA1DC1"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07" w:history="1">
            <w:r w:rsidR="00A313B9" w:rsidRPr="00A313B9">
              <w:rPr>
                <w:rStyle w:val="Hyperlink"/>
                <w:rFonts w:ascii="Arial" w:hAnsi="Arial" w:cs="Arial"/>
                <w:noProof/>
                <w:sz w:val="24"/>
                <w:szCs w:val="24"/>
              </w:rPr>
              <w:t xml:space="preserve">Abstract </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_Toc235653207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8</w:t>
            </w:r>
            <w:r w:rsidR="00A313B9" w:rsidRPr="00A313B9">
              <w:rPr>
                <w:rFonts w:ascii="Arial" w:hAnsi="Arial" w:cs="Arial"/>
                <w:noProof/>
                <w:webHidden/>
                <w:sz w:val="24"/>
                <w:szCs w:val="24"/>
              </w:rPr>
              <w:fldChar w:fldCharType="end"/>
            </w:r>
          </w:hyperlink>
        </w:p>
        <w:p w14:paraId="3F170841" w14:textId="3908EEEA"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08" w:history="1">
            <w:r w:rsidR="00A313B9" w:rsidRPr="00A313B9">
              <w:rPr>
                <w:rStyle w:val="Hyperlink"/>
                <w:rFonts w:ascii="Arial" w:hAnsi="Arial" w:cs="Arial"/>
                <w:noProof/>
                <w:sz w:val="24"/>
                <w:szCs w:val="24"/>
              </w:rPr>
              <w:t>List of Tables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_Toc235653208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11</w:t>
            </w:r>
            <w:r w:rsidR="00A313B9" w:rsidRPr="00A313B9">
              <w:rPr>
                <w:rFonts w:ascii="Arial" w:hAnsi="Arial" w:cs="Arial"/>
                <w:noProof/>
                <w:webHidden/>
                <w:sz w:val="24"/>
                <w:szCs w:val="24"/>
              </w:rPr>
              <w:fldChar w:fldCharType="end"/>
            </w:r>
          </w:hyperlink>
        </w:p>
        <w:p w14:paraId="71A474CF" w14:textId="38787A04"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09" w:history="1">
            <w:r w:rsidR="00A313B9" w:rsidRPr="00A313B9">
              <w:rPr>
                <w:rStyle w:val="Hyperlink"/>
                <w:rFonts w:ascii="Arial" w:hAnsi="Arial" w:cs="Arial"/>
                <w:noProof/>
                <w:sz w:val="24"/>
                <w:szCs w:val="24"/>
              </w:rPr>
              <w:t>List of Equations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_Toc235653209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13</w:t>
            </w:r>
            <w:r w:rsidR="00A313B9" w:rsidRPr="00A313B9">
              <w:rPr>
                <w:rFonts w:ascii="Arial" w:hAnsi="Arial" w:cs="Arial"/>
                <w:noProof/>
                <w:webHidden/>
                <w:sz w:val="24"/>
                <w:szCs w:val="24"/>
              </w:rPr>
              <w:fldChar w:fldCharType="end"/>
            </w:r>
          </w:hyperlink>
        </w:p>
        <w:p w14:paraId="4D22292D" w14:textId="70084477"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10" w:history="1">
            <w:r w:rsidR="00A313B9" w:rsidRPr="00A313B9">
              <w:rPr>
                <w:rStyle w:val="Hyperlink"/>
                <w:rFonts w:ascii="Arial" w:hAnsi="Arial" w:cs="Arial"/>
                <w:noProof/>
                <w:sz w:val="24"/>
                <w:szCs w:val="24"/>
              </w:rPr>
              <w:t>List of Acronyms &amp; Abbreviations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_Toc235653210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17</w:t>
            </w:r>
            <w:r w:rsidR="00A313B9" w:rsidRPr="00A313B9">
              <w:rPr>
                <w:rFonts w:ascii="Arial" w:hAnsi="Arial" w:cs="Arial"/>
                <w:noProof/>
                <w:webHidden/>
                <w:sz w:val="24"/>
                <w:szCs w:val="24"/>
              </w:rPr>
              <w:fldChar w:fldCharType="end"/>
            </w:r>
          </w:hyperlink>
        </w:p>
        <w:p w14:paraId="3292867B" w14:textId="1075FDB8"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11" w:history="1">
            <w:r w:rsidR="00A313B9" w:rsidRPr="00A313B9">
              <w:rPr>
                <w:rStyle w:val="Hyperlink"/>
                <w:rFonts w:ascii="Arial" w:hAnsi="Arial" w:cs="Arial"/>
                <w:noProof/>
                <w:sz w:val="24"/>
                <w:szCs w:val="24"/>
              </w:rPr>
              <w:t>CHAPTER I: INTRODUCTION</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_Toc235653211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w:t>
            </w:r>
            <w:r w:rsidR="00A313B9" w:rsidRPr="00A313B9">
              <w:rPr>
                <w:rFonts w:ascii="Arial" w:hAnsi="Arial" w:cs="Arial"/>
                <w:noProof/>
                <w:webHidden/>
                <w:sz w:val="24"/>
                <w:szCs w:val="24"/>
              </w:rPr>
              <w:fldChar w:fldCharType="end"/>
            </w:r>
          </w:hyperlink>
        </w:p>
        <w:p w14:paraId="3A3DDC13" w14:textId="5282130A"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12" w:history="1">
            <w:r w:rsidR="00A313B9" w:rsidRPr="00A313B9">
              <w:rPr>
                <w:rStyle w:val="Hyperlink"/>
                <w:rFonts w:ascii="Arial" w:hAnsi="Arial" w:cs="Arial"/>
                <w:b/>
                <w:bCs/>
                <w:noProof/>
                <w:sz w:val="24"/>
                <w:szCs w:val="24"/>
              </w:rPr>
              <w:t>Background of the Study</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_Toc235653212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w:t>
            </w:r>
            <w:r w:rsidR="00A313B9" w:rsidRPr="00A313B9">
              <w:rPr>
                <w:rFonts w:ascii="Arial" w:hAnsi="Arial" w:cs="Arial"/>
                <w:noProof/>
                <w:webHidden/>
                <w:sz w:val="24"/>
                <w:szCs w:val="24"/>
              </w:rPr>
              <w:fldChar w:fldCharType="end"/>
            </w:r>
          </w:hyperlink>
        </w:p>
        <w:p w14:paraId="72309200" w14:textId="09782E7A"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13" w:history="1">
            <w:r w:rsidR="00A313B9" w:rsidRPr="00A313B9">
              <w:rPr>
                <w:rStyle w:val="Hyperlink"/>
                <w:rFonts w:ascii="Arial" w:hAnsi="Arial" w:cs="Arial"/>
                <w:b/>
                <w:bCs/>
                <w:noProof/>
                <w:sz w:val="24"/>
                <w:szCs w:val="24"/>
              </w:rPr>
              <w:t>Objectives of the Study</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_Toc235653213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3</w:t>
            </w:r>
            <w:r w:rsidR="00A313B9" w:rsidRPr="00A313B9">
              <w:rPr>
                <w:rFonts w:ascii="Arial" w:hAnsi="Arial" w:cs="Arial"/>
                <w:noProof/>
                <w:webHidden/>
                <w:sz w:val="24"/>
                <w:szCs w:val="24"/>
              </w:rPr>
              <w:fldChar w:fldCharType="end"/>
            </w:r>
          </w:hyperlink>
        </w:p>
        <w:p w14:paraId="4C5E06AE" w14:textId="3B3DE6FB"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14" w:history="1">
            <w:r w:rsidR="00A313B9" w:rsidRPr="00A313B9">
              <w:rPr>
                <w:rStyle w:val="Hyperlink"/>
                <w:rFonts w:ascii="Arial" w:hAnsi="Arial" w:cs="Arial"/>
                <w:noProof/>
                <w:sz w:val="24"/>
                <w:szCs w:val="24"/>
              </w:rPr>
              <w:t>Specific Objectives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_Toc235653214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3</w:t>
            </w:r>
            <w:r w:rsidR="00A313B9" w:rsidRPr="00A313B9">
              <w:rPr>
                <w:rFonts w:ascii="Arial" w:hAnsi="Arial" w:cs="Arial"/>
                <w:noProof/>
                <w:webHidden/>
                <w:sz w:val="24"/>
                <w:szCs w:val="24"/>
              </w:rPr>
              <w:fldChar w:fldCharType="end"/>
            </w:r>
          </w:hyperlink>
        </w:p>
        <w:p w14:paraId="4E3324A4" w14:textId="44A28156"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15" w:history="1">
            <w:r w:rsidR="00A313B9" w:rsidRPr="00A313B9">
              <w:rPr>
                <w:rStyle w:val="Hyperlink"/>
                <w:rFonts w:ascii="Arial" w:hAnsi="Arial" w:cs="Arial"/>
                <w:b/>
                <w:bCs/>
                <w:noProof/>
                <w:sz w:val="24"/>
                <w:szCs w:val="24"/>
              </w:rPr>
              <w:t>Scope and Limitations of the Study</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_Toc235653215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5</w:t>
            </w:r>
            <w:r w:rsidR="00A313B9" w:rsidRPr="00A313B9">
              <w:rPr>
                <w:rFonts w:ascii="Arial" w:hAnsi="Arial" w:cs="Arial"/>
                <w:noProof/>
                <w:webHidden/>
                <w:sz w:val="24"/>
                <w:szCs w:val="24"/>
              </w:rPr>
              <w:fldChar w:fldCharType="end"/>
            </w:r>
          </w:hyperlink>
        </w:p>
        <w:p w14:paraId="1B1182D8" w14:textId="099CF18F"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16" w:history="1">
            <w:r w:rsidR="00A313B9" w:rsidRPr="00A313B9">
              <w:rPr>
                <w:rStyle w:val="Hyperlink"/>
                <w:rFonts w:ascii="Arial" w:hAnsi="Arial" w:cs="Arial"/>
                <w:noProof/>
                <w:sz w:val="24"/>
                <w:szCs w:val="24"/>
              </w:rPr>
              <w:t>Scope of the Study</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_Toc235653216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5</w:t>
            </w:r>
            <w:r w:rsidR="00A313B9" w:rsidRPr="00A313B9">
              <w:rPr>
                <w:rFonts w:ascii="Arial" w:hAnsi="Arial" w:cs="Arial"/>
                <w:noProof/>
                <w:webHidden/>
                <w:sz w:val="24"/>
                <w:szCs w:val="24"/>
              </w:rPr>
              <w:fldChar w:fldCharType="end"/>
            </w:r>
          </w:hyperlink>
        </w:p>
        <w:p w14:paraId="09D55517" w14:textId="113DEAEB"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17" w:history="1">
            <w:r w:rsidR="00A313B9" w:rsidRPr="00A313B9">
              <w:rPr>
                <w:rStyle w:val="Hyperlink"/>
                <w:rFonts w:ascii="Arial" w:hAnsi="Arial" w:cs="Arial"/>
                <w:noProof/>
                <w:sz w:val="24"/>
                <w:szCs w:val="24"/>
              </w:rPr>
              <w:t>Limitations of the Study</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_Toc235653217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5</w:t>
            </w:r>
            <w:r w:rsidR="00A313B9" w:rsidRPr="00A313B9">
              <w:rPr>
                <w:rFonts w:ascii="Arial" w:hAnsi="Arial" w:cs="Arial"/>
                <w:noProof/>
                <w:webHidden/>
                <w:sz w:val="24"/>
                <w:szCs w:val="24"/>
              </w:rPr>
              <w:fldChar w:fldCharType="end"/>
            </w:r>
          </w:hyperlink>
        </w:p>
        <w:p w14:paraId="582E04CF" w14:textId="2C378CB0"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18" w:history="1">
            <w:r w:rsidR="00A313B9" w:rsidRPr="00A313B9">
              <w:rPr>
                <w:rStyle w:val="Hyperlink"/>
                <w:rFonts w:ascii="Arial" w:hAnsi="Arial" w:cs="Arial"/>
                <w:b/>
                <w:bCs/>
                <w:noProof/>
                <w:sz w:val="24"/>
                <w:szCs w:val="24"/>
              </w:rPr>
              <w:t>Definition of Key Terms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_Toc235653218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7</w:t>
            </w:r>
            <w:r w:rsidR="00A313B9" w:rsidRPr="00A313B9">
              <w:rPr>
                <w:rFonts w:ascii="Arial" w:hAnsi="Arial" w:cs="Arial"/>
                <w:noProof/>
                <w:webHidden/>
                <w:sz w:val="24"/>
                <w:szCs w:val="24"/>
              </w:rPr>
              <w:fldChar w:fldCharType="end"/>
            </w:r>
          </w:hyperlink>
        </w:p>
        <w:p w14:paraId="787B4E8A" w14:textId="57193EE1"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19" w:history="1">
            <w:r w:rsidR="00A313B9" w:rsidRPr="00A313B9">
              <w:rPr>
                <w:rStyle w:val="Hyperlink"/>
                <w:rFonts w:ascii="Arial" w:hAnsi="Arial" w:cs="Arial"/>
                <w:noProof/>
                <w:sz w:val="24"/>
                <w:szCs w:val="24"/>
              </w:rPr>
              <w:t>CHAPTER IV: RESEARCH FINDINGS &amp;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_Toc235653219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10</w:t>
            </w:r>
            <w:r w:rsidR="00A313B9" w:rsidRPr="00A313B9">
              <w:rPr>
                <w:rFonts w:ascii="Arial" w:hAnsi="Arial" w:cs="Arial"/>
                <w:noProof/>
                <w:webHidden/>
                <w:sz w:val="24"/>
                <w:szCs w:val="24"/>
              </w:rPr>
              <w:fldChar w:fldCharType="end"/>
            </w:r>
          </w:hyperlink>
        </w:p>
        <w:p w14:paraId="2D810011" w14:textId="798DEB0E"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20" w:history="1">
            <w:r w:rsidR="00A313B9" w:rsidRPr="00A313B9">
              <w:rPr>
                <w:rStyle w:val="Hyperlink"/>
                <w:rFonts w:ascii="Arial" w:hAnsi="Arial" w:cs="Arial"/>
                <w:b/>
                <w:bCs/>
                <w:noProof/>
                <w:sz w:val="24"/>
                <w:szCs w:val="24"/>
              </w:rPr>
              <w:t>Ratio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_Toc235653220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10</w:t>
            </w:r>
            <w:r w:rsidR="00A313B9" w:rsidRPr="00A313B9">
              <w:rPr>
                <w:rFonts w:ascii="Arial" w:hAnsi="Arial" w:cs="Arial"/>
                <w:noProof/>
                <w:webHidden/>
                <w:sz w:val="24"/>
                <w:szCs w:val="24"/>
              </w:rPr>
              <w:fldChar w:fldCharType="end"/>
            </w:r>
          </w:hyperlink>
        </w:p>
        <w:p w14:paraId="48EC506F" w14:textId="369134AD"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21" w:history="1">
            <w:r w:rsidR="00A313B9" w:rsidRPr="00A313B9">
              <w:rPr>
                <w:rStyle w:val="Hyperlink"/>
                <w:rFonts w:ascii="Arial" w:hAnsi="Arial" w:cs="Arial"/>
                <w:b/>
                <w:bCs/>
                <w:noProof/>
                <w:sz w:val="24"/>
                <w:szCs w:val="24"/>
              </w:rPr>
              <w:t>Market Ratios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_Toc235653221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10</w:t>
            </w:r>
            <w:r w:rsidR="00A313B9" w:rsidRPr="00A313B9">
              <w:rPr>
                <w:rFonts w:ascii="Arial" w:hAnsi="Arial" w:cs="Arial"/>
                <w:noProof/>
                <w:webHidden/>
                <w:sz w:val="24"/>
                <w:szCs w:val="24"/>
              </w:rPr>
              <w:fldChar w:fldCharType="end"/>
            </w:r>
          </w:hyperlink>
        </w:p>
        <w:p w14:paraId="2CD69E5F" w14:textId="016511DB"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22" w:history="1">
            <w:r w:rsidR="00A313B9" w:rsidRPr="00A313B9">
              <w:rPr>
                <w:rStyle w:val="Hyperlink"/>
                <w:rFonts w:ascii="Arial" w:hAnsi="Arial" w:cs="Arial"/>
                <w:b/>
                <w:bCs/>
                <w:noProof/>
                <w:sz w:val="24"/>
                <w:szCs w:val="24"/>
              </w:rPr>
              <w:t>Profitability Ratios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_Toc235653222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11</w:t>
            </w:r>
            <w:r w:rsidR="00A313B9" w:rsidRPr="00A313B9">
              <w:rPr>
                <w:rFonts w:ascii="Arial" w:hAnsi="Arial" w:cs="Arial"/>
                <w:noProof/>
                <w:webHidden/>
                <w:sz w:val="24"/>
                <w:szCs w:val="24"/>
              </w:rPr>
              <w:fldChar w:fldCharType="end"/>
            </w:r>
          </w:hyperlink>
        </w:p>
        <w:p w14:paraId="40867981" w14:textId="08F21EF6"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23" w:history="1">
            <w:r w:rsidR="00A313B9" w:rsidRPr="00A313B9">
              <w:rPr>
                <w:rStyle w:val="Hyperlink"/>
                <w:rFonts w:ascii="Arial" w:eastAsia="Times New Roman" w:hAnsi="Arial" w:cs="Arial"/>
                <w:b/>
                <w:bCs/>
                <w:noProof/>
                <w:sz w:val="24"/>
                <w:szCs w:val="24"/>
              </w:rPr>
              <w:t>Efficiency Ratios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_Toc235653223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14</w:t>
            </w:r>
            <w:r w:rsidR="00A313B9" w:rsidRPr="00A313B9">
              <w:rPr>
                <w:rFonts w:ascii="Arial" w:hAnsi="Arial" w:cs="Arial"/>
                <w:noProof/>
                <w:webHidden/>
                <w:sz w:val="24"/>
                <w:szCs w:val="24"/>
              </w:rPr>
              <w:fldChar w:fldCharType="end"/>
            </w:r>
          </w:hyperlink>
        </w:p>
        <w:p w14:paraId="01F01F49" w14:textId="3C997131"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24" w:history="1">
            <w:r w:rsidR="00A313B9" w:rsidRPr="00A313B9">
              <w:rPr>
                <w:rStyle w:val="Hyperlink"/>
                <w:rFonts w:ascii="Arial" w:eastAsia="Times New Roman" w:hAnsi="Arial" w:cs="Arial"/>
                <w:b/>
                <w:bCs/>
                <w:noProof/>
                <w:sz w:val="24"/>
                <w:szCs w:val="24"/>
              </w:rPr>
              <w:t>Liquidity Ratios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_Toc235653224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16</w:t>
            </w:r>
            <w:r w:rsidR="00A313B9" w:rsidRPr="00A313B9">
              <w:rPr>
                <w:rFonts w:ascii="Arial" w:hAnsi="Arial" w:cs="Arial"/>
                <w:noProof/>
                <w:webHidden/>
                <w:sz w:val="24"/>
                <w:szCs w:val="24"/>
              </w:rPr>
              <w:fldChar w:fldCharType="end"/>
            </w:r>
          </w:hyperlink>
        </w:p>
        <w:p w14:paraId="73ECE9B1" w14:textId="29BF1DD2"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25" w:history="1">
            <w:r w:rsidR="00A313B9" w:rsidRPr="00A313B9">
              <w:rPr>
                <w:rStyle w:val="Hyperlink"/>
                <w:rFonts w:ascii="Arial" w:eastAsia="Times New Roman" w:hAnsi="Arial" w:cs="Arial"/>
                <w:b/>
                <w:bCs/>
                <w:noProof/>
                <w:sz w:val="24"/>
                <w:szCs w:val="24"/>
              </w:rPr>
              <w:t>Solvency Ratios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_Toc235653225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19</w:t>
            </w:r>
            <w:r w:rsidR="00A313B9" w:rsidRPr="00A313B9">
              <w:rPr>
                <w:rFonts w:ascii="Arial" w:hAnsi="Arial" w:cs="Arial"/>
                <w:noProof/>
                <w:webHidden/>
                <w:sz w:val="24"/>
                <w:szCs w:val="24"/>
              </w:rPr>
              <w:fldChar w:fldCharType="end"/>
            </w:r>
          </w:hyperlink>
        </w:p>
        <w:p w14:paraId="62CE11A7" w14:textId="4C98879B"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26" w:history="1">
            <w:r w:rsidR="00A313B9" w:rsidRPr="00A313B9">
              <w:rPr>
                <w:rStyle w:val="Hyperlink"/>
                <w:rFonts w:ascii="Arial" w:eastAsia="Times New Roman" w:hAnsi="Arial" w:cs="Arial"/>
                <w:b/>
                <w:bCs/>
                <w:noProof/>
                <w:sz w:val="24"/>
                <w:szCs w:val="24"/>
              </w:rPr>
              <w:t>Overall Assessment</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_Toc235653226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22</w:t>
            </w:r>
            <w:r w:rsidR="00A313B9" w:rsidRPr="00A313B9">
              <w:rPr>
                <w:rFonts w:ascii="Arial" w:hAnsi="Arial" w:cs="Arial"/>
                <w:noProof/>
                <w:webHidden/>
                <w:sz w:val="24"/>
                <w:szCs w:val="24"/>
              </w:rPr>
              <w:fldChar w:fldCharType="end"/>
            </w:r>
          </w:hyperlink>
        </w:p>
        <w:p w14:paraId="1688293C" w14:textId="00AA64D8"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27" w:history="1">
            <w:r w:rsidR="00A313B9" w:rsidRPr="00A313B9">
              <w:rPr>
                <w:rStyle w:val="Hyperlink"/>
                <w:rFonts w:ascii="Arial" w:hAnsi="Arial" w:cs="Arial"/>
                <w:b/>
                <w:bCs/>
                <w:noProof/>
                <w:sz w:val="24"/>
                <w:szCs w:val="24"/>
              </w:rPr>
              <w:t>Aggregate ROE Framework</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_Toc235653227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24</w:t>
            </w:r>
            <w:r w:rsidR="00A313B9" w:rsidRPr="00A313B9">
              <w:rPr>
                <w:rFonts w:ascii="Arial" w:hAnsi="Arial" w:cs="Arial"/>
                <w:noProof/>
                <w:webHidden/>
                <w:sz w:val="24"/>
                <w:szCs w:val="24"/>
              </w:rPr>
              <w:fldChar w:fldCharType="end"/>
            </w:r>
          </w:hyperlink>
        </w:p>
        <w:p w14:paraId="00A2960D" w14:textId="0B2BF41B"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28" w:history="1">
            <w:r w:rsidR="00A313B9" w:rsidRPr="00A313B9">
              <w:rPr>
                <w:rStyle w:val="Hyperlink"/>
                <w:rFonts w:ascii="Arial" w:hAnsi="Arial" w:cs="Arial"/>
                <w:b/>
                <w:bCs/>
                <w:noProof/>
                <w:sz w:val="24"/>
                <w:szCs w:val="24"/>
              </w:rPr>
              <w:t>Return on Equity (ROE) Decomposition</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_Toc235653228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24</w:t>
            </w:r>
            <w:r w:rsidR="00A313B9" w:rsidRPr="00A313B9">
              <w:rPr>
                <w:rFonts w:ascii="Arial" w:hAnsi="Arial" w:cs="Arial"/>
                <w:noProof/>
                <w:webHidden/>
                <w:sz w:val="24"/>
                <w:szCs w:val="24"/>
              </w:rPr>
              <w:fldChar w:fldCharType="end"/>
            </w:r>
          </w:hyperlink>
        </w:p>
        <w:p w14:paraId="78632D7D" w14:textId="5AB7CC40"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29" w:history="1">
            <w:r w:rsidR="00A313B9" w:rsidRPr="00A313B9">
              <w:rPr>
                <w:rStyle w:val="Hyperlink"/>
                <w:rFonts w:ascii="Arial" w:hAnsi="Arial" w:cs="Arial"/>
                <w:b/>
                <w:bCs/>
                <w:noProof/>
                <w:sz w:val="24"/>
                <w:szCs w:val="24"/>
              </w:rPr>
              <w:t>Net Profit Equation and ROA Transformation</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_Toc235653229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26</w:t>
            </w:r>
            <w:r w:rsidR="00A313B9" w:rsidRPr="00A313B9">
              <w:rPr>
                <w:rFonts w:ascii="Arial" w:hAnsi="Arial" w:cs="Arial"/>
                <w:noProof/>
                <w:webHidden/>
                <w:sz w:val="24"/>
                <w:szCs w:val="24"/>
              </w:rPr>
              <w:fldChar w:fldCharType="end"/>
            </w:r>
          </w:hyperlink>
        </w:p>
        <w:p w14:paraId="0FD4FA2B" w14:textId="4F247330"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30" w:history="1">
            <w:r w:rsidR="00A313B9" w:rsidRPr="00A313B9">
              <w:rPr>
                <w:rStyle w:val="Hyperlink"/>
                <w:rFonts w:ascii="Arial" w:hAnsi="Arial" w:cs="Arial"/>
                <w:b/>
                <w:bCs/>
                <w:noProof/>
                <w:sz w:val="24"/>
                <w:szCs w:val="24"/>
              </w:rPr>
              <w:t>Asset Utilization Ratio Derivation</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_Toc235653230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27</w:t>
            </w:r>
            <w:r w:rsidR="00A313B9" w:rsidRPr="00A313B9">
              <w:rPr>
                <w:rFonts w:ascii="Arial" w:hAnsi="Arial" w:cs="Arial"/>
                <w:noProof/>
                <w:webHidden/>
                <w:sz w:val="24"/>
                <w:szCs w:val="24"/>
              </w:rPr>
              <w:fldChar w:fldCharType="end"/>
            </w:r>
          </w:hyperlink>
        </w:p>
        <w:p w14:paraId="788DF5E5" w14:textId="3E4194A1"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31" w:history="1">
            <w:r w:rsidR="00A313B9" w:rsidRPr="00A313B9">
              <w:rPr>
                <w:rStyle w:val="Hyperlink"/>
                <w:rFonts w:ascii="Arial" w:hAnsi="Arial" w:cs="Arial"/>
                <w:b/>
                <w:bCs/>
                <w:noProof/>
                <w:sz w:val="24"/>
                <w:szCs w:val="24"/>
              </w:rPr>
              <w:t>Expense Ratio Derivation</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_Toc235653231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30</w:t>
            </w:r>
            <w:r w:rsidR="00A313B9" w:rsidRPr="00A313B9">
              <w:rPr>
                <w:rFonts w:ascii="Arial" w:hAnsi="Arial" w:cs="Arial"/>
                <w:noProof/>
                <w:webHidden/>
                <w:sz w:val="24"/>
                <w:szCs w:val="24"/>
              </w:rPr>
              <w:fldChar w:fldCharType="end"/>
            </w:r>
          </w:hyperlink>
        </w:p>
        <w:p w14:paraId="791F4DD2" w14:textId="4D0680F9"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32" w:history="1">
            <w:r w:rsidR="00A313B9" w:rsidRPr="00A313B9">
              <w:rPr>
                <w:rStyle w:val="Hyperlink"/>
                <w:rFonts w:ascii="Arial" w:hAnsi="Arial" w:cs="Arial"/>
                <w:b/>
                <w:bCs/>
                <w:noProof/>
                <w:sz w:val="24"/>
                <w:szCs w:val="24"/>
              </w:rPr>
              <w:t>Complete Integration of the Aggregate ROE Framework</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_Toc235653232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33</w:t>
            </w:r>
            <w:r w:rsidR="00A313B9" w:rsidRPr="00A313B9">
              <w:rPr>
                <w:rFonts w:ascii="Arial" w:hAnsi="Arial" w:cs="Arial"/>
                <w:noProof/>
                <w:webHidden/>
                <w:sz w:val="24"/>
                <w:szCs w:val="24"/>
              </w:rPr>
              <w:fldChar w:fldCharType="end"/>
            </w:r>
          </w:hyperlink>
        </w:p>
        <w:p w14:paraId="40F96667" w14:textId="55C702ED"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33" w:history="1">
            <w:r w:rsidR="00A313B9" w:rsidRPr="00A313B9">
              <w:rPr>
                <w:rStyle w:val="Hyperlink"/>
                <w:rFonts w:ascii="Arial" w:hAnsi="Arial" w:cs="Arial"/>
                <w:b/>
                <w:bCs/>
                <w:noProof/>
                <w:sz w:val="24"/>
                <w:szCs w:val="24"/>
              </w:rPr>
              <w:t>5 Components DuPont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_Toc235653233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34</w:t>
            </w:r>
            <w:r w:rsidR="00A313B9" w:rsidRPr="00A313B9">
              <w:rPr>
                <w:rFonts w:ascii="Arial" w:hAnsi="Arial" w:cs="Arial"/>
                <w:noProof/>
                <w:webHidden/>
                <w:sz w:val="24"/>
                <w:szCs w:val="24"/>
              </w:rPr>
              <w:fldChar w:fldCharType="end"/>
            </w:r>
          </w:hyperlink>
        </w:p>
        <w:p w14:paraId="3ADA53A9" w14:textId="5361BF69"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34" w:history="1">
            <w:r w:rsidR="00A313B9" w:rsidRPr="00A313B9">
              <w:rPr>
                <w:rStyle w:val="Hyperlink"/>
                <w:rFonts w:ascii="Arial" w:hAnsi="Arial" w:cs="Arial"/>
                <w:b/>
                <w:bCs/>
                <w:noProof/>
                <w:sz w:val="24"/>
                <w:szCs w:val="24"/>
              </w:rPr>
              <w:t>Component Analysis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_Toc235653234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35</w:t>
            </w:r>
            <w:r w:rsidR="00A313B9" w:rsidRPr="00A313B9">
              <w:rPr>
                <w:rFonts w:ascii="Arial" w:hAnsi="Arial" w:cs="Arial"/>
                <w:noProof/>
                <w:webHidden/>
                <w:sz w:val="24"/>
                <w:szCs w:val="24"/>
              </w:rPr>
              <w:fldChar w:fldCharType="end"/>
            </w:r>
          </w:hyperlink>
        </w:p>
        <w:p w14:paraId="64C856DB" w14:textId="182A0CA1" w:rsidR="00A313B9" w:rsidRPr="00A313B9" w:rsidRDefault="00000000" w:rsidP="00A313B9">
          <w:pPr>
            <w:pStyle w:val="TOC3"/>
            <w:tabs>
              <w:tab w:val="right" w:pos="9350"/>
            </w:tabs>
            <w:spacing w:line="360" w:lineRule="auto"/>
            <w:rPr>
              <w:rFonts w:ascii="Arial" w:eastAsiaTheme="minorEastAsia" w:hAnsi="Arial" w:cs="Arial"/>
              <w:noProof/>
              <w:sz w:val="24"/>
              <w:szCs w:val="24"/>
              <w:lang w:val="en-US"/>
            </w:rPr>
          </w:pPr>
          <w:hyperlink w:anchor="_Toc235653235" w:history="1">
            <w:r w:rsidR="00A313B9" w:rsidRPr="00A313B9">
              <w:rPr>
                <w:rStyle w:val="Hyperlink"/>
                <w:rFonts w:ascii="Arial" w:hAnsi="Arial" w:cs="Arial"/>
                <w:b/>
                <w:bCs/>
                <w:noProof/>
                <w:sz w:val="24"/>
                <w:szCs w:val="24"/>
              </w:rPr>
              <w:t>Overall Assessment</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_Toc235653235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38</w:t>
            </w:r>
            <w:r w:rsidR="00A313B9" w:rsidRPr="00A313B9">
              <w:rPr>
                <w:rFonts w:ascii="Arial" w:hAnsi="Arial" w:cs="Arial"/>
                <w:noProof/>
                <w:webHidden/>
                <w:sz w:val="24"/>
                <w:szCs w:val="24"/>
              </w:rPr>
              <w:fldChar w:fldCharType="end"/>
            </w:r>
          </w:hyperlink>
        </w:p>
        <w:p w14:paraId="74B8EEF0" w14:textId="5D80CFE1" w:rsidR="00A313B9" w:rsidRPr="00A313B9" w:rsidRDefault="00000000" w:rsidP="00A313B9">
          <w:pPr>
            <w:pStyle w:val="TOC1"/>
            <w:tabs>
              <w:tab w:val="right" w:pos="9350"/>
            </w:tabs>
            <w:spacing w:line="360" w:lineRule="auto"/>
            <w:rPr>
              <w:rFonts w:ascii="Arial" w:eastAsiaTheme="minorEastAsia" w:hAnsi="Arial" w:cs="Arial"/>
              <w:noProof/>
              <w:sz w:val="24"/>
              <w:szCs w:val="24"/>
              <w:lang w:val="en-US"/>
            </w:rPr>
          </w:pPr>
          <w:hyperlink w:anchor="_Toc235653236" w:history="1">
            <w:r w:rsidR="00A313B9" w:rsidRPr="00A313B9">
              <w:rPr>
                <w:rStyle w:val="Hyperlink"/>
                <w:rFonts w:ascii="Arial" w:hAnsi="Arial" w:cs="Arial"/>
                <w:noProof/>
                <w:sz w:val="24"/>
                <w:szCs w:val="24"/>
              </w:rPr>
              <w:t>CHAPTER V: DISCUSSION</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_Toc235653236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42</w:t>
            </w:r>
            <w:r w:rsidR="00A313B9" w:rsidRPr="00A313B9">
              <w:rPr>
                <w:rFonts w:ascii="Arial" w:hAnsi="Arial" w:cs="Arial"/>
                <w:noProof/>
                <w:webHidden/>
                <w:sz w:val="24"/>
                <w:szCs w:val="24"/>
              </w:rPr>
              <w:fldChar w:fldCharType="end"/>
            </w:r>
          </w:hyperlink>
        </w:p>
        <w:p w14:paraId="75B37627" w14:textId="0686F5D1"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37" w:history="1">
            <w:r w:rsidR="00A313B9" w:rsidRPr="00A313B9">
              <w:rPr>
                <w:rStyle w:val="Hyperlink"/>
                <w:rFonts w:ascii="Arial" w:hAnsi="Arial" w:cs="Arial"/>
                <w:b/>
                <w:bCs/>
                <w:noProof/>
                <w:sz w:val="24"/>
                <w:szCs w:val="24"/>
              </w:rPr>
              <w:t>Conclusions</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_Toc235653237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42</w:t>
            </w:r>
            <w:r w:rsidR="00A313B9" w:rsidRPr="00A313B9">
              <w:rPr>
                <w:rFonts w:ascii="Arial" w:hAnsi="Arial" w:cs="Arial"/>
                <w:noProof/>
                <w:webHidden/>
                <w:sz w:val="24"/>
                <w:szCs w:val="24"/>
              </w:rPr>
              <w:fldChar w:fldCharType="end"/>
            </w:r>
          </w:hyperlink>
        </w:p>
        <w:p w14:paraId="00C8B7DF" w14:textId="4F35526B"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38" w:history="1">
            <w:r w:rsidR="00A313B9" w:rsidRPr="00A313B9">
              <w:rPr>
                <w:rStyle w:val="Hyperlink"/>
                <w:rFonts w:ascii="Arial" w:hAnsi="Arial" w:cs="Arial"/>
                <w:b/>
                <w:bCs/>
                <w:noProof/>
                <w:sz w:val="24"/>
                <w:szCs w:val="24"/>
              </w:rPr>
              <w:t>Scope for Future Study</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_Toc235653238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44</w:t>
            </w:r>
            <w:r w:rsidR="00A313B9" w:rsidRPr="00A313B9">
              <w:rPr>
                <w:rFonts w:ascii="Arial" w:hAnsi="Arial" w:cs="Arial"/>
                <w:noProof/>
                <w:webHidden/>
                <w:sz w:val="24"/>
                <w:szCs w:val="24"/>
              </w:rPr>
              <w:fldChar w:fldCharType="end"/>
            </w:r>
          </w:hyperlink>
        </w:p>
        <w:p w14:paraId="2F42A9AC" w14:textId="44E98658" w:rsidR="00A313B9" w:rsidRPr="00A313B9" w:rsidRDefault="00000000" w:rsidP="00A313B9">
          <w:pPr>
            <w:pStyle w:val="TOC2"/>
            <w:tabs>
              <w:tab w:val="right" w:pos="9350"/>
            </w:tabs>
            <w:spacing w:line="360" w:lineRule="auto"/>
            <w:rPr>
              <w:rFonts w:ascii="Arial" w:eastAsiaTheme="minorEastAsia" w:hAnsi="Arial" w:cs="Arial"/>
              <w:noProof/>
              <w:sz w:val="24"/>
              <w:szCs w:val="24"/>
              <w:lang w:val="en-US"/>
            </w:rPr>
          </w:pPr>
          <w:hyperlink w:anchor="_Toc235653239" w:history="1">
            <w:r w:rsidR="00A313B9" w:rsidRPr="00A313B9">
              <w:rPr>
                <w:rStyle w:val="Hyperlink"/>
                <w:rFonts w:ascii="Arial" w:hAnsi="Arial" w:cs="Arial"/>
                <w:b/>
                <w:bCs/>
                <w:noProof/>
                <w:sz w:val="24"/>
                <w:szCs w:val="24"/>
              </w:rPr>
              <w:t>Recommendations (if any)</w:t>
            </w:r>
            <w:r w:rsidR="00A313B9" w:rsidRPr="00A313B9">
              <w:rPr>
                <w:rFonts w:ascii="Arial" w:hAnsi="Arial" w:cs="Arial"/>
                <w:noProof/>
                <w:webHidden/>
                <w:sz w:val="24"/>
                <w:szCs w:val="24"/>
              </w:rPr>
              <w:tab/>
            </w:r>
            <w:r w:rsidR="00A313B9" w:rsidRPr="00A313B9">
              <w:rPr>
                <w:rFonts w:ascii="Arial" w:hAnsi="Arial" w:cs="Arial"/>
                <w:noProof/>
                <w:webHidden/>
                <w:sz w:val="24"/>
                <w:szCs w:val="24"/>
              </w:rPr>
              <w:fldChar w:fldCharType="begin"/>
            </w:r>
            <w:r w:rsidR="00A313B9" w:rsidRPr="00A313B9">
              <w:rPr>
                <w:rFonts w:ascii="Arial" w:hAnsi="Arial" w:cs="Arial"/>
                <w:noProof/>
                <w:webHidden/>
                <w:sz w:val="24"/>
                <w:szCs w:val="24"/>
              </w:rPr>
              <w:instrText xml:space="preserve"> PAGEREF _Toc235653239 \h </w:instrText>
            </w:r>
            <w:r w:rsidR="00A313B9" w:rsidRPr="00A313B9">
              <w:rPr>
                <w:rFonts w:ascii="Arial" w:hAnsi="Arial" w:cs="Arial"/>
                <w:noProof/>
                <w:webHidden/>
                <w:sz w:val="24"/>
                <w:szCs w:val="24"/>
              </w:rPr>
            </w:r>
            <w:r w:rsidR="00A313B9" w:rsidRPr="00A313B9">
              <w:rPr>
                <w:rFonts w:ascii="Arial" w:hAnsi="Arial" w:cs="Arial"/>
                <w:noProof/>
                <w:webHidden/>
                <w:sz w:val="24"/>
                <w:szCs w:val="24"/>
              </w:rPr>
              <w:fldChar w:fldCharType="separate"/>
            </w:r>
            <w:r w:rsidR="00A313B9" w:rsidRPr="00A313B9">
              <w:rPr>
                <w:rFonts w:ascii="Arial" w:hAnsi="Arial" w:cs="Arial"/>
                <w:noProof/>
                <w:webHidden/>
                <w:sz w:val="24"/>
                <w:szCs w:val="24"/>
              </w:rPr>
              <w:t>46</w:t>
            </w:r>
            <w:r w:rsidR="00A313B9" w:rsidRPr="00A313B9">
              <w:rPr>
                <w:rFonts w:ascii="Arial" w:hAnsi="Arial" w:cs="Arial"/>
                <w:noProof/>
                <w:webHidden/>
                <w:sz w:val="24"/>
                <w:szCs w:val="24"/>
              </w:rPr>
              <w:fldChar w:fldCharType="end"/>
            </w:r>
          </w:hyperlink>
        </w:p>
        <w:p w14:paraId="08227845" w14:textId="2B740626" w:rsidR="00950EAC" w:rsidRPr="000E70CC" w:rsidRDefault="00950EAC" w:rsidP="00A313B9">
          <w:pPr>
            <w:spacing w:line="360" w:lineRule="auto"/>
            <w:jc w:val="both"/>
            <w:rPr>
              <w:rFonts w:ascii="Arial" w:hAnsi="Arial" w:cs="Arial"/>
              <w:color w:val="000000" w:themeColor="text1"/>
            </w:rPr>
          </w:pPr>
          <w:r w:rsidRPr="00A313B9">
            <w:rPr>
              <w:rFonts w:ascii="Arial" w:hAnsi="Arial" w:cs="Arial"/>
              <w:color w:val="000000" w:themeColor="text1"/>
              <w:sz w:val="24"/>
              <w:szCs w:val="24"/>
            </w:rPr>
            <w:fldChar w:fldCharType="end"/>
          </w:r>
        </w:p>
      </w:sdtContent>
    </w:sdt>
    <w:p w14:paraId="2D6C9AE7" w14:textId="77777777" w:rsidR="00950EAC" w:rsidRPr="000E70CC" w:rsidRDefault="00950EAC" w:rsidP="009F365A">
      <w:pPr>
        <w:spacing w:line="360" w:lineRule="auto"/>
        <w:jc w:val="both"/>
        <w:rPr>
          <w:rFonts w:ascii="Arial" w:eastAsia="Arial" w:hAnsi="Arial" w:cs="Arial"/>
          <w:color w:val="000000" w:themeColor="text1"/>
          <w:sz w:val="24"/>
          <w:szCs w:val="24"/>
        </w:rPr>
      </w:pPr>
    </w:p>
    <w:p w14:paraId="5C22F6D7" w14:textId="77777777" w:rsidR="00AF1080" w:rsidRDefault="00AF1080">
      <w:pPr>
        <w:spacing w:after="160" w:line="259" w:lineRule="auto"/>
        <w:rPr>
          <w:rFonts w:ascii="Arial" w:eastAsia="Arial" w:hAnsi="Arial" w:cs="Arial"/>
          <w:b/>
          <w:bCs/>
          <w:color w:val="366091"/>
          <w:sz w:val="32"/>
          <w:szCs w:val="32"/>
        </w:rPr>
      </w:pPr>
      <w:bookmarkStart w:id="13" w:name="_itrshn7gqsbn" w:colFirst="0" w:colLast="0"/>
      <w:bookmarkEnd w:id="13"/>
      <w:r>
        <w:br w:type="page"/>
      </w:r>
    </w:p>
    <w:p w14:paraId="164E4812" w14:textId="59D6B7C5" w:rsidR="00950EAC" w:rsidRPr="000824F8" w:rsidRDefault="00950EAC" w:rsidP="009F365A">
      <w:pPr>
        <w:pStyle w:val="Heading1"/>
        <w:spacing w:line="360" w:lineRule="auto"/>
      </w:pPr>
      <w:bookmarkStart w:id="14" w:name="_Toc235653208"/>
      <w:r w:rsidRPr="000824F8">
        <w:lastRenderedPageBreak/>
        <w:t>List of Tables</w:t>
      </w:r>
      <w:bookmarkEnd w:id="14"/>
    </w:p>
    <w:p w14:paraId="6C80D374" w14:textId="7D9BE89F" w:rsidR="00950EAC" w:rsidRDefault="00950EAC" w:rsidP="009F365A">
      <w:pPr>
        <w:spacing w:line="360" w:lineRule="auto"/>
        <w:jc w:val="both"/>
        <w:rPr>
          <w:rFonts w:ascii="Arial" w:hAnsi="Arial" w:cs="Arial"/>
          <w:color w:val="000000" w:themeColor="text1"/>
        </w:rPr>
      </w:pPr>
    </w:p>
    <w:p w14:paraId="3A6F2C24"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Table 1: Return on Equity and Its Components (2021-2025) - Page 29</w:t>
      </w:r>
    </w:p>
    <w:p w14:paraId="55FD2A82"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Table 2: ROA Decomposition into Revenue and Expense Ratios (2021-2025) - Page 31</w:t>
      </w:r>
    </w:p>
    <w:p w14:paraId="6C54975D"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Table 3: Asset Utilization Ratio Component Breakdown (2021-2025) - Page 33</w:t>
      </w:r>
    </w:p>
    <w:p w14:paraId="043FB856"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Table 4: Expense Ratio Component Breakdown (2021-2025) - Page 36</w:t>
      </w:r>
    </w:p>
    <w:p w14:paraId="1B8F5DF0"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Table: Five-Factor DuPont Analysis of Alliance Finance PLC - Page 39</w:t>
      </w:r>
    </w:p>
    <w:p w14:paraId="6613777C"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EPS Table (2021-2025) - Page 15</w:t>
      </w:r>
    </w:p>
    <w:p w14:paraId="13DBABD6"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NAV per Share Table (2021-2025) - Page 15</w:t>
      </w:r>
    </w:p>
    <w:p w14:paraId="6D5BF7C6"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ROA Table (2021-2025) - Page 16</w:t>
      </w:r>
    </w:p>
    <w:p w14:paraId="7C3D4842"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Net Profit Margin Table (2021-2025) - Page 17</w:t>
      </w:r>
    </w:p>
    <w:p w14:paraId="560A0A61"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Operating Profit Margin Table (2021-2025) - Page 17</w:t>
      </w:r>
    </w:p>
    <w:p w14:paraId="5A3D158F"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ROCE Table (2021-2025) - Page 18</w:t>
      </w:r>
    </w:p>
    <w:p w14:paraId="7471057C"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ROTC Table (2021-2025) - Page 18</w:t>
      </w:r>
    </w:p>
    <w:p w14:paraId="2EEC4D86"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Asset Turnover Table (2021-2025) - Page 19</w:t>
      </w:r>
    </w:p>
    <w:p w14:paraId="3A66E1AD"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Fixed Assets Turnover Table (2021-2025) - Page 19</w:t>
      </w:r>
    </w:p>
    <w:p w14:paraId="17EC7514"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Accounts Receivable Turnover Table (2021-2025) - Page 20</w:t>
      </w:r>
    </w:p>
    <w:p w14:paraId="655441D3"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Current Ratio Table (2021-2025) - Page 20</w:t>
      </w:r>
    </w:p>
    <w:p w14:paraId="6C6E3961"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Quick Ratio Table (2021-2025) - Page 21</w:t>
      </w:r>
    </w:p>
    <w:p w14:paraId="5B9C367F"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Cash Ratio Table (2021-2025) - Page 22</w:t>
      </w:r>
    </w:p>
    <w:p w14:paraId="12E39482"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lastRenderedPageBreak/>
        <w:t>Net Working Capital Ratio Table (2021-2025) - Page 22</w:t>
      </w:r>
    </w:p>
    <w:p w14:paraId="3FC5080F"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Debt-to-Equity Ratio Table (2021-2025) - Page 23</w:t>
      </w:r>
    </w:p>
    <w:p w14:paraId="04D2F035"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Debt-to-Capital Ratio Table (2021-2025) - Page 24</w:t>
      </w:r>
    </w:p>
    <w:p w14:paraId="2B55E30B"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Debt-to-Asset Ratio Table (2021-2025) - Page 24</w:t>
      </w:r>
    </w:p>
    <w:p w14:paraId="18F3E2E8" w14:textId="77777777" w:rsidR="00EA6385" w:rsidRPr="00EA6385" w:rsidRDefault="00EA6385" w:rsidP="00EA6385">
      <w:pPr>
        <w:shd w:val="clear" w:color="auto" w:fill="FFFFFF"/>
        <w:spacing w:before="240" w:after="240" w:line="360" w:lineRule="auto"/>
        <w:jc w:val="both"/>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Financial Leverage Table (2021-2025) - Page 25</w:t>
      </w:r>
    </w:p>
    <w:p w14:paraId="5F54A3D0" w14:textId="77777777" w:rsidR="00EA6385" w:rsidRPr="00EA6385" w:rsidRDefault="00EA6385" w:rsidP="00EA6385">
      <w:pPr>
        <w:shd w:val="clear" w:color="auto" w:fill="FFFFFF"/>
        <w:spacing w:before="240" w:after="240" w:line="360" w:lineRule="auto"/>
        <w:jc w:val="both"/>
        <w:rPr>
          <w:rFonts w:ascii="Segoe UI" w:eastAsia="Times New Roman" w:hAnsi="Segoe UI" w:cs="Segoe UI"/>
          <w:color w:val="0F1115"/>
          <w:sz w:val="24"/>
          <w:szCs w:val="24"/>
          <w:lang w:val="en-US"/>
        </w:rPr>
      </w:pPr>
      <w:r w:rsidRPr="00EA6385">
        <w:rPr>
          <w:rFonts w:ascii="Arial" w:eastAsia="Times New Roman" w:hAnsi="Arial" w:cs="Arial"/>
          <w:color w:val="0F1115"/>
          <w:sz w:val="24"/>
          <w:szCs w:val="24"/>
          <w:lang w:val="en-US"/>
        </w:rPr>
        <w:t>Interest Coverage Ratio Table (2021-2025) - Page 25</w:t>
      </w:r>
    </w:p>
    <w:p w14:paraId="613806D5" w14:textId="77777777" w:rsidR="00EA6385" w:rsidRPr="00EA6385" w:rsidRDefault="00EA6385" w:rsidP="009F365A">
      <w:pPr>
        <w:spacing w:line="360" w:lineRule="auto"/>
        <w:jc w:val="both"/>
        <w:rPr>
          <w:rFonts w:ascii="Arial" w:hAnsi="Arial" w:cs="Arial"/>
          <w:color w:val="000000" w:themeColor="text1"/>
          <w:sz w:val="24"/>
          <w:szCs w:val="24"/>
        </w:rPr>
      </w:pPr>
    </w:p>
    <w:p w14:paraId="253CEDD9" w14:textId="77777777" w:rsidR="00950EAC" w:rsidRPr="000E70CC" w:rsidRDefault="00950EAC" w:rsidP="009F365A">
      <w:pPr>
        <w:spacing w:line="360" w:lineRule="auto"/>
        <w:jc w:val="both"/>
        <w:rPr>
          <w:rFonts w:ascii="Arial" w:hAnsi="Arial" w:cs="Arial"/>
          <w:color w:val="000000" w:themeColor="text1"/>
        </w:rPr>
      </w:pPr>
    </w:p>
    <w:p w14:paraId="2D7D561B" w14:textId="77777777" w:rsidR="00950EAC" w:rsidRPr="000E70CC" w:rsidRDefault="00950EAC" w:rsidP="009F365A">
      <w:pPr>
        <w:spacing w:line="360" w:lineRule="auto"/>
        <w:jc w:val="both"/>
        <w:rPr>
          <w:rFonts w:ascii="Arial" w:hAnsi="Arial" w:cs="Arial"/>
          <w:color w:val="000000" w:themeColor="text1"/>
        </w:rPr>
      </w:pPr>
    </w:p>
    <w:p w14:paraId="3C5D0D18" w14:textId="77777777" w:rsidR="00950EAC" w:rsidRPr="000E70CC" w:rsidRDefault="00950EAC" w:rsidP="009F365A">
      <w:pPr>
        <w:spacing w:line="360" w:lineRule="auto"/>
        <w:jc w:val="both"/>
        <w:rPr>
          <w:rFonts w:ascii="Arial" w:hAnsi="Arial" w:cs="Arial"/>
          <w:color w:val="000000" w:themeColor="text1"/>
        </w:rPr>
      </w:pPr>
    </w:p>
    <w:p w14:paraId="58CC2FE7" w14:textId="77777777" w:rsidR="00950EAC" w:rsidRPr="000E70CC" w:rsidRDefault="00950EAC" w:rsidP="009F365A">
      <w:pPr>
        <w:spacing w:line="360" w:lineRule="auto"/>
        <w:jc w:val="both"/>
        <w:rPr>
          <w:rFonts w:ascii="Arial" w:hAnsi="Arial" w:cs="Arial"/>
          <w:color w:val="000000" w:themeColor="text1"/>
        </w:rPr>
      </w:pPr>
    </w:p>
    <w:p w14:paraId="0B6C7652" w14:textId="38851661" w:rsidR="00B25E99" w:rsidRPr="000E70CC" w:rsidRDefault="00B25E99" w:rsidP="009F365A">
      <w:pPr>
        <w:spacing w:after="160" w:line="360" w:lineRule="auto"/>
        <w:jc w:val="both"/>
        <w:rPr>
          <w:rFonts w:ascii="Arial" w:eastAsia="Arial" w:hAnsi="Arial" w:cs="Arial"/>
          <w:b/>
          <w:bCs/>
          <w:color w:val="000000" w:themeColor="text1"/>
          <w:sz w:val="32"/>
          <w:szCs w:val="32"/>
        </w:rPr>
      </w:pPr>
    </w:p>
    <w:p w14:paraId="383D21BA" w14:textId="77777777" w:rsidR="00AF1080" w:rsidRDefault="00AF1080">
      <w:pPr>
        <w:spacing w:after="160" w:line="259" w:lineRule="auto"/>
        <w:rPr>
          <w:rFonts w:ascii="Arial" w:eastAsia="Arial" w:hAnsi="Arial" w:cs="Arial"/>
          <w:b/>
          <w:bCs/>
          <w:color w:val="366091"/>
          <w:sz w:val="32"/>
          <w:szCs w:val="32"/>
        </w:rPr>
      </w:pPr>
      <w:r>
        <w:br w:type="page"/>
      </w:r>
    </w:p>
    <w:p w14:paraId="15025523" w14:textId="55805B58" w:rsidR="00950EAC" w:rsidRPr="000824F8" w:rsidRDefault="00950EAC" w:rsidP="009F365A">
      <w:pPr>
        <w:pStyle w:val="Heading1"/>
        <w:spacing w:line="360" w:lineRule="auto"/>
      </w:pPr>
      <w:bookmarkStart w:id="15" w:name="_Toc235653209"/>
      <w:r w:rsidRPr="000824F8">
        <w:lastRenderedPageBreak/>
        <w:t xml:space="preserve">List of </w:t>
      </w:r>
      <w:r w:rsidR="00AF1080">
        <w:t>E</w:t>
      </w:r>
      <w:r w:rsidRPr="000824F8">
        <w:t>quations</w:t>
      </w:r>
      <w:bookmarkEnd w:id="15"/>
    </w:p>
    <w:p w14:paraId="1588CEB3" w14:textId="77777777" w:rsidR="00950EAC" w:rsidRPr="000E70CC" w:rsidRDefault="00950EAC" w:rsidP="009F365A">
      <w:pPr>
        <w:spacing w:line="360" w:lineRule="auto"/>
        <w:jc w:val="both"/>
        <w:rPr>
          <w:rFonts w:ascii="Arial" w:hAnsi="Arial" w:cs="Arial"/>
          <w:color w:val="000000" w:themeColor="text1"/>
        </w:rPr>
      </w:pPr>
    </w:p>
    <w:p w14:paraId="76B481A8"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1: Return on Equity (ROE) - Page 28</w:t>
      </w:r>
    </w:p>
    <w:p w14:paraId="05DF072A"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ROE = ROA × EM</w:t>
      </w:r>
    </w:p>
    <w:p w14:paraId="582296E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2: Expanded ROE - Page 29</w:t>
      </w:r>
    </w:p>
    <w:p w14:paraId="4204AC35"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ROE = (Net Profit / Total Assets) × (Total Assets / Total Equity)</w:t>
      </w:r>
    </w:p>
    <w:p w14:paraId="484F4A3D"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3: Net Profit Equation - Page 30</w:t>
      </w:r>
    </w:p>
    <w:p w14:paraId="24DFEFF6"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Net Profit = Total Revenue - Total Expenses</w:t>
      </w:r>
    </w:p>
    <w:p w14:paraId="3E057620"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4: ROA Transformation (Dividing by Total Assets) - Page 30</w:t>
      </w:r>
    </w:p>
    <w:p w14:paraId="72918795"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Net Profit / Total Assets = (Total Revenue / Total Assets) - (Total Expenses / Total Assets)</w:t>
      </w:r>
    </w:p>
    <w:p w14:paraId="540B56CA"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5: ROA Expressed in Ratio Form - Page 30</w:t>
      </w:r>
    </w:p>
    <w:p w14:paraId="520D605E"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ROA = Asset Utilization Ratio - Expense Ratio</w:t>
      </w:r>
    </w:p>
    <w:p w14:paraId="6636DFF2"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6: Total Revenue Equation - Page 32</w:t>
      </w:r>
    </w:p>
    <w:p w14:paraId="623A3309"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Total Revenue = Interest Income + Non-Interest Income + Profit/Loss on Sale of Assets</w:t>
      </w:r>
    </w:p>
    <w:p w14:paraId="6DC4BE3A"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7: Asset Utilization Ratio (Dividing by Total Assets) - Page 32</w:t>
      </w:r>
    </w:p>
    <w:p w14:paraId="2FC2AEB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Total Revenue / Total Assets = (Interest Income / TA) + (Non-Interest Income / TA) + (Profit/Loss on Sale of Assets / TA)</w:t>
      </w:r>
    </w:p>
    <w:p w14:paraId="5AB618E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8: Asset Utilization Ratio in Component Form - Page 32</w:t>
      </w:r>
    </w:p>
    <w:p w14:paraId="16E6D92C"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Asset Utilization Ratio = Yield on Interest-Based Assets + Yield on Non-Interest-Based Assets + Gain/Loss on Asset Sale Yield</w:t>
      </w:r>
    </w:p>
    <w:p w14:paraId="312632BE"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lastRenderedPageBreak/>
        <w:t>Equation 9: Asset Utilization Ratio for AFPLC - Page 32</w:t>
      </w:r>
    </w:p>
    <w:p w14:paraId="217580FC"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AUR = (Interest Income / TA) + (Non-Interest Income / TA)</w:t>
      </w:r>
    </w:p>
    <w:p w14:paraId="33E214D8"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10: Total Expense Equation - Page 35</w:t>
      </w:r>
    </w:p>
    <w:p w14:paraId="03467F62"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Total Expenses = Interest Expenses + Non-Interest Expenses + Provision + Tax Expenses</w:t>
      </w:r>
    </w:p>
    <w:p w14:paraId="42918F12"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11: Expense Ratio (Dividing by Total Assets) - Page 35</w:t>
      </w:r>
    </w:p>
    <w:p w14:paraId="652A6F6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Total Expenses / Total Assets = (Interest Expenses / TA) + (Non-Interest Expenses / TA) + (Provision / TA) + (Tax Expenses / TA)</w:t>
      </w:r>
    </w:p>
    <w:p w14:paraId="28015076"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12: Expense Ratio in Component Form - Page 35</w:t>
      </w:r>
    </w:p>
    <w:p w14:paraId="55788A9E"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Expense Ratio = Cost of Funds + Overhead Rate + Quality of Assets + Tax Rate</w:t>
      </w:r>
    </w:p>
    <w:p w14:paraId="0C6AC1BE"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13: Complete Aggregate ROE Framework - Page 37</w:t>
      </w:r>
    </w:p>
    <w:p w14:paraId="7697508A"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ROE = [(Interest Income/TA + Non-Interest Income/TA) - (Interest Expense/TA + Non-Interest Expense/TA + Provision/TA + Tax Expense/TA)] × (TA/</w:t>
      </w:r>
      <w:proofErr w:type="spellStart"/>
      <w:r w:rsidRPr="00EA6385">
        <w:rPr>
          <w:rFonts w:ascii="Arial" w:eastAsia="Times New Roman" w:hAnsi="Arial" w:cs="Arial"/>
          <w:color w:val="0F1115"/>
          <w:sz w:val="24"/>
          <w:szCs w:val="24"/>
          <w:lang w:val="en-US"/>
        </w:rPr>
        <w:t>TEq</w:t>
      </w:r>
      <w:proofErr w:type="spellEnd"/>
      <w:r w:rsidRPr="00EA6385">
        <w:rPr>
          <w:rFonts w:ascii="Arial" w:eastAsia="Times New Roman" w:hAnsi="Arial" w:cs="Arial"/>
          <w:color w:val="0F1115"/>
          <w:sz w:val="24"/>
          <w:szCs w:val="24"/>
          <w:lang w:val="en-US"/>
        </w:rPr>
        <w:t>)</w:t>
      </w:r>
    </w:p>
    <w:p w14:paraId="25F9B904"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Equation 14: Framework in Component Form - Page 37</w:t>
      </w:r>
    </w:p>
    <w:p w14:paraId="783BA418"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ROE = [(Yield on Interest-Based Assets + Yield on Non-Interest-Based Assets) - (Cost of Funds + Overhead Rate + Quality of Assets + Tax Rate)] × Equity Multiplier</w:t>
      </w:r>
    </w:p>
    <w:p w14:paraId="23131E2A"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5-Component DuPont Analysis Formula - Page 38</w:t>
      </w:r>
    </w:p>
    <w:p w14:paraId="2F78E509"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ROE = Tax Burden × Interest Burden × Operating Margin × Asset Turnover × Equity Multiplier</w:t>
      </w:r>
    </w:p>
    <w:p w14:paraId="4BF75173"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EPS Formula - Page 14</w:t>
      </w:r>
    </w:p>
    <w:p w14:paraId="69FC980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EPS = (Net Income - Preferred Dividends) / Outstanding Shares</w:t>
      </w:r>
    </w:p>
    <w:p w14:paraId="1A61D416"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NAV per Share Formula - Page 15</w:t>
      </w:r>
    </w:p>
    <w:p w14:paraId="36120DA9"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lastRenderedPageBreak/>
        <w:t>NAV per Share = Total Equity / Outstanding Shares</w:t>
      </w:r>
    </w:p>
    <w:p w14:paraId="6DA2D2AD"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ROA Formula - Page 16</w:t>
      </w:r>
    </w:p>
    <w:p w14:paraId="1A791F3A"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ROA = Net Income / Average Total Assets</w:t>
      </w:r>
    </w:p>
    <w:p w14:paraId="33AFA899"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Net Profit Margin Formula - Page 16</w:t>
      </w:r>
    </w:p>
    <w:p w14:paraId="74E3B5B8"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Net Profit Margin = Net Profit / Revenue × 100</w:t>
      </w:r>
    </w:p>
    <w:p w14:paraId="5EBF4043"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Operating Profit Margin Formula - Page 17</w:t>
      </w:r>
    </w:p>
    <w:p w14:paraId="6A11443F"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Operating Profit Margin = EBIT / Revenue × 100</w:t>
      </w:r>
    </w:p>
    <w:p w14:paraId="33741308"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ROCE Formula - Page 17</w:t>
      </w:r>
    </w:p>
    <w:p w14:paraId="070AF433"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ROCE = (Net Income - Preferred Dividends) / Average Common Shareholders' Equity</w:t>
      </w:r>
    </w:p>
    <w:p w14:paraId="4A46F748"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ROTC Formula - Page 18</w:t>
      </w:r>
    </w:p>
    <w:p w14:paraId="1F896C2F"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ROTC = EBIT / Average Total Capital</w:t>
      </w:r>
    </w:p>
    <w:p w14:paraId="7608178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Asset Turnover Formula - Page 18</w:t>
      </w:r>
    </w:p>
    <w:p w14:paraId="2F7C32D9"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Asset Turnover Ratio = Total Revenue / Average Total Assets</w:t>
      </w:r>
    </w:p>
    <w:p w14:paraId="4AB77258"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Fixed Assets Turnover Formula - Page 19</w:t>
      </w:r>
    </w:p>
    <w:p w14:paraId="7AAA66B1"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Fixed Assets Turnover Ratio = Total Revenue / Net Fixed Assets</w:t>
      </w:r>
    </w:p>
    <w:p w14:paraId="76329480"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Accounts Receivable Turnover Formula - Page 19</w:t>
      </w:r>
    </w:p>
    <w:p w14:paraId="0D77EA9D"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Accounts Receivable Turnover Ratio = Net Credit Sales / Average Accounts Receivable</w:t>
      </w:r>
    </w:p>
    <w:p w14:paraId="4C70431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Current Ratio Formula - Page 20</w:t>
      </w:r>
    </w:p>
    <w:p w14:paraId="09CB33E2"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Current Ratio = Total Current Assets / Total Current Liabilities</w:t>
      </w:r>
    </w:p>
    <w:p w14:paraId="53922D1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Quick Ratio Formula - Page 21</w:t>
      </w:r>
    </w:p>
    <w:p w14:paraId="29D95401"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lastRenderedPageBreak/>
        <w:t>Quick Ratio = Quick Assets / Current Liabilities</w:t>
      </w:r>
    </w:p>
    <w:p w14:paraId="1178731F"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Cash Ratio Formula - Page 21</w:t>
      </w:r>
    </w:p>
    <w:p w14:paraId="54E52E0C"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Cash Ratio = Cash and Cash Equivalents / Current Liabilities</w:t>
      </w:r>
    </w:p>
    <w:p w14:paraId="77246EA1"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Net Working Capital Ratio Formula - Page 22</w:t>
      </w:r>
    </w:p>
    <w:p w14:paraId="4BB50262"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Net Working Capital Ratio = (Current Assets - Current Liabilities) / Total Assets</w:t>
      </w:r>
    </w:p>
    <w:p w14:paraId="7A295904"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Debt-to-Equity Formula - Page 23</w:t>
      </w:r>
    </w:p>
    <w:p w14:paraId="1F48F27B"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Debt-to-Equity = Total Debt / Total Equity</w:t>
      </w:r>
    </w:p>
    <w:p w14:paraId="4C8B0E42"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Debt-to-Capital Ratio Formula - Page 24</w:t>
      </w:r>
    </w:p>
    <w:p w14:paraId="0DAECEF3"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Debt-to-Capital Ratio = Total Debt / (Total Debt + Total Equity)</w:t>
      </w:r>
    </w:p>
    <w:p w14:paraId="0645F302"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Debt-to-Asset Ratio Formula - Page 24</w:t>
      </w:r>
    </w:p>
    <w:p w14:paraId="44884614"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Debt-to-Asset Ratio = Total Debt / Total Assets</w:t>
      </w:r>
    </w:p>
    <w:p w14:paraId="3AF54981"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Financial Leverage Formula - Page 25</w:t>
      </w:r>
    </w:p>
    <w:p w14:paraId="6F11A457"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Financial Leverage = Average Total Assets / Average Total Equity</w:t>
      </w:r>
    </w:p>
    <w:p w14:paraId="12DA8C94" w14:textId="77777777" w:rsidR="00EA6385" w:rsidRPr="00EA6385" w:rsidRDefault="00EA6385" w:rsidP="00D003E2">
      <w:pPr>
        <w:shd w:val="clear" w:color="auto" w:fill="FFFFFF"/>
        <w:spacing w:before="240" w:after="240"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Interest Coverage Ratio Formula - Page 25</w:t>
      </w:r>
    </w:p>
    <w:p w14:paraId="654FBDB0" w14:textId="77777777" w:rsidR="00EA6385" w:rsidRPr="00EA6385" w:rsidRDefault="00EA6385" w:rsidP="00D003E2">
      <w:pPr>
        <w:shd w:val="clear" w:color="auto" w:fill="FFFFFF"/>
        <w:spacing w:before="240" w:after="100" w:afterAutospacing="1" w:line="360" w:lineRule="auto"/>
        <w:rPr>
          <w:rFonts w:ascii="Arial" w:eastAsia="Times New Roman" w:hAnsi="Arial" w:cs="Arial"/>
          <w:color w:val="0F1115"/>
          <w:sz w:val="24"/>
          <w:szCs w:val="24"/>
          <w:lang w:val="en-US"/>
        </w:rPr>
      </w:pPr>
      <w:r w:rsidRPr="00EA6385">
        <w:rPr>
          <w:rFonts w:ascii="Arial" w:eastAsia="Times New Roman" w:hAnsi="Arial" w:cs="Arial"/>
          <w:color w:val="0F1115"/>
          <w:sz w:val="24"/>
          <w:szCs w:val="24"/>
          <w:lang w:val="en-US"/>
        </w:rPr>
        <w:t>Interest Coverage Ratio = EBIT / Interest Expense</w:t>
      </w:r>
    </w:p>
    <w:p w14:paraId="3C6E583C" w14:textId="77777777" w:rsidR="00950EAC" w:rsidRPr="000E70CC" w:rsidRDefault="00950EAC" w:rsidP="009F365A">
      <w:pPr>
        <w:spacing w:line="360" w:lineRule="auto"/>
        <w:jc w:val="both"/>
        <w:rPr>
          <w:rFonts w:ascii="Arial" w:hAnsi="Arial" w:cs="Arial"/>
          <w:color w:val="000000" w:themeColor="text1"/>
        </w:rPr>
      </w:pPr>
    </w:p>
    <w:p w14:paraId="703BB9E7" w14:textId="77777777" w:rsidR="00950EAC" w:rsidRPr="000E70CC" w:rsidRDefault="00950EAC" w:rsidP="009F365A">
      <w:pPr>
        <w:spacing w:line="360" w:lineRule="auto"/>
        <w:jc w:val="both"/>
        <w:rPr>
          <w:rFonts w:ascii="Arial" w:eastAsia="Arial" w:hAnsi="Arial" w:cs="Arial"/>
          <w:color w:val="000000" w:themeColor="text1"/>
          <w:sz w:val="24"/>
          <w:szCs w:val="24"/>
        </w:rPr>
      </w:pPr>
    </w:p>
    <w:p w14:paraId="694A1363" w14:textId="5ADC3156" w:rsidR="00AF1080" w:rsidRDefault="00AF1080">
      <w:pPr>
        <w:spacing w:after="160" w:line="259" w:lineRule="auto"/>
        <w:rPr>
          <w:rFonts w:ascii="Arial" w:eastAsia="Arial" w:hAnsi="Arial" w:cs="Arial"/>
          <w:b/>
          <w:bCs/>
          <w:color w:val="366091"/>
          <w:sz w:val="32"/>
          <w:szCs w:val="32"/>
        </w:rPr>
      </w:pPr>
    </w:p>
    <w:p w14:paraId="3AD4E152" w14:textId="77777777" w:rsidR="00D003E2" w:rsidRDefault="00D003E2">
      <w:pPr>
        <w:spacing w:after="160" w:line="259" w:lineRule="auto"/>
        <w:rPr>
          <w:rFonts w:ascii="Arial" w:eastAsia="Arial" w:hAnsi="Arial" w:cs="Arial"/>
          <w:b/>
          <w:bCs/>
          <w:color w:val="366091"/>
          <w:sz w:val="32"/>
          <w:szCs w:val="32"/>
        </w:rPr>
      </w:pPr>
      <w:r>
        <w:br w:type="page"/>
      </w:r>
    </w:p>
    <w:p w14:paraId="29F028AF" w14:textId="4C5D856F" w:rsidR="00950EAC" w:rsidRPr="000824F8" w:rsidRDefault="00950EAC" w:rsidP="009F365A">
      <w:pPr>
        <w:pStyle w:val="Heading1"/>
        <w:spacing w:line="360" w:lineRule="auto"/>
      </w:pPr>
      <w:bookmarkStart w:id="16" w:name="_Toc235653210"/>
      <w:r w:rsidRPr="000824F8">
        <w:lastRenderedPageBreak/>
        <w:t>List of Acronyms &amp; Abbreviations</w:t>
      </w:r>
      <w:bookmarkEnd w:id="16"/>
    </w:p>
    <w:p w14:paraId="7D558CF3" w14:textId="77777777" w:rsidR="00950EAC" w:rsidRPr="000E70CC" w:rsidRDefault="00950EAC" w:rsidP="009F365A">
      <w:pPr>
        <w:spacing w:line="360" w:lineRule="auto"/>
        <w:jc w:val="both"/>
        <w:rPr>
          <w:rFonts w:ascii="Arial" w:eastAsia="Arial" w:hAnsi="Arial" w:cs="Arial"/>
          <w:color w:val="000000" w:themeColor="text1"/>
          <w:sz w:val="24"/>
          <w:szCs w:val="24"/>
        </w:rPr>
      </w:pPr>
    </w:p>
    <w:tbl>
      <w:tblPr>
        <w:tblW w:w="11281" w:type="dxa"/>
        <w:shd w:val="clear" w:color="auto" w:fill="FFFFFF"/>
        <w:tblCellMar>
          <w:top w:w="15" w:type="dxa"/>
          <w:left w:w="15" w:type="dxa"/>
          <w:bottom w:w="15" w:type="dxa"/>
          <w:right w:w="15" w:type="dxa"/>
        </w:tblCellMar>
        <w:tblLook w:val="04A0" w:firstRow="1" w:lastRow="0" w:firstColumn="1" w:lastColumn="0" w:noHBand="0" w:noVBand="1"/>
      </w:tblPr>
      <w:tblGrid>
        <w:gridCol w:w="3832"/>
        <w:gridCol w:w="7449"/>
      </w:tblGrid>
      <w:tr w:rsidR="000E70CC" w:rsidRPr="000E70CC" w14:paraId="4426FF79" w14:textId="77777777" w:rsidTr="00B25E99">
        <w:trPr>
          <w:tblHeader/>
        </w:trPr>
        <w:tc>
          <w:tcPr>
            <w:tcW w:w="0" w:type="auto"/>
            <w:tcBorders>
              <w:top w:val="nil"/>
            </w:tcBorders>
            <w:shd w:val="clear" w:color="auto" w:fill="FFFFFF"/>
            <w:tcMar>
              <w:top w:w="150" w:type="dxa"/>
              <w:left w:w="0" w:type="dxa"/>
              <w:bottom w:w="150" w:type="dxa"/>
              <w:right w:w="240" w:type="dxa"/>
            </w:tcMar>
            <w:vAlign w:val="center"/>
            <w:hideMark/>
          </w:tcPr>
          <w:p w14:paraId="7A352669" w14:textId="77777777" w:rsidR="00B25E99" w:rsidRPr="00B25E99" w:rsidRDefault="00B25E99" w:rsidP="009F365A">
            <w:pPr>
              <w:spacing w:after="0" w:line="360" w:lineRule="auto"/>
              <w:jc w:val="both"/>
              <w:rPr>
                <w:rFonts w:ascii="Arial" w:eastAsia="Times New Roman" w:hAnsi="Arial" w:cs="Arial"/>
                <w:b/>
                <w:bCs/>
                <w:color w:val="000000" w:themeColor="text1"/>
                <w:sz w:val="24"/>
                <w:szCs w:val="24"/>
                <w:lang w:val="en-US"/>
              </w:rPr>
            </w:pPr>
            <w:r w:rsidRPr="00B25E99">
              <w:rPr>
                <w:rFonts w:ascii="Arial" w:eastAsia="Times New Roman" w:hAnsi="Arial" w:cs="Arial"/>
                <w:b/>
                <w:bCs/>
                <w:color w:val="000000" w:themeColor="text1"/>
                <w:sz w:val="24"/>
                <w:szCs w:val="24"/>
                <w:lang w:val="en-US"/>
              </w:rPr>
              <w:t>Acronym/Abbreviation</w:t>
            </w:r>
          </w:p>
        </w:tc>
        <w:tc>
          <w:tcPr>
            <w:tcW w:w="0" w:type="auto"/>
            <w:tcBorders>
              <w:top w:val="nil"/>
            </w:tcBorders>
            <w:shd w:val="clear" w:color="auto" w:fill="FFFFFF"/>
            <w:tcMar>
              <w:top w:w="150" w:type="dxa"/>
              <w:left w:w="240" w:type="dxa"/>
              <w:bottom w:w="150" w:type="dxa"/>
              <w:right w:w="240" w:type="dxa"/>
            </w:tcMar>
            <w:vAlign w:val="center"/>
            <w:hideMark/>
          </w:tcPr>
          <w:p w14:paraId="640F907D" w14:textId="77777777" w:rsidR="00B25E99" w:rsidRPr="00B25E99" w:rsidRDefault="00B25E99" w:rsidP="009F365A">
            <w:pPr>
              <w:spacing w:after="0" w:line="360" w:lineRule="auto"/>
              <w:jc w:val="both"/>
              <w:rPr>
                <w:rFonts w:ascii="Arial" w:eastAsia="Times New Roman" w:hAnsi="Arial" w:cs="Arial"/>
                <w:b/>
                <w:bCs/>
                <w:color w:val="000000" w:themeColor="text1"/>
                <w:sz w:val="24"/>
                <w:szCs w:val="24"/>
                <w:lang w:val="en-US"/>
              </w:rPr>
            </w:pPr>
            <w:r w:rsidRPr="00B25E99">
              <w:rPr>
                <w:rFonts w:ascii="Arial" w:eastAsia="Times New Roman" w:hAnsi="Arial" w:cs="Arial"/>
                <w:b/>
                <w:bCs/>
                <w:color w:val="000000" w:themeColor="text1"/>
                <w:sz w:val="24"/>
                <w:szCs w:val="24"/>
                <w:lang w:val="en-US"/>
              </w:rPr>
              <w:t>Full Form</w:t>
            </w:r>
          </w:p>
        </w:tc>
      </w:tr>
      <w:tr w:rsidR="000E70CC" w:rsidRPr="000E70CC" w14:paraId="041F5CD3" w14:textId="77777777" w:rsidTr="00B25E99">
        <w:tc>
          <w:tcPr>
            <w:tcW w:w="0" w:type="auto"/>
            <w:shd w:val="clear" w:color="auto" w:fill="FFFFFF"/>
            <w:tcMar>
              <w:top w:w="150" w:type="dxa"/>
              <w:left w:w="0" w:type="dxa"/>
              <w:bottom w:w="150" w:type="dxa"/>
              <w:right w:w="240" w:type="dxa"/>
            </w:tcMar>
            <w:vAlign w:val="center"/>
            <w:hideMark/>
          </w:tcPr>
          <w:p w14:paraId="2723ACA9"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AFPLC</w:t>
            </w:r>
          </w:p>
        </w:tc>
        <w:tc>
          <w:tcPr>
            <w:tcW w:w="0" w:type="auto"/>
            <w:shd w:val="clear" w:color="auto" w:fill="FFFFFF"/>
            <w:tcMar>
              <w:top w:w="150" w:type="dxa"/>
              <w:left w:w="240" w:type="dxa"/>
              <w:bottom w:w="150" w:type="dxa"/>
              <w:right w:w="0" w:type="dxa"/>
            </w:tcMar>
            <w:vAlign w:val="center"/>
            <w:hideMark/>
          </w:tcPr>
          <w:p w14:paraId="1EA391DC"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Alliance Finance PLC</w:t>
            </w:r>
          </w:p>
        </w:tc>
      </w:tr>
      <w:tr w:rsidR="000E70CC" w:rsidRPr="000E70CC" w14:paraId="4E82218E" w14:textId="77777777" w:rsidTr="00B25E99">
        <w:tc>
          <w:tcPr>
            <w:tcW w:w="0" w:type="auto"/>
            <w:shd w:val="clear" w:color="auto" w:fill="FFFFFF"/>
            <w:tcMar>
              <w:top w:w="150" w:type="dxa"/>
              <w:left w:w="0" w:type="dxa"/>
              <w:bottom w:w="150" w:type="dxa"/>
              <w:right w:w="240" w:type="dxa"/>
            </w:tcMar>
            <w:vAlign w:val="center"/>
            <w:hideMark/>
          </w:tcPr>
          <w:p w14:paraId="4238AB19"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AUR</w:t>
            </w:r>
          </w:p>
        </w:tc>
        <w:tc>
          <w:tcPr>
            <w:tcW w:w="0" w:type="auto"/>
            <w:shd w:val="clear" w:color="auto" w:fill="FFFFFF"/>
            <w:tcMar>
              <w:top w:w="150" w:type="dxa"/>
              <w:left w:w="240" w:type="dxa"/>
              <w:bottom w:w="150" w:type="dxa"/>
              <w:right w:w="0" w:type="dxa"/>
            </w:tcMar>
            <w:vAlign w:val="center"/>
            <w:hideMark/>
          </w:tcPr>
          <w:p w14:paraId="1308AA83"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Asset Utilization Ratio</w:t>
            </w:r>
          </w:p>
        </w:tc>
      </w:tr>
      <w:tr w:rsidR="000E70CC" w:rsidRPr="000E70CC" w14:paraId="1D7BD366" w14:textId="77777777" w:rsidTr="00B25E99">
        <w:tc>
          <w:tcPr>
            <w:tcW w:w="0" w:type="auto"/>
            <w:shd w:val="clear" w:color="auto" w:fill="FFFFFF"/>
            <w:tcMar>
              <w:top w:w="150" w:type="dxa"/>
              <w:left w:w="0" w:type="dxa"/>
              <w:bottom w:w="150" w:type="dxa"/>
              <w:right w:w="240" w:type="dxa"/>
            </w:tcMar>
            <w:vAlign w:val="center"/>
            <w:hideMark/>
          </w:tcPr>
          <w:p w14:paraId="714E26BD"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BDT</w:t>
            </w:r>
          </w:p>
        </w:tc>
        <w:tc>
          <w:tcPr>
            <w:tcW w:w="0" w:type="auto"/>
            <w:shd w:val="clear" w:color="auto" w:fill="FFFFFF"/>
            <w:tcMar>
              <w:top w:w="150" w:type="dxa"/>
              <w:left w:w="240" w:type="dxa"/>
              <w:bottom w:w="150" w:type="dxa"/>
              <w:right w:w="0" w:type="dxa"/>
            </w:tcMar>
            <w:vAlign w:val="center"/>
            <w:hideMark/>
          </w:tcPr>
          <w:p w14:paraId="5E311EEA"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Bangladesh Taka</w:t>
            </w:r>
          </w:p>
        </w:tc>
      </w:tr>
      <w:tr w:rsidR="000E70CC" w:rsidRPr="000E70CC" w14:paraId="6C1942B0" w14:textId="77777777" w:rsidTr="00B25E99">
        <w:tc>
          <w:tcPr>
            <w:tcW w:w="0" w:type="auto"/>
            <w:shd w:val="clear" w:color="auto" w:fill="FFFFFF"/>
            <w:tcMar>
              <w:top w:w="150" w:type="dxa"/>
              <w:left w:w="0" w:type="dxa"/>
              <w:bottom w:w="150" w:type="dxa"/>
              <w:right w:w="240" w:type="dxa"/>
            </w:tcMar>
            <w:vAlign w:val="center"/>
            <w:hideMark/>
          </w:tcPr>
          <w:p w14:paraId="446DB967"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CEO</w:t>
            </w:r>
          </w:p>
        </w:tc>
        <w:tc>
          <w:tcPr>
            <w:tcW w:w="0" w:type="auto"/>
            <w:shd w:val="clear" w:color="auto" w:fill="FFFFFF"/>
            <w:tcMar>
              <w:top w:w="150" w:type="dxa"/>
              <w:left w:w="240" w:type="dxa"/>
              <w:bottom w:w="150" w:type="dxa"/>
              <w:right w:w="0" w:type="dxa"/>
            </w:tcMar>
            <w:vAlign w:val="center"/>
            <w:hideMark/>
          </w:tcPr>
          <w:p w14:paraId="406E8CB8"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Chief Executive Officer</w:t>
            </w:r>
          </w:p>
        </w:tc>
      </w:tr>
      <w:tr w:rsidR="000E70CC" w:rsidRPr="000E70CC" w14:paraId="263002E4" w14:textId="77777777" w:rsidTr="00B25E99">
        <w:tc>
          <w:tcPr>
            <w:tcW w:w="0" w:type="auto"/>
            <w:shd w:val="clear" w:color="auto" w:fill="FFFFFF"/>
            <w:tcMar>
              <w:top w:w="150" w:type="dxa"/>
              <w:left w:w="0" w:type="dxa"/>
              <w:bottom w:w="150" w:type="dxa"/>
              <w:right w:w="240" w:type="dxa"/>
            </w:tcMar>
            <w:vAlign w:val="center"/>
            <w:hideMark/>
          </w:tcPr>
          <w:p w14:paraId="64991296"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EBIT</w:t>
            </w:r>
          </w:p>
        </w:tc>
        <w:tc>
          <w:tcPr>
            <w:tcW w:w="0" w:type="auto"/>
            <w:shd w:val="clear" w:color="auto" w:fill="FFFFFF"/>
            <w:tcMar>
              <w:top w:w="150" w:type="dxa"/>
              <w:left w:w="240" w:type="dxa"/>
              <w:bottom w:w="150" w:type="dxa"/>
              <w:right w:w="0" w:type="dxa"/>
            </w:tcMar>
            <w:vAlign w:val="center"/>
            <w:hideMark/>
          </w:tcPr>
          <w:p w14:paraId="5F6AFB1A"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Earnings Before Interest and Taxes</w:t>
            </w:r>
          </w:p>
        </w:tc>
      </w:tr>
      <w:tr w:rsidR="000E70CC" w:rsidRPr="000E70CC" w14:paraId="646B12C9" w14:textId="77777777" w:rsidTr="00B25E99">
        <w:tc>
          <w:tcPr>
            <w:tcW w:w="0" w:type="auto"/>
            <w:shd w:val="clear" w:color="auto" w:fill="FFFFFF"/>
            <w:tcMar>
              <w:top w:w="150" w:type="dxa"/>
              <w:left w:w="0" w:type="dxa"/>
              <w:bottom w:w="150" w:type="dxa"/>
              <w:right w:w="240" w:type="dxa"/>
            </w:tcMar>
            <w:vAlign w:val="center"/>
            <w:hideMark/>
          </w:tcPr>
          <w:p w14:paraId="1AEBB4A1"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EM</w:t>
            </w:r>
          </w:p>
        </w:tc>
        <w:tc>
          <w:tcPr>
            <w:tcW w:w="0" w:type="auto"/>
            <w:shd w:val="clear" w:color="auto" w:fill="FFFFFF"/>
            <w:tcMar>
              <w:top w:w="150" w:type="dxa"/>
              <w:left w:w="240" w:type="dxa"/>
              <w:bottom w:w="150" w:type="dxa"/>
              <w:right w:w="0" w:type="dxa"/>
            </w:tcMar>
            <w:vAlign w:val="center"/>
            <w:hideMark/>
          </w:tcPr>
          <w:p w14:paraId="5F7D491F"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Equity Multiplier</w:t>
            </w:r>
          </w:p>
        </w:tc>
      </w:tr>
      <w:tr w:rsidR="000E70CC" w:rsidRPr="000E70CC" w14:paraId="075407EE" w14:textId="77777777" w:rsidTr="00B25E99">
        <w:tc>
          <w:tcPr>
            <w:tcW w:w="0" w:type="auto"/>
            <w:shd w:val="clear" w:color="auto" w:fill="FFFFFF"/>
            <w:tcMar>
              <w:top w:w="150" w:type="dxa"/>
              <w:left w:w="0" w:type="dxa"/>
              <w:bottom w:w="150" w:type="dxa"/>
              <w:right w:w="240" w:type="dxa"/>
            </w:tcMar>
            <w:vAlign w:val="center"/>
            <w:hideMark/>
          </w:tcPr>
          <w:p w14:paraId="7ABC91C4"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EPS</w:t>
            </w:r>
          </w:p>
        </w:tc>
        <w:tc>
          <w:tcPr>
            <w:tcW w:w="0" w:type="auto"/>
            <w:shd w:val="clear" w:color="auto" w:fill="FFFFFF"/>
            <w:tcMar>
              <w:top w:w="150" w:type="dxa"/>
              <w:left w:w="240" w:type="dxa"/>
              <w:bottom w:w="150" w:type="dxa"/>
              <w:right w:w="0" w:type="dxa"/>
            </w:tcMar>
            <w:vAlign w:val="center"/>
            <w:hideMark/>
          </w:tcPr>
          <w:p w14:paraId="2F3109DC"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Earnings Per Share</w:t>
            </w:r>
          </w:p>
        </w:tc>
      </w:tr>
      <w:tr w:rsidR="000E70CC" w:rsidRPr="000E70CC" w14:paraId="064CFD44" w14:textId="77777777" w:rsidTr="00B25E99">
        <w:tc>
          <w:tcPr>
            <w:tcW w:w="0" w:type="auto"/>
            <w:shd w:val="clear" w:color="auto" w:fill="FFFFFF"/>
            <w:tcMar>
              <w:top w:w="150" w:type="dxa"/>
              <w:left w:w="0" w:type="dxa"/>
              <w:bottom w:w="150" w:type="dxa"/>
              <w:right w:w="240" w:type="dxa"/>
            </w:tcMar>
            <w:vAlign w:val="center"/>
            <w:hideMark/>
          </w:tcPr>
          <w:p w14:paraId="3DC0E21E"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ER</w:t>
            </w:r>
          </w:p>
        </w:tc>
        <w:tc>
          <w:tcPr>
            <w:tcW w:w="0" w:type="auto"/>
            <w:shd w:val="clear" w:color="auto" w:fill="FFFFFF"/>
            <w:tcMar>
              <w:top w:w="150" w:type="dxa"/>
              <w:left w:w="240" w:type="dxa"/>
              <w:bottom w:w="150" w:type="dxa"/>
              <w:right w:w="0" w:type="dxa"/>
            </w:tcMar>
            <w:vAlign w:val="center"/>
            <w:hideMark/>
          </w:tcPr>
          <w:p w14:paraId="2BAF7CA1"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Expense Ratio</w:t>
            </w:r>
          </w:p>
        </w:tc>
      </w:tr>
      <w:tr w:rsidR="000E70CC" w:rsidRPr="000E70CC" w14:paraId="6B5213D5" w14:textId="77777777" w:rsidTr="00B25E99">
        <w:tc>
          <w:tcPr>
            <w:tcW w:w="0" w:type="auto"/>
            <w:shd w:val="clear" w:color="auto" w:fill="FFFFFF"/>
            <w:tcMar>
              <w:top w:w="150" w:type="dxa"/>
              <w:left w:w="0" w:type="dxa"/>
              <w:bottom w:w="150" w:type="dxa"/>
              <w:right w:w="240" w:type="dxa"/>
            </w:tcMar>
            <w:vAlign w:val="center"/>
            <w:hideMark/>
          </w:tcPr>
          <w:p w14:paraId="753C79A0"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FI</w:t>
            </w:r>
          </w:p>
        </w:tc>
        <w:tc>
          <w:tcPr>
            <w:tcW w:w="0" w:type="auto"/>
            <w:shd w:val="clear" w:color="auto" w:fill="FFFFFF"/>
            <w:tcMar>
              <w:top w:w="150" w:type="dxa"/>
              <w:left w:w="240" w:type="dxa"/>
              <w:bottom w:w="150" w:type="dxa"/>
              <w:right w:w="0" w:type="dxa"/>
            </w:tcMar>
            <w:vAlign w:val="center"/>
            <w:hideMark/>
          </w:tcPr>
          <w:p w14:paraId="2C12E118"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Financial Institution</w:t>
            </w:r>
          </w:p>
        </w:tc>
      </w:tr>
      <w:tr w:rsidR="000E70CC" w:rsidRPr="000E70CC" w14:paraId="32CB2410" w14:textId="77777777" w:rsidTr="00B25E99">
        <w:tc>
          <w:tcPr>
            <w:tcW w:w="0" w:type="auto"/>
            <w:shd w:val="clear" w:color="auto" w:fill="FFFFFF"/>
            <w:tcMar>
              <w:top w:w="150" w:type="dxa"/>
              <w:left w:w="0" w:type="dxa"/>
              <w:bottom w:w="150" w:type="dxa"/>
              <w:right w:w="240" w:type="dxa"/>
            </w:tcMar>
            <w:vAlign w:val="center"/>
            <w:hideMark/>
          </w:tcPr>
          <w:p w14:paraId="5C7864EA"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IAS</w:t>
            </w:r>
          </w:p>
        </w:tc>
        <w:tc>
          <w:tcPr>
            <w:tcW w:w="0" w:type="auto"/>
            <w:shd w:val="clear" w:color="auto" w:fill="FFFFFF"/>
            <w:tcMar>
              <w:top w:w="150" w:type="dxa"/>
              <w:left w:w="240" w:type="dxa"/>
              <w:bottom w:w="150" w:type="dxa"/>
              <w:right w:w="0" w:type="dxa"/>
            </w:tcMar>
            <w:vAlign w:val="center"/>
            <w:hideMark/>
          </w:tcPr>
          <w:p w14:paraId="11C44D03"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International Accounting Standards</w:t>
            </w:r>
          </w:p>
        </w:tc>
      </w:tr>
      <w:tr w:rsidR="000E70CC" w:rsidRPr="000E70CC" w14:paraId="1B33ED9A" w14:textId="77777777" w:rsidTr="00B25E99">
        <w:tc>
          <w:tcPr>
            <w:tcW w:w="0" w:type="auto"/>
            <w:shd w:val="clear" w:color="auto" w:fill="FFFFFF"/>
            <w:tcMar>
              <w:top w:w="150" w:type="dxa"/>
              <w:left w:w="0" w:type="dxa"/>
              <w:bottom w:w="150" w:type="dxa"/>
              <w:right w:w="240" w:type="dxa"/>
            </w:tcMar>
            <w:vAlign w:val="center"/>
            <w:hideMark/>
          </w:tcPr>
          <w:p w14:paraId="36334797"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ICAB</w:t>
            </w:r>
          </w:p>
        </w:tc>
        <w:tc>
          <w:tcPr>
            <w:tcW w:w="0" w:type="auto"/>
            <w:shd w:val="clear" w:color="auto" w:fill="FFFFFF"/>
            <w:tcMar>
              <w:top w:w="150" w:type="dxa"/>
              <w:left w:w="240" w:type="dxa"/>
              <w:bottom w:w="150" w:type="dxa"/>
              <w:right w:w="0" w:type="dxa"/>
            </w:tcMar>
            <w:vAlign w:val="center"/>
            <w:hideMark/>
          </w:tcPr>
          <w:p w14:paraId="684E3429"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Institute of Chartered Accountants of Bangladesh</w:t>
            </w:r>
          </w:p>
        </w:tc>
      </w:tr>
      <w:tr w:rsidR="000E70CC" w:rsidRPr="000E70CC" w14:paraId="7680F6AC" w14:textId="77777777" w:rsidTr="00B25E99">
        <w:tc>
          <w:tcPr>
            <w:tcW w:w="0" w:type="auto"/>
            <w:shd w:val="clear" w:color="auto" w:fill="FFFFFF"/>
            <w:tcMar>
              <w:top w:w="150" w:type="dxa"/>
              <w:left w:w="0" w:type="dxa"/>
              <w:bottom w:w="150" w:type="dxa"/>
              <w:right w:w="240" w:type="dxa"/>
            </w:tcMar>
            <w:vAlign w:val="center"/>
            <w:hideMark/>
          </w:tcPr>
          <w:p w14:paraId="322EE538"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IFRS</w:t>
            </w:r>
          </w:p>
        </w:tc>
        <w:tc>
          <w:tcPr>
            <w:tcW w:w="0" w:type="auto"/>
            <w:shd w:val="clear" w:color="auto" w:fill="FFFFFF"/>
            <w:tcMar>
              <w:top w:w="150" w:type="dxa"/>
              <w:left w:w="240" w:type="dxa"/>
              <w:bottom w:w="150" w:type="dxa"/>
              <w:right w:w="0" w:type="dxa"/>
            </w:tcMar>
            <w:vAlign w:val="center"/>
            <w:hideMark/>
          </w:tcPr>
          <w:p w14:paraId="4C1C58A1"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International Financial Reporting Standards</w:t>
            </w:r>
          </w:p>
        </w:tc>
      </w:tr>
      <w:tr w:rsidR="000E70CC" w:rsidRPr="000E70CC" w14:paraId="4E89C300" w14:textId="77777777" w:rsidTr="00B25E99">
        <w:tc>
          <w:tcPr>
            <w:tcW w:w="0" w:type="auto"/>
            <w:shd w:val="clear" w:color="auto" w:fill="FFFFFF"/>
            <w:tcMar>
              <w:top w:w="150" w:type="dxa"/>
              <w:left w:w="0" w:type="dxa"/>
              <w:bottom w:w="150" w:type="dxa"/>
              <w:right w:w="240" w:type="dxa"/>
            </w:tcMar>
            <w:vAlign w:val="center"/>
            <w:hideMark/>
          </w:tcPr>
          <w:p w14:paraId="4C840AB0"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IPO</w:t>
            </w:r>
          </w:p>
        </w:tc>
        <w:tc>
          <w:tcPr>
            <w:tcW w:w="0" w:type="auto"/>
            <w:shd w:val="clear" w:color="auto" w:fill="FFFFFF"/>
            <w:tcMar>
              <w:top w:w="150" w:type="dxa"/>
              <w:left w:w="240" w:type="dxa"/>
              <w:bottom w:w="150" w:type="dxa"/>
              <w:right w:w="0" w:type="dxa"/>
            </w:tcMar>
            <w:vAlign w:val="center"/>
            <w:hideMark/>
          </w:tcPr>
          <w:p w14:paraId="009AD27D"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Initial Public Offering</w:t>
            </w:r>
          </w:p>
        </w:tc>
      </w:tr>
      <w:tr w:rsidR="000E70CC" w:rsidRPr="000E70CC" w14:paraId="3D5E479F" w14:textId="77777777" w:rsidTr="00B25E99">
        <w:tc>
          <w:tcPr>
            <w:tcW w:w="0" w:type="auto"/>
            <w:shd w:val="clear" w:color="auto" w:fill="FFFFFF"/>
            <w:tcMar>
              <w:top w:w="150" w:type="dxa"/>
              <w:left w:w="0" w:type="dxa"/>
              <w:bottom w:w="150" w:type="dxa"/>
              <w:right w:w="240" w:type="dxa"/>
            </w:tcMar>
            <w:vAlign w:val="center"/>
            <w:hideMark/>
          </w:tcPr>
          <w:p w14:paraId="160ABCAF"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LAD</w:t>
            </w:r>
          </w:p>
        </w:tc>
        <w:tc>
          <w:tcPr>
            <w:tcW w:w="0" w:type="auto"/>
            <w:shd w:val="clear" w:color="auto" w:fill="FFFFFF"/>
            <w:tcMar>
              <w:top w:w="150" w:type="dxa"/>
              <w:left w:w="240" w:type="dxa"/>
              <w:bottom w:w="150" w:type="dxa"/>
              <w:right w:w="0" w:type="dxa"/>
            </w:tcMar>
            <w:vAlign w:val="center"/>
            <w:hideMark/>
          </w:tcPr>
          <w:p w14:paraId="34F530CF"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Loan Against Deposit</w:t>
            </w:r>
          </w:p>
        </w:tc>
      </w:tr>
      <w:tr w:rsidR="000E70CC" w:rsidRPr="000E70CC" w14:paraId="0D7F92BA" w14:textId="77777777" w:rsidTr="00B25E99">
        <w:tc>
          <w:tcPr>
            <w:tcW w:w="0" w:type="auto"/>
            <w:shd w:val="clear" w:color="auto" w:fill="FFFFFF"/>
            <w:tcMar>
              <w:top w:w="150" w:type="dxa"/>
              <w:left w:w="0" w:type="dxa"/>
              <w:bottom w:w="150" w:type="dxa"/>
              <w:right w:w="240" w:type="dxa"/>
            </w:tcMar>
            <w:vAlign w:val="center"/>
            <w:hideMark/>
          </w:tcPr>
          <w:p w14:paraId="64EE711B"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LAFL</w:t>
            </w:r>
          </w:p>
        </w:tc>
        <w:tc>
          <w:tcPr>
            <w:tcW w:w="0" w:type="auto"/>
            <w:shd w:val="clear" w:color="auto" w:fill="FFFFFF"/>
            <w:tcMar>
              <w:top w:w="150" w:type="dxa"/>
              <w:left w:w="240" w:type="dxa"/>
              <w:bottom w:w="150" w:type="dxa"/>
              <w:right w:w="0" w:type="dxa"/>
            </w:tcMar>
            <w:vAlign w:val="center"/>
            <w:hideMark/>
          </w:tcPr>
          <w:p w14:paraId="2A760A8D"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Lankan Alliance Finance Limited</w:t>
            </w:r>
          </w:p>
        </w:tc>
      </w:tr>
      <w:tr w:rsidR="000E70CC" w:rsidRPr="000E70CC" w14:paraId="305319B2" w14:textId="77777777" w:rsidTr="00B25E99">
        <w:tc>
          <w:tcPr>
            <w:tcW w:w="0" w:type="auto"/>
            <w:shd w:val="clear" w:color="auto" w:fill="FFFFFF"/>
            <w:tcMar>
              <w:top w:w="150" w:type="dxa"/>
              <w:left w:w="0" w:type="dxa"/>
              <w:bottom w:w="150" w:type="dxa"/>
              <w:right w:w="240" w:type="dxa"/>
            </w:tcMar>
            <w:vAlign w:val="center"/>
            <w:hideMark/>
          </w:tcPr>
          <w:p w14:paraId="1503BFB6"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lastRenderedPageBreak/>
              <w:t>NAV</w:t>
            </w:r>
          </w:p>
        </w:tc>
        <w:tc>
          <w:tcPr>
            <w:tcW w:w="0" w:type="auto"/>
            <w:shd w:val="clear" w:color="auto" w:fill="FFFFFF"/>
            <w:tcMar>
              <w:top w:w="150" w:type="dxa"/>
              <w:left w:w="240" w:type="dxa"/>
              <w:bottom w:w="150" w:type="dxa"/>
              <w:right w:w="0" w:type="dxa"/>
            </w:tcMar>
            <w:vAlign w:val="center"/>
            <w:hideMark/>
          </w:tcPr>
          <w:p w14:paraId="4BDE759E"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Net Asset Value</w:t>
            </w:r>
          </w:p>
        </w:tc>
      </w:tr>
      <w:tr w:rsidR="000E70CC" w:rsidRPr="000E70CC" w14:paraId="4CF80C2F" w14:textId="77777777" w:rsidTr="00B25E99">
        <w:tc>
          <w:tcPr>
            <w:tcW w:w="0" w:type="auto"/>
            <w:shd w:val="clear" w:color="auto" w:fill="FFFFFF"/>
            <w:tcMar>
              <w:top w:w="150" w:type="dxa"/>
              <w:left w:w="0" w:type="dxa"/>
              <w:bottom w:w="150" w:type="dxa"/>
              <w:right w:w="240" w:type="dxa"/>
            </w:tcMar>
            <w:vAlign w:val="center"/>
            <w:hideMark/>
          </w:tcPr>
          <w:p w14:paraId="7F0D9FB2"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NBFI</w:t>
            </w:r>
          </w:p>
        </w:tc>
        <w:tc>
          <w:tcPr>
            <w:tcW w:w="0" w:type="auto"/>
            <w:shd w:val="clear" w:color="auto" w:fill="FFFFFF"/>
            <w:tcMar>
              <w:top w:w="150" w:type="dxa"/>
              <w:left w:w="240" w:type="dxa"/>
              <w:bottom w:w="150" w:type="dxa"/>
              <w:right w:w="0" w:type="dxa"/>
            </w:tcMar>
            <w:vAlign w:val="center"/>
            <w:hideMark/>
          </w:tcPr>
          <w:p w14:paraId="48B46E4B"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Non-Banking Financial Institution</w:t>
            </w:r>
          </w:p>
        </w:tc>
      </w:tr>
      <w:tr w:rsidR="000E70CC" w:rsidRPr="000E70CC" w14:paraId="4ACCEA99" w14:textId="77777777" w:rsidTr="00B25E99">
        <w:tc>
          <w:tcPr>
            <w:tcW w:w="0" w:type="auto"/>
            <w:shd w:val="clear" w:color="auto" w:fill="FFFFFF"/>
            <w:tcMar>
              <w:top w:w="150" w:type="dxa"/>
              <w:left w:w="0" w:type="dxa"/>
              <w:bottom w:w="150" w:type="dxa"/>
              <w:right w:w="240" w:type="dxa"/>
            </w:tcMar>
            <w:vAlign w:val="center"/>
            <w:hideMark/>
          </w:tcPr>
          <w:p w14:paraId="62F85837"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NII</w:t>
            </w:r>
          </w:p>
        </w:tc>
        <w:tc>
          <w:tcPr>
            <w:tcW w:w="0" w:type="auto"/>
            <w:shd w:val="clear" w:color="auto" w:fill="FFFFFF"/>
            <w:tcMar>
              <w:top w:w="150" w:type="dxa"/>
              <w:left w:w="240" w:type="dxa"/>
              <w:bottom w:w="150" w:type="dxa"/>
              <w:right w:w="0" w:type="dxa"/>
            </w:tcMar>
            <w:vAlign w:val="center"/>
            <w:hideMark/>
          </w:tcPr>
          <w:p w14:paraId="6C5D1A75"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Non-Interest Income</w:t>
            </w:r>
          </w:p>
        </w:tc>
      </w:tr>
      <w:tr w:rsidR="000E70CC" w:rsidRPr="000E70CC" w14:paraId="65FE7CD7" w14:textId="77777777" w:rsidTr="00B25E99">
        <w:tc>
          <w:tcPr>
            <w:tcW w:w="0" w:type="auto"/>
            <w:shd w:val="clear" w:color="auto" w:fill="FFFFFF"/>
            <w:tcMar>
              <w:top w:w="150" w:type="dxa"/>
              <w:left w:w="0" w:type="dxa"/>
              <w:bottom w:w="150" w:type="dxa"/>
              <w:right w:w="240" w:type="dxa"/>
            </w:tcMar>
            <w:vAlign w:val="center"/>
            <w:hideMark/>
          </w:tcPr>
          <w:p w14:paraId="0B745ECA"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NWC</w:t>
            </w:r>
          </w:p>
        </w:tc>
        <w:tc>
          <w:tcPr>
            <w:tcW w:w="0" w:type="auto"/>
            <w:shd w:val="clear" w:color="auto" w:fill="FFFFFF"/>
            <w:tcMar>
              <w:top w:w="150" w:type="dxa"/>
              <w:left w:w="240" w:type="dxa"/>
              <w:bottom w:w="150" w:type="dxa"/>
              <w:right w:w="0" w:type="dxa"/>
            </w:tcMar>
            <w:vAlign w:val="center"/>
            <w:hideMark/>
          </w:tcPr>
          <w:p w14:paraId="0A6529BA"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Net Working Capital</w:t>
            </w:r>
          </w:p>
        </w:tc>
      </w:tr>
      <w:tr w:rsidR="000E70CC" w:rsidRPr="000E70CC" w14:paraId="76E700E2" w14:textId="77777777" w:rsidTr="00B25E99">
        <w:tc>
          <w:tcPr>
            <w:tcW w:w="0" w:type="auto"/>
            <w:shd w:val="clear" w:color="auto" w:fill="FFFFFF"/>
            <w:tcMar>
              <w:top w:w="150" w:type="dxa"/>
              <w:left w:w="0" w:type="dxa"/>
              <w:bottom w:w="150" w:type="dxa"/>
              <w:right w:w="240" w:type="dxa"/>
            </w:tcMar>
            <w:vAlign w:val="center"/>
            <w:hideMark/>
          </w:tcPr>
          <w:p w14:paraId="6F082DC0"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OE</w:t>
            </w:r>
          </w:p>
        </w:tc>
        <w:tc>
          <w:tcPr>
            <w:tcW w:w="0" w:type="auto"/>
            <w:shd w:val="clear" w:color="auto" w:fill="FFFFFF"/>
            <w:tcMar>
              <w:top w:w="150" w:type="dxa"/>
              <w:left w:w="240" w:type="dxa"/>
              <w:bottom w:w="150" w:type="dxa"/>
              <w:right w:w="0" w:type="dxa"/>
            </w:tcMar>
            <w:vAlign w:val="center"/>
            <w:hideMark/>
          </w:tcPr>
          <w:p w14:paraId="27D0234D"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Operating Expenses</w:t>
            </w:r>
          </w:p>
        </w:tc>
      </w:tr>
      <w:tr w:rsidR="000E70CC" w:rsidRPr="000E70CC" w14:paraId="10BF8FC0" w14:textId="77777777" w:rsidTr="00B25E99">
        <w:tc>
          <w:tcPr>
            <w:tcW w:w="0" w:type="auto"/>
            <w:shd w:val="clear" w:color="auto" w:fill="FFFFFF"/>
            <w:tcMar>
              <w:top w:w="150" w:type="dxa"/>
              <w:left w:w="0" w:type="dxa"/>
              <w:bottom w:w="150" w:type="dxa"/>
              <w:right w:w="240" w:type="dxa"/>
            </w:tcMar>
            <w:vAlign w:val="center"/>
            <w:hideMark/>
          </w:tcPr>
          <w:p w14:paraId="30FBD913"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PLC</w:t>
            </w:r>
          </w:p>
        </w:tc>
        <w:tc>
          <w:tcPr>
            <w:tcW w:w="0" w:type="auto"/>
            <w:shd w:val="clear" w:color="auto" w:fill="FFFFFF"/>
            <w:tcMar>
              <w:top w:w="150" w:type="dxa"/>
              <w:left w:w="240" w:type="dxa"/>
              <w:bottom w:w="150" w:type="dxa"/>
              <w:right w:w="0" w:type="dxa"/>
            </w:tcMar>
            <w:vAlign w:val="center"/>
            <w:hideMark/>
          </w:tcPr>
          <w:p w14:paraId="48C38B30"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Public Limited Company</w:t>
            </w:r>
          </w:p>
        </w:tc>
      </w:tr>
      <w:tr w:rsidR="000E70CC" w:rsidRPr="000E70CC" w14:paraId="0B3A45CB" w14:textId="77777777" w:rsidTr="00B25E99">
        <w:tc>
          <w:tcPr>
            <w:tcW w:w="0" w:type="auto"/>
            <w:shd w:val="clear" w:color="auto" w:fill="FFFFFF"/>
            <w:tcMar>
              <w:top w:w="150" w:type="dxa"/>
              <w:left w:w="0" w:type="dxa"/>
              <w:bottom w:w="150" w:type="dxa"/>
              <w:right w:w="240" w:type="dxa"/>
            </w:tcMar>
            <w:vAlign w:val="center"/>
            <w:hideMark/>
          </w:tcPr>
          <w:p w14:paraId="1FFA6E07"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RE</w:t>
            </w:r>
          </w:p>
        </w:tc>
        <w:tc>
          <w:tcPr>
            <w:tcW w:w="0" w:type="auto"/>
            <w:shd w:val="clear" w:color="auto" w:fill="FFFFFF"/>
            <w:tcMar>
              <w:top w:w="150" w:type="dxa"/>
              <w:left w:w="240" w:type="dxa"/>
              <w:bottom w:w="150" w:type="dxa"/>
              <w:right w:w="0" w:type="dxa"/>
            </w:tcMar>
            <w:vAlign w:val="center"/>
            <w:hideMark/>
          </w:tcPr>
          <w:p w14:paraId="655BBBA3"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Retained Earnings</w:t>
            </w:r>
          </w:p>
        </w:tc>
      </w:tr>
      <w:tr w:rsidR="000E70CC" w:rsidRPr="000E70CC" w14:paraId="72AF0474" w14:textId="77777777" w:rsidTr="00B25E99">
        <w:tc>
          <w:tcPr>
            <w:tcW w:w="0" w:type="auto"/>
            <w:shd w:val="clear" w:color="auto" w:fill="FFFFFF"/>
            <w:tcMar>
              <w:top w:w="150" w:type="dxa"/>
              <w:left w:w="0" w:type="dxa"/>
              <w:bottom w:w="150" w:type="dxa"/>
              <w:right w:w="240" w:type="dxa"/>
            </w:tcMar>
            <w:vAlign w:val="center"/>
            <w:hideMark/>
          </w:tcPr>
          <w:p w14:paraId="55942D99"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ROA</w:t>
            </w:r>
          </w:p>
        </w:tc>
        <w:tc>
          <w:tcPr>
            <w:tcW w:w="0" w:type="auto"/>
            <w:shd w:val="clear" w:color="auto" w:fill="FFFFFF"/>
            <w:tcMar>
              <w:top w:w="150" w:type="dxa"/>
              <w:left w:w="240" w:type="dxa"/>
              <w:bottom w:w="150" w:type="dxa"/>
              <w:right w:w="0" w:type="dxa"/>
            </w:tcMar>
            <w:vAlign w:val="center"/>
            <w:hideMark/>
          </w:tcPr>
          <w:p w14:paraId="30A630E8"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Return on Assets</w:t>
            </w:r>
          </w:p>
        </w:tc>
      </w:tr>
      <w:tr w:rsidR="000E70CC" w:rsidRPr="000E70CC" w14:paraId="44BC2FEB" w14:textId="77777777" w:rsidTr="00B25E99">
        <w:tc>
          <w:tcPr>
            <w:tcW w:w="0" w:type="auto"/>
            <w:shd w:val="clear" w:color="auto" w:fill="FFFFFF"/>
            <w:tcMar>
              <w:top w:w="150" w:type="dxa"/>
              <w:left w:w="0" w:type="dxa"/>
              <w:bottom w:w="150" w:type="dxa"/>
              <w:right w:w="240" w:type="dxa"/>
            </w:tcMar>
            <w:vAlign w:val="center"/>
            <w:hideMark/>
          </w:tcPr>
          <w:p w14:paraId="3F4ABD9E"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ROCE</w:t>
            </w:r>
          </w:p>
        </w:tc>
        <w:tc>
          <w:tcPr>
            <w:tcW w:w="0" w:type="auto"/>
            <w:shd w:val="clear" w:color="auto" w:fill="FFFFFF"/>
            <w:tcMar>
              <w:top w:w="150" w:type="dxa"/>
              <w:left w:w="240" w:type="dxa"/>
              <w:bottom w:w="150" w:type="dxa"/>
              <w:right w:w="0" w:type="dxa"/>
            </w:tcMar>
            <w:vAlign w:val="center"/>
            <w:hideMark/>
          </w:tcPr>
          <w:p w14:paraId="31592A65"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Return on Common Equity</w:t>
            </w:r>
          </w:p>
        </w:tc>
      </w:tr>
      <w:tr w:rsidR="000E70CC" w:rsidRPr="000E70CC" w14:paraId="25AB9CB9" w14:textId="77777777" w:rsidTr="00B25E99">
        <w:tc>
          <w:tcPr>
            <w:tcW w:w="0" w:type="auto"/>
            <w:shd w:val="clear" w:color="auto" w:fill="FFFFFF"/>
            <w:tcMar>
              <w:top w:w="150" w:type="dxa"/>
              <w:left w:w="0" w:type="dxa"/>
              <w:bottom w:w="150" w:type="dxa"/>
              <w:right w:w="240" w:type="dxa"/>
            </w:tcMar>
            <w:vAlign w:val="center"/>
            <w:hideMark/>
          </w:tcPr>
          <w:p w14:paraId="0287324D"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ROE</w:t>
            </w:r>
          </w:p>
        </w:tc>
        <w:tc>
          <w:tcPr>
            <w:tcW w:w="0" w:type="auto"/>
            <w:shd w:val="clear" w:color="auto" w:fill="FFFFFF"/>
            <w:tcMar>
              <w:top w:w="150" w:type="dxa"/>
              <w:left w:w="240" w:type="dxa"/>
              <w:bottom w:w="150" w:type="dxa"/>
              <w:right w:w="0" w:type="dxa"/>
            </w:tcMar>
            <w:vAlign w:val="center"/>
            <w:hideMark/>
          </w:tcPr>
          <w:p w14:paraId="17A164FB"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Return on Equity</w:t>
            </w:r>
          </w:p>
        </w:tc>
      </w:tr>
      <w:tr w:rsidR="000E70CC" w:rsidRPr="000E70CC" w14:paraId="2F4E41D8" w14:textId="77777777" w:rsidTr="00B25E99">
        <w:tc>
          <w:tcPr>
            <w:tcW w:w="0" w:type="auto"/>
            <w:shd w:val="clear" w:color="auto" w:fill="FFFFFF"/>
            <w:tcMar>
              <w:top w:w="150" w:type="dxa"/>
              <w:left w:w="0" w:type="dxa"/>
              <w:bottom w:w="150" w:type="dxa"/>
              <w:right w:w="240" w:type="dxa"/>
            </w:tcMar>
            <w:vAlign w:val="center"/>
            <w:hideMark/>
          </w:tcPr>
          <w:p w14:paraId="43A81DC7"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ROTC</w:t>
            </w:r>
          </w:p>
        </w:tc>
        <w:tc>
          <w:tcPr>
            <w:tcW w:w="0" w:type="auto"/>
            <w:shd w:val="clear" w:color="auto" w:fill="FFFFFF"/>
            <w:tcMar>
              <w:top w:w="150" w:type="dxa"/>
              <w:left w:w="240" w:type="dxa"/>
              <w:bottom w:w="150" w:type="dxa"/>
              <w:right w:w="0" w:type="dxa"/>
            </w:tcMar>
            <w:vAlign w:val="center"/>
            <w:hideMark/>
          </w:tcPr>
          <w:p w14:paraId="238B3A74"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Return on Total Capital</w:t>
            </w:r>
          </w:p>
        </w:tc>
      </w:tr>
      <w:tr w:rsidR="000E70CC" w:rsidRPr="000E70CC" w14:paraId="723BB44C" w14:textId="77777777" w:rsidTr="00B25E99">
        <w:tc>
          <w:tcPr>
            <w:tcW w:w="0" w:type="auto"/>
            <w:shd w:val="clear" w:color="auto" w:fill="FFFFFF"/>
            <w:tcMar>
              <w:top w:w="150" w:type="dxa"/>
              <w:left w:w="0" w:type="dxa"/>
              <w:bottom w:w="150" w:type="dxa"/>
              <w:right w:w="240" w:type="dxa"/>
            </w:tcMar>
            <w:vAlign w:val="center"/>
            <w:hideMark/>
          </w:tcPr>
          <w:p w14:paraId="46E525D0"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TA</w:t>
            </w:r>
          </w:p>
        </w:tc>
        <w:tc>
          <w:tcPr>
            <w:tcW w:w="0" w:type="auto"/>
            <w:shd w:val="clear" w:color="auto" w:fill="FFFFFF"/>
            <w:tcMar>
              <w:top w:w="150" w:type="dxa"/>
              <w:left w:w="240" w:type="dxa"/>
              <w:bottom w:w="150" w:type="dxa"/>
              <w:right w:w="0" w:type="dxa"/>
            </w:tcMar>
            <w:vAlign w:val="center"/>
            <w:hideMark/>
          </w:tcPr>
          <w:p w14:paraId="5FE86A1D"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Total Assets</w:t>
            </w:r>
          </w:p>
        </w:tc>
      </w:tr>
      <w:tr w:rsidR="000E70CC" w:rsidRPr="000E70CC" w14:paraId="5E195137" w14:textId="77777777" w:rsidTr="00B25E99">
        <w:tc>
          <w:tcPr>
            <w:tcW w:w="0" w:type="auto"/>
            <w:shd w:val="clear" w:color="auto" w:fill="FFFFFF"/>
            <w:tcMar>
              <w:top w:w="150" w:type="dxa"/>
              <w:left w:w="0" w:type="dxa"/>
              <w:bottom w:w="150" w:type="dxa"/>
              <w:right w:w="240" w:type="dxa"/>
            </w:tcMar>
            <w:vAlign w:val="center"/>
            <w:hideMark/>
          </w:tcPr>
          <w:p w14:paraId="7780B8AC"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TE</w:t>
            </w:r>
          </w:p>
        </w:tc>
        <w:tc>
          <w:tcPr>
            <w:tcW w:w="0" w:type="auto"/>
            <w:shd w:val="clear" w:color="auto" w:fill="FFFFFF"/>
            <w:tcMar>
              <w:top w:w="150" w:type="dxa"/>
              <w:left w:w="240" w:type="dxa"/>
              <w:bottom w:w="150" w:type="dxa"/>
              <w:right w:w="0" w:type="dxa"/>
            </w:tcMar>
            <w:vAlign w:val="center"/>
            <w:hideMark/>
          </w:tcPr>
          <w:p w14:paraId="2039A26F"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Total Expenses</w:t>
            </w:r>
          </w:p>
        </w:tc>
      </w:tr>
      <w:tr w:rsidR="000E70CC" w:rsidRPr="000E70CC" w14:paraId="1AEE0D0A" w14:textId="77777777" w:rsidTr="00B25E99">
        <w:tc>
          <w:tcPr>
            <w:tcW w:w="0" w:type="auto"/>
            <w:shd w:val="clear" w:color="auto" w:fill="FFFFFF"/>
            <w:tcMar>
              <w:top w:w="150" w:type="dxa"/>
              <w:left w:w="0" w:type="dxa"/>
              <w:bottom w:w="150" w:type="dxa"/>
              <w:right w:w="240" w:type="dxa"/>
            </w:tcMar>
            <w:vAlign w:val="center"/>
            <w:hideMark/>
          </w:tcPr>
          <w:p w14:paraId="0C4DA378"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proofErr w:type="spellStart"/>
            <w:r w:rsidRPr="00B25E99">
              <w:rPr>
                <w:rFonts w:ascii="Arial" w:eastAsia="Times New Roman" w:hAnsi="Arial" w:cs="Arial"/>
                <w:color w:val="000000" w:themeColor="text1"/>
                <w:sz w:val="24"/>
                <w:szCs w:val="24"/>
                <w:lang w:val="en-US"/>
              </w:rPr>
              <w:t>TEq</w:t>
            </w:r>
            <w:proofErr w:type="spellEnd"/>
          </w:p>
        </w:tc>
        <w:tc>
          <w:tcPr>
            <w:tcW w:w="0" w:type="auto"/>
            <w:shd w:val="clear" w:color="auto" w:fill="FFFFFF"/>
            <w:tcMar>
              <w:top w:w="150" w:type="dxa"/>
              <w:left w:w="240" w:type="dxa"/>
              <w:bottom w:w="150" w:type="dxa"/>
              <w:right w:w="0" w:type="dxa"/>
            </w:tcMar>
            <w:vAlign w:val="center"/>
            <w:hideMark/>
          </w:tcPr>
          <w:p w14:paraId="1984E912"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Total Equity</w:t>
            </w:r>
          </w:p>
        </w:tc>
      </w:tr>
      <w:tr w:rsidR="000E70CC" w:rsidRPr="000E70CC" w14:paraId="72C70826" w14:textId="77777777" w:rsidTr="00B25E99">
        <w:tc>
          <w:tcPr>
            <w:tcW w:w="0" w:type="auto"/>
            <w:shd w:val="clear" w:color="auto" w:fill="FFFFFF"/>
            <w:tcMar>
              <w:top w:w="150" w:type="dxa"/>
              <w:left w:w="0" w:type="dxa"/>
              <w:bottom w:w="150" w:type="dxa"/>
              <w:right w:w="240" w:type="dxa"/>
            </w:tcMar>
            <w:vAlign w:val="center"/>
            <w:hideMark/>
          </w:tcPr>
          <w:p w14:paraId="397706A2"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TR</w:t>
            </w:r>
          </w:p>
        </w:tc>
        <w:tc>
          <w:tcPr>
            <w:tcW w:w="0" w:type="auto"/>
            <w:shd w:val="clear" w:color="auto" w:fill="FFFFFF"/>
            <w:tcMar>
              <w:top w:w="150" w:type="dxa"/>
              <w:left w:w="240" w:type="dxa"/>
              <w:bottom w:w="150" w:type="dxa"/>
              <w:right w:w="0" w:type="dxa"/>
            </w:tcMar>
            <w:vAlign w:val="center"/>
            <w:hideMark/>
          </w:tcPr>
          <w:p w14:paraId="26465210" w14:textId="77777777" w:rsidR="00B25E99" w:rsidRPr="00B25E99" w:rsidRDefault="00B25E99" w:rsidP="009F365A">
            <w:pPr>
              <w:spacing w:after="0" w:line="360" w:lineRule="auto"/>
              <w:jc w:val="both"/>
              <w:rPr>
                <w:rFonts w:ascii="Arial" w:eastAsia="Times New Roman" w:hAnsi="Arial" w:cs="Arial"/>
                <w:color w:val="000000" w:themeColor="text1"/>
                <w:sz w:val="24"/>
                <w:szCs w:val="24"/>
                <w:lang w:val="en-US"/>
              </w:rPr>
            </w:pPr>
            <w:r w:rsidRPr="00B25E99">
              <w:rPr>
                <w:rFonts w:ascii="Arial" w:eastAsia="Times New Roman" w:hAnsi="Arial" w:cs="Arial"/>
                <w:color w:val="000000" w:themeColor="text1"/>
                <w:sz w:val="24"/>
                <w:szCs w:val="24"/>
                <w:lang w:val="en-US"/>
              </w:rPr>
              <w:t>Total Revenue</w:t>
            </w:r>
          </w:p>
        </w:tc>
      </w:tr>
    </w:tbl>
    <w:p w14:paraId="6E2727F5" w14:textId="77777777" w:rsidR="00950EAC" w:rsidRPr="000E70CC" w:rsidRDefault="00950EAC" w:rsidP="009F365A">
      <w:pPr>
        <w:spacing w:line="360" w:lineRule="auto"/>
        <w:jc w:val="both"/>
        <w:rPr>
          <w:rFonts w:ascii="Arial" w:eastAsia="Arial" w:hAnsi="Arial" w:cs="Arial"/>
          <w:color w:val="000000" w:themeColor="text1"/>
          <w:sz w:val="24"/>
          <w:szCs w:val="24"/>
        </w:rPr>
        <w:sectPr w:rsidR="00950EAC" w:rsidRPr="000E70CC">
          <w:footerReference w:type="default" r:id="rId12"/>
          <w:pgSz w:w="12240" w:h="15840"/>
          <w:pgMar w:top="1440" w:right="1440" w:bottom="1440" w:left="1440" w:header="720" w:footer="720" w:gutter="0"/>
          <w:pgNumType w:start="1"/>
          <w:cols w:space="720"/>
          <w:titlePg/>
        </w:sectPr>
      </w:pPr>
    </w:p>
    <w:p w14:paraId="1066658E" w14:textId="77777777" w:rsidR="00950EAC" w:rsidRPr="000824F8" w:rsidRDefault="00950EAC" w:rsidP="009F365A">
      <w:pPr>
        <w:pStyle w:val="Heading1"/>
        <w:spacing w:line="360" w:lineRule="auto"/>
      </w:pPr>
      <w:bookmarkStart w:id="17" w:name="_Toc235653211"/>
      <w:r w:rsidRPr="000824F8">
        <w:lastRenderedPageBreak/>
        <w:t>CHAPTER I: INTRODUCTION</w:t>
      </w:r>
      <w:bookmarkEnd w:id="17"/>
    </w:p>
    <w:p w14:paraId="4352A2EC" w14:textId="77777777" w:rsidR="00950EAC" w:rsidRPr="000E70CC" w:rsidRDefault="00950EAC" w:rsidP="009F365A">
      <w:pPr>
        <w:spacing w:line="360" w:lineRule="auto"/>
        <w:jc w:val="both"/>
        <w:rPr>
          <w:rFonts w:ascii="Arial" w:eastAsia="Arial" w:hAnsi="Arial" w:cs="Arial"/>
          <w:color w:val="000000" w:themeColor="text1"/>
          <w:sz w:val="24"/>
          <w:szCs w:val="24"/>
        </w:rPr>
      </w:pPr>
    </w:p>
    <w:p w14:paraId="3AEF2844" w14:textId="223A8E45" w:rsidR="00FE04FF" w:rsidRPr="001B710D" w:rsidRDefault="00950EAC" w:rsidP="009F365A">
      <w:pPr>
        <w:pStyle w:val="Heading2"/>
        <w:spacing w:line="360" w:lineRule="auto"/>
        <w:rPr>
          <w:b/>
          <w:bCs/>
        </w:rPr>
      </w:pPr>
      <w:bookmarkStart w:id="18" w:name="_Toc235653212"/>
      <w:r w:rsidRPr="001B710D">
        <w:rPr>
          <w:b/>
          <w:bCs/>
        </w:rPr>
        <w:t>Background of the Study</w:t>
      </w:r>
      <w:bookmarkEnd w:id="18"/>
    </w:p>
    <w:p w14:paraId="2346E419" w14:textId="77777777" w:rsidR="00FE04FF" w:rsidRPr="0088247C" w:rsidRDefault="00FE04FF"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r w:rsidRPr="0088247C">
        <w:rPr>
          <w:rFonts w:ascii="Arial" w:hAnsi="Arial" w:cs="Arial"/>
          <w:color w:val="000000" w:themeColor="text1"/>
          <w:sz w:val="24"/>
          <w:szCs w:val="24"/>
        </w:rPr>
        <w:t>Financial institutions play a vital role in the economic development of any country by mobilizing savings and allocating capital to productive sectors. In Bangladesh, the financial sector comprises banks, non-banking financial institutions (NBFIs), insurance companies, and capital market intermediaries. NBFIs, in particular, have emerged as significant players in providing alternative financing solutions to sectors that are underserved by traditional banks.</w:t>
      </w:r>
    </w:p>
    <w:p w14:paraId="71A95BC3" w14:textId="77777777" w:rsidR="00FE04FF" w:rsidRPr="0088247C" w:rsidRDefault="00FE04FF" w:rsidP="009F365A">
      <w:pPr>
        <w:shd w:val="clear" w:color="auto" w:fill="FFFFFF"/>
        <w:spacing w:before="240" w:after="240" w:line="360" w:lineRule="auto"/>
        <w:jc w:val="both"/>
        <w:rPr>
          <w:rFonts w:ascii="Arial" w:hAnsi="Arial" w:cs="Arial"/>
          <w:color w:val="000000" w:themeColor="text1"/>
          <w:sz w:val="24"/>
          <w:szCs w:val="24"/>
        </w:rPr>
      </w:pPr>
      <w:r w:rsidRPr="0088247C">
        <w:rPr>
          <w:rFonts w:ascii="Arial" w:hAnsi="Arial" w:cs="Arial"/>
          <w:color w:val="000000" w:themeColor="text1"/>
          <w:sz w:val="24"/>
          <w:szCs w:val="24"/>
        </w:rPr>
        <w:t>Alliance Finance PLC (AFPLC), formerly known as Lankan Alliance Finance Limited, is a prominent NBFI in Bangladesh. The company was incorporated on September 27, 2003, under the Companies Act, 1994, and is registered under the Financial Institutions Act, 1993. Over the years, the company has evolved from a lease and term financing entity to a multi-product financial institution offering a wide range of services including corporate loans, auto loans, SME financing, personal loans, and real estate finance.</w:t>
      </w:r>
    </w:p>
    <w:p w14:paraId="09322907" w14:textId="77777777" w:rsidR="00FE04FF" w:rsidRPr="0088247C" w:rsidRDefault="00FE04FF" w:rsidP="009F365A">
      <w:pPr>
        <w:shd w:val="clear" w:color="auto" w:fill="FFFFFF"/>
        <w:spacing w:before="240" w:after="240" w:line="360" w:lineRule="auto"/>
        <w:jc w:val="both"/>
        <w:rPr>
          <w:rFonts w:ascii="Arial" w:hAnsi="Arial" w:cs="Arial"/>
          <w:color w:val="000000" w:themeColor="text1"/>
          <w:sz w:val="24"/>
          <w:szCs w:val="24"/>
        </w:rPr>
      </w:pPr>
      <w:r w:rsidRPr="0088247C">
        <w:rPr>
          <w:rFonts w:ascii="Arial" w:hAnsi="Arial" w:cs="Arial"/>
          <w:color w:val="000000" w:themeColor="text1"/>
          <w:sz w:val="24"/>
          <w:szCs w:val="24"/>
        </w:rPr>
        <w:t>The financial performance of NBFIs is of significant interest to various stakeholders including shareholders, creditors, regulators, and the broader financial community. Evaluating the performance of such institutions requires a comprehensive analytical framework that goes beyond simple profitability measures. The Aggregate Return on Equity (ROE) framework and its extended form—the DuPont analysis—provide a systematic approach to decomposing shareholder returns into their underlying operational and financial drivers.</w:t>
      </w:r>
    </w:p>
    <w:p w14:paraId="645C9548" w14:textId="77777777" w:rsidR="00FE04FF" w:rsidRPr="0088247C" w:rsidRDefault="00FE04FF" w:rsidP="009F365A">
      <w:pPr>
        <w:shd w:val="clear" w:color="auto" w:fill="FFFFFF"/>
        <w:spacing w:before="240" w:after="240" w:line="360" w:lineRule="auto"/>
        <w:jc w:val="both"/>
        <w:rPr>
          <w:rFonts w:ascii="Arial" w:hAnsi="Arial" w:cs="Arial"/>
          <w:color w:val="000000" w:themeColor="text1"/>
          <w:sz w:val="24"/>
          <w:szCs w:val="24"/>
        </w:rPr>
      </w:pPr>
      <w:r w:rsidRPr="0088247C">
        <w:rPr>
          <w:rFonts w:ascii="Arial" w:hAnsi="Arial" w:cs="Arial"/>
          <w:color w:val="000000" w:themeColor="text1"/>
          <w:sz w:val="24"/>
          <w:szCs w:val="24"/>
        </w:rPr>
        <w:t xml:space="preserve">This report undertakes a comprehensive financial analysis of Alliance Finance PLC over the five-year period from 2021 to 2025. The analysis employs the Aggregate ROE framework to decompose the company's shareholder returns into their constituent components, including revenue generation, expense management, asset utilization, and financial leverage. The study also incorporates a detailed ratio analysis across market, </w:t>
      </w:r>
      <w:r w:rsidRPr="0088247C">
        <w:rPr>
          <w:rFonts w:ascii="Arial" w:hAnsi="Arial" w:cs="Arial"/>
          <w:color w:val="000000" w:themeColor="text1"/>
          <w:sz w:val="24"/>
          <w:szCs w:val="24"/>
        </w:rPr>
        <w:lastRenderedPageBreak/>
        <w:t>profitability, efficiency, liquidity, and solvency dimensions to provide a holistic assessment of the company's financial health and sustainability.</w:t>
      </w:r>
    </w:p>
    <w:p w14:paraId="4ED7DDA5" w14:textId="77777777" w:rsidR="00FE04FF" w:rsidRPr="0088247C" w:rsidRDefault="00FE04FF" w:rsidP="009F365A">
      <w:pPr>
        <w:shd w:val="clear" w:color="auto" w:fill="FFFFFF"/>
        <w:spacing w:before="240" w:after="240" w:line="360" w:lineRule="auto"/>
        <w:jc w:val="both"/>
        <w:rPr>
          <w:rFonts w:ascii="Arial" w:hAnsi="Arial" w:cs="Arial"/>
          <w:color w:val="000000" w:themeColor="text1"/>
          <w:sz w:val="24"/>
          <w:szCs w:val="24"/>
        </w:rPr>
      </w:pPr>
      <w:r w:rsidRPr="0088247C">
        <w:rPr>
          <w:rFonts w:ascii="Arial" w:hAnsi="Arial" w:cs="Arial"/>
          <w:color w:val="000000" w:themeColor="text1"/>
          <w:sz w:val="24"/>
          <w:szCs w:val="24"/>
        </w:rPr>
        <w:t>The findings of this analysis are intended to provide valuable insights for management, investors, and other stakeholders regarding the company's performance drivers, areas of strength, and areas requiring improvement. The report also contributes to the academic literature on financial performance analysis of NBFIs in the context of Bangladesh's evolving financial landscape.</w:t>
      </w:r>
    </w:p>
    <w:p w14:paraId="0E169B7B" w14:textId="77777777" w:rsidR="00FE04FF" w:rsidRPr="000E70CC" w:rsidRDefault="00FE04FF" w:rsidP="009F365A">
      <w:pPr>
        <w:spacing w:line="360" w:lineRule="auto"/>
        <w:jc w:val="both"/>
        <w:rPr>
          <w:rFonts w:ascii="Arial" w:hAnsi="Arial" w:cs="Arial"/>
          <w:color w:val="000000" w:themeColor="text1"/>
        </w:rPr>
      </w:pPr>
    </w:p>
    <w:p w14:paraId="78C3436B" w14:textId="77777777" w:rsidR="00FE04FF" w:rsidRPr="000E70CC" w:rsidRDefault="00FE04FF" w:rsidP="009F365A">
      <w:pPr>
        <w:spacing w:after="160" w:line="360" w:lineRule="auto"/>
        <w:jc w:val="both"/>
        <w:rPr>
          <w:rFonts w:ascii="Arial" w:eastAsia="Arial" w:hAnsi="Arial" w:cs="Arial"/>
          <w:color w:val="000000" w:themeColor="text1"/>
          <w:sz w:val="28"/>
          <w:szCs w:val="28"/>
        </w:rPr>
      </w:pPr>
      <w:r w:rsidRPr="000E70CC">
        <w:rPr>
          <w:rFonts w:ascii="Arial" w:hAnsi="Arial" w:cs="Arial"/>
          <w:color w:val="000000" w:themeColor="text1"/>
        </w:rPr>
        <w:br w:type="page"/>
      </w:r>
    </w:p>
    <w:p w14:paraId="3C08DF2D" w14:textId="4F68F629" w:rsidR="00950EAC" w:rsidRPr="001B710D" w:rsidRDefault="00950EAC" w:rsidP="009F365A">
      <w:pPr>
        <w:pStyle w:val="Heading2"/>
        <w:spacing w:line="360" w:lineRule="auto"/>
        <w:rPr>
          <w:b/>
          <w:bCs/>
        </w:rPr>
      </w:pPr>
      <w:bookmarkStart w:id="19" w:name="_Toc235653213"/>
      <w:r w:rsidRPr="001B710D">
        <w:rPr>
          <w:b/>
          <w:bCs/>
        </w:rPr>
        <w:lastRenderedPageBreak/>
        <w:t>Objectives of the Study</w:t>
      </w:r>
      <w:bookmarkEnd w:id="19"/>
    </w:p>
    <w:p w14:paraId="74EE944B" w14:textId="77777777" w:rsidR="00B85D99" w:rsidRPr="00AF1080" w:rsidRDefault="00B85D99" w:rsidP="00AF1080">
      <w:pPr>
        <w:spacing w:after="160" w:line="360" w:lineRule="auto"/>
        <w:jc w:val="both"/>
        <w:rPr>
          <w:rFonts w:ascii="Arial" w:hAnsi="Arial" w:cs="Arial"/>
          <w:color w:val="000000" w:themeColor="text1"/>
          <w:sz w:val="24"/>
          <w:szCs w:val="24"/>
        </w:rPr>
      </w:pPr>
    </w:p>
    <w:p w14:paraId="79F99048" w14:textId="74CBE5BC" w:rsidR="00B85D99" w:rsidRPr="00AF1080" w:rsidRDefault="00B85D99" w:rsidP="00AF1080">
      <w:pPr>
        <w:spacing w:line="360" w:lineRule="auto"/>
        <w:jc w:val="both"/>
        <w:rPr>
          <w:rFonts w:ascii="Arial" w:hAnsi="Arial" w:cs="Arial"/>
          <w:sz w:val="24"/>
          <w:szCs w:val="24"/>
        </w:rPr>
      </w:pPr>
      <w:r w:rsidRPr="00AF1080">
        <w:rPr>
          <w:rFonts w:ascii="Arial" w:hAnsi="Arial" w:cs="Arial"/>
          <w:sz w:val="24"/>
          <w:szCs w:val="24"/>
        </w:rPr>
        <w:t>The main objective of this study is to analyze the operational and financial performance of Alliance Finance PLC over the five-year period from 2021 to 2025 using the Aggregate Return on Equity (ROE) framework and its extended DuPont decomposition.</w:t>
      </w:r>
    </w:p>
    <w:p w14:paraId="4D3963CB" w14:textId="77777777" w:rsidR="001B710D" w:rsidRPr="00AF1080" w:rsidRDefault="001B710D" w:rsidP="00AF1080">
      <w:pPr>
        <w:spacing w:line="360" w:lineRule="auto"/>
        <w:jc w:val="both"/>
        <w:rPr>
          <w:rFonts w:ascii="Arial" w:eastAsia="Times New Roman" w:hAnsi="Arial" w:cs="Arial"/>
          <w:sz w:val="24"/>
          <w:szCs w:val="24"/>
          <w:lang w:val="en-US"/>
        </w:rPr>
      </w:pPr>
    </w:p>
    <w:p w14:paraId="76212153" w14:textId="77777777" w:rsidR="00B85D99" w:rsidRPr="00AF1080" w:rsidRDefault="00B85D99" w:rsidP="00AF1080">
      <w:pPr>
        <w:pStyle w:val="Heading3"/>
        <w:spacing w:line="360" w:lineRule="auto"/>
        <w:jc w:val="both"/>
        <w:rPr>
          <w:rFonts w:ascii="Arial" w:hAnsi="Arial" w:cs="Arial"/>
        </w:rPr>
      </w:pPr>
      <w:bookmarkStart w:id="20" w:name="_Toc235653214"/>
      <w:r w:rsidRPr="00AF1080">
        <w:rPr>
          <w:rFonts w:ascii="Arial" w:hAnsi="Arial" w:cs="Arial"/>
        </w:rPr>
        <w:t>Specific Objectives</w:t>
      </w:r>
      <w:bookmarkEnd w:id="20"/>
    </w:p>
    <w:p w14:paraId="70086110" w14:textId="77777777" w:rsidR="00B85D99" w:rsidRPr="00AF1080" w:rsidRDefault="00B85D99" w:rsidP="00AF1080">
      <w:pPr>
        <w:shd w:val="clear" w:color="auto" w:fill="FFFFFF"/>
        <w:spacing w:before="240" w:after="240" w:line="360" w:lineRule="auto"/>
        <w:jc w:val="both"/>
        <w:rPr>
          <w:rFonts w:ascii="Arial" w:hAnsi="Arial" w:cs="Arial"/>
          <w:color w:val="000000" w:themeColor="text1"/>
          <w:sz w:val="24"/>
          <w:szCs w:val="24"/>
        </w:rPr>
      </w:pPr>
      <w:r w:rsidRPr="00AF1080">
        <w:rPr>
          <w:rFonts w:ascii="Arial" w:hAnsi="Arial" w:cs="Arial"/>
          <w:color w:val="000000" w:themeColor="text1"/>
          <w:sz w:val="24"/>
          <w:szCs w:val="24"/>
        </w:rPr>
        <w:t>The specific objectives of this study are as follows:</w:t>
      </w:r>
    </w:p>
    <w:p w14:paraId="0C80A305" w14:textId="77777777"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To Decompose Shareholder Returns</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decompose Alliance Finance PLC's Return on Equity (ROE) into its constituent components, including Return on Assets (ROA) and the Equity Multiplier (EM), to identify the primary drivers of shareholder returns.</w:t>
      </w:r>
    </w:p>
    <w:p w14:paraId="3DFAA233" w14:textId="77777777"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To Analyze Revenue Generation</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assess the company's revenue generation efficiency by decomposing total revenue into interest income and non-interest income, and calculating yields on interest-based and non-interest-based assets.</w:t>
      </w:r>
    </w:p>
    <w:p w14:paraId="532D5EE2" w14:textId="77777777"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To Evaluate Expense Management</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examine the company's expense structure by decomposing total expenses into interest expenses, non-interest expenses, and provisions, and calculating cost of funds, overhead rate, and quality of assets ratio.</w:t>
      </w:r>
    </w:p>
    <w:p w14:paraId="0E9DF493" w14:textId="77777777"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To Assess Profitability</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evaluate the company's profitability through various ratios including Return on Assets (ROA), Net Profit Margin, Operating Profit Margin, Return on Common Equity (ROCE), and Return on Total Capital (ROTC).</w:t>
      </w:r>
    </w:p>
    <w:p w14:paraId="5CBC512A" w14:textId="77777777"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To Analyze Efficiency</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measure the company's efficiency in utilizing its assets through asset turnover, fixed assets turnover, and accounts receivable turnover ratios.</w:t>
      </w:r>
    </w:p>
    <w:p w14:paraId="3F82A714" w14:textId="77777777"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To Evaluate Liquidity</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assess the company's ability to meet short-term obligations through current ratio, quick ratio, cash ratio, and net working capital ratio.</w:t>
      </w:r>
    </w:p>
    <w:p w14:paraId="1250768C" w14:textId="77777777"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lastRenderedPageBreak/>
        <w:t>To Examine Solvency</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analyze the company's capital structure and financial risk through debt-to-equity ratio, debt-to-capital ratio, debt-to-asset ratio, financial leverage, and interest coverage ratio.</w:t>
      </w:r>
    </w:p>
    <w:p w14:paraId="47F056DD" w14:textId="77777777"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To Identify Strengths and Weaknesses</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identify the key strengths and weaknesses of Alliance Finance PLC based on the comprehensive financial analysis.</w:t>
      </w:r>
    </w:p>
    <w:p w14:paraId="6A41336D" w14:textId="7E378196" w:rsidR="00B85D99" w:rsidRPr="00AF1080" w:rsidRDefault="00B85D99" w:rsidP="00AF1080">
      <w:pPr>
        <w:numPr>
          <w:ilvl w:val="0"/>
          <w:numId w:val="6"/>
        </w:numPr>
        <w:shd w:val="clear" w:color="auto" w:fill="FFFFFF"/>
        <w:spacing w:after="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To Provide Recommendations</w:t>
      </w:r>
      <w:r w:rsidRPr="00AF1080">
        <w:rPr>
          <w:rStyle w:val="Heading4Char"/>
          <w:rFonts w:ascii="Arial" w:hAnsi="Arial" w:cs="Arial"/>
          <w:color w:val="000000" w:themeColor="text1"/>
          <w:sz w:val="24"/>
          <w:szCs w:val="24"/>
        </w:rPr>
        <w:t>:</w:t>
      </w:r>
      <w:r w:rsidRPr="00AF1080">
        <w:rPr>
          <w:rFonts w:ascii="Arial" w:hAnsi="Arial" w:cs="Arial"/>
          <w:color w:val="000000" w:themeColor="text1"/>
          <w:sz w:val="24"/>
          <w:szCs w:val="24"/>
        </w:rPr>
        <w:t> To provide actionable recommendations for management to improve financial performance.</w:t>
      </w:r>
    </w:p>
    <w:p w14:paraId="1EC76F28" w14:textId="6400273F" w:rsidR="00B85D99" w:rsidRPr="000E70CC" w:rsidRDefault="00B85D99" w:rsidP="009F365A">
      <w:pPr>
        <w:spacing w:after="160" w:line="360" w:lineRule="auto"/>
        <w:jc w:val="both"/>
        <w:rPr>
          <w:rFonts w:ascii="Arial" w:eastAsia="Arial" w:hAnsi="Arial" w:cs="Arial"/>
          <w:color w:val="000000" w:themeColor="text1"/>
          <w:sz w:val="28"/>
          <w:szCs w:val="28"/>
        </w:rPr>
      </w:pPr>
      <w:r w:rsidRPr="000E70CC">
        <w:rPr>
          <w:rFonts w:ascii="Arial" w:hAnsi="Arial" w:cs="Arial"/>
          <w:color w:val="000000" w:themeColor="text1"/>
        </w:rPr>
        <w:br w:type="page"/>
      </w:r>
    </w:p>
    <w:p w14:paraId="6E692D90" w14:textId="3DA37A19" w:rsidR="00351E3E" w:rsidRPr="001B710D" w:rsidRDefault="00950EAC" w:rsidP="009F365A">
      <w:pPr>
        <w:pStyle w:val="Heading2"/>
        <w:spacing w:line="360" w:lineRule="auto"/>
        <w:rPr>
          <w:b/>
          <w:bCs/>
        </w:rPr>
      </w:pPr>
      <w:bookmarkStart w:id="21" w:name="_Toc235653215"/>
      <w:r w:rsidRPr="001B710D">
        <w:rPr>
          <w:b/>
          <w:bCs/>
        </w:rPr>
        <w:lastRenderedPageBreak/>
        <w:t>Scope and Limitations of the Study</w:t>
      </w:r>
      <w:bookmarkEnd w:id="21"/>
    </w:p>
    <w:p w14:paraId="438FDBA3" w14:textId="77777777" w:rsidR="000824F8" w:rsidRPr="000824F8" w:rsidRDefault="000824F8" w:rsidP="009F365A">
      <w:pPr>
        <w:spacing w:line="360" w:lineRule="auto"/>
      </w:pPr>
    </w:p>
    <w:p w14:paraId="311331CF" w14:textId="77777777" w:rsidR="00351E3E" w:rsidRPr="001B710D" w:rsidRDefault="00351E3E" w:rsidP="009F365A">
      <w:pPr>
        <w:pStyle w:val="Heading3"/>
        <w:spacing w:line="360" w:lineRule="auto"/>
        <w:rPr>
          <w:rFonts w:ascii="Arial" w:hAnsi="Arial" w:cs="Arial"/>
        </w:rPr>
      </w:pPr>
      <w:bookmarkStart w:id="22" w:name="_Toc235653216"/>
      <w:r w:rsidRPr="001B710D">
        <w:rPr>
          <w:rFonts w:ascii="Arial" w:hAnsi="Arial" w:cs="Arial"/>
        </w:rPr>
        <w:t>Scope of the Study</w:t>
      </w:r>
      <w:bookmarkEnd w:id="22"/>
    </w:p>
    <w:p w14:paraId="486AA046" w14:textId="77777777"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Time Frame:</w:t>
      </w:r>
      <w:r w:rsidRPr="00AF1080">
        <w:rPr>
          <w:rFonts w:ascii="Arial" w:hAnsi="Arial" w:cs="Arial"/>
          <w:color w:val="000000" w:themeColor="text1"/>
          <w:sz w:val="24"/>
          <w:szCs w:val="24"/>
        </w:rPr>
        <w:t> The study covers a five-year period from 2021 to 2025, encompassing the most recent audited financial data available for Alliance Finance PLC. This timeframe allows for the identification of trends, patterns, and cyclical variations in the company's financial performance.</w:t>
      </w:r>
    </w:p>
    <w:p w14:paraId="3D93819C" w14:textId="77777777"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Subject of Analysis:</w:t>
      </w:r>
      <w:r w:rsidRPr="00AF1080">
        <w:rPr>
          <w:rFonts w:ascii="Arial" w:hAnsi="Arial" w:cs="Arial"/>
          <w:color w:val="000000" w:themeColor="text1"/>
          <w:sz w:val="24"/>
          <w:szCs w:val="24"/>
        </w:rPr>
        <w:t> The study focuses exclusively on Alliance Finance PLC (AFPLC), a non-banking financial institution operating in Bangladesh. The analysis is based on the audited annual reports of the company for the years 2021 through 2025.</w:t>
      </w:r>
    </w:p>
    <w:p w14:paraId="5EE011E4" w14:textId="36148C25"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Analytical Framework:</w:t>
      </w:r>
      <w:r w:rsidRPr="00AF1080">
        <w:rPr>
          <w:rFonts w:ascii="Arial" w:hAnsi="Arial" w:cs="Arial"/>
          <w:color w:val="000000" w:themeColor="text1"/>
          <w:sz w:val="24"/>
          <w:szCs w:val="24"/>
        </w:rPr>
        <w:t> The study employs the Aggregate Return on Equity (ROE) framework as the primary analytical tool. This includes the traditional two-component decomposition (ROA × Equity Multiplier), the expanded five-component DuPont decomposition (Tax Burden × Interest Burden × Operating Margin × Asset Turnover × Equity Multiplier.</w:t>
      </w:r>
    </w:p>
    <w:p w14:paraId="551B37F6" w14:textId="77C4DEA7"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Ratio Analysis Dimension</w:t>
      </w:r>
      <w:r w:rsidRPr="00AF1080">
        <w:rPr>
          <w:rStyle w:val="Heading4Char"/>
          <w:rFonts w:ascii="Arial" w:hAnsi="Arial" w:cs="Arial"/>
          <w:b/>
          <w:bCs/>
          <w:color w:val="000000" w:themeColor="text1"/>
          <w:sz w:val="24"/>
          <w:szCs w:val="24"/>
        </w:rPr>
        <w:t>s</w:t>
      </w:r>
      <w:r w:rsidRPr="00AF1080">
        <w:rPr>
          <w:rStyle w:val="Heading4Char"/>
          <w:rFonts w:ascii="Arial" w:hAnsi="Arial" w:cs="Arial"/>
          <w:b/>
          <w:bCs/>
          <w:i w:val="0"/>
          <w:iCs w:val="0"/>
          <w:color w:val="000000" w:themeColor="text1"/>
          <w:sz w:val="24"/>
          <w:szCs w:val="24"/>
        </w:rPr>
        <w:t>:</w:t>
      </w:r>
      <w:r w:rsidRPr="00AF1080">
        <w:rPr>
          <w:rFonts w:ascii="Arial" w:hAnsi="Arial" w:cs="Arial"/>
          <w:color w:val="000000" w:themeColor="text1"/>
          <w:sz w:val="24"/>
          <w:szCs w:val="24"/>
        </w:rPr>
        <w:t> The study covers five dimensions of financial performance: market ratios, profitability ratios, efficiency ratios, liquidity ratios, and solvency ratios. A total of 15 key ratios are calculated and analyzed over the five-year period.</w:t>
      </w:r>
    </w:p>
    <w:p w14:paraId="569EB663" w14:textId="77777777" w:rsidR="001B710D" w:rsidRPr="000E70CC" w:rsidRDefault="001B710D" w:rsidP="009F365A">
      <w:pPr>
        <w:shd w:val="clear" w:color="auto" w:fill="FFFFFF"/>
        <w:spacing w:before="240" w:after="240" w:line="360" w:lineRule="auto"/>
        <w:jc w:val="both"/>
        <w:rPr>
          <w:rFonts w:ascii="Arial" w:hAnsi="Arial" w:cs="Arial"/>
          <w:color w:val="000000" w:themeColor="text1"/>
        </w:rPr>
      </w:pPr>
    </w:p>
    <w:p w14:paraId="508989F3" w14:textId="77777777" w:rsidR="00351E3E" w:rsidRPr="000824F8" w:rsidRDefault="00351E3E" w:rsidP="009F365A">
      <w:pPr>
        <w:pStyle w:val="Heading3"/>
        <w:spacing w:line="360" w:lineRule="auto"/>
        <w:rPr>
          <w:rFonts w:ascii="Arial" w:hAnsi="Arial" w:cs="Arial"/>
        </w:rPr>
      </w:pPr>
      <w:bookmarkStart w:id="23" w:name="_Toc235653217"/>
      <w:r w:rsidRPr="000824F8">
        <w:rPr>
          <w:rFonts w:ascii="Arial" w:hAnsi="Arial" w:cs="Arial"/>
        </w:rPr>
        <w:t>Limitations of the Study</w:t>
      </w:r>
      <w:bookmarkEnd w:id="23"/>
    </w:p>
    <w:p w14:paraId="4C2A534C" w14:textId="3A68D82F"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Lack of Primary Data:</w:t>
      </w:r>
      <w:r w:rsidRPr="00AF1080">
        <w:rPr>
          <w:rFonts w:ascii="Arial" w:hAnsi="Arial" w:cs="Arial"/>
          <w:color w:val="000000" w:themeColor="text1"/>
          <w:sz w:val="24"/>
          <w:szCs w:val="24"/>
        </w:rPr>
        <w:t> No interviews or surveys were conducted with the management or employees of Alliance Finance PLC. Therefore, the analysis is entirely quantitative and does not capture qualitative insights, managerial perspectives, or operational strategies.</w:t>
      </w:r>
    </w:p>
    <w:p w14:paraId="0ECA7875" w14:textId="70838231"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Limited Industry Comparison:</w:t>
      </w:r>
      <w:r w:rsidRPr="00AF1080">
        <w:rPr>
          <w:rFonts w:ascii="Arial" w:hAnsi="Arial" w:cs="Arial"/>
          <w:color w:val="000000" w:themeColor="text1"/>
          <w:sz w:val="24"/>
          <w:szCs w:val="24"/>
        </w:rPr>
        <w:t xml:space="preserve"> The study focuses exclusively on a single company and does not include a comparative analysis with other NBFIs or industry benchmarks. While </w:t>
      </w:r>
      <w:r w:rsidRPr="00AF1080">
        <w:rPr>
          <w:rFonts w:ascii="Arial" w:hAnsi="Arial" w:cs="Arial"/>
          <w:color w:val="000000" w:themeColor="text1"/>
          <w:sz w:val="24"/>
          <w:szCs w:val="24"/>
        </w:rPr>
        <w:lastRenderedPageBreak/>
        <w:t>the trend analysis provides valuable insights, the absence of peer comparison limits the ability to assess relative performance.</w:t>
      </w:r>
    </w:p>
    <w:p w14:paraId="087BDEEC" w14:textId="272C61BB"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Exclusion of Macroeconomic Factors:</w:t>
      </w:r>
      <w:r w:rsidRPr="00AF1080">
        <w:rPr>
          <w:rFonts w:ascii="Arial" w:hAnsi="Arial" w:cs="Arial"/>
          <w:color w:val="000000" w:themeColor="text1"/>
          <w:sz w:val="24"/>
          <w:szCs w:val="24"/>
        </w:rPr>
        <w:t> The analysis does not explicitly model the impact of macroeconomic variables such as inflation, exchange rates, interest rates, or regulatory changes on the company's financial performance. While these factors are indirectly reflected in the reported numbers, their individual effects have not been isolated.</w:t>
      </w:r>
    </w:p>
    <w:p w14:paraId="1323C2FA" w14:textId="21F2B3F5"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Historical Perspective:</w:t>
      </w:r>
      <w:r w:rsidRPr="00AF1080">
        <w:rPr>
          <w:rFonts w:ascii="Arial" w:hAnsi="Arial" w:cs="Arial"/>
          <w:color w:val="000000" w:themeColor="text1"/>
          <w:sz w:val="24"/>
          <w:szCs w:val="24"/>
        </w:rPr>
        <w:t> The analysis is based on historical data and does not include projections or forward-looking statements. Historical performance may not necessarily be indicative of future results.</w:t>
      </w:r>
    </w:p>
    <w:p w14:paraId="5DFBAFFC" w14:textId="514D3D34"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Accounting Policy Differences:</w:t>
      </w:r>
      <w:r w:rsidRPr="00AF1080">
        <w:rPr>
          <w:rFonts w:ascii="Arial" w:hAnsi="Arial" w:cs="Arial"/>
          <w:b/>
          <w:bCs/>
          <w:color w:val="000000" w:themeColor="text1"/>
          <w:sz w:val="24"/>
          <w:szCs w:val="24"/>
        </w:rPr>
        <w:t> </w:t>
      </w:r>
      <w:r w:rsidRPr="00AF1080">
        <w:rPr>
          <w:rFonts w:ascii="Arial" w:hAnsi="Arial" w:cs="Arial"/>
          <w:color w:val="000000" w:themeColor="text1"/>
          <w:sz w:val="24"/>
          <w:szCs w:val="24"/>
        </w:rPr>
        <w:t>While the company has consistently applied IFRS, there may be departures due to regulatory requirements of Bangladesh Bank. These departures may affect the comparability of the financial data across years.</w:t>
      </w:r>
    </w:p>
    <w:p w14:paraId="1B9B351C" w14:textId="40884B6B"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i w:val="0"/>
          <w:iCs w:val="0"/>
          <w:color w:val="000000" w:themeColor="text1"/>
          <w:sz w:val="24"/>
          <w:szCs w:val="24"/>
        </w:rPr>
        <w:t>Limited Scope of Non-Financial Indicators:</w:t>
      </w:r>
      <w:r w:rsidRPr="00AF1080">
        <w:rPr>
          <w:rFonts w:ascii="Arial" w:hAnsi="Arial" w:cs="Arial"/>
          <w:color w:val="000000" w:themeColor="text1"/>
          <w:sz w:val="24"/>
          <w:szCs w:val="24"/>
        </w:rPr>
        <w:t> The analysis does not include non-financial performance indicators such as customer satisfaction, employee engagement, operational efficiency metrics, or technology adoption.</w:t>
      </w:r>
    </w:p>
    <w:p w14:paraId="2C512F7E" w14:textId="094E4BB7" w:rsidR="00351E3E" w:rsidRPr="00AF1080" w:rsidRDefault="00351E3E"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b/>
          <w:bCs/>
          <w:color w:val="000000" w:themeColor="text1"/>
          <w:sz w:val="24"/>
          <w:szCs w:val="24"/>
        </w:rPr>
        <w:t>Time Constraints:</w:t>
      </w:r>
      <w:r w:rsidRPr="00AF1080">
        <w:rPr>
          <w:rFonts w:ascii="Arial" w:hAnsi="Arial" w:cs="Arial"/>
          <w:color w:val="000000" w:themeColor="text1"/>
          <w:sz w:val="24"/>
          <w:szCs w:val="24"/>
        </w:rPr>
        <w:t> The study was conducted within the time constraints of an internship program, which may have limited the depth of analysis that could be undertaken.</w:t>
      </w:r>
    </w:p>
    <w:p w14:paraId="0FC1515D" w14:textId="065B0F5E" w:rsidR="00351E3E" w:rsidRPr="00AF1080" w:rsidRDefault="00351E3E" w:rsidP="009F365A">
      <w:pPr>
        <w:spacing w:after="160" w:line="360" w:lineRule="auto"/>
        <w:jc w:val="both"/>
        <w:rPr>
          <w:rFonts w:ascii="Arial" w:eastAsia="Arial" w:hAnsi="Arial" w:cs="Arial"/>
          <w:color w:val="000000" w:themeColor="text1"/>
          <w:sz w:val="32"/>
          <w:szCs w:val="32"/>
        </w:rPr>
      </w:pPr>
      <w:r w:rsidRPr="00AF1080">
        <w:rPr>
          <w:rFonts w:ascii="Arial" w:hAnsi="Arial" w:cs="Arial"/>
          <w:color w:val="000000" w:themeColor="text1"/>
          <w:sz w:val="24"/>
          <w:szCs w:val="24"/>
        </w:rPr>
        <w:br w:type="page"/>
      </w:r>
    </w:p>
    <w:p w14:paraId="69651D3B" w14:textId="79AD7DD5" w:rsidR="00950EAC" w:rsidRPr="001B710D" w:rsidRDefault="00950EAC" w:rsidP="009F365A">
      <w:pPr>
        <w:pStyle w:val="Heading2"/>
        <w:spacing w:line="360" w:lineRule="auto"/>
        <w:rPr>
          <w:b/>
          <w:bCs/>
        </w:rPr>
      </w:pPr>
      <w:bookmarkStart w:id="24" w:name="_Toc235653218"/>
      <w:r w:rsidRPr="001B710D">
        <w:rPr>
          <w:b/>
          <w:bCs/>
        </w:rPr>
        <w:lastRenderedPageBreak/>
        <w:t>Definition of Key Terms</w:t>
      </w:r>
      <w:bookmarkEnd w:id="24"/>
    </w:p>
    <w:p w14:paraId="3BF9A765" w14:textId="77777777" w:rsidR="00146130" w:rsidRPr="00AF1080" w:rsidRDefault="00146130" w:rsidP="009F365A">
      <w:pPr>
        <w:spacing w:after="160" w:line="360" w:lineRule="auto"/>
        <w:jc w:val="both"/>
        <w:rPr>
          <w:rFonts w:ascii="Arial" w:hAnsi="Arial" w:cs="Arial"/>
          <w:color w:val="000000" w:themeColor="text1"/>
          <w:sz w:val="24"/>
          <w:szCs w:val="24"/>
        </w:rPr>
      </w:pPr>
    </w:p>
    <w:p w14:paraId="16752BE6" w14:textId="77777777" w:rsidR="00146130" w:rsidRPr="00AF1080" w:rsidRDefault="00146130" w:rsidP="009F365A">
      <w:pPr>
        <w:shd w:val="clear" w:color="auto" w:fill="FFFFFF"/>
        <w:spacing w:before="240" w:after="240" w:line="360" w:lineRule="auto"/>
        <w:jc w:val="both"/>
        <w:rPr>
          <w:rFonts w:ascii="Arial" w:eastAsia="Times New Roman" w:hAnsi="Arial" w:cs="Arial"/>
          <w:color w:val="000000" w:themeColor="text1"/>
          <w:sz w:val="24"/>
          <w:szCs w:val="24"/>
          <w:lang w:val="en-US"/>
        </w:rPr>
      </w:pPr>
      <w:r w:rsidRPr="00AF1080">
        <w:rPr>
          <w:rStyle w:val="Heading4Char"/>
          <w:rFonts w:ascii="Arial" w:hAnsi="Arial" w:cs="Arial"/>
          <w:i w:val="0"/>
          <w:iCs w:val="0"/>
          <w:color w:val="000000" w:themeColor="text1"/>
          <w:sz w:val="24"/>
          <w:szCs w:val="24"/>
        </w:rPr>
        <w:t>Asset Turnover Ratio:</w:t>
      </w:r>
      <w:r w:rsidRPr="00AF1080">
        <w:rPr>
          <w:rFonts w:ascii="Arial" w:hAnsi="Arial" w:cs="Arial"/>
          <w:color w:val="000000" w:themeColor="text1"/>
          <w:sz w:val="24"/>
          <w:szCs w:val="24"/>
        </w:rPr>
        <w:t> A financial ratio that measures the revenue generated for each dollar of total assets. It gauges how efficiently a company uses its asset base to produce revenue.</w:t>
      </w:r>
    </w:p>
    <w:p w14:paraId="2821C636"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Asset Utilization Ratio:</w:t>
      </w:r>
      <w:r w:rsidRPr="00AF1080">
        <w:rPr>
          <w:rFonts w:ascii="Arial" w:hAnsi="Arial" w:cs="Arial"/>
          <w:color w:val="000000" w:themeColor="text1"/>
          <w:sz w:val="24"/>
          <w:szCs w:val="24"/>
        </w:rPr>
        <w:t> The ratio of total revenue to total assets, representing the total revenue generated per unit of assets. It is a measure of asset efficiency.</w:t>
      </w:r>
    </w:p>
    <w:p w14:paraId="32BDCD2D"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Cost of Funds:</w:t>
      </w:r>
      <w:r w:rsidRPr="00AF1080">
        <w:rPr>
          <w:rFonts w:ascii="Arial" w:hAnsi="Arial" w:cs="Arial"/>
          <w:i/>
          <w:iCs/>
          <w:color w:val="000000" w:themeColor="text1"/>
          <w:sz w:val="24"/>
          <w:szCs w:val="24"/>
        </w:rPr>
        <w:t> </w:t>
      </w:r>
      <w:r w:rsidRPr="00AF1080">
        <w:rPr>
          <w:rFonts w:ascii="Arial" w:hAnsi="Arial" w:cs="Arial"/>
          <w:color w:val="000000" w:themeColor="text1"/>
          <w:sz w:val="24"/>
          <w:szCs w:val="24"/>
        </w:rPr>
        <w:t>The ratio of interest expenses to total assets, measuring the cost incurred by the company to fund its operations through deposits and borrowings.</w:t>
      </w:r>
    </w:p>
    <w:p w14:paraId="3674FCBB"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Debt-to-Asset Ratio:</w:t>
      </w:r>
      <w:r w:rsidRPr="00AF1080">
        <w:rPr>
          <w:rFonts w:ascii="Arial" w:hAnsi="Arial" w:cs="Arial"/>
          <w:color w:val="000000" w:themeColor="text1"/>
          <w:sz w:val="24"/>
          <w:szCs w:val="24"/>
        </w:rPr>
        <w:t> A financial ratio that indicates the proportion of a company's assets that are financed through debt. It provides insight into the company's capital structure and financial risk.</w:t>
      </w:r>
    </w:p>
    <w:p w14:paraId="4110736A"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Debt-to-Equity Ratio:</w:t>
      </w:r>
      <w:r w:rsidRPr="00AF1080">
        <w:rPr>
          <w:rFonts w:ascii="Arial" w:hAnsi="Arial" w:cs="Arial"/>
          <w:color w:val="000000" w:themeColor="text1"/>
          <w:sz w:val="24"/>
          <w:szCs w:val="24"/>
        </w:rPr>
        <w:t> A financial ratio that measures the proportion of a company's financing that comes from debt compared to shareholders' equity. It indicates the extent to which a business depends on borrowed funds.</w:t>
      </w:r>
    </w:p>
    <w:p w14:paraId="2F288F69"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DuPont Analysis:</w:t>
      </w:r>
      <w:r w:rsidRPr="00AF1080">
        <w:rPr>
          <w:rFonts w:ascii="Arial" w:hAnsi="Arial" w:cs="Arial"/>
          <w:color w:val="000000" w:themeColor="text1"/>
          <w:sz w:val="24"/>
          <w:szCs w:val="24"/>
        </w:rPr>
        <w:t> A financial analysis framework that decomposes Return on Equity (ROE) into multiple components, allowing for a detailed assessment of the drivers of shareholder returns.</w:t>
      </w:r>
    </w:p>
    <w:p w14:paraId="42128A2F"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Earnings Per Share (EPS):</w:t>
      </w:r>
      <w:r w:rsidRPr="00AF1080">
        <w:rPr>
          <w:rFonts w:ascii="Arial" w:hAnsi="Arial" w:cs="Arial"/>
          <w:color w:val="000000" w:themeColor="text1"/>
          <w:sz w:val="24"/>
          <w:szCs w:val="24"/>
        </w:rPr>
        <w:t> The amount of net income attributable to each individual share of a company's common stock. It offers insight into how effectively a firm converts its profits into shareholder value.</w:t>
      </w:r>
    </w:p>
    <w:p w14:paraId="5C4BFB26"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Equity Multiplier:</w:t>
      </w:r>
      <w:r w:rsidRPr="00AF1080">
        <w:rPr>
          <w:rFonts w:ascii="Arial" w:hAnsi="Arial" w:cs="Arial"/>
          <w:i/>
          <w:iCs/>
          <w:color w:val="000000" w:themeColor="text1"/>
          <w:sz w:val="24"/>
          <w:szCs w:val="24"/>
        </w:rPr>
        <w:t> </w:t>
      </w:r>
      <w:r w:rsidRPr="00AF1080">
        <w:rPr>
          <w:rFonts w:ascii="Arial" w:hAnsi="Arial" w:cs="Arial"/>
          <w:color w:val="000000" w:themeColor="text1"/>
          <w:sz w:val="24"/>
          <w:szCs w:val="24"/>
        </w:rPr>
        <w:t>A measure of financial leverage calculated as total assets divided by total equity. It shows how much of the firm's assets are financed by equity versus debt.</w:t>
      </w:r>
    </w:p>
    <w:p w14:paraId="69EEC4FB"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Expense Ratio:</w:t>
      </w:r>
      <w:r w:rsidRPr="00AF1080">
        <w:rPr>
          <w:rFonts w:ascii="Arial" w:hAnsi="Arial" w:cs="Arial"/>
          <w:color w:val="000000" w:themeColor="text1"/>
          <w:sz w:val="24"/>
          <w:szCs w:val="24"/>
        </w:rPr>
        <w:t> The ratio of total expenses to total assets, measuring the total expenses incurred per unit of assets.</w:t>
      </w:r>
    </w:p>
    <w:p w14:paraId="0807CBC5"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lastRenderedPageBreak/>
        <w:t>Financial Leverage:</w:t>
      </w:r>
      <w:r w:rsidRPr="00AF1080">
        <w:rPr>
          <w:rFonts w:ascii="Arial" w:hAnsi="Arial" w:cs="Arial"/>
          <w:color w:val="000000" w:themeColor="text1"/>
          <w:sz w:val="24"/>
          <w:szCs w:val="24"/>
        </w:rPr>
        <w:t> The use of borrowed funds to finance a company's assets and operations. Higher financial leverage can enhance potential returns for shareholders but also increases financial risk.</w:t>
      </w:r>
    </w:p>
    <w:p w14:paraId="2E20FE56"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Interest Burden:</w:t>
      </w:r>
      <w:r w:rsidRPr="00AF1080">
        <w:rPr>
          <w:rFonts w:ascii="Arial" w:hAnsi="Arial" w:cs="Arial"/>
          <w:color w:val="000000" w:themeColor="text1"/>
          <w:sz w:val="24"/>
          <w:szCs w:val="24"/>
        </w:rPr>
        <w:t> A DuPont component calculated as Net Income / EBIT, measuring the proportion of operating profit that remains after interest payments are made.</w:t>
      </w:r>
    </w:p>
    <w:p w14:paraId="42CA04CE"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Interest Coverage Ratio:</w:t>
      </w:r>
      <w:r w:rsidRPr="00AF1080">
        <w:rPr>
          <w:rFonts w:ascii="Arial" w:hAnsi="Arial" w:cs="Arial"/>
          <w:color w:val="000000" w:themeColor="text1"/>
          <w:sz w:val="24"/>
          <w:szCs w:val="24"/>
        </w:rPr>
        <w:t> A financial ratio that evaluates a company's capacity to pay interest on its outstanding debt from its operating income.</w:t>
      </w:r>
    </w:p>
    <w:p w14:paraId="5B272B53"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Net Asset Value (NAV) per Share:</w:t>
      </w:r>
      <w:r w:rsidRPr="00AF1080">
        <w:rPr>
          <w:rFonts w:ascii="Arial" w:hAnsi="Arial" w:cs="Arial"/>
          <w:i/>
          <w:iCs/>
          <w:color w:val="000000" w:themeColor="text1"/>
          <w:sz w:val="24"/>
          <w:szCs w:val="24"/>
        </w:rPr>
        <w:t> </w:t>
      </w:r>
      <w:r w:rsidRPr="00AF1080">
        <w:rPr>
          <w:rFonts w:ascii="Arial" w:hAnsi="Arial" w:cs="Arial"/>
          <w:color w:val="000000" w:themeColor="text1"/>
          <w:sz w:val="24"/>
          <w:szCs w:val="24"/>
        </w:rPr>
        <w:t>The book value of a company's equity attributable to each outstanding share. It shows the net asset backing for each share on the balance sheet.</w:t>
      </w:r>
    </w:p>
    <w:p w14:paraId="08B5FCDA"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Net Profit Margin:</w:t>
      </w:r>
      <w:r w:rsidRPr="00AF1080">
        <w:rPr>
          <w:rFonts w:ascii="Arial" w:hAnsi="Arial" w:cs="Arial"/>
          <w:color w:val="000000" w:themeColor="text1"/>
          <w:sz w:val="24"/>
          <w:szCs w:val="24"/>
        </w:rPr>
        <w:t> A profitability ratio that measures the percentage of revenue a company retains as profit after all expenses, taxes, and interest are paid.</w:t>
      </w:r>
    </w:p>
    <w:p w14:paraId="48B1E7AC"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Net Working Capital Ratio:</w:t>
      </w:r>
      <w:r w:rsidRPr="00AF1080">
        <w:rPr>
          <w:rFonts w:ascii="Arial" w:hAnsi="Arial" w:cs="Arial"/>
          <w:color w:val="000000" w:themeColor="text1"/>
          <w:sz w:val="24"/>
          <w:szCs w:val="24"/>
        </w:rPr>
        <w:t> A financial metric that compares a company's net working capital (current assets minus current liabilities) to total assets, indicating the amount of short-term assets available after meeting short-term obligations.</w:t>
      </w:r>
    </w:p>
    <w:p w14:paraId="6C119F54"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Operating Margin:</w:t>
      </w:r>
      <w:r w:rsidRPr="00AF1080">
        <w:rPr>
          <w:rFonts w:ascii="Arial" w:hAnsi="Arial" w:cs="Arial"/>
          <w:color w:val="000000" w:themeColor="text1"/>
          <w:sz w:val="24"/>
          <w:szCs w:val="24"/>
        </w:rPr>
        <w:t> A profitability ratio that measures what percentage of revenue is left after all operating expenses are paid. It assesses the efficiency of a company's core business activities.</w:t>
      </w:r>
    </w:p>
    <w:p w14:paraId="7B1A3E4A"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Overhead Rate:</w:t>
      </w:r>
      <w:r w:rsidRPr="00AF1080">
        <w:rPr>
          <w:rFonts w:ascii="Arial" w:hAnsi="Arial" w:cs="Arial"/>
          <w:color w:val="000000" w:themeColor="text1"/>
          <w:sz w:val="24"/>
          <w:szCs w:val="24"/>
        </w:rPr>
        <w:t> The ratio of non-interest expenses to total assets, measuring the cost of day-to-day operations relative to the asset base.</w:t>
      </w:r>
    </w:p>
    <w:p w14:paraId="38D4A8ED"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Quality of Assets:</w:t>
      </w:r>
      <w:r w:rsidRPr="00AF1080">
        <w:rPr>
          <w:rFonts w:ascii="Arial" w:hAnsi="Arial" w:cs="Arial"/>
          <w:color w:val="000000" w:themeColor="text1"/>
          <w:sz w:val="24"/>
          <w:szCs w:val="24"/>
        </w:rPr>
        <w:t> The ratio of provisions to total assets, measuring the credit risk cost incurred by the company.</w:t>
      </w:r>
    </w:p>
    <w:p w14:paraId="5161524E"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Return on Assets (ROA):</w:t>
      </w:r>
      <w:r w:rsidRPr="00AF1080">
        <w:rPr>
          <w:rFonts w:ascii="Arial" w:hAnsi="Arial" w:cs="Arial"/>
          <w:i/>
          <w:iCs/>
          <w:color w:val="000000" w:themeColor="text1"/>
          <w:sz w:val="24"/>
          <w:szCs w:val="24"/>
        </w:rPr>
        <w:t> </w:t>
      </w:r>
      <w:r w:rsidRPr="00AF1080">
        <w:rPr>
          <w:rFonts w:ascii="Arial" w:hAnsi="Arial" w:cs="Arial"/>
          <w:color w:val="000000" w:themeColor="text1"/>
          <w:sz w:val="24"/>
          <w:szCs w:val="24"/>
        </w:rPr>
        <w:t>A profitability ratio that measures how effectively a company's total asset base generates profit. It is a key gauge of capital efficiency.</w:t>
      </w:r>
    </w:p>
    <w:p w14:paraId="1D9F5BBF"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lastRenderedPageBreak/>
        <w:t>Return on Common Equity (ROCE):</w:t>
      </w:r>
      <w:r w:rsidRPr="00AF1080">
        <w:rPr>
          <w:rFonts w:ascii="Arial" w:hAnsi="Arial" w:cs="Arial"/>
          <w:color w:val="000000" w:themeColor="text1"/>
          <w:sz w:val="24"/>
          <w:szCs w:val="24"/>
        </w:rPr>
        <w:t> A profitability ratio that measures the rate of return generated on the capital provided by common shareholders.</w:t>
      </w:r>
    </w:p>
    <w:p w14:paraId="058F66F6"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Return on Equity (ROE):</w:t>
      </w:r>
      <w:r w:rsidRPr="00AF1080">
        <w:rPr>
          <w:rFonts w:ascii="Arial" w:hAnsi="Arial" w:cs="Arial"/>
          <w:i/>
          <w:iCs/>
          <w:color w:val="000000" w:themeColor="text1"/>
          <w:sz w:val="24"/>
          <w:szCs w:val="24"/>
        </w:rPr>
        <w:t> </w:t>
      </w:r>
      <w:r w:rsidRPr="00AF1080">
        <w:rPr>
          <w:rFonts w:ascii="Arial" w:hAnsi="Arial" w:cs="Arial"/>
          <w:color w:val="000000" w:themeColor="text1"/>
          <w:sz w:val="24"/>
          <w:szCs w:val="24"/>
        </w:rPr>
        <w:t>A comprehensive measure of financial performance that assesses how effectively management utilizes shareholders' equity to generate net earnings.</w:t>
      </w:r>
    </w:p>
    <w:p w14:paraId="696DA429"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Return on Total Capital (ROTC):</w:t>
      </w:r>
      <w:r w:rsidRPr="00AF1080">
        <w:rPr>
          <w:rFonts w:ascii="Arial" w:hAnsi="Arial" w:cs="Arial"/>
          <w:i/>
          <w:iCs/>
          <w:color w:val="000000" w:themeColor="text1"/>
          <w:sz w:val="24"/>
          <w:szCs w:val="24"/>
        </w:rPr>
        <w:t> </w:t>
      </w:r>
      <w:r w:rsidRPr="00AF1080">
        <w:rPr>
          <w:rFonts w:ascii="Arial" w:hAnsi="Arial" w:cs="Arial"/>
          <w:color w:val="000000" w:themeColor="text1"/>
          <w:sz w:val="24"/>
          <w:szCs w:val="24"/>
        </w:rPr>
        <w:t>A profitability ratio that measures the pre-tax return a company earns on all its permanent financing, including both debt and equity.</w:t>
      </w:r>
    </w:p>
    <w:p w14:paraId="2E3FACF6"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Sustainable Growth Rate (SGR):</w:t>
      </w:r>
      <w:r w:rsidRPr="00AF1080">
        <w:rPr>
          <w:rFonts w:ascii="Arial" w:hAnsi="Arial" w:cs="Arial"/>
          <w:color w:val="000000" w:themeColor="text1"/>
          <w:sz w:val="24"/>
          <w:szCs w:val="24"/>
        </w:rPr>
        <w:t> A measure of the maximum rate at which a company can grow its operations without needing external financing. It is calculated as the product of ROE and the retention ratio.</w:t>
      </w:r>
    </w:p>
    <w:p w14:paraId="5BDB1AB4"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Tax Burden:</w:t>
      </w:r>
      <w:r w:rsidRPr="00AF1080">
        <w:rPr>
          <w:rFonts w:ascii="Arial" w:hAnsi="Arial" w:cs="Arial"/>
          <w:color w:val="000000" w:themeColor="text1"/>
          <w:sz w:val="24"/>
          <w:szCs w:val="24"/>
        </w:rPr>
        <w:t> A DuPont component calculated as Net Income / EBT, measuring the proportion of pre-tax profit that remains after tax payments are made.</w:t>
      </w:r>
    </w:p>
    <w:p w14:paraId="7F9C5436"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Yield on Interest-Based Assets:</w:t>
      </w:r>
      <w:r w:rsidRPr="00AF1080">
        <w:rPr>
          <w:rFonts w:ascii="Arial" w:hAnsi="Arial" w:cs="Arial"/>
          <w:color w:val="000000" w:themeColor="text1"/>
          <w:sz w:val="24"/>
          <w:szCs w:val="24"/>
        </w:rPr>
        <w:t> The ratio of interest income to total assets, measuring the return generated from interest-earning assets.</w:t>
      </w:r>
    </w:p>
    <w:p w14:paraId="2B57A03E" w14:textId="77777777" w:rsidR="00146130" w:rsidRPr="00AF1080" w:rsidRDefault="00146130" w:rsidP="009F365A">
      <w:pPr>
        <w:shd w:val="clear" w:color="auto" w:fill="FFFFFF"/>
        <w:spacing w:before="240" w:after="240" w:line="360" w:lineRule="auto"/>
        <w:jc w:val="both"/>
        <w:rPr>
          <w:rFonts w:ascii="Arial" w:hAnsi="Arial" w:cs="Arial"/>
          <w:color w:val="000000" w:themeColor="text1"/>
          <w:sz w:val="24"/>
          <w:szCs w:val="24"/>
        </w:rPr>
      </w:pPr>
      <w:r w:rsidRPr="00AF1080">
        <w:rPr>
          <w:rStyle w:val="Heading4Char"/>
          <w:rFonts w:ascii="Arial" w:hAnsi="Arial" w:cs="Arial"/>
          <w:i w:val="0"/>
          <w:iCs w:val="0"/>
          <w:color w:val="000000" w:themeColor="text1"/>
          <w:sz w:val="24"/>
          <w:szCs w:val="24"/>
        </w:rPr>
        <w:t>Yield on Non-Interest-Based Assets:</w:t>
      </w:r>
      <w:r w:rsidRPr="00AF1080">
        <w:rPr>
          <w:rFonts w:ascii="Arial" w:hAnsi="Arial" w:cs="Arial"/>
          <w:i/>
          <w:iCs/>
          <w:color w:val="000000" w:themeColor="text1"/>
          <w:sz w:val="24"/>
          <w:szCs w:val="24"/>
        </w:rPr>
        <w:t> </w:t>
      </w:r>
      <w:r w:rsidRPr="00AF1080">
        <w:rPr>
          <w:rFonts w:ascii="Arial" w:hAnsi="Arial" w:cs="Arial"/>
          <w:color w:val="000000" w:themeColor="text1"/>
          <w:sz w:val="24"/>
          <w:szCs w:val="24"/>
        </w:rPr>
        <w:t>The ratio of non-interest income to total assets, measuring the return generated from fees, commissions, and other non-lending activities.</w:t>
      </w:r>
    </w:p>
    <w:p w14:paraId="670F14FF" w14:textId="0B8C9DAD" w:rsidR="00B91C31" w:rsidRPr="00037325" w:rsidRDefault="00B91C31" w:rsidP="00037325">
      <w:pPr>
        <w:spacing w:after="160" w:line="360" w:lineRule="auto"/>
        <w:jc w:val="both"/>
        <w:rPr>
          <w:rFonts w:ascii="Arial" w:eastAsia="Arial" w:hAnsi="Arial" w:cs="Arial"/>
          <w:color w:val="000000" w:themeColor="text1"/>
          <w:sz w:val="28"/>
          <w:szCs w:val="28"/>
        </w:rPr>
      </w:pPr>
    </w:p>
    <w:p w14:paraId="39459A69" w14:textId="77777777" w:rsidR="00037325" w:rsidRDefault="00037325">
      <w:pPr>
        <w:spacing w:after="160" w:line="259" w:lineRule="auto"/>
        <w:rPr>
          <w:rFonts w:ascii="Arial" w:eastAsia="Arial" w:hAnsi="Arial" w:cs="Arial"/>
          <w:b/>
          <w:bCs/>
          <w:color w:val="366091"/>
          <w:sz w:val="32"/>
          <w:szCs w:val="32"/>
        </w:rPr>
      </w:pPr>
      <w:r>
        <w:br w:type="page"/>
      </w:r>
    </w:p>
    <w:p w14:paraId="78243560" w14:textId="2C89B085" w:rsidR="00950EAC" w:rsidRPr="000824F8" w:rsidRDefault="00950EAC" w:rsidP="009F365A">
      <w:pPr>
        <w:pStyle w:val="Heading1"/>
        <w:spacing w:line="360" w:lineRule="auto"/>
      </w:pPr>
      <w:bookmarkStart w:id="25" w:name="_Toc235653219"/>
      <w:r w:rsidRPr="000824F8">
        <w:lastRenderedPageBreak/>
        <w:t>CHAPTER IV: RESEARCH FINDINGS &amp; ANALYSIS</w:t>
      </w:r>
      <w:bookmarkEnd w:id="25"/>
    </w:p>
    <w:p w14:paraId="1F7CE26E" w14:textId="77777777" w:rsidR="00950EAC" w:rsidRPr="000E70CC" w:rsidRDefault="00950EAC" w:rsidP="009F365A">
      <w:pPr>
        <w:spacing w:line="360" w:lineRule="auto"/>
        <w:jc w:val="both"/>
        <w:rPr>
          <w:rFonts w:ascii="Arial" w:hAnsi="Arial" w:cs="Arial"/>
          <w:color w:val="000000" w:themeColor="text1"/>
        </w:rPr>
      </w:pPr>
    </w:p>
    <w:p w14:paraId="15074A44" w14:textId="58F520E5" w:rsidR="00950EAC" w:rsidRPr="001B7032" w:rsidRDefault="00C97B39" w:rsidP="009F365A">
      <w:pPr>
        <w:pStyle w:val="Heading2"/>
        <w:spacing w:line="360" w:lineRule="auto"/>
        <w:rPr>
          <w:b/>
          <w:bCs/>
        </w:rPr>
      </w:pPr>
      <w:bookmarkStart w:id="26" w:name="_Toc235653220"/>
      <w:r w:rsidRPr="001B7032">
        <w:rPr>
          <w:b/>
          <w:bCs/>
        </w:rPr>
        <w:t>Ratio Analysis</w:t>
      </w:r>
      <w:bookmarkEnd w:id="26"/>
    </w:p>
    <w:p w14:paraId="4EFBE1BC" w14:textId="77777777" w:rsidR="000824F8" w:rsidRPr="000824F8" w:rsidRDefault="000824F8" w:rsidP="009F365A">
      <w:pPr>
        <w:spacing w:line="360" w:lineRule="auto"/>
      </w:pPr>
    </w:p>
    <w:p w14:paraId="79333FD0" w14:textId="77777777" w:rsidR="00C97B39" w:rsidRPr="001B7032" w:rsidRDefault="00C97B39" w:rsidP="009F365A">
      <w:pPr>
        <w:pStyle w:val="Heading3"/>
        <w:spacing w:line="360" w:lineRule="auto"/>
        <w:rPr>
          <w:rFonts w:ascii="Arial" w:hAnsi="Arial" w:cs="Arial"/>
          <w:b/>
          <w:bCs/>
        </w:rPr>
      </w:pPr>
      <w:bookmarkStart w:id="27" w:name="_Toc235653221"/>
      <w:r w:rsidRPr="001B7032">
        <w:rPr>
          <w:rFonts w:ascii="Arial" w:hAnsi="Arial" w:cs="Arial"/>
          <w:b/>
          <w:bCs/>
        </w:rPr>
        <w:t>Market Ratios Analysis</w:t>
      </w:r>
      <w:bookmarkEnd w:id="27"/>
    </w:p>
    <w:p w14:paraId="3E241A87"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Earnings Per Share (EPS)</w:t>
      </w:r>
    </w:p>
    <w:p w14:paraId="3B24FB88" w14:textId="77777777" w:rsidR="00F6197F" w:rsidRPr="00F6197F"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Earnings per share (EPS) is the net income divided by the number of common shares outstanding. It gives investors an idea of the quality of value creation the firm is able to deliver to the shareholders.</w:t>
      </w:r>
    </w:p>
    <w:p w14:paraId="3875C999" w14:textId="6400D2F5"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EPS = (Net Income - Preferred Dividends) / Outstanding Shares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37522FC2" w14:textId="77777777" w:rsidTr="00B91C31">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F2307"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63F663B"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941E974"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0A60970"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CC50919"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DFABDDB"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2025</w:t>
            </w:r>
          </w:p>
        </w:tc>
      </w:tr>
      <w:tr w:rsidR="000E70CC" w:rsidRPr="000E70CC" w14:paraId="73CB4460" w14:textId="77777777" w:rsidTr="00B91C31">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6FEFDF7"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EPS (BDT)</w:t>
            </w:r>
          </w:p>
        </w:tc>
        <w:tc>
          <w:tcPr>
            <w:tcW w:w="1040" w:type="dxa"/>
            <w:tcBorders>
              <w:top w:val="nil"/>
              <w:left w:val="nil"/>
              <w:bottom w:val="single" w:sz="4" w:space="0" w:color="auto"/>
              <w:right w:val="single" w:sz="4" w:space="0" w:color="auto"/>
            </w:tcBorders>
            <w:shd w:val="clear" w:color="auto" w:fill="auto"/>
            <w:vAlign w:val="center"/>
            <w:hideMark/>
          </w:tcPr>
          <w:p w14:paraId="5F61DA6D"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0.59</w:t>
            </w:r>
          </w:p>
        </w:tc>
        <w:tc>
          <w:tcPr>
            <w:tcW w:w="1040" w:type="dxa"/>
            <w:tcBorders>
              <w:top w:val="nil"/>
              <w:left w:val="nil"/>
              <w:bottom w:val="single" w:sz="4" w:space="0" w:color="auto"/>
              <w:right w:val="single" w:sz="4" w:space="0" w:color="auto"/>
            </w:tcBorders>
            <w:shd w:val="clear" w:color="auto" w:fill="auto"/>
            <w:vAlign w:val="center"/>
            <w:hideMark/>
          </w:tcPr>
          <w:p w14:paraId="48055E70"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0.52</w:t>
            </w:r>
          </w:p>
        </w:tc>
        <w:tc>
          <w:tcPr>
            <w:tcW w:w="1040" w:type="dxa"/>
            <w:tcBorders>
              <w:top w:val="nil"/>
              <w:left w:val="nil"/>
              <w:bottom w:val="single" w:sz="4" w:space="0" w:color="auto"/>
              <w:right w:val="single" w:sz="4" w:space="0" w:color="auto"/>
            </w:tcBorders>
            <w:shd w:val="clear" w:color="auto" w:fill="auto"/>
            <w:vAlign w:val="center"/>
            <w:hideMark/>
          </w:tcPr>
          <w:p w14:paraId="1104DC89"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0.23</w:t>
            </w:r>
          </w:p>
        </w:tc>
        <w:tc>
          <w:tcPr>
            <w:tcW w:w="1040" w:type="dxa"/>
            <w:tcBorders>
              <w:top w:val="nil"/>
              <w:left w:val="nil"/>
              <w:bottom w:val="single" w:sz="4" w:space="0" w:color="auto"/>
              <w:right w:val="single" w:sz="4" w:space="0" w:color="auto"/>
            </w:tcBorders>
            <w:shd w:val="clear" w:color="auto" w:fill="auto"/>
            <w:vAlign w:val="center"/>
            <w:hideMark/>
          </w:tcPr>
          <w:p w14:paraId="028D3230"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0.72</w:t>
            </w:r>
          </w:p>
        </w:tc>
        <w:tc>
          <w:tcPr>
            <w:tcW w:w="1040" w:type="dxa"/>
            <w:tcBorders>
              <w:top w:val="nil"/>
              <w:left w:val="nil"/>
              <w:bottom w:val="single" w:sz="4" w:space="0" w:color="auto"/>
              <w:right w:val="single" w:sz="4" w:space="0" w:color="auto"/>
            </w:tcBorders>
            <w:shd w:val="clear" w:color="auto" w:fill="auto"/>
            <w:vAlign w:val="center"/>
            <w:hideMark/>
          </w:tcPr>
          <w:p w14:paraId="7DCB1AAC"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0.61</w:t>
            </w:r>
          </w:p>
        </w:tc>
      </w:tr>
    </w:tbl>
    <w:p w14:paraId="6109CC07" w14:textId="031FD121" w:rsidR="00FC2443" w:rsidRPr="000E70CC"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 xml:space="preserve">The EPS trend is quite volatile, with the company becoming profitable in 2006, but then losing that profit in 2007. The EPS fell from BDT 0.59 in 2021 to BDT 0.52 in 2022 and then sharply to BDT 0.23 in 2023, signifying a period of significantly lower profitability, which was probably due to higher provisions and operating difficulties. But 2024 was a good year with EPS at BDT 0.72, the highest in the period, which was a result of enhanced operational efficiency and </w:t>
      </w:r>
      <w:proofErr w:type="spellStart"/>
      <w:r w:rsidRPr="00F6197F">
        <w:rPr>
          <w:rFonts w:ascii="Arial" w:eastAsia="Times New Roman" w:hAnsi="Arial" w:cs="Arial"/>
          <w:color w:val="000000" w:themeColor="text1"/>
          <w:sz w:val="24"/>
          <w:szCs w:val="24"/>
        </w:rPr>
        <w:t>favourable</w:t>
      </w:r>
      <w:proofErr w:type="spellEnd"/>
      <w:r w:rsidRPr="00F6197F">
        <w:rPr>
          <w:rFonts w:ascii="Arial" w:eastAsia="Times New Roman" w:hAnsi="Arial" w:cs="Arial"/>
          <w:color w:val="000000" w:themeColor="text1"/>
          <w:sz w:val="24"/>
          <w:szCs w:val="24"/>
        </w:rPr>
        <w:t xml:space="preserve"> provision reversals. There is a slight drop to BDT 0.61 in 2025, indicating a leveling off from the peak. Investors should consider the factors behind these movements, such as changes in revenue and expenses, and provision requirements. It will be critical for maintaining disciplined capital allocation and stable earnings performance to retain investor confidence and long-term shareholder value.</w:t>
      </w:r>
    </w:p>
    <w:p w14:paraId="3D66D77D"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Net Asset Value (NAV) per Share</w:t>
      </w:r>
    </w:p>
    <w:p w14:paraId="65C3A100" w14:textId="77777777" w:rsidR="00F6197F" w:rsidRPr="00F6197F"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Net Asset Value per Share is the value of the company's equity per outstanding share. It is a net asset backing per share on the balance sheet.</w:t>
      </w:r>
    </w:p>
    <w:p w14:paraId="2DF6FDA7" w14:textId="70AE51E1"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lastRenderedPageBreak/>
        <w:t>NAV per Share = Total Equity / Outstanding Shares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20503515" w14:textId="77777777" w:rsidTr="00B91C31">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209DC"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E112B71"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3BC64E4"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D776CAC"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990E742"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704DAF1"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2025</w:t>
            </w:r>
          </w:p>
        </w:tc>
      </w:tr>
      <w:tr w:rsidR="000E70CC" w:rsidRPr="000E70CC" w14:paraId="30D6CE9D" w14:textId="77777777" w:rsidTr="00B91C31">
        <w:trPr>
          <w:trHeight w:val="60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0111ED3"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NAV per Share (BDT)</w:t>
            </w:r>
          </w:p>
        </w:tc>
        <w:tc>
          <w:tcPr>
            <w:tcW w:w="1040" w:type="dxa"/>
            <w:tcBorders>
              <w:top w:val="nil"/>
              <w:left w:val="nil"/>
              <w:bottom w:val="single" w:sz="4" w:space="0" w:color="auto"/>
              <w:right w:val="single" w:sz="4" w:space="0" w:color="auto"/>
            </w:tcBorders>
            <w:shd w:val="clear" w:color="auto" w:fill="auto"/>
            <w:vAlign w:val="center"/>
            <w:hideMark/>
          </w:tcPr>
          <w:p w14:paraId="6BD86755"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12.73</w:t>
            </w:r>
          </w:p>
        </w:tc>
        <w:tc>
          <w:tcPr>
            <w:tcW w:w="1040" w:type="dxa"/>
            <w:tcBorders>
              <w:top w:val="nil"/>
              <w:left w:val="nil"/>
              <w:bottom w:val="single" w:sz="4" w:space="0" w:color="auto"/>
              <w:right w:val="single" w:sz="4" w:space="0" w:color="auto"/>
            </w:tcBorders>
            <w:shd w:val="clear" w:color="auto" w:fill="auto"/>
            <w:vAlign w:val="center"/>
            <w:hideMark/>
          </w:tcPr>
          <w:p w14:paraId="68010A2F"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12.75</w:t>
            </w:r>
          </w:p>
        </w:tc>
        <w:tc>
          <w:tcPr>
            <w:tcW w:w="1040" w:type="dxa"/>
            <w:tcBorders>
              <w:top w:val="nil"/>
              <w:left w:val="nil"/>
              <w:bottom w:val="single" w:sz="4" w:space="0" w:color="auto"/>
              <w:right w:val="single" w:sz="4" w:space="0" w:color="auto"/>
            </w:tcBorders>
            <w:shd w:val="clear" w:color="auto" w:fill="auto"/>
            <w:vAlign w:val="center"/>
            <w:hideMark/>
          </w:tcPr>
          <w:p w14:paraId="0AF092E8"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11.9</w:t>
            </w:r>
          </w:p>
        </w:tc>
        <w:tc>
          <w:tcPr>
            <w:tcW w:w="1040" w:type="dxa"/>
            <w:tcBorders>
              <w:top w:val="nil"/>
              <w:left w:val="nil"/>
              <w:bottom w:val="single" w:sz="4" w:space="0" w:color="auto"/>
              <w:right w:val="single" w:sz="4" w:space="0" w:color="auto"/>
            </w:tcBorders>
            <w:shd w:val="clear" w:color="auto" w:fill="auto"/>
            <w:vAlign w:val="center"/>
            <w:hideMark/>
          </w:tcPr>
          <w:p w14:paraId="4A407BFD"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11.54</w:t>
            </w:r>
          </w:p>
        </w:tc>
        <w:tc>
          <w:tcPr>
            <w:tcW w:w="1040" w:type="dxa"/>
            <w:tcBorders>
              <w:top w:val="nil"/>
              <w:left w:val="nil"/>
              <w:bottom w:val="single" w:sz="4" w:space="0" w:color="auto"/>
              <w:right w:val="single" w:sz="4" w:space="0" w:color="auto"/>
            </w:tcBorders>
            <w:shd w:val="clear" w:color="auto" w:fill="auto"/>
            <w:vAlign w:val="center"/>
            <w:hideMark/>
          </w:tcPr>
          <w:p w14:paraId="26E16B1C"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11.65</w:t>
            </w:r>
          </w:p>
        </w:tc>
      </w:tr>
    </w:tbl>
    <w:p w14:paraId="438C099C" w14:textId="22B65044" w:rsidR="00AA3641"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The NAV per share has been moving up and down during the last five years. However, it has been quite stable since 2021 and rose marginally from BDT 12.73 to BDT 12.75 in 2022. But in 2023, it fell to BDT 11.90, mainly because of the lower profitability and the net profit was less than the dividend payments. The company's strong profitability was unable to offset the decline, reaching BDT 11.54 in 2024 due to its decision to provide a 10% stock dividend, thereby increasing the number of outstanding shares. In 2025, the slight improvement to BDT 11.65 is due to better retained earnings, which are partially offset by cash dividend payments. The pattern indicates that the company has made profit, but the shareholder dilution due to stock dividend and dividend payment has not given enough room to expand</w:t>
      </w:r>
      <w:r w:rsidR="00AA3641" w:rsidRPr="00AA3641">
        <w:rPr>
          <w:rFonts w:ascii="Arial" w:eastAsia="Times New Roman" w:hAnsi="Arial" w:cs="Arial"/>
          <w:color w:val="000000" w:themeColor="text1"/>
          <w:sz w:val="24"/>
          <w:szCs w:val="24"/>
        </w:rPr>
        <w:t xml:space="preserve"> the book value per share growth.</w:t>
      </w:r>
    </w:p>
    <w:p w14:paraId="793BA4BE" w14:textId="77777777" w:rsidR="00AA3641" w:rsidRDefault="00AA3641" w:rsidP="009F365A">
      <w:pPr>
        <w:shd w:val="clear" w:color="auto" w:fill="FFFFFF"/>
        <w:spacing w:before="240" w:after="240" w:line="360" w:lineRule="auto"/>
        <w:jc w:val="both"/>
        <w:rPr>
          <w:rFonts w:ascii="Arial" w:eastAsia="Times New Roman" w:hAnsi="Arial" w:cs="Arial"/>
          <w:color w:val="000000" w:themeColor="text1"/>
          <w:sz w:val="24"/>
          <w:szCs w:val="24"/>
        </w:rPr>
      </w:pPr>
    </w:p>
    <w:p w14:paraId="5A6D9192" w14:textId="64E6B323" w:rsidR="00C97B39" w:rsidRPr="001B7032" w:rsidRDefault="00C97B39" w:rsidP="009F365A">
      <w:pPr>
        <w:pStyle w:val="Heading3"/>
        <w:spacing w:line="360" w:lineRule="auto"/>
        <w:rPr>
          <w:rFonts w:ascii="Arial" w:hAnsi="Arial" w:cs="Arial"/>
          <w:b/>
          <w:bCs/>
        </w:rPr>
      </w:pPr>
      <w:bookmarkStart w:id="28" w:name="_Toc235653222"/>
      <w:r w:rsidRPr="001B7032">
        <w:rPr>
          <w:rStyle w:val="Heading3Char"/>
          <w:rFonts w:ascii="Arial" w:hAnsi="Arial" w:cs="Arial"/>
          <w:b/>
          <w:bCs/>
        </w:rPr>
        <w:t>Profitability Ratios Analysis</w:t>
      </w:r>
      <w:bookmarkEnd w:id="28"/>
    </w:p>
    <w:p w14:paraId="387677FD"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Return on Assets (ROA)</w:t>
      </w:r>
    </w:p>
    <w:p w14:paraId="51D302CE" w14:textId="77777777" w:rsidR="00F6197F" w:rsidRPr="00F6197F"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Return on Assets (ROA) is a ratio that indicates the efficiency of a company's overall asset base in creating profit. It is one of the important indicators of the efficiency of capital. The higher the ROA, the more efficient the use of the assets.</w:t>
      </w:r>
    </w:p>
    <w:p w14:paraId="187F2808" w14:textId="23699C7E"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ROA = Net Income / Average Total Assets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22FBCE7A" w14:textId="77777777" w:rsidTr="00B91C31">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7FB3F"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F4E9B24"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5A2AC90"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CC2ED26"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D10A6AB"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2D6BC20"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2025</w:t>
            </w:r>
          </w:p>
        </w:tc>
      </w:tr>
      <w:tr w:rsidR="000E70CC" w:rsidRPr="000E70CC" w14:paraId="55064214" w14:textId="77777777" w:rsidTr="00B91C31">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12CD04C"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ROA</w:t>
            </w:r>
          </w:p>
        </w:tc>
        <w:tc>
          <w:tcPr>
            <w:tcW w:w="1040" w:type="dxa"/>
            <w:tcBorders>
              <w:top w:val="nil"/>
              <w:left w:val="nil"/>
              <w:bottom w:val="single" w:sz="4" w:space="0" w:color="auto"/>
              <w:right w:val="single" w:sz="4" w:space="0" w:color="auto"/>
            </w:tcBorders>
            <w:shd w:val="clear" w:color="auto" w:fill="auto"/>
            <w:vAlign w:val="center"/>
            <w:hideMark/>
          </w:tcPr>
          <w:p w14:paraId="1F3FD35F"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1.69%</w:t>
            </w:r>
          </w:p>
        </w:tc>
        <w:tc>
          <w:tcPr>
            <w:tcW w:w="1040" w:type="dxa"/>
            <w:tcBorders>
              <w:top w:val="nil"/>
              <w:left w:val="nil"/>
              <w:bottom w:val="single" w:sz="4" w:space="0" w:color="auto"/>
              <w:right w:val="single" w:sz="4" w:space="0" w:color="auto"/>
            </w:tcBorders>
            <w:shd w:val="clear" w:color="auto" w:fill="auto"/>
            <w:vAlign w:val="center"/>
            <w:hideMark/>
          </w:tcPr>
          <w:p w14:paraId="6E9C9C3B"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1.23%</w:t>
            </w:r>
          </w:p>
        </w:tc>
        <w:tc>
          <w:tcPr>
            <w:tcW w:w="1040" w:type="dxa"/>
            <w:tcBorders>
              <w:top w:val="nil"/>
              <w:left w:val="nil"/>
              <w:bottom w:val="single" w:sz="4" w:space="0" w:color="auto"/>
              <w:right w:val="single" w:sz="4" w:space="0" w:color="auto"/>
            </w:tcBorders>
            <w:shd w:val="clear" w:color="auto" w:fill="auto"/>
            <w:vAlign w:val="center"/>
            <w:hideMark/>
          </w:tcPr>
          <w:p w14:paraId="09227088"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0.47%</w:t>
            </w:r>
          </w:p>
        </w:tc>
        <w:tc>
          <w:tcPr>
            <w:tcW w:w="1040" w:type="dxa"/>
            <w:tcBorders>
              <w:top w:val="nil"/>
              <w:left w:val="nil"/>
              <w:bottom w:val="single" w:sz="4" w:space="0" w:color="auto"/>
              <w:right w:val="single" w:sz="4" w:space="0" w:color="auto"/>
            </w:tcBorders>
            <w:shd w:val="clear" w:color="auto" w:fill="auto"/>
            <w:vAlign w:val="center"/>
            <w:hideMark/>
          </w:tcPr>
          <w:p w14:paraId="0943D6DE"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1.48%</w:t>
            </w:r>
          </w:p>
        </w:tc>
        <w:tc>
          <w:tcPr>
            <w:tcW w:w="1040" w:type="dxa"/>
            <w:tcBorders>
              <w:top w:val="nil"/>
              <w:left w:val="nil"/>
              <w:bottom w:val="single" w:sz="4" w:space="0" w:color="auto"/>
              <w:right w:val="single" w:sz="4" w:space="0" w:color="auto"/>
            </w:tcBorders>
            <w:shd w:val="clear" w:color="auto" w:fill="auto"/>
            <w:vAlign w:val="center"/>
            <w:hideMark/>
          </w:tcPr>
          <w:p w14:paraId="0A96C4BD"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1.12%</w:t>
            </w:r>
          </w:p>
        </w:tc>
      </w:tr>
    </w:tbl>
    <w:p w14:paraId="59904078" w14:textId="51BEEF29" w:rsidR="00AA3641"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 xml:space="preserve">The ROA trend shows high volatility, moving from 1.69% in 2021 to a low of 0.47% in 2023, followed by a recovery to 1.48% in 2024 and a subsequent decline to 1.12% in 2025. This pattern suggests an inconsistent management of the asset base and of the </w:t>
      </w:r>
      <w:r w:rsidRPr="00F6197F">
        <w:rPr>
          <w:rFonts w:ascii="Arial" w:eastAsia="Times New Roman" w:hAnsi="Arial" w:cs="Arial"/>
          <w:color w:val="000000" w:themeColor="text1"/>
          <w:sz w:val="24"/>
          <w:szCs w:val="24"/>
        </w:rPr>
        <w:lastRenderedPageBreak/>
        <w:t>investment productivity of the company. The lack of peak efficiency indicates there are problems with the profitable deployment of assets, whether that's because of operational problems or changes in revenue mix or an underperforming investment base. More stable and effective working capital and fixed asset usage will be needed if they are to maintain their improved ROA.</w:t>
      </w:r>
    </w:p>
    <w:p w14:paraId="24E9D4E2" w14:textId="77777777" w:rsidR="00F6197F"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p>
    <w:p w14:paraId="3FAC6C9D" w14:textId="34E1E80E"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Net Profit Margin</w:t>
      </w:r>
    </w:p>
    <w:p w14:paraId="73C68CAA" w14:textId="77777777" w:rsidR="00F6197F" w:rsidRPr="00F6197F"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Net profit margin is the percentage of revenues that remain as profit after all expenses, taxes and interest have been paid. It is determined by dividing the net income with total income. This percentage indicates the effectiveness of the management in turning sales into the bottom line.</w:t>
      </w:r>
    </w:p>
    <w:p w14:paraId="3C070BF2" w14:textId="7F068984"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Net Profit Margin = Net Profit / Revenue × 100</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5BBC053D" w14:textId="77777777" w:rsidTr="00B91C31">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8CC43"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9B0F072"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405118C"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17EC9F3"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81661EC"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DB74AC3"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2025</w:t>
            </w:r>
          </w:p>
        </w:tc>
      </w:tr>
      <w:tr w:rsidR="000E70CC" w:rsidRPr="000E70CC" w14:paraId="626539AF" w14:textId="77777777" w:rsidTr="00B91C31">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721CC4D"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Net Profit Margin</w:t>
            </w:r>
          </w:p>
        </w:tc>
        <w:tc>
          <w:tcPr>
            <w:tcW w:w="1040" w:type="dxa"/>
            <w:tcBorders>
              <w:top w:val="nil"/>
              <w:left w:val="nil"/>
              <w:bottom w:val="single" w:sz="4" w:space="0" w:color="auto"/>
              <w:right w:val="single" w:sz="4" w:space="0" w:color="auto"/>
            </w:tcBorders>
            <w:shd w:val="clear" w:color="auto" w:fill="auto"/>
            <w:vAlign w:val="center"/>
            <w:hideMark/>
          </w:tcPr>
          <w:p w14:paraId="46A78954"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19.14%</w:t>
            </w:r>
          </w:p>
        </w:tc>
        <w:tc>
          <w:tcPr>
            <w:tcW w:w="1040" w:type="dxa"/>
            <w:tcBorders>
              <w:top w:val="nil"/>
              <w:left w:val="nil"/>
              <w:bottom w:val="single" w:sz="4" w:space="0" w:color="auto"/>
              <w:right w:val="single" w:sz="4" w:space="0" w:color="auto"/>
            </w:tcBorders>
            <w:shd w:val="clear" w:color="auto" w:fill="auto"/>
            <w:vAlign w:val="center"/>
            <w:hideMark/>
          </w:tcPr>
          <w:p w14:paraId="244C2FD0"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13.81%</w:t>
            </w:r>
          </w:p>
        </w:tc>
        <w:tc>
          <w:tcPr>
            <w:tcW w:w="1040" w:type="dxa"/>
            <w:tcBorders>
              <w:top w:val="nil"/>
              <w:left w:val="nil"/>
              <w:bottom w:val="single" w:sz="4" w:space="0" w:color="auto"/>
              <w:right w:val="single" w:sz="4" w:space="0" w:color="auto"/>
            </w:tcBorders>
            <w:shd w:val="clear" w:color="auto" w:fill="auto"/>
            <w:vAlign w:val="center"/>
            <w:hideMark/>
          </w:tcPr>
          <w:p w14:paraId="19D2FF4E"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5.15%</w:t>
            </w:r>
          </w:p>
        </w:tc>
        <w:tc>
          <w:tcPr>
            <w:tcW w:w="1040" w:type="dxa"/>
            <w:tcBorders>
              <w:top w:val="nil"/>
              <w:left w:val="nil"/>
              <w:bottom w:val="single" w:sz="4" w:space="0" w:color="auto"/>
              <w:right w:val="single" w:sz="4" w:space="0" w:color="auto"/>
            </w:tcBorders>
            <w:shd w:val="clear" w:color="auto" w:fill="auto"/>
            <w:vAlign w:val="center"/>
            <w:hideMark/>
          </w:tcPr>
          <w:p w14:paraId="4E99046A"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13.35%</w:t>
            </w:r>
          </w:p>
        </w:tc>
        <w:tc>
          <w:tcPr>
            <w:tcW w:w="1040" w:type="dxa"/>
            <w:tcBorders>
              <w:top w:val="nil"/>
              <w:left w:val="nil"/>
              <w:bottom w:val="single" w:sz="4" w:space="0" w:color="auto"/>
              <w:right w:val="single" w:sz="4" w:space="0" w:color="auto"/>
            </w:tcBorders>
            <w:shd w:val="clear" w:color="auto" w:fill="auto"/>
            <w:vAlign w:val="center"/>
            <w:hideMark/>
          </w:tcPr>
          <w:p w14:paraId="5F4B2F5F"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10.58%</w:t>
            </w:r>
          </w:p>
        </w:tc>
      </w:tr>
    </w:tbl>
    <w:p w14:paraId="3F3FFA45" w14:textId="7E5F2148" w:rsidR="00AF1080" w:rsidRDefault="00F6197F" w:rsidP="009F365A">
      <w:pPr>
        <w:spacing w:before="480" w:after="48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 xml:space="preserve">There was a high level of volatility in the net profit margin over the 5-year period. In 2022, the margin was 13.81% and in 2023 it was 5.15%, which shows that profitability was significantly reduced. The improvement to 13.35% in 2024 was mainly due to better operational efficiency and </w:t>
      </w:r>
      <w:proofErr w:type="spellStart"/>
      <w:r w:rsidRPr="00F6197F">
        <w:rPr>
          <w:rFonts w:ascii="Arial" w:eastAsia="Times New Roman" w:hAnsi="Arial" w:cs="Arial"/>
          <w:color w:val="000000" w:themeColor="text1"/>
          <w:sz w:val="24"/>
          <w:szCs w:val="24"/>
        </w:rPr>
        <w:t>favourable</w:t>
      </w:r>
      <w:proofErr w:type="spellEnd"/>
      <w:r w:rsidRPr="00F6197F">
        <w:rPr>
          <w:rFonts w:ascii="Arial" w:eastAsia="Times New Roman" w:hAnsi="Arial" w:cs="Arial"/>
          <w:color w:val="000000" w:themeColor="text1"/>
          <w:sz w:val="24"/>
          <w:szCs w:val="24"/>
        </w:rPr>
        <w:t xml:space="preserve"> provision reversals. But the drop from 12.49% to 10.58% in 2025 indicates a challenge in profitability. This pattern suggests high earnings volatility and that management should review their cost structure, pricing policies and provision policies to identify strategies to reduce volatility in future profitability.</w:t>
      </w:r>
    </w:p>
    <w:p w14:paraId="1EDA77F0" w14:textId="5F400904" w:rsidR="00C97B39" w:rsidRPr="000E70CC" w:rsidRDefault="00C97B39" w:rsidP="00AF1080">
      <w:pPr>
        <w:spacing w:before="480" w:after="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Operating Profit Margin</w:t>
      </w:r>
    </w:p>
    <w:p w14:paraId="3CCD6A02" w14:textId="2BE8D3A4" w:rsidR="00AA3641" w:rsidRPr="00AA3641" w:rsidRDefault="00AA3641" w:rsidP="009F365A">
      <w:pPr>
        <w:shd w:val="clear" w:color="auto" w:fill="FFFFFF"/>
        <w:spacing w:before="240" w:after="240" w:line="360" w:lineRule="auto"/>
        <w:jc w:val="both"/>
        <w:rPr>
          <w:rFonts w:ascii="Arial" w:eastAsia="Times New Roman" w:hAnsi="Arial" w:cs="Arial"/>
          <w:color w:val="000000" w:themeColor="text1"/>
          <w:sz w:val="24"/>
          <w:szCs w:val="24"/>
        </w:rPr>
      </w:pPr>
      <w:r w:rsidRPr="00AA3641">
        <w:rPr>
          <w:rFonts w:ascii="Arial" w:eastAsia="Times New Roman" w:hAnsi="Arial" w:cs="Arial"/>
          <w:color w:val="000000" w:themeColor="text1"/>
          <w:sz w:val="24"/>
          <w:szCs w:val="24"/>
        </w:rPr>
        <w:lastRenderedPageBreak/>
        <w:t xml:space="preserve">The operating profit margin </w:t>
      </w:r>
      <w:r w:rsidR="00F6197F" w:rsidRPr="00F6197F">
        <w:rPr>
          <w:rFonts w:ascii="Arial" w:eastAsia="Times New Roman" w:hAnsi="Arial" w:cs="Arial"/>
          <w:color w:val="000000" w:themeColor="text1"/>
          <w:sz w:val="24"/>
          <w:szCs w:val="24"/>
        </w:rPr>
        <w:t>indicates the proportion of operating income to revenue that remains after deducting all operating expenses. It is a gauge of the efficiency of the company's main business functions.</w:t>
      </w:r>
    </w:p>
    <w:p w14:paraId="015B7D78" w14:textId="3BC06DF3"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Operating Profit Margin = EBIT / Revenue × 100</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5C5CF542" w14:textId="77777777" w:rsidTr="00B91C31">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4EFD"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79503B8"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ABC9271"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F4AE8C6"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7D0A0BD"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9B33DF7"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2025</w:t>
            </w:r>
          </w:p>
        </w:tc>
      </w:tr>
      <w:tr w:rsidR="000E70CC" w:rsidRPr="000E70CC" w14:paraId="1FB56AE3" w14:textId="77777777" w:rsidTr="00B91C31">
        <w:trPr>
          <w:trHeight w:val="60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539DE95"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Operating Profit Margin</w:t>
            </w:r>
          </w:p>
        </w:tc>
        <w:tc>
          <w:tcPr>
            <w:tcW w:w="1040" w:type="dxa"/>
            <w:tcBorders>
              <w:top w:val="nil"/>
              <w:left w:val="nil"/>
              <w:bottom w:val="single" w:sz="4" w:space="0" w:color="auto"/>
              <w:right w:val="single" w:sz="4" w:space="0" w:color="auto"/>
            </w:tcBorders>
            <w:shd w:val="clear" w:color="auto" w:fill="auto"/>
            <w:vAlign w:val="center"/>
            <w:hideMark/>
          </w:tcPr>
          <w:p w14:paraId="481CF2C3"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33.36%</w:t>
            </w:r>
          </w:p>
        </w:tc>
        <w:tc>
          <w:tcPr>
            <w:tcW w:w="1040" w:type="dxa"/>
            <w:tcBorders>
              <w:top w:val="nil"/>
              <w:left w:val="nil"/>
              <w:bottom w:val="single" w:sz="4" w:space="0" w:color="auto"/>
              <w:right w:val="single" w:sz="4" w:space="0" w:color="auto"/>
            </w:tcBorders>
            <w:shd w:val="clear" w:color="auto" w:fill="auto"/>
            <w:vAlign w:val="center"/>
            <w:hideMark/>
          </w:tcPr>
          <w:p w14:paraId="199A0DC4"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31.70%</w:t>
            </w:r>
          </w:p>
        </w:tc>
        <w:tc>
          <w:tcPr>
            <w:tcW w:w="1040" w:type="dxa"/>
            <w:tcBorders>
              <w:top w:val="nil"/>
              <w:left w:val="nil"/>
              <w:bottom w:val="single" w:sz="4" w:space="0" w:color="auto"/>
              <w:right w:val="single" w:sz="4" w:space="0" w:color="auto"/>
            </w:tcBorders>
            <w:shd w:val="clear" w:color="auto" w:fill="auto"/>
            <w:vAlign w:val="center"/>
            <w:hideMark/>
          </w:tcPr>
          <w:p w14:paraId="460ED365"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16.18%</w:t>
            </w:r>
          </w:p>
        </w:tc>
        <w:tc>
          <w:tcPr>
            <w:tcW w:w="1040" w:type="dxa"/>
            <w:tcBorders>
              <w:top w:val="nil"/>
              <w:left w:val="nil"/>
              <w:bottom w:val="single" w:sz="4" w:space="0" w:color="auto"/>
              <w:right w:val="single" w:sz="4" w:space="0" w:color="auto"/>
            </w:tcBorders>
            <w:shd w:val="clear" w:color="auto" w:fill="auto"/>
            <w:vAlign w:val="center"/>
            <w:hideMark/>
          </w:tcPr>
          <w:p w14:paraId="41D0B690"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28.09%</w:t>
            </w:r>
          </w:p>
        </w:tc>
        <w:tc>
          <w:tcPr>
            <w:tcW w:w="1040" w:type="dxa"/>
            <w:tcBorders>
              <w:top w:val="nil"/>
              <w:left w:val="nil"/>
              <w:bottom w:val="single" w:sz="4" w:space="0" w:color="auto"/>
              <w:right w:val="single" w:sz="4" w:space="0" w:color="auto"/>
            </w:tcBorders>
            <w:shd w:val="clear" w:color="auto" w:fill="auto"/>
            <w:vAlign w:val="center"/>
            <w:hideMark/>
          </w:tcPr>
          <w:p w14:paraId="7EF8893A"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23.83%</w:t>
            </w:r>
          </w:p>
        </w:tc>
      </w:tr>
    </w:tbl>
    <w:p w14:paraId="2C5902C4" w14:textId="1A0868FD" w:rsidR="00F6197F" w:rsidRPr="000E70CC" w:rsidRDefault="00F6197F" w:rsidP="009F365A">
      <w:pPr>
        <w:spacing w:before="480" w:after="48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The company's operating profitability dropped drastically from 33.36% in 2021 to 16.18% in 2023, after achieving a high level of profitability in 2022 (31.70%). This could indicate an increase in operating expenses or a squeeze on interest income. The recovery in 2024 was positive (+28.09%), reflecting increased operational efficiency. The drop to 23.83% in 2025, however, indicates ongoing difficulties. There will need to be ongoing discipline in operating expense management and the leverage of operations to maintain long-term profitability.</w:t>
      </w:r>
    </w:p>
    <w:p w14:paraId="6CA9F389" w14:textId="77777777" w:rsidR="00C97B39" w:rsidRPr="000E70CC" w:rsidRDefault="00C97B39" w:rsidP="00AF1080">
      <w:pPr>
        <w:spacing w:before="480" w:after="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Return on Common Equity (ROCE)</w:t>
      </w:r>
    </w:p>
    <w:p w14:paraId="096310A0" w14:textId="77777777" w:rsidR="00F6197F" w:rsidRPr="00F6197F" w:rsidRDefault="00AA3641" w:rsidP="009F365A">
      <w:pPr>
        <w:shd w:val="clear" w:color="auto" w:fill="FFFFFF"/>
        <w:spacing w:before="240" w:after="240" w:line="360" w:lineRule="auto"/>
        <w:jc w:val="both"/>
        <w:rPr>
          <w:rFonts w:ascii="Arial" w:eastAsia="Times New Roman" w:hAnsi="Arial" w:cs="Arial"/>
          <w:color w:val="000000" w:themeColor="text1"/>
          <w:sz w:val="24"/>
          <w:szCs w:val="24"/>
        </w:rPr>
      </w:pPr>
      <w:r w:rsidRPr="00AA3641">
        <w:rPr>
          <w:rFonts w:ascii="Arial" w:eastAsia="Times New Roman" w:hAnsi="Arial" w:cs="Arial"/>
          <w:color w:val="000000" w:themeColor="text1"/>
          <w:sz w:val="24"/>
          <w:szCs w:val="24"/>
        </w:rPr>
        <w:t xml:space="preserve">Return on Common Equity (ROCE) </w:t>
      </w:r>
      <w:r w:rsidR="00F6197F" w:rsidRPr="00F6197F">
        <w:rPr>
          <w:rFonts w:ascii="Arial" w:eastAsia="Times New Roman" w:hAnsi="Arial" w:cs="Arial"/>
          <w:color w:val="000000" w:themeColor="text1"/>
          <w:sz w:val="24"/>
          <w:szCs w:val="24"/>
        </w:rPr>
        <w:t>is the rate of return on the capital invested by the common shareholders. It indicates the profitability of a company from its capital base.</w:t>
      </w:r>
    </w:p>
    <w:p w14:paraId="06A2DF3F" w14:textId="5D7AF84A"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ROCE = (Net Income - Preferred Dividends) / Average Common Shareholders' Equity</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6CD879F6" w14:textId="77777777" w:rsidTr="00B91C31">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D39AE"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48A7877"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F3C462B"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65CD0C4"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1C1AD51"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E22EC86"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2025</w:t>
            </w:r>
          </w:p>
        </w:tc>
      </w:tr>
      <w:tr w:rsidR="000E70CC" w:rsidRPr="000E70CC" w14:paraId="4B8CA55D" w14:textId="77777777" w:rsidTr="00B91C31">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7CBD5CB"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ROCE</w:t>
            </w:r>
          </w:p>
        </w:tc>
        <w:tc>
          <w:tcPr>
            <w:tcW w:w="1040" w:type="dxa"/>
            <w:tcBorders>
              <w:top w:val="nil"/>
              <w:left w:val="nil"/>
              <w:bottom w:val="single" w:sz="4" w:space="0" w:color="auto"/>
              <w:right w:val="single" w:sz="4" w:space="0" w:color="auto"/>
            </w:tcBorders>
            <w:shd w:val="clear" w:color="auto" w:fill="auto"/>
            <w:vAlign w:val="center"/>
            <w:hideMark/>
          </w:tcPr>
          <w:p w14:paraId="71D5974C"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4.60%</w:t>
            </w:r>
          </w:p>
        </w:tc>
        <w:tc>
          <w:tcPr>
            <w:tcW w:w="1040" w:type="dxa"/>
            <w:tcBorders>
              <w:top w:val="nil"/>
              <w:left w:val="nil"/>
              <w:bottom w:val="single" w:sz="4" w:space="0" w:color="auto"/>
              <w:right w:val="single" w:sz="4" w:space="0" w:color="auto"/>
            </w:tcBorders>
            <w:shd w:val="clear" w:color="auto" w:fill="auto"/>
            <w:vAlign w:val="center"/>
            <w:hideMark/>
          </w:tcPr>
          <w:p w14:paraId="2A1A348C"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4.07%</w:t>
            </w:r>
          </w:p>
        </w:tc>
        <w:tc>
          <w:tcPr>
            <w:tcW w:w="1040" w:type="dxa"/>
            <w:tcBorders>
              <w:top w:val="nil"/>
              <w:left w:val="nil"/>
              <w:bottom w:val="single" w:sz="4" w:space="0" w:color="auto"/>
              <w:right w:val="single" w:sz="4" w:space="0" w:color="auto"/>
            </w:tcBorders>
            <w:shd w:val="clear" w:color="auto" w:fill="auto"/>
            <w:vAlign w:val="center"/>
            <w:hideMark/>
          </w:tcPr>
          <w:p w14:paraId="4A5EB51A"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1.95%</w:t>
            </w:r>
          </w:p>
        </w:tc>
        <w:tc>
          <w:tcPr>
            <w:tcW w:w="1040" w:type="dxa"/>
            <w:tcBorders>
              <w:top w:val="nil"/>
              <w:left w:val="nil"/>
              <w:bottom w:val="single" w:sz="4" w:space="0" w:color="auto"/>
              <w:right w:val="single" w:sz="4" w:space="0" w:color="auto"/>
            </w:tcBorders>
            <w:shd w:val="clear" w:color="auto" w:fill="auto"/>
            <w:vAlign w:val="center"/>
            <w:hideMark/>
          </w:tcPr>
          <w:p w14:paraId="2E5682E9"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6.26%</w:t>
            </w:r>
          </w:p>
        </w:tc>
        <w:tc>
          <w:tcPr>
            <w:tcW w:w="1040" w:type="dxa"/>
            <w:tcBorders>
              <w:top w:val="nil"/>
              <w:left w:val="nil"/>
              <w:bottom w:val="single" w:sz="4" w:space="0" w:color="auto"/>
              <w:right w:val="single" w:sz="4" w:space="0" w:color="auto"/>
            </w:tcBorders>
            <w:shd w:val="clear" w:color="auto" w:fill="auto"/>
            <w:vAlign w:val="center"/>
            <w:hideMark/>
          </w:tcPr>
          <w:p w14:paraId="47E8DDAA"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5.23%</w:t>
            </w:r>
          </w:p>
        </w:tc>
      </w:tr>
    </w:tbl>
    <w:p w14:paraId="037B846B" w14:textId="4D21856C" w:rsidR="00F6197F" w:rsidRPr="000E70CC" w:rsidRDefault="00F6197F" w:rsidP="009F365A">
      <w:pPr>
        <w:spacing w:before="480" w:after="48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 xml:space="preserve">The general trend shows high volatility, with a decline from 4.60% in 2021 to a low of 1.95% in 2023, followed by a recovery to 6.26% in 2024 and a moderation to 5.23% in 2025. This pattern suggests that the common shareholder returns are not consistent. Volatility indicates that the company's net income on its bottom line may have been </w:t>
      </w:r>
      <w:r w:rsidRPr="00F6197F">
        <w:rPr>
          <w:rFonts w:ascii="Arial" w:eastAsia="Times New Roman" w:hAnsi="Arial" w:cs="Arial"/>
          <w:color w:val="000000" w:themeColor="text1"/>
          <w:sz w:val="24"/>
          <w:szCs w:val="24"/>
        </w:rPr>
        <w:lastRenderedPageBreak/>
        <w:t>volatile or that it may have had volatile equity capital structure, such as retained earnings or new stock offerings. The company needs to ensure its net profit generation is more predictable and its equity base is managed more predictably if it is to create value for common investors.</w:t>
      </w:r>
    </w:p>
    <w:p w14:paraId="318E8CD3" w14:textId="77777777" w:rsidR="00C97B39" w:rsidRPr="000E70CC" w:rsidRDefault="00C97B39" w:rsidP="009F365A">
      <w:pPr>
        <w:spacing w:before="480" w:after="48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Return on Total Capital (ROTC)</w:t>
      </w:r>
    </w:p>
    <w:p w14:paraId="7124A558" w14:textId="77777777" w:rsidR="00F6197F" w:rsidRPr="00F6197F"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ROTC is a ratio that indicates a company's pre-tax return on all its long-term funding, debt and equity. It measures the efficiency of the overall capital structure in creating operating profit.</w:t>
      </w:r>
    </w:p>
    <w:p w14:paraId="2F286E65" w14:textId="40B7EAFB"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ROTC = EBIT / Average Total Capital</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6CFB0F72" w14:textId="77777777" w:rsidTr="00B91C31">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64FC1"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BBE6553"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241DC31"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3A94919"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0662350"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965AF19"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2025</w:t>
            </w:r>
          </w:p>
        </w:tc>
      </w:tr>
      <w:tr w:rsidR="000E70CC" w:rsidRPr="000E70CC" w14:paraId="3B414A2B" w14:textId="77777777" w:rsidTr="00B91C31">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68C7F8C" w14:textId="77777777" w:rsidR="00B91C31" w:rsidRPr="00B91C31" w:rsidRDefault="00B91C31" w:rsidP="009F365A">
            <w:pPr>
              <w:spacing w:after="0" w:line="360" w:lineRule="auto"/>
              <w:jc w:val="both"/>
              <w:rPr>
                <w:rFonts w:ascii="Arial" w:eastAsia="Times New Roman" w:hAnsi="Arial" w:cs="Arial"/>
                <w:b/>
                <w:bCs/>
                <w:color w:val="000000" w:themeColor="text1"/>
                <w:sz w:val="24"/>
                <w:szCs w:val="24"/>
                <w:lang w:val="en-US"/>
              </w:rPr>
            </w:pPr>
            <w:r w:rsidRPr="00B91C31">
              <w:rPr>
                <w:rFonts w:ascii="Arial" w:eastAsia="Times New Roman" w:hAnsi="Arial" w:cs="Arial"/>
                <w:b/>
                <w:bCs/>
                <w:color w:val="000000" w:themeColor="text1"/>
                <w:sz w:val="24"/>
                <w:szCs w:val="24"/>
              </w:rPr>
              <w:t>ROTC</w:t>
            </w:r>
          </w:p>
        </w:tc>
        <w:tc>
          <w:tcPr>
            <w:tcW w:w="1040" w:type="dxa"/>
            <w:tcBorders>
              <w:top w:val="nil"/>
              <w:left w:val="nil"/>
              <w:bottom w:val="single" w:sz="4" w:space="0" w:color="auto"/>
              <w:right w:val="single" w:sz="4" w:space="0" w:color="auto"/>
            </w:tcBorders>
            <w:shd w:val="clear" w:color="auto" w:fill="auto"/>
            <w:vAlign w:val="center"/>
            <w:hideMark/>
          </w:tcPr>
          <w:p w14:paraId="070616DF"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3.69%</w:t>
            </w:r>
          </w:p>
        </w:tc>
        <w:tc>
          <w:tcPr>
            <w:tcW w:w="1040" w:type="dxa"/>
            <w:tcBorders>
              <w:top w:val="nil"/>
              <w:left w:val="nil"/>
              <w:bottom w:val="single" w:sz="4" w:space="0" w:color="auto"/>
              <w:right w:val="single" w:sz="4" w:space="0" w:color="auto"/>
            </w:tcBorders>
            <w:shd w:val="clear" w:color="auto" w:fill="auto"/>
            <w:vAlign w:val="center"/>
            <w:hideMark/>
          </w:tcPr>
          <w:p w14:paraId="0FA829FA"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3.62%</w:t>
            </w:r>
          </w:p>
        </w:tc>
        <w:tc>
          <w:tcPr>
            <w:tcW w:w="1040" w:type="dxa"/>
            <w:tcBorders>
              <w:top w:val="nil"/>
              <w:left w:val="nil"/>
              <w:bottom w:val="single" w:sz="4" w:space="0" w:color="auto"/>
              <w:right w:val="single" w:sz="4" w:space="0" w:color="auto"/>
            </w:tcBorders>
            <w:shd w:val="clear" w:color="auto" w:fill="auto"/>
            <w:vAlign w:val="center"/>
            <w:hideMark/>
          </w:tcPr>
          <w:p w14:paraId="415F21CE"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2.40%</w:t>
            </w:r>
          </w:p>
        </w:tc>
        <w:tc>
          <w:tcPr>
            <w:tcW w:w="1040" w:type="dxa"/>
            <w:tcBorders>
              <w:top w:val="nil"/>
              <w:left w:val="nil"/>
              <w:bottom w:val="single" w:sz="4" w:space="0" w:color="auto"/>
              <w:right w:val="single" w:sz="4" w:space="0" w:color="auto"/>
            </w:tcBorders>
            <w:shd w:val="clear" w:color="auto" w:fill="auto"/>
            <w:vAlign w:val="center"/>
            <w:hideMark/>
          </w:tcPr>
          <w:p w14:paraId="79A0A856"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5.03%</w:t>
            </w:r>
          </w:p>
        </w:tc>
        <w:tc>
          <w:tcPr>
            <w:tcW w:w="1040" w:type="dxa"/>
            <w:tcBorders>
              <w:top w:val="nil"/>
              <w:left w:val="nil"/>
              <w:bottom w:val="single" w:sz="4" w:space="0" w:color="auto"/>
              <w:right w:val="single" w:sz="4" w:space="0" w:color="auto"/>
            </w:tcBorders>
            <w:shd w:val="clear" w:color="auto" w:fill="auto"/>
            <w:vAlign w:val="center"/>
            <w:hideMark/>
          </w:tcPr>
          <w:p w14:paraId="2366D68B" w14:textId="77777777" w:rsidR="00B91C31" w:rsidRPr="00B91C31" w:rsidRDefault="00B91C31" w:rsidP="009F365A">
            <w:pPr>
              <w:spacing w:after="0" w:line="360" w:lineRule="auto"/>
              <w:jc w:val="both"/>
              <w:rPr>
                <w:rFonts w:ascii="Arial" w:eastAsia="Times New Roman" w:hAnsi="Arial" w:cs="Arial"/>
                <w:color w:val="000000" w:themeColor="text1"/>
                <w:sz w:val="24"/>
                <w:szCs w:val="24"/>
                <w:lang w:val="en-US"/>
              </w:rPr>
            </w:pPr>
            <w:r w:rsidRPr="00B91C31">
              <w:rPr>
                <w:rFonts w:ascii="Arial" w:eastAsia="Times New Roman" w:hAnsi="Arial" w:cs="Arial"/>
                <w:color w:val="000000" w:themeColor="text1"/>
                <w:sz w:val="24"/>
                <w:szCs w:val="24"/>
              </w:rPr>
              <w:t>4.46%</w:t>
            </w:r>
          </w:p>
        </w:tc>
      </w:tr>
    </w:tbl>
    <w:p w14:paraId="2351500E" w14:textId="26868041" w:rsidR="00AA3641"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The ROTC trend exhibits high volatility, characterized by a decline from 3.69% in 2021 to 2.40% in 2023, followed by a recovery to 5.03% in 2024 and a decline to 4.46% in 2025. The pattern suggests that the Company's overall financial performance is not consistently effective in generating value. Management showed the ability to create high return on capital in 2024, but failed to repeat the performance in the core operating profit (EBIT) suggests volatility or difficulties in capital allocation efficiency. The company needs to have better consistency in both execution and strategic investment to create a sustainable shareholder value.</w:t>
      </w:r>
    </w:p>
    <w:p w14:paraId="10F2F4FD" w14:textId="77777777" w:rsidR="00F6197F" w:rsidRPr="000E70CC"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p>
    <w:p w14:paraId="1677860A" w14:textId="7DCDD89F" w:rsidR="00C97B39" w:rsidRPr="001B7032" w:rsidRDefault="00C97B39" w:rsidP="009F365A">
      <w:pPr>
        <w:pStyle w:val="Heading3"/>
        <w:spacing w:line="360" w:lineRule="auto"/>
        <w:rPr>
          <w:rFonts w:ascii="Arial" w:eastAsia="Times New Roman" w:hAnsi="Arial" w:cs="Arial"/>
          <w:b/>
          <w:bCs/>
        </w:rPr>
      </w:pPr>
      <w:bookmarkStart w:id="29" w:name="_Toc235653223"/>
      <w:r w:rsidRPr="001B7032">
        <w:rPr>
          <w:rFonts w:ascii="Arial" w:eastAsia="Times New Roman" w:hAnsi="Arial" w:cs="Arial"/>
          <w:b/>
          <w:bCs/>
        </w:rPr>
        <w:t>Efficiency Ratios Analysis</w:t>
      </w:r>
      <w:bookmarkEnd w:id="29"/>
    </w:p>
    <w:p w14:paraId="025DF678" w14:textId="77777777" w:rsidR="00C97B39" w:rsidRPr="000E70CC" w:rsidRDefault="00C97B39" w:rsidP="009F365A">
      <w:pPr>
        <w:spacing w:before="480" w:after="48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Asset Turnover Ratio</w:t>
      </w:r>
    </w:p>
    <w:p w14:paraId="409D597F" w14:textId="77777777" w:rsidR="00F6197F" w:rsidRPr="00F6197F"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The asset turnover ratio is a measure of how much revenue is produced for every dollar of assets. It measures the effectiveness of a company's assets as a source of its income.</w:t>
      </w:r>
    </w:p>
    <w:p w14:paraId="4503DAB3" w14:textId="38C62F92"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lastRenderedPageBreak/>
        <w:t>Asset Turnover Ratio = Total Revenue / Average Total Assets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0C0476ED"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D12DD"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B2955D8"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BCF03BB"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FCEE29F"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ED89E65"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74137C0"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2B5FED66" w14:textId="77777777" w:rsidTr="00CC04CC">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2532217"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Asset Turnover</w:t>
            </w:r>
          </w:p>
        </w:tc>
        <w:tc>
          <w:tcPr>
            <w:tcW w:w="1040" w:type="dxa"/>
            <w:tcBorders>
              <w:top w:val="nil"/>
              <w:left w:val="nil"/>
              <w:bottom w:val="single" w:sz="4" w:space="0" w:color="auto"/>
              <w:right w:val="single" w:sz="4" w:space="0" w:color="auto"/>
            </w:tcBorders>
            <w:shd w:val="clear" w:color="auto" w:fill="auto"/>
            <w:vAlign w:val="center"/>
            <w:hideMark/>
          </w:tcPr>
          <w:p w14:paraId="6A4F8479"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0.0884</w:t>
            </w:r>
          </w:p>
        </w:tc>
        <w:tc>
          <w:tcPr>
            <w:tcW w:w="1040" w:type="dxa"/>
            <w:tcBorders>
              <w:top w:val="nil"/>
              <w:left w:val="nil"/>
              <w:bottom w:val="single" w:sz="4" w:space="0" w:color="auto"/>
              <w:right w:val="single" w:sz="4" w:space="0" w:color="auto"/>
            </w:tcBorders>
            <w:shd w:val="clear" w:color="auto" w:fill="auto"/>
            <w:vAlign w:val="center"/>
            <w:hideMark/>
          </w:tcPr>
          <w:p w14:paraId="079A1809"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0.0956</w:t>
            </w:r>
          </w:p>
        </w:tc>
        <w:tc>
          <w:tcPr>
            <w:tcW w:w="1040" w:type="dxa"/>
            <w:tcBorders>
              <w:top w:val="nil"/>
              <w:left w:val="nil"/>
              <w:bottom w:val="single" w:sz="4" w:space="0" w:color="auto"/>
              <w:right w:val="single" w:sz="4" w:space="0" w:color="auto"/>
            </w:tcBorders>
            <w:shd w:val="clear" w:color="auto" w:fill="auto"/>
            <w:vAlign w:val="center"/>
            <w:hideMark/>
          </w:tcPr>
          <w:p w14:paraId="3D98D155"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0.1043</w:t>
            </w:r>
          </w:p>
        </w:tc>
        <w:tc>
          <w:tcPr>
            <w:tcW w:w="1040" w:type="dxa"/>
            <w:tcBorders>
              <w:top w:val="nil"/>
              <w:left w:val="nil"/>
              <w:bottom w:val="single" w:sz="4" w:space="0" w:color="auto"/>
              <w:right w:val="single" w:sz="4" w:space="0" w:color="auto"/>
            </w:tcBorders>
            <w:shd w:val="clear" w:color="auto" w:fill="auto"/>
            <w:vAlign w:val="center"/>
            <w:hideMark/>
          </w:tcPr>
          <w:p w14:paraId="2AA38F55"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0.1163</w:t>
            </w:r>
          </w:p>
        </w:tc>
        <w:tc>
          <w:tcPr>
            <w:tcW w:w="1040" w:type="dxa"/>
            <w:tcBorders>
              <w:top w:val="nil"/>
              <w:left w:val="nil"/>
              <w:bottom w:val="single" w:sz="4" w:space="0" w:color="auto"/>
              <w:right w:val="single" w:sz="4" w:space="0" w:color="auto"/>
            </w:tcBorders>
            <w:shd w:val="clear" w:color="auto" w:fill="auto"/>
            <w:vAlign w:val="center"/>
            <w:hideMark/>
          </w:tcPr>
          <w:p w14:paraId="5FBE8778"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0.1139</w:t>
            </w:r>
          </w:p>
        </w:tc>
      </w:tr>
    </w:tbl>
    <w:p w14:paraId="28EB6B01" w14:textId="2DF75BC5" w:rsidR="00C97B39" w:rsidRPr="000E70CC" w:rsidRDefault="00F6197F" w:rsidP="009F365A">
      <w:pPr>
        <w:shd w:val="clear" w:color="auto" w:fill="FFFFFF"/>
        <w:spacing w:before="240" w:after="240" w:line="360" w:lineRule="auto"/>
        <w:jc w:val="both"/>
        <w:rPr>
          <w:rFonts w:ascii="Arial" w:eastAsia="Times New Roman" w:hAnsi="Arial" w:cs="Arial"/>
          <w:color w:val="000000" w:themeColor="text1"/>
          <w:sz w:val="24"/>
          <w:szCs w:val="24"/>
        </w:rPr>
      </w:pPr>
      <w:r w:rsidRPr="00F6197F">
        <w:rPr>
          <w:rFonts w:ascii="Arial" w:eastAsia="Times New Roman" w:hAnsi="Arial" w:cs="Arial"/>
          <w:color w:val="000000" w:themeColor="text1"/>
          <w:sz w:val="24"/>
          <w:szCs w:val="24"/>
        </w:rPr>
        <w:t>The ratio has risen significantly and steadily from 0.0884 in 2021 to 0.1163 in 2024, reflecting the company's efficiency in its operations. Management has improved greatly in leveraging fixed and working capital to generate revenue.</w:t>
      </w:r>
      <w:r w:rsidR="00C97B39" w:rsidRPr="000E70CC">
        <w:rPr>
          <w:rFonts w:ascii="Arial" w:eastAsia="Times New Roman" w:hAnsi="Arial" w:cs="Arial"/>
          <w:color w:val="000000" w:themeColor="text1"/>
          <w:sz w:val="24"/>
          <w:szCs w:val="24"/>
        </w:rPr>
        <w:t xml:space="preserve"> However, the slight decline to 0.1139 in 2025 suggests potential limits to asset utilization efficiency or that asset growth is beginning to outpace revenue growth. To sustain improvement, the company must align capital expenditure more closely with revenue generation.</w:t>
      </w:r>
    </w:p>
    <w:p w14:paraId="6A74DF80"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Fixed Assets Turnover Ratio</w:t>
      </w:r>
    </w:p>
    <w:p w14:paraId="711E8332" w14:textId="77777777" w:rsidR="004F2015" w:rsidRPr="004F2015" w:rsidRDefault="004F2015" w:rsidP="009F365A">
      <w:pPr>
        <w:shd w:val="clear" w:color="auto" w:fill="FFFFFF"/>
        <w:spacing w:before="240" w:after="240" w:line="360" w:lineRule="auto"/>
        <w:jc w:val="both"/>
        <w:rPr>
          <w:rFonts w:ascii="Arial" w:eastAsia="Times New Roman" w:hAnsi="Arial" w:cs="Arial"/>
          <w:color w:val="000000" w:themeColor="text1"/>
          <w:sz w:val="24"/>
          <w:szCs w:val="24"/>
        </w:rPr>
      </w:pPr>
      <w:r w:rsidRPr="004F2015">
        <w:rPr>
          <w:rFonts w:ascii="Arial" w:eastAsia="Times New Roman" w:hAnsi="Arial" w:cs="Arial"/>
          <w:color w:val="000000" w:themeColor="text1"/>
          <w:sz w:val="24"/>
          <w:szCs w:val="24"/>
        </w:rPr>
        <w:t>Fixed assets turnover ratio indicates the efficiency of the use of a company's property, plant and equipment in generating revenue. The higher the ratio, the more productive these long-term investments are.</w:t>
      </w:r>
    </w:p>
    <w:p w14:paraId="7946D843" w14:textId="1CF1D92F"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Fixed Assets Turnover Ratio = Total Revenue / Net Fixed Assets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4D39A039"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67D85"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74A2431"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25B5393"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4A21E33"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A6D3E4E"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BFBFD85"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35807C12" w14:textId="77777777" w:rsidTr="00CC04CC">
        <w:trPr>
          <w:trHeight w:val="60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6C47A6E"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Fixed Assets Turnover</w:t>
            </w:r>
          </w:p>
        </w:tc>
        <w:tc>
          <w:tcPr>
            <w:tcW w:w="1040" w:type="dxa"/>
            <w:tcBorders>
              <w:top w:val="nil"/>
              <w:left w:val="nil"/>
              <w:bottom w:val="single" w:sz="4" w:space="0" w:color="auto"/>
              <w:right w:val="single" w:sz="4" w:space="0" w:color="auto"/>
            </w:tcBorders>
            <w:shd w:val="clear" w:color="auto" w:fill="auto"/>
            <w:vAlign w:val="center"/>
            <w:hideMark/>
          </w:tcPr>
          <w:p w14:paraId="2A99B1FE"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5.64</w:t>
            </w:r>
          </w:p>
        </w:tc>
        <w:tc>
          <w:tcPr>
            <w:tcW w:w="1040" w:type="dxa"/>
            <w:tcBorders>
              <w:top w:val="nil"/>
              <w:left w:val="nil"/>
              <w:bottom w:val="single" w:sz="4" w:space="0" w:color="auto"/>
              <w:right w:val="single" w:sz="4" w:space="0" w:color="auto"/>
            </w:tcBorders>
            <w:shd w:val="clear" w:color="auto" w:fill="auto"/>
            <w:vAlign w:val="center"/>
            <w:hideMark/>
          </w:tcPr>
          <w:p w14:paraId="654E238E"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7.26</w:t>
            </w:r>
          </w:p>
        </w:tc>
        <w:tc>
          <w:tcPr>
            <w:tcW w:w="1040" w:type="dxa"/>
            <w:tcBorders>
              <w:top w:val="nil"/>
              <w:left w:val="nil"/>
              <w:bottom w:val="single" w:sz="4" w:space="0" w:color="auto"/>
              <w:right w:val="single" w:sz="4" w:space="0" w:color="auto"/>
            </w:tcBorders>
            <w:shd w:val="clear" w:color="auto" w:fill="auto"/>
            <w:vAlign w:val="center"/>
            <w:hideMark/>
          </w:tcPr>
          <w:p w14:paraId="01B6E6F7"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8.87</w:t>
            </w:r>
          </w:p>
        </w:tc>
        <w:tc>
          <w:tcPr>
            <w:tcW w:w="1040" w:type="dxa"/>
            <w:tcBorders>
              <w:top w:val="nil"/>
              <w:left w:val="nil"/>
              <w:bottom w:val="single" w:sz="4" w:space="0" w:color="auto"/>
              <w:right w:val="single" w:sz="4" w:space="0" w:color="auto"/>
            </w:tcBorders>
            <w:shd w:val="clear" w:color="auto" w:fill="auto"/>
            <w:vAlign w:val="center"/>
            <w:hideMark/>
          </w:tcPr>
          <w:p w14:paraId="60C7462E"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15.95</w:t>
            </w:r>
          </w:p>
        </w:tc>
        <w:tc>
          <w:tcPr>
            <w:tcW w:w="1040" w:type="dxa"/>
            <w:tcBorders>
              <w:top w:val="nil"/>
              <w:left w:val="nil"/>
              <w:bottom w:val="single" w:sz="4" w:space="0" w:color="auto"/>
              <w:right w:val="single" w:sz="4" w:space="0" w:color="auto"/>
            </w:tcBorders>
            <w:shd w:val="clear" w:color="auto" w:fill="auto"/>
            <w:vAlign w:val="center"/>
            <w:hideMark/>
          </w:tcPr>
          <w:p w14:paraId="57DC323F"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16.25</w:t>
            </w:r>
          </w:p>
        </w:tc>
      </w:tr>
    </w:tbl>
    <w:p w14:paraId="226D201F" w14:textId="61B9BF93" w:rsidR="004F2015" w:rsidRPr="000E70CC" w:rsidRDefault="004F2015" w:rsidP="009F365A">
      <w:pPr>
        <w:shd w:val="clear" w:color="auto" w:fill="FFFFFF"/>
        <w:spacing w:before="240" w:after="240" w:line="360" w:lineRule="auto"/>
        <w:jc w:val="both"/>
        <w:rPr>
          <w:rFonts w:ascii="Arial" w:eastAsia="Times New Roman" w:hAnsi="Arial" w:cs="Arial"/>
          <w:color w:val="000000" w:themeColor="text1"/>
          <w:sz w:val="24"/>
          <w:szCs w:val="24"/>
        </w:rPr>
      </w:pPr>
      <w:r w:rsidRPr="004F2015">
        <w:rPr>
          <w:rFonts w:ascii="Arial" w:eastAsia="Times New Roman" w:hAnsi="Arial" w:cs="Arial"/>
          <w:color w:val="000000" w:themeColor="text1"/>
          <w:sz w:val="24"/>
          <w:szCs w:val="24"/>
        </w:rPr>
        <w:t>The trend is clearly upward, from 5.64 in 2021 to 16.25 in 2025, meaning that the company is increasingly effective in generating revenue from its fixed assets. This is an improvement, indicating that the company has either grown its revenue without proportionately growing its fixed asset base or it has streamlined its investments in fixed assets. The steady increase is a good sign of the management's value creation potential from l</w:t>
      </w:r>
      <w:r w:rsidR="00AF1080">
        <w:rPr>
          <w:rFonts w:ascii="Arial" w:eastAsia="Times New Roman" w:hAnsi="Arial" w:cs="Arial"/>
          <w:color w:val="000000" w:themeColor="text1"/>
          <w:sz w:val="24"/>
          <w:szCs w:val="24"/>
        </w:rPr>
        <w:t>o</w:t>
      </w:r>
      <w:r w:rsidRPr="004F2015">
        <w:rPr>
          <w:rFonts w:ascii="Arial" w:eastAsia="Times New Roman" w:hAnsi="Arial" w:cs="Arial"/>
          <w:color w:val="000000" w:themeColor="text1"/>
          <w:sz w:val="24"/>
          <w:szCs w:val="24"/>
        </w:rPr>
        <w:t>ng-term investments.</w:t>
      </w:r>
    </w:p>
    <w:p w14:paraId="3CC592ED"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Accounts Receivable Turnover Ratio</w:t>
      </w:r>
    </w:p>
    <w:p w14:paraId="169A8DBD" w14:textId="1B3AFFCE" w:rsidR="004F2015" w:rsidRPr="004F2015"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color w:val="000000" w:themeColor="text1"/>
          <w:sz w:val="24"/>
          <w:szCs w:val="24"/>
        </w:rPr>
        <w:lastRenderedPageBreak/>
        <w:t xml:space="preserve">The accounts receivable turnover ratio </w:t>
      </w:r>
      <w:r w:rsidR="004F2015" w:rsidRPr="004F2015">
        <w:rPr>
          <w:rFonts w:ascii="Arial" w:eastAsia="Times New Roman" w:hAnsi="Arial" w:cs="Arial"/>
          <w:color w:val="000000" w:themeColor="text1"/>
          <w:sz w:val="24"/>
          <w:szCs w:val="24"/>
        </w:rPr>
        <w:t>indicates the effectiveness of a company's accounts receivable management. The higher this ratio, the quicker the debts are collected by the customers.</w:t>
      </w:r>
    </w:p>
    <w:p w14:paraId="2B2117DF" w14:textId="23E8BBD2"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Accounts Receivable Turnover Ratio = Net Credit Sales / Average Accounts Receivable</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459C11A3"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DC8D8"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65EC57B"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CCAF6AC"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165E90B"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DAA2C8E"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47C0A18"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79358601" w14:textId="77777777" w:rsidTr="00CC04CC">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F5D68AB"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A/R Turnover</w:t>
            </w:r>
          </w:p>
        </w:tc>
        <w:tc>
          <w:tcPr>
            <w:tcW w:w="1040" w:type="dxa"/>
            <w:tcBorders>
              <w:top w:val="nil"/>
              <w:left w:val="nil"/>
              <w:bottom w:val="single" w:sz="4" w:space="0" w:color="auto"/>
              <w:right w:val="single" w:sz="4" w:space="0" w:color="auto"/>
            </w:tcBorders>
            <w:shd w:val="clear" w:color="auto" w:fill="auto"/>
            <w:vAlign w:val="center"/>
            <w:hideMark/>
          </w:tcPr>
          <w:p w14:paraId="0D85226B"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22.49</w:t>
            </w:r>
          </w:p>
        </w:tc>
        <w:tc>
          <w:tcPr>
            <w:tcW w:w="1040" w:type="dxa"/>
            <w:tcBorders>
              <w:top w:val="nil"/>
              <w:left w:val="nil"/>
              <w:bottom w:val="single" w:sz="4" w:space="0" w:color="auto"/>
              <w:right w:val="single" w:sz="4" w:space="0" w:color="auto"/>
            </w:tcBorders>
            <w:shd w:val="clear" w:color="auto" w:fill="auto"/>
            <w:vAlign w:val="center"/>
            <w:hideMark/>
          </w:tcPr>
          <w:p w14:paraId="4786227C"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18.67</w:t>
            </w:r>
          </w:p>
        </w:tc>
        <w:tc>
          <w:tcPr>
            <w:tcW w:w="1040" w:type="dxa"/>
            <w:tcBorders>
              <w:top w:val="nil"/>
              <w:left w:val="nil"/>
              <w:bottom w:val="single" w:sz="4" w:space="0" w:color="auto"/>
              <w:right w:val="single" w:sz="4" w:space="0" w:color="auto"/>
            </w:tcBorders>
            <w:shd w:val="clear" w:color="auto" w:fill="auto"/>
            <w:vAlign w:val="center"/>
            <w:hideMark/>
          </w:tcPr>
          <w:p w14:paraId="7FE5D10D"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19.56</w:t>
            </w:r>
          </w:p>
        </w:tc>
        <w:tc>
          <w:tcPr>
            <w:tcW w:w="1040" w:type="dxa"/>
            <w:tcBorders>
              <w:top w:val="nil"/>
              <w:left w:val="nil"/>
              <w:bottom w:val="single" w:sz="4" w:space="0" w:color="auto"/>
              <w:right w:val="single" w:sz="4" w:space="0" w:color="auto"/>
            </w:tcBorders>
            <w:shd w:val="clear" w:color="auto" w:fill="auto"/>
            <w:vAlign w:val="center"/>
            <w:hideMark/>
          </w:tcPr>
          <w:p w14:paraId="2E91D00B"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27.33</w:t>
            </w:r>
          </w:p>
        </w:tc>
        <w:tc>
          <w:tcPr>
            <w:tcW w:w="1040" w:type="dxa"/>
            <w:tcBorders>
              <w:top w:val="nil"/>
              <w:left w:val="nil"/>
              <w:bottom w:val="single" w:sz="4" w:space="0" w:color="auto"/>
              <w:right w:val="single" w:sz="4" w:space="0" w:color="auto"/>
            </w:tcBorders>
            <w:shd w:val="clear" w:color="auto" w:fill="auto"/>
            <w:vAlign w:val="center"/>
            <w:hideMark/>
          </w:tcPr>
          <w:p w14:paraId="2AE6F443"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30.16</w:t>
            </w:r>
          </w:p>
        </w:tc>
      </w:tr>
    </w:tbl>
    <w:p w14:paraId="58020854" w14:textId="13F10564" w:rsidR="00C97B39" w:rsidRDefault="004F2015" w:rsidP="009F365A">
      <w:pPr>
        <w:shd w:val="clear" w:color="auto" w:fill="FFFFFF"/>
        <w:spacing w:before="240" w:after="240" w:line="360" w:lineRule="auto"/>
        <w:jc w:val="both"/>
        <w:rPr>
          <w:rFonts w:ascii="Arial" w:eastAsia="Times New Roman" w:hAnsi="Arial" w:cs="Arial"/>
          <w:color w:val="000000" w:themeColor="text1"/>
          <w:sz w:val="24"/>
          <w:szCs w:val="24"/>
        </w:rPr>
      </w:pPr>
      <w:r w:rsidRPr="004F2015">
        <w:rPr>
          <w:rFonts w:ascii="Arial" w:eastAsia="Times New Roman" w:hAnsi="Arial" w:cs="Arial"/>
          <w:color w:val="000000" w:themeColor="text1"/>
          <w:sz w:val="24"/>
          <w:szCs w:val="24"/>
        </w:rPr>
        <w:t>The ratio of accounts receivable turnover rose from 22.49 in 2021 to 30.16 in 2025, reflecting the company's increased efficiency in collecting cash from its customers. The marked rise in 2024-2025 indicates enhanced credit management and quicker collection cycles. This is a good development because it will help the company to lower its working capital needs and enhance its cash flow. The ratio should be kept in check, though, to prevent adverse effects on customer relations as a result of aggressive collection practices.</w:t>
      </w:r>
    </w:p>
    <w:p w14:paraId="206893D7" w14:textId="77777777" w:rsidR="004F2015" w:rsidRPr="000E70CC" w:rsidRDefault="004F2015" w:rsidP="009F365A">
      <w:pPr>
        <w:shd w:val="clear" w:color="auto" w:fill="FFFFFF"/>
        <w:spacing w:before="240" w:after="240" w:line="360" w:lineRule="auto"/>
        <w:jc w:val="both"/>
        <w:rPr>
          <w:rFonts w:ascii="Arial" w:eastAsia="Times New Roman" w:hAnsi="Arial" w:cs="Arial"/>
          <w:color w:val="000000" w:themeColor="text1"/>
          <w:sz w:val="24"/>
          <w:szCs w:val="24"/>
        </w:rPr>
      </w:pPr>
    </w:p>
    <w:p w14:paraId="610672BA" w14:textId="2818C493" w:rsidR="00C97B39" w:rsidRPr="001B7032" w:rsidRDefault="00C97B39" w:rsidP="009F365A">
      <w:pPr>
        <w:pStyle w:val="Heading3"/>
        <w:spacing w:line="360" w:lineRule="auto"/>
        <w:rPr>
          <w:rFonts w:ascii="Arial" w:eastAsia="Times New Roman" w:hAnsi="Arial" w:cs="Arial"/>
          <w:b/>
          <w:bCs/>
        </w:rPr>
      </w:pPr>
      <w:bookmarkStart w:id="30" w:name="_Toc235653224"/>
      <w:r w:rsidRPr="001B7032">
        <w:rPr>
          <w:rFonts w:ascii="Arial" w:eastAsia="Times New Roman" w:hAnsi="Arial" w:cs="Arial"/>
          <w:b/>
          <w:bCs/>
        </w:rPr>
        <w:t>Liquidity Ratios Analysis</w:t>
      </w:r>
      <w:bookmarkEnd w:id="30"/>
    </w:p>
    <w:p w14:paraId="4F6C3F35" w14:textId="77777777" w:rsidR="00C97B39" w:rsidRPr="000E70CC" w:rsidRDefault="00C97B39" w:rsidP="009F365A">
      <w:pPr>
        <w:spacing w:before="480" w:after="48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Current Ratio</w:t>
      </w:r>
    </w:p>
    <w:p w14:paraId="19E852F4" w14:textId="77777777" w:rsidR="004F2015" w:rsidRPr="004F2015" w:rsidRDefault="004F2015" w:rsidP="009F365A">
      <w:pPr>
        <w:shd w:val="clear" w:color="auto" w:fill="FFFFFF"/>
        <w:spacing w:before="240" w:after="240" w:line="360" w:lineRule="auto"/>
        <w:jc w:val="both"/>
        <w:rPr>
          <w:rFonts w:ascii="Arial" w:eastAsia="Times New Roman" w:hAnsi="Arial" w:cs="Arial"/>
          <w:color w:val="000000" w:themeColor="text1"/>
          <w:sz w:val="24"/>
          <w:szCs w:val="24"/>
        </w:rPr>
      </w:pPr>
      <w:r w:rsidRPr="004F2015">
        <w:rPr>
          <w:rFonts w:ascii="Arial" w:eastAsia="Times New Roman" w:hAnsi="Arial" w:cs="Arial"/>
          <w:color w:val="000000" w:themeColor="text1"/>
          <w:sz w:val="24"/>
          <w:szCs w:val="24"/>
        </w:rPr>
        <w:t>Current ratio is a financial ratio that assesses a company's ability to pay current obligations from current assets. It serves as a measure of liquidity and an indicator of financial health.</w:t>
      </w:r>
    </w:p>
    <w:p w14:paraId="504354C0" w14:textId="5D2B9404"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Current Ratio = Total Current Assets / Total Current Liabilities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194DE450"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9C946"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ABB57EC"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028DC3E"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A95F265"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580C530"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8199AA1"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37B81565" w14:textId="77777777" w:rsidTr="00CC04CC">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C3C9206"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Current Ratio</w:t>
            </w:r>
          </w:p>
        </w:tc>
        <w:tc>
          <w:tcPr>
            <w:tcW w:w="1040" w:type="dxa"/>
            <w:tcBorders>
              <w:top w:val="nil"/>
              <w:left w:val="nil"/>
              <w:bottom w:val="single" w:sz="4" w:space="0" w:color="auto"/>
              <w:right w:val="single" w:sz="4" w:space="0" w:color="auto"/>
            </w:tcBorders>
            <w:shd w:val="clear" w:color="auto" w:fill="auto"/>
            <w:vAlign w:val="center"/>
            <w:hideMark/>
          </w:tcPr>
          <w:p w14:paraId="1ABADC87"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1.65</w:t>
            </w:r>
          </w:p>
        </w:tc>
        <w:tc>
          <w:tcPr>
            <w:tcW w:w="1040" w:type="dxa"/>
            <w:tcBorders>
              <w:top w:val="nil"/>
              <w:left w:val="nil"/>
              <w:bottom w:val="single" w:sz="4" w:space="0" w:color="auto"/>
              <w:right w:val="single" w:sz="4" w:space="0" w:color="auto"/>
            </w:tcBorders>
            <w:shd w:val="clear" w:color="auto" w:fill="auto"/>
            <w:vAlign w:val="center"/>
            <w:hideMark/>
          </w:tcPr>
          <w:p w14:paraId="0DAAF38C"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1.55</w:t>
            </w:r>
          </w:p>
        </w:tc>
        <w:tc>
          <w:tcPr>
            <w:tcW w:w="1040" w:type="dxa"/>
            <w:tcBorders>
              <w:top w:val="nil"/>
              <w:left w:val="nil"/>
              <w:bottom w:val="single" w:sz="4" w:space="0" w:color="auto"/>
              <w:right w:val="single" w:sz="4" w:space="0" w:color="auto"/>
            </w:tcBorders>
            <w:shd w:val="clear" w:color="auto" w:fill="auto"/>
            <w:vAlign w:val="center"/>
            <w:hideMark/>
          </w:tcPr>
          <w:p w14:paraId="724E06CA"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1.59</w:t>
            </w:r>
          </w:p>
        </w:tc>
        <w:tc>
          <w:tcPr>
            <w:tcW w:w="1040" w:type="dxa"/>
            <w:tcBorders>
              <w:top w:val="nil"/>
              <w:left w:val="nil"/>
              <w:bottom w:val="single" w:sz="4" w:space="0" w:color="auto"/>
              <w:right w:val="single" w:sz="4" w:space="0" w:color="auto"/>
            </w:tcBorders>
            <w:shd w:val="clear" w:color="auto" w:fill="auto"/>
            <w:vAlign w:val="center"/>
            <w:hideMark/>
          </w:tcPr>
          <w:p w14:paraId="366777C8"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1.37</w:t>
            </w:r>
          </w:p>
        </w:tc>
        <w:tc>
          <w:tcPr>
            <w:tcW w:w="1040" w:type="dxa"/>
            <w:tcBorders>
              <w:top w:val="nil"/>
              <w:left w:val="nil"/>
              <w:bottom w:val="single" w:sz="4" w:space="0" w:color="auto"/>
              <w:right w:val="single" w:sz="4" w:space="0" w:color="auto"/>
            </w:tcBorders>
            <w:shd w:val="clear" w:color="auto" w:fill="auto"/>
            <w:vAlign w:val="center"/>
            <w:hideMark/>
          </w:tcPr>
          <w:p w14:paraId="3A6B0BFF"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1.49</w:t>
            </w:r>
          </w:p>
        </w:tc>
      </w:tr>
    </w:tbl>
    <w:p w14:paraId="570A0918" w14:textId="6BDA3737" w:rsidR="00C97B39" w:rsidRPr="000E70CC" w:rsidRDefault="004F2015" w:rsidP="009F365A">
      <w:pPr>
        <w:spacing w:before="480" w:after="480" w:line="360" w:lineRule="auto"/>
        <w:jc w:val="both"/>
        <w:rPr>
          <w:rFonts w:ascii="Arial" w:eastAsia="Times New Roman" w:hAnsi="Arial" w:cs="Arial"/>
          <w:color w:val="000000" w:themeColor="text1"/>
          <w:sz w:val="24"/>
          <w:szCs w:val="24"/>
        </w:rPr>
      </w:pPr>
      <w:r w:rsidRPr="004F2015">
        <w:rPr>
          <w:rFonts w:ascii="Arial" w:eastAsia="Times New Roman" w:hAnsi="Arial" w:cs="Arial"/>
          <w:color w:val="000000" w:themeColor="text1"/>
          <w:sz w:val="24"/>
          <w:szCs w:val="24"/>
        </w:rPr>
        <w:lastRenderedPageBreak/>
        <w:t>The current ratio of Alliance Finance PLC has seen a mixed trend across the past five years, dropping from 1.65 in 2021 to 1.37 in 2024, and then rising slightly to 1.49 in 2025. The short-term nature of the resources used to pay off short-term obligations relative to their use over time. A current ratio greater than 1 is considered good while a ratio less than 1.5 is considered problematic. The improvement in 2025 is a positive change but is still relatively low compared to the 2021 score. The company's management of current assets and current liabilities is in need of improvement, as indicated by the trend, in order to ensure sufficient liquidity and prevent future financial pressures.</w:t>
      </w:r>
    </w:p>
    <w:p w14:paraId="370BB2B0"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Quick Ratio</w:t>
      </w:r>
    </w:p>
    <w:p w14:paraId="4913AD79" w14:textId="77777777" w:rsidR="009231E4" w:rsidRPr="009231E4" w:rsidRDefault="009231E4" w:rsidP="009F365A">
      <w:pPr>
        <w:shd w:val="clear" w:color="auto" w:fill="FFFFFF"/>
        <w:spacing w:before="240" w:after="24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t>The Quick Ratio is a financial ratio that measures a company's capacity to meet its short-term obligations with its most easily converted assets. It does not include less liquid current assets like inventory.</w:t>
      </w:r>
    </w:p>
    <w:p w14:paraId="735C5C41" w14:textId="0823064B"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Quick Ratio = Quick Assets / Current Liabilities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2DB5CC09"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644CA"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349BEFD"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F30E64D"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1FFCB26"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D214CF8"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192899B"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11268222" w14:textId="77777777" w:rsidTr="00CC04CC">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2614F1C"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Quick Ratio</w:t>
            </w:r>
          </w:p>
        </w:tc>
        <w:tc>
          <w:tcPr>
            <w:tcW w:w="1040" w:type="dxa"/>
            <w:tcBorders>
              <w:top w:val="nil"/>
              <w:left w:val="nil"/>
              <w:bottom w:val="single" w:sz="4" w:space="0" w:color="auto"/>
              <w:right w:val="single" w:sz="4" w:space="0" w:color="auto"/>
            </w:tcBorders>
            <w:shd w:val="clear" w:color="auto" w:fill="auto"/>
            <w:vAlign w:val="center"/>
            <w:hideMark/>
          </w:tcPr>
          <w:p w14:paraId="5A24B6D8"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1.65</w:t>
            </w:r>
          </w:p>
        </w:tc>
        <w:tc>
          <w:tcPr>
            <w:tcW w:w="1040" w:type="dxa"/>
            <w:tcBorders>
              <w:top w:val="nil"/>
              <w:left w:val="nil"/>
              <w:bottom w:val="single" w:sz="4" w:space="0" w:color="auto"/>
              <w:right w:val="single" w:sz="4" w:space="0" w:color="auto"/>
            </w:tcBorders>
            <w:shd w:val="clear" w:color="auto" w:fill="auto"/>
            <w:vAlign w:val="center"/>
            <w:hideMark/>
          </w:tcPr>
          <w:p w14:paraId="4D8755DC"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1.55</w:t>
            </w:r>
          </w:p>
        </w:tc>
        <w:tc>
          <w:tcPr>
            <w:tcW w:w="1040" w:type="dxa"/>
            <w:tcBorders>
              <w:top w:val="nil"/>
              <w:left w:val="nil"/>
              <w:bottom w:val="single" w:sz="4" w:space="0" w:color="auto"/>
              <w:right w:val="single" w:sz="4" w:space="0" w:color="auto"/>
            </w:tcBorders>
            <w:shd w:val="clear" w:color="auto" w:fill="auto"/>
            <w:vAlign w:val="center"/>
            <w:hideMark/>
          </w:tcPr>
          <w:p w14:paraId="5BF5A725"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1.59</w:t>
            </w:r>
          </w:p>
        </w:tc>
        <w:tc>
          <w:tcPr>
            <w:tcW w:w="1040" w:type="dxa"/>
            <w:tcBorders>
              <w:top w:val="nil"/>
              <w:left w:val="nil"/>
              <w:bottom w:val="single" w:sz="4" w:space="0" w:color="auto"/>
              <w:right w:val="single" w:sz="4" w:space="0" w:color="auto"/>
            </w:tcBorders>
            <w:shd w:val="clear" w:color="auto" w:fill="auto"/>
            <w:vAlign w:val="center"/>
            <w:hideMark/>
          </w:tcPr>
          <w:p w14:paraId="7A1A288E"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1.37</w:t>
            </w:r>
          </w:p>
        </w:tc>
        <w:tc>
          <w:tcPr>
            <w:tcW w:w="1040" w:type="dxa"/>
            <w:tcBorders>
              <w:top w:val="nil"/>
              <w:left w:val="nil"/>
              <w:bottom w:val="single" w:sz="4" w:space="0" w:color="auto"/>
              <w:right w:val="single" w:sz="4" w:space="0" w:color="auto"/>
            </w:tcBorders>
            <w:shd w:val="clear" w:color="auto" w:fill="auto"/>
            <w:vAlign w:val="center"/>
            <w:hideMark/>
          </w:tcPr>
          <w:p w14:paraId="5892C1ED"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1.49</w:t>
            </w:r>
          </w:p>
        </w:tc>
      </w:tr>
    </w:tbl>
    <w:p w14:paraId="0C278243" w14:textId="43BDCE5A" w:rsidR="009231E4" w:rsidRPr="000E70CC" w:rsidRDefault="009231E4" w:rsidP="009F365A">
      <w:pPr>
        <w:spacing w:before="480" w:after="48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t xml:space="preserve">The current ratio trend is reflected in the quick ratio of Alliance Finance PLC, where the company has low levels of inventory. The ratio declined from 1.65 in 2021 to 1.37 in 2024, before improving to 1.49 in 2025. This means that the company's capacity to pay off its short-term debts with its most liquid assets is slightly diminished. </w:t>
      </w:r>
      <w:proofErr w:type="gramStart"/>
      <w:r w:rsidRPr="009231E4">
        <w:rPr>
          <w:rFonts w:ascii="Arial" w:eastAsia="Times New Roman" w:hAnsi="Arial" w:cs="Arial"/>
          <w:color w:val="000000" w:themeColor="text1"/>
          <w:sz w:val="24"/>
          <w:szCs w:val="24"/>
        </w:rPr>
        <w:t>Generally</w:t>
      </w:r>
      <w:proofErr w:type="gramEnd"/>
      <w:r w:rsidRPr="009231E4">
        <w:rPr>
          <w:rFonts w:ascii="Arial" w:eastAsia="Times New Roman" w:hAnsi="Arial" w:cs="Arial"/>
          <w:color w:val="000000" w:themeColor="text1"/>
          <w:sz w:val="24"/>
          <w:szCs w:val="24"/>
        </w:rPr>
        <w:t xml:space="preserve"> a higher quick ratio is desirable, as it means that the firm can pay its short-term debts without needing to sell less liquid assets. The reduction during the period indicates that the company might have difficulties to meet its current debts with its quick assets, but the positive development in 2025 indicates that this situation is likely to improve in the future.</w:t>
      </w:r>
    </w:p>
    <w:p w14:paraId="59E0E246"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Cash Ratio</w:t>
      </w:r>
    </w:p>
    <w:p w14:paraId="019A8F80" w14:textId="77777777" w:rsidR="009231E4" w:rsidRPr="009231E4" w:rsidRDefault="009231E4" w:rsidP="009F365A">
      <w:pPr>
        <w:shd w:val="clear" w:color="auto" w:fill="FFFFFF"/>
        <w:spacing w:before="240" w:after="24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lastRenderedPageBreak/>
        <w:t>The Cash Ratio is a financial ratio that measures the ability of a company to pay its current debts with cash and cash equivalents. It does not include other current assets, just cash that is readily available.</w:t>
      </w:r>
    </w:p>
    <w:p w14:paraId="24902012" w14:textId="232A85F6"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Cash Ratio = Cash and Cash Equivalents / Current Liabilities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49C46996"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424A0"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81DF73F"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0A32605"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DF66A80"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160A4CA"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39EAFA1"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53C3CD41" w14:textId="77777777" w:rsidTr="00CC04CC">
        <w:trPr>
          <w:trHeight w:val="301"/>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F137EE1"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Cash Ratio</w:t>
            </w:r>
          </w:p>
        </w:tc>
        <w:tc>
          <w:tcPr>
            <w:tcW w:w="1040" w:type="dxa"/>
            <w:tcBorders>
              <w:top w:val="nil"/>
              <w:left w:val="nil"/>
              <w:bottom w:val="single" w:sz="4" w:space="0" w:color="auto"/>
              <w:right w:val="single" w:sz="4" w:space="0" w:color="auto"/>
            </w:tcBorders>
            <w:shd w:val="clear" w:color="auto" w:fill="auto"/>
            <w:vAlign w:val="center"/>
            <w:hideMark/>
          </w:tcPr>
          <w:p w14:paraId="79F739FA"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0.31</w:t>
            </w:r>
          </w:p>
        </w:tc>
        <w:tc>
          <w:tcPr>
            <w:tcW w:w="1040" w:type="dxa"/>
            <w:tcBorders>
              <w:top w:val="nil"/>
              <w:left w:val="nil"/>
              <w:bottom w:val="single" w:sz="4" w:space="0" w:color="auto"/>
              <w:right w:val="single" w:sz="4" w:space="0" w:color="auto"/>
            </w:tcBorders>
            <w:shd w:val="clear" w:color="auto" w:fill="auto"/>
            <w:vAlign w:val="center"/>
            <w:hideMark/>
          </w:tcPr>
          <w:p w14:paraId="1C782D86"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0.16</w:t>
            </w:r>
          </w:p>
        </w:tc>
        <w:tc>
          <w:tcPr>
            <w:tcW w:w="1040" w:type="dxa"/>
            <w:tcBorders>
              <w:top w:val="nil"/>
              <w:left w:val="nil"/>
              <w:bottom w:val="single" w:sz="4" w:space="0" w:color="auto"/>
              <w:right w:val="single" w:sz="4" w:space="0" w:color="auto"/>
            </w:tcBorders>
            <w:shd w:val="clear" w:color="auto" w:fill="auto"/>
            <w:vAlign w:val="center"/>
            <w:hideMark/>
          </w:tcPr>
          <w:p w14:paraId="49773157"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0.29</w:t>
            </w:r>
          </w:p>
        </w:tc>
        <w:tc>
          <w:tcPr>
            <w:tcW w:w="1040" w:type="dxa"/>
            <w:tcBorders>
              <w:top w:val="nil"/>
              <w:left w:val="nil"/>
              <w:bottom w:val="single" w:sz="4" w:space="0" w:color="auto"/>
              <w:right w:val="single" w:sz="4" w:space="0" w:color="auto"/>
            </w:tcBorders>
            <w:shd w:val="clear" w:color="auto" w:fill="auto"/>
            <w:vAlign w:val="center"/>
            <w:hideMark/>
          </w:tcPr>
          <w:p w14:paraId="7CACB144"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0.18</w:t>
            </w:r>
          </w:p>
        </w:tc>
        <w:tc>
          <w:tcPr>
            <w:tcW w:w="1040" w:type="dxa"/>
            <w:tcBorders>
              <w:top w:val="nil"/>
              <w:left w:val="nil"/>
              <w:bottom w:val="single" w:sz="4" w:space="0" w:color="auto"/>
              <w:right w:val="single" w:sz="4" w:space="0" w:color="auto"/>
            </w:tcBorders>
            <w:shd w:val="clear" w:color="auto" w:fill="auto"/>
            <w:vAlign w:val="center"/>
            <w:hideMark/>
          </w:tcPr>
          <w:p w14:paraId="081975AB"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0.27</w:t>
            </w:r>
          </w:p>
        </w:tc>
      </w:tr>
    </w:tbl>
    <w:p w14:paraId="03B4A316" w14:textId="4E3E3681" w:rsidR="009231E4" w:rsidRPr="000E70CC" w:rsidRDefault="009231E4" w:rsidP="009F365A">
      <w:pPr>
        <w:spacing w:before="480" w:after="48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t>The cash ratio of Alliance Finance PLC for the last five years has remained at low levels, ranging between 0.16 and 0.31. This ratio provides an indication of the company's ability to pay short-term obligations with cash and cash equivalents. If the ratio is less than 1, it indicates that the company does not have enough cash on hand to cover short-term debts. The low level is the result of a growing reliance on non-cash current assets to pay short-term debts and may represent a risk in times of financial difficulty or limited cash flow. The company could be required to strengthen their cash position and reassess their liquidity management strategies to improve the financial stability of the company.</w:t>
      </w:r>
    </w:p>
    <w:p w14:paraId="3EF9EFEA"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Net Working Capital Ratio</w:t>
      </w:r>
    </w:p>
    <w:p w14:paraId="6FE0A60F" w14:textId="77777777" w:rsidR="009231E4" w:rsidRPr="009231E4" w:rsidRDefault="009231E4" w:rsidP="009F365A">
      <w:pPr>
        <w:shd w:val="clear" w:color="auto" w:fill="FFFFFF"/>
        <w:spacing w:before="240" w:after="24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t>Net Working Capital (NWC) Ratio is a financial ratio that measures the short-term financial health of a company by comparing its current net working capital with total assets. It represents the number of short-term assets remaining after deducting short-term liabilities, which is a measure of the company's liquidity.</w:t>
      </w:r>
    </w:p>
    <w:p w14:paraId="5EE497D1" w14:textId="101D4C98"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Net Working Capital Ratio = (Current Assets - Current Liabilities) / Total Assets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05F03F33"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B7C4D"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31C58E3"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18AB7D0"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1BA54A6"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44E0C9E"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146D899"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7EA61064" w14:textId="77777777" w:rsidTr="00CC04CC">
        <w:trPr>
          <w:trHeight w:val="60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CB5444B" w14:textId="1811161F" w:rsidR="00CC04CC" w:rsidRPr="00CC04CC" w:rsidRDefault="00CC04CC" w:rsidP="009F365A">
            <w:pPr>
              <w:spacing w:after="0" w:line="360" w:lineRule="auto"/>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Net</w:t>
            </w:r>
            <w:r w:rsidRPr="000E70CC">
              <w:rPr>
                <w:rFonts w:ascii="Arial" w:eastAsia="Times New Roman" w:hAnsi="Arial" w:cs="Arial"/>
                <w:b/>
                <w:bCs/>
                <w:color w:val="000000" w:themeColor="text1"/>
                <w:sz w:val="24"/>
                <w:szCs w:val="24"/>
              </w:rPr>
              <w:t xml:space="preserve"> </w:t>
            </w:r>
            <w:r w:rsidRPr="00CC04CC">
              <w:rPr>
                <w:rFonts w:ascii="Arial" w:eastAsia="Times New Roman" w:hAnsi="Arial" w:cs="Arial"/>
                <w:b/>
                <w:bCs/>
                <w:color w:val="000000" w:themeColor="text1"/>
                <w:sz w:val="24"/>
                <w:szCs w:val="24"/>
              </w:rPr>
              <w:t>Working Capital Ratio</w:t>
            </w:r>
          </w:p>
        </w:tc>
        <w:tc>
          <w:tcPr>
            <w:tcW w:w="1040" w:type="dxa"/>
            <w:tcBorders>
              <w:top w:val="nil"/>
              <w:left w:val="nil"/>
              <w:bottom w:val="single" w:sz="4" w:space="0" w:color="auto"/>
              <w:right w:val="single" w:sz="4" w:space="0" w:color="auto"/>
            </w:tcBorders>
            <w:shd w:val="clear" w:color="auto" w:fill="auto"/>
            <w:vAlign w:val="center"/>
            <w:hideMark/>
          </w:tcPr>
          <w:p w14:paraId="0109D701"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13.66%</w:t>
            </w:r>
          </w:p>
        </w:tc>
        <w:tc>
          <w:tcPr>
            <w:tcW w:w="1040" w:type="dxa"/>
            <w:tcBorders>
              <w:top w:val="nil"/>
              <w:left w:val="nil"/>
              <w:bottom w:val="single" w:sz="4" w:space="0" w:color="auto"/>
              <w:right w:val="single" w:sz="4" w:space="0" w:color="auto"/>
            </w:tcBorders>
            <w:shd w:val="clear" w:color="auto" w:fill="auto"/>
            <w:vAlign w:val="center"/>
            <w:hideMark/>
          </w:tcPr>
          <w:p w14:paraId="7189E840"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10.90%</w:t>
            </w:r>
          </w:p>
        </w:tc>
        <w:tc>
          <w:tcPr>
            <w:tcW w:w="1040" w:type="dxa"/>
            <w:tcBorders>
              <w:top w:val="nil"/>
              <w:left w:val="nil"/>
              <w:bottom w:val="single" w:sz="4" w:space="0" w:color="auto"/>
              <w:right w:val="single" w:sz="4" w:space="0" w:color="auto"/>
            </w:tcBorders>
            <w:shd w:val="clear" w:color="auto" w:fill="auto"/>
            <w:vAlign w:val="center"/>
            <w:hideMark/>
          </w:tcPr>
          <w:p w14:paraId="529FC381"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12.37%</w:t>
            </w:r>
          </w:p>
        </w:tc>
        <w:tc>
          <w:tcPr>
            <w:tcW w:w="1040" w:type="dxa"/>
            <w:tcBorders>
              <w:top w:val="nil"/>
              <w:left w:val="nil"/>
              <w:bottom w:val="single" w:sz="4" w:space="0" w:color="auto"/>
              <w:right w:val="single" w:sz="4" w:space="0" w:color="auto"/>
            </w:tcBorders>
            <w:shd w:val="clear" w:color="auto" w:fill="auto"/>
            <w:vAlign w:val="center"/>
            <w:hideMark/>
          </w:tcPr>
          <w:p w14:paraId="561C1297"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7.35%</w:t>
            </w:r>
          </w:p>
        </w:tc>
        <w:tc>
          <w:tcPr>
            <w:tcW w:w="1040" w:type="dxa"/>
            <w:tcBorders>
              <w:top w:val="nil"/>
              <w:left w:val="nil"/>
              <w:bottom w:val="single" w:sz="4" w:space="0" w:color="auto"/>
              <w:right w:val="single" w:sz="4" w:space="0" w:color="auto"/>
            </w:tcBorders>
            <w:shd w:val="clear" w:color="auto" w:fill="auto"/>
            <w:vAlign w:val="center"/>
            <w:hideMark/>
          </w:tcPr>
          <w:p w14:paraId="0E0205D2"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9.34%</w:t>
            </w:r>
          </w:p>
        </w:tc>
      </w:tr>
    </w:tbl>
    <w:p w14:paraId="34CD8F97" w14:textId="77777777" w:rsidR="009231E4" w:rsidRDefault="009231E4" w:rsidP="009F365A">
      <w:pPr>
        <w:shd w:val="clear" w:color="auto" w:fill="FFFFFF"/>
        <w:spacing w:before="240" w:after="24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t xml:space="preserve">The Net Working Capital Ratio of Alliance Finance PLC has been decreasing over the last five years, from 13.66% in 2021 to 7.35% in 2024 and marginally improved to 9.34% </w:t>
      </w:r>
      <w:r w:rsidRPr="009231E4">
        <w:rPr>
          <w:rFonts w:ascii="Arial" w:eastAsia="Times New Roman" w:hAnsi="Arial" w:cs="Arial"/>
          <w:color w:val="000000" w:themeColor="text1"/>
          <w:sz w:val="24"/>
          <w:szCs w:val="24"/>
        </w:rPr>
        <w:lastRenderedPageBreak/>
        <w:t>in 2025. This is a gradual decline in the company's short-term financial strength, and a reduction in the ability to pay current debts using current assets. A lower NWC ratio can signal a more constrained liquidity position and less flexibility in managing operations, potentially causing cash flow problems if short-term debt increases or cash flow becomes volatile. The slight increase in 2025 is a positive development, but the trend indicates that the company needs to closely monitor its working capital management to optimize operations and ensure financial sustainability.</w:t>
      </w:r>
    </w:p>
    <w:p w14:paraId="224D6C4A" w14:textId="77777777" w:rsidR="009231E4" w:rsidRDefault="009231E4" w:rsidP="009F365A">
      <w:pPr>
        <w:shd w:val="clear" w:color="auto" w:fill="FFFFFF"/>
        <w:spacing w:before="240" w:after="240" w:line="360" w:lineRule="auto"/>
        <w:jc w:val="both"/>
        <w:rPr>
          <w:rFonts w:ascii="Arial" w:eastAsia="Times New Roman" w:hAnsi="Arial" w:cs="Arial"/>
          <w:color w:val="000000" w:themeColor="text1"/>
          <w:sz w:val="24"/>
          <w:szCs w:val="24"/>
        </w:rPr>
      </w:pPr>
    </w:p>
    <w:p w14:paraId="738F10EC" w14:textId="181AE69B" w:rsidR="00C97B39" w:rsidRPr="001B7032" w:rsidRDefault="00C97B39" w:rsidP="009F365A">
      <w:pPr>
        <w:pStyle w:val="Heading3"/>
        <w:spacing w:line="360" w:lineRule="auto"/>
        <w:rPr>
          <w:rFonts w:ascii="Arial" w:eastAsia="Times New Roman" w:hAnsi="Arial" w:cs="Arial"/>
          <w:b/>
          <w:bCs/>
        </w:rPr>
      </w:pPr>
      <w:bookmarkStart w:id="31" w:name="_Toc235653225"/>
      <w:r w:rsidRPr="001B7032">
        <w:rPr>
          <w:rFonts w:ascii="Arial" w:eastAsia="Times New Roman" w:hAnsi="Arial" w:cs="Arial"/>
          <w:b/>
          <w:bCs/>
        </w:rPr>
        <w:t>Solvency Ratios Analysis</w:t>
      </w:r>
      <w:bookmarkEnd w:id="31"/>
    </w:p>
    <w:p w14:paraId="528933C8" w14:textId="77777777" w:rsidR="00C97B39" w:rsidRPr="000E70CC" w:rsidRDefault="00C97B39" w:rsidP="009F365A">
      <w:pPr>
        <w:spacing w:before="480" w:after="48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Debt-to-Equity Ratio</w:t>
      </w:r>
    </w:p>
    <w:p w14:paraId="5A7A41C4" w14:textId="77777777" w:rsidR="009231E4" w:rsidRPr="009231E4" w:rsidRDefault="009231E4" w:rsidP="009F365A">
      <w:pPr>
        <w:shd w:val="clear" w:color="auto" w:fill="FFFFFF"/>
        <w:spacing w:before="240" w:after="24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t>Debt-to-Equity (D/E) is a financial ratio that indicates the percentage of a company's financing that is provided by debt rather than equity. It measures the reliance of a business on borrowed funds as opposed to its own equity to finance its assets and operations.</w:t>
      </w:r>
    </w:p>
    <w:p w14:paraId="79FAF1A7" w14:textId="172B36EB"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Debt-to-Equity = Total Debt / Total Equity</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6F04AEB0"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B43C7"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3A3E623"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1C09313"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3D708E2"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B7C9CCC"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697F7A7"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14C77F33" w14:textId="77777777" w:rsidTr="00CC04CC">
        <w:trPr>
          <w:trHeight w:val="60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1AE7ACB"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Debt-to-Equity Ratio</w:t>
            </w:r>
          </w:p>
        </w:tc>
        <w:tc>
          <w:tcPr>
            <w:tcW w:w="1040" w:type="dxa"/>
            <w:tcBorders>
              <w:top w:val="nil"/>
              <w:left w:val="nil"/>
              <w:bottom w:val="single" w:sz="4" w:space="0" w:color="auto"/>
              <w:right w:val="single" w:sz="4" w:space="0" w:color="auto"/>
            </w:tcBorders>
            <w:shd w:val="clear" w:color="auto" w:fill="auto"/>
            <w:vAlign w:val="center"/>
            <w:hideMark/>
          </w:tcPr>
          <w:p w14:paraId="3DA9841B"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0.72</w:t>
            </w:r>
          </w:p>
        </w:tc>
        <w:tc>
          <w:tcPr>
            <w:tcW w:w="1040" w:type="dxa"/>
            <w:tcBorders>
              <w:top w:val="nil"/>
              <w:left w:val="nil"/>
              <w:bottom w:val="single" w:sz="4" w:space="0" w:color="auto"/>
              <w:right w:val="single" w:sz="4" w:space="0" w:color="auto"/>
            </w:tcBorders>
            <w:shd w:val="clear" w:color="auto" w:fill="auto"/>
            <w:vAlign w:val="center"/>
            <w:hideMark/>
          </w:tcPr>
          <w:p w14:paraId="2B3DC8CA"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1.31</w:t>
            </w:r>
          </w:p>
        </w:tc>
        <w:tc>
          <w:tcPr>
            <w:tcW w:w="1040" w:type="dxa"/>
            <w:tcBorders>
              <w:top w:val="nil"/>
              <w:left w:val="nil"/>
              <w:bottom w:val="single" w:sz="4" w:space="0" w:color="auto"/>
              <w:right w:val="single" w:sz="4" w:space="0" w:color="auto"/>
            </w:tcBorders>
            <w:shd w:val="clear" w:color="auto" w:fill="auto"/>
            <w:vAlign w:val="center"/>
            <w:hideMark/>
          </w:tcPr>
          <w:p w14:paraId="7C4CC412"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2.12</w:t>
            </w:r>
          </w:p>
        </w:tc>
        <w:tc>
          <w:tcPr>
            <w:tcW w:w="1040" w:type="dxa"/>
            <w:tcBorders>
              <w:top w:val="nil"/>
              <w:left w:val="nil"/>
              <w:bottom w:val="single" w:sz="4" w:space="0" w:color="auto"/>
              <w:right w:val="single" w:sz="4" w:space="0" w:color="auto"/>
            </w:tcBorders>
            <w:shd w:val="clear" w:color="auto" w:fill="auto"/>
            <w:vAlign w:val="center"/>
            <w:hideMark/>
          </w:tcPr>
          <w:p w14:paraId="280AECD0"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2.24</w:t>
            </w:r>
          </w:p>
        </w:tc>
        <w:tc>
          <w:tcPr>
            <w:tcW w:w="1040" w:type="dxa"/>
            <w:tcBorders>
              <w:top w:val="nil"/>
              <w:left w:val="nil"/>
              <w:bottom w:val="single" w:sz="4" w:space="0" w:color="auto"/>
              <w:right w:val="single" w:sz="4" w:space="0" w:color="auto"/>
            </w:tcBorders>
            <w:shd w:val="clear" w:color="auto" w:fill="auto"/>
            <w:vAlign w:val="center"/>
            <w:hideMark/>
          </w:tcPr>
          <w:p w14:paraId="462BAE38"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2.68</w:t>
            </w:r>
          </w:p>
        </w:tc>
      </w:tr>
    </w:tbl>
    <w:p w14:paraId="4FC7AE30" w14:textId="291CBAFD" w:rsidR="009231E4" w:rsidRDefault="009231E4" w:rsidP="009F365A">
      <w:pPr>
        <w:spacing w:before="480" w:after="48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t xml:space="preserve">This pattern reflects strategic growth programs or increasingly needed operating needs that are funded through borrowing. The debt-to-equity ratio increased significantly from 0.72 in 2021 to 2.68 in 2025, representing a 272% increase in financial leverage. With higher leverage, cash flows may be stressed when profits don't grow as quickly as interest payments. Investors should consider if the company is generating sufficient profits and cash flows to cover its increased debt. A more detailed study of debt maturity schedules and the cost of capital would provide a greater understanding of </w:t>
      </w:r>
      <w:proofErr w:type="gramStart"/>
      <w:r w:rsidRPr="009231E4">
        <w:rPr>
          <w:rFonts w:ascii="Arial" w:eastAsia="Times New Roman" w:hAnsi="Arial" w:cs="Arial"/>
          <w:color w:val="000000" w:themeColor="text1"/>
          <w:sz w:val="24"/>
          <w:szCs w:val="24"/>
        </w:rPr>
        <w:t>long term</w:t>
      </w:r>
      <w:proofErr w:type="gramEnd"/>
      <w:r w:rsidRPr="009231E4">
        <w:rPr>
          <w:rFonts w:ascii="Arial" w:eastAsia="Times New Roman" w:hAnsi="Arial" w:cs="Arial"/>
          <w:color w:val="000000" w:themeColor="text1"/>
          <w:sz w:val="24"/>
          <w:szCs w:val="24"/>
        </w:rPr>
        <w:t xml:space="preserve"> risk. Increased </w:t>
      </w:r>
      <w:r w:rsidRPr="009231E4">
        <w:rPr>
          <w:rFonts w:ascii="Arial" w:eastAsia="Times New Roman" w:hAnsi="Arial" w:cs="Arial"/>
          <w:color w:val="000000" w:themeColor="text1"/>
          <w:sz w:val="24"/>
          <w:szCs w:val="24"/>
        </w:rPr>
        <w:lastRenderedPageBreak/>
        <w:t>leverage can, if not handled carefully, diminish the financial flexibility of the economy during downturns.</w:t>
      </w:r>
    </w:p>
    <w:p w14:paraId="55703AB8" w14:textId="2AE5DFCE" w:rsidR="00C97B39" w:rsidRPr="000E70CC" w:rsidRDefault="00C97B39" w:rsidP="009F365A">
      <w:pPr>
        <w:spacing w:before="480" w:after="48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Debt-to-Capital Ratio</w:t>
      </w:r>
    </w:p>
    <w:p w14:paraId="415D88BD" w14:textId="1DC9F61D" w:rsidR="009231E4" w:rsidRDefault="009231E4" w:rsidP="009F365A">
      <w:pPr>
        <w:shd w:val="clear" w:color="auto" w:fill="FFFFFF"/>
        <w:spacing w:before="240" w:after="240" w:line="360" w:lineRule="auto"/>
        <w:jc w:val="both"/>
        <w:rPr>
          <w:rFonts w:ascii="Arial" w:eastAsia="Times New Roman" w:hAnsi="Arial" w:cs="Arial"/>
          <w:color w:val="000000" w:themeColor="text1"/>
          <w:sz w:val="24"/>
          <w:szCs w:val="24"/>
        </w:rPr>
      </w:pPr>
      <w:r w:rsidRPr="009231E4">
        <w:rPr>
          <w:rFonts w:ascii="Arial" w:eastAsia="Times New Roman" w:hAnsi="Arial" w:cs="Arial"/>
          <w:color w:val="000000" w:themeColor="text1"/>
          <w:sz w:val="24"/>
          <w:szCs w:val="24"/>
        </w:rPr>
        <w:t xml:space="preserve">Debt-to-Capital </w:t>
      </w:r>
      <w:r>
        <w:rPr>
          <w:rFonts w:ascii="Arial" w:eastAsia="Times New Roman" w:hAnsi="Arial" w:cs="Arial"/>
          <w:color w:val="000000" w:themeColor="text1"/>
          <w:sz w:val="24"/>
          <w:szCs w:val="24"/>
        </w:rPr>
        <w:t>ratio</w:t>
      </w:r>
      <w:r w:rsidRPr="009231E4">
        <w:rPr>
          <w:rFonts w:ascii="Arial" w:eastAsia="Times New Roman" w:hAnsi="Arial" w:cs="Arial"/>
          <w:color w:val="000000" w:themeColor="text1"/>
          <w:sz w:val="24"/>
          <w:szCs w:val="24"/>
        </w:rPr>
        <w:t xml:space="preserve"> represents the percentage of a company's capital that is raised via debt. It assists investors and creditors with assessing the dependence of the company on debt financing as opposed to equity financing for its operations and growth.</w:t>
      </w:r>
    </w:p>
    <w:p w14:paraId="328DE60D" w14:textId="16792A6E"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Debt-to-Capital Ratio = Total Debt / (Total Debt + Total Equity)</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581235F1" w14:textId="77777777" w:rsidTr="00CC04CC">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465BA"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D8F7B45"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478D2B7"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A38AFB7"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BB9D56C"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33D7730"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2025</w:t>
            </w:r>
          </w:p>
        </w:tc>
      </w:tr>
      <w:tr w:rsidR="000E70CC" w:rsidRPr="000E70CC" w14:paraId="4E469911" w14:textId="77777777" w:rsidTr="00CC04CC">
        <w:trPr>
          <w:trHeight w:val="60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DAC3FA8" w14:textId="77777777" w:rsidR="00CC04CC" w:rsidRPr="00CC04CC" w:rsidRDefault="00CC04CC" w:rsidP="009F365A">
            <w:pPr>
              <w:spacing w:after="0" w:line="360" w:lineRule="auto"/>
              <w:jc w:val="both"/>
              <w:rPr>
                <w:rFonts w:ascii="Arial" w:eastAsia="Times New Roman" w:hAnsi="Arial" w:cs="Arial"/>
                <w:b/>
                <w:bCs/>
                <w:color w:val="000000" w:themeColor="text1"/>
                <w:sz w:val="24"/>
                <w:szCs w:val="24"/>
                <w:lang w:val="en-US"/>
              </w:rPr>
            </w:pPr>
            <w:r w:rsidRPr="00CC04CC">
              <w:rPr>
                <w:rFonts w:ascii="Arial" w:eastAsia="Times New Roman" w:hAnsi="Arial" w:cs="Arial"/>
                <w:b/>
                <w:bCs/>
                <w:color w:val="000000" w:themeColor="text1"/>
                <w:sz w:val="24"/>
                <w:szCs w:val="24"/>
              </w:rPr>
              <w:t>Debt-to-Capital Ratio</w:t>
            </w:r>
          </w:p>
        </w:tc>
        <w:tc>
          <w:tcPr>
            <w:tcW w:w="1040" w:type="dxa"/>
            <w:tcBorders>
              <w:top w:val="nil"/>
              <w:left w:val="nil"/>
              <w:bottom w:val="single" w:sz="4" w:space="0" w:color="auto"/>
              <w:right w:val="single" w:sz="4" w:space="0" w:color="auto"/>
            </w:tcBorders>
            <w:shd w:val="clear" w:color="auto" w:fill="auto"/>
            <w:vAlign w:val="center"/>
            <w:hideMark/>
          </w:tcPr>
          <w:p w14:paraId="6412F974"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0.42</w:t>
            </w:r>
          </w:p>
        </w:tc>
        <w:tc>
          <w:tcPr>
            <w:tcW w:w="1040" w:type="dxa"/>
            <w:tcBorders>
              <w:top w:val="nil"/>
              <w:left w:val="nil"/>
              <w:bottom w:val="single" w:sz="4" w:space="0" w:color="auto"/>
              <w:right w:val="single" w:sz="4" w:space="0" w:color="auto"/>
            </w:tcBorders>
            <w:shd w:val="clear" w:color="auto" w:fill="auto"/>
            <w:vAlign w:val="center"/>
            <w:hideMark/>
          </w:tcPr>
          <w:p w14:paraId="46F8C6C9"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0.57</w:t>
            </w:r>
          </w:p>
        </w:tc>
        <w:tc>
          <w:tcPr>
            <w:tcW w:w="1040" w:type="dxa"/>
            <w:tcBorders>
              <w:top w:val="nil"/>
              <w:left w:val="nil"/>
              <w:bottom w:val="single" w:sz="4" w:space="0" w:color="auto"/>
              <w:right w:val="single" w:sz="4" w:space="0" w:color="auto"/>
            </w:tcBorders>
            <w:shd w:val="clear" w:color="auto" w:fill="auto"/>
            <w:vAlign w:val="center"/>
            <w:hideMark/>
          </w:tcPr>
          <w:p w14:paraId="50EED939"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0.68</w:t>
            </w:r>
          </w:p>
        </w:tc>
        <w:tc>
          <w:tcPr>
            <w:tcW w:w="1040" w:type="dxa"/>
            <w:tcBorders>
              <w:top w:val="nil"/>
              <w:left w:val="nil"/>
              <w:bottom w:val="single" w:sz="4" w:space="0" w:color="auto"/>
              <w:right w:val="single" w:sz="4" w:space="0" w:color="auto"/>
            </w:tcBorders>
            <w:shd w:val="clear" w:color="auto" w:fill="auto"/>
            <w:vAlign w:val="center"/>
            <w:hideMark/>
          </w:tcPr>
          <w:p w14:paraId="76102F21"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0.69</w:t>
            </w:r>
          </w:p>
        </w:tc>
        <w:tc>
          <w:tcPr>
            <w:tcW w:w="1040" w:type="dxa"/>
            <w:tcBorders>
              <w:top w:val="nil"/>
              <w:left w:val="nil"/>
              <w:bottom w:val="single" w:sz="4" w:space="0" w:color="auto"/>
              <w:right w:val="single" w:sz="4" w:space="0" w:color="auto"/>
            </w:tcBorders>
            <w:shd w:val="clear" w:color="auto" w:fill="auto"/>
            <w:vAlign w:val="center"/>
            <w:hideMark/>
          </w:tcPr>
          <w:p w14:paraId="65ECF381" w14:textId="77777777" w:rsidR="00CC04CC" w:rsidRPr="00CC04CC" w:rsidRDefault="00CC04CC" w:rsidP="009F365A">
            <w:pPr>
              <w:spacing w:after="0" w:line="360" w:lineRule="auto"/>
              <w:jc w:val="both"/>
              <w:rPr>
                <w:rFonts w:ascii="Arial" w:eastAsia="Times New Roman" w:hAnsi="Arial" w:cs="Arial"/>
                <w:color w:val="000000" w:themeColor="text1"/>
                <w:sz w:val="24"/>
                <w:szCs w:val="24"/>
                <w:lang w:val="en-US"/>
              </w:rPr>
            </w:pPr>
            <w:r w:rsidRPr="00CC04CC">
              <w:rPr>
                <w:rFonts w:ascii="Arial" w:eastAsia="Times New Roman" w:hAnsi="Arial" w:cs="Arial"/>
                <w:color w:val="000000" w:themeColor="text1"/>
                <w:sz w:val="24"/>
                <w:szCs w:val="24"/>
              </w:rPr>
              <w:t>0.73</w:t>
            </w:r>
          </w:p>
        </w:tc>
      </w:tr>
    </w:tbl>
    <w:p w14:paraId="22F9A582" w14:textId="018F4473" w:rsidR="00E17ADE" w:rsidRDefault="00E17ADE" w:rsidP="009F365A">
      <w:pPr>
        <w:spacing w:before="480" w:after="480"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This means that the total debt has been increasing over time and is now a higher proportion of the total capital (debt + equity). Debt made up about 42% of the total capital in 2021 and would make up about 73% of the total capital in 2025. The shift indicates the company has increasingly turned to debt to fund its activities, potentially aiding growth but also raising financial risk. The rise in the trend points to a rise in reliance on outside financing and less reliance on generating capital internally.</w:t>
      </w:r>
    </w:p>
    <w:p w14:paraId="70418ECC" w14:textId="77777777" w:rsidR="001B7032" w:rsidRPr="00E17ADE" w:rsidRDefault="001B7032" w:rsidP="009F365A">
      <w:pPr>
        <w:spacing w:before="480" w:after="480" w:line="360" w:lineRule="auto"/>
        <w:jc w:val="both"/>
        <w:rPr>
          <w:rFonts w:ascii="Arial" w:eastAsia="Times New Roman" w:hAnsi="Arial" w:cs="Arial"/>
          <w:color w:val="000000" w:themeColor="text1"/>
          <w:sz w:val="24"/>
          <w:szCs w:val="24"/>
        </w:rPr>
      </w:pPr>
    </w:p>
    <w:p w14:paraId="5534C8D4"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Debt-to-Asset Ratio</w:t>
      </w:r>
    </w:p>
    <w:p w14:paraId="528A0811" w14:textId="77777777" w:rsidR="00E17ADE" w:rsidRPr="00E17ADE" w:rsidRDefault="00E17ADE" w:rsidP="009F365A">
      <w:pPr>
        <w:spacing w:before="480" w:after="480"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Debt-to-Asset is a financial ratio that is used to gain an understanding of a company's capital structure and financial risk. It indicates the amount of debt that a company has used to finance its assets.</w:t>
      </w:r>
    </w:p>
    <w:p w14:paraId="2F26DA49" w14:textId="77777777"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Debt-to-Asset Ratio = Total Debt / Total Assets</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283C18E8" w14:textId="77777777" w:rsidTr="00851942">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62FE6" w14:textId="77777777" w:rsidR="00851942" w:rsidRPr="00851942" w:rsidRDefault="00851942" w:rsidP="009F365A">
            <w:pPr>
              <w:spacing w:after="0" w:line="360" w:lineRule="auto"/>
              <w:jc w:val="both"/>
              <w:rPr>
                <w:rFonts w:ascii="Arial" w:eastAsia="Times New Roman" w:hAnsi="Arial" w:cs="Arial"/>
                <w:b/>
                <w:bCs/>
                <w:color w:val="000000" w:themeColor="text1"/>
                <w:sz w:val="24"/>
                <w:szCs w:val="24"/>
                <w:lang w:val="en-US"/>
              </w:rPr>
            </w:pPr>
            <w:r w:rsidRPr="00851942">
              <w:rPr>
                <w:rFonts w:ascii="Arial" w:eastAsia="Times New Roman" w:hAnsi="Arial" w:cs="Arial"/>
                <w:b/>
                <w:bCs/>
                <w:color w:val="000000" w:themeColor="text1"/>
                <w:sz w:val="24"/>
                <w:szCs w:val="24"/>
              </w:rPr>
              <w:lastRenderedPageBreak/>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018540F"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05DA48E"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37EC503"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158CD5F"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6CB81B6"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2025</w:t>
            </w:r>
          </w:p>
        </w:tc>
      </w:tr>
      <w:tr w:rsidR="000E70CC" w:rsidRPr="000E70CC" w14:paraId="3F427CD2" w14:textId="77777777" w:rsidTr="00851942">
        <w:trPr>
          <w:trHeight w:val="60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4944470" w14:textId="77777777" w:rsidR="00851942" w:rsidRPr="00851942" w:rsidRDefault="00851942" w:rsidP="009F365A">
            <w:pPr>
              <w:spacing w:after="0" w:line="360" w:lineRule="auto"/>
              <w:jc w:val="both"/>
              <w:rPr>
                <w:rFonts w:ascii="Arial" w:eastAsia="Times New Roman" w:hAnsi="Arial" w:cs="Arial"/>
                <w:b/>
                <w:bCs/>
                <w:color w:val="000000" w:themeColor="text1"/>
                <w:sz w:val="24"/>
                <w:szCs w:val="24"/>
                <w:lang w:val="en-US"/>
              </w:rPr>
            </w:pPr>
            <w:r w:rsidRPr="00851942">
              <w:rPr>
                <w:rFonts w:ascii="Arial" w:eastAsia="Times New Roman" w:hAnsi="Arial" w:cs="Arial"/>
                <w:b/>
                <w:bCs/>
                <w:color w:val="000000" w:themeColor="text1"/>
                <w:sz w:val="24"/>
                <w:szCs w:val="24"/>
              </w:rPr>
              <w:t>Debt-to-Asset Ratio</w:t>
            </w:r>
          </w:p>
        </w:tc>
        <w:tc>
          <w:tcPr>
            <w:tcW w:w="1040" w:type="dxa"/>
            <w:tcBorders>
              <w:top w:val="nil"/>
              <w:left w:val="nil"/>
              <w:bottom w:val="single" w:sz="4" w:space="0" w:color="auto"/>
              <w:right w:val="single" w:sz="4" w:space="0" w:color="auto"/>
            </w:tcBorders>
            <w:shd w:val="clear" w:color="auto" w:fill="auto"/>
            <w:vAlign w:val="center"/>
            <w:hideMark/>
          </w:tcPr>
          <w:p w14:paraId="67125374"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0.63</w:t>
            </w:r>
          </w:p>
        </w:tc>
        <w:tc>
          <w:tcPr>
            <w:tcW w:w="1040" w:type="dxa"/>
            <w:tcBorders>
              <w:top w:val="nil"/>
              <w:left w:val="nil"/>
              <w:bottom w:val="single" w:sz="4" w:space="0" w:color="auto"/>
              <w:right w:val="single" w:sz="4" w:space="0" w:color="auto"/>
            </w:tcBorders>
            <w:shd w:val="clear" w:color="auto" w:fill="auto"/>
            <w:vAlign w:val="center"/>
            <w:hideMark/>
          </w:tcPr>
          <w:p w14:paraId="45187004"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0.7</w:t>
            </w:r>
          </w:p>
        </w:tc>
        <w:tc>
          <w:tcPr>
            <w:tcW w:w="1040" w:type="dxa"/>
            <w:tcBorders>
              <w:top w:val="nil"/>
              <w:left w:val="nil"/>
              <w:bottom w:val="single" w:sz="4" w:space="0" w:color="auto"/>
              <w:right w:val="single" w:sz="4" w:space="0" w:color="auto"/>
            </w:tcBorders>
            <w:shd w:val="clear" w:color="auto" w:fill="auto"/>
            <w:vAlign w:val="center"/>
            <w:hideMark/>
          </w:tcPr>
          <w:p w14:paraId="558E325A"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0.76</w:t>
            </w:r>
          </w:p>
        </w:tc>
        <w:tc>
          <w:tcPr>
            <w:tcW w:w="1040" w:type="dxa"/>
            <w:tcBorders>
              <w:top w:val="nil"/>
              <w:left w:val="nil"/>
              <w:bottom w:val="single" w:sz="4" w:space="0" w:color="auto"/>
              <w:right w:val="single" w:sz="4" w:space="0" w:color="auto"/>
            </w:tcBorders>
            <w:shd w:val="clear" w:color="auto" w:fill="auto"/>
            <w:vAlign w:val="center"/>
            <w:hideMark/>
          </w:tcPr>
          <w:p w14:paraId="4B2E8BEC"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0.76</w:t>
            </w:r>
          </w:p>
        </w:tc>
        <w:tc>
          <w:tcPr>
            <w:tcW w:w="1040" w:type="dxa"/>
            <w:tcBorders>
              <w:top w:val="nil"/>
              <w:left w:val="nil"/>
              <w:bottom w:val="single" w:sz="4" w:space="0" w:color="auto"/>
              <w:right w:val="single" w:sz="4" w:space="0" w:color="auto"/>
            </w:tcBorders>
            <w:shd w:val="clear" w:color="auto" w:fill="auto"/>
            <w:vAlign w:val="center"/>
            <w:hideMark/>
          </w:tcPr>
          <w:p w14:paraId="53BAC5C8" w14:textId="77777777" w:rsidR="00851942" w:rsidRPr="00851942" w:rsidRDefault="00851942" w:rsidP="009F365A">
            <w:pPr>
              <w:spacing w:after="0" w:line="360" w:lineRule="auto"/>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0.79</w:t>
            </w:r>
          </w:p>
        </w:tc>
      </w:tr>
    </w:tbl>
    <w:p w14:paraId="685F1F7A" w14:textId="2C2A7B72" w:rsidR="00C97B39" w:rsidRPr="000E70CC" w:rsidRDefault="00E17ADE" w:rsidP="009F365A">
      <w:pPr>
        <w:spacing w:before="480" w:after="480"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The total debt of Alliance Finance PLC grew significantly from 2021 to 2025, along with the growth in total assets. The ratio of debt-to-assets rose from 63% in 2021 to 79% in 2025, indicating a higher reliance on debt to finance asset growth. This can help the growth but also adds to the risk on the balance sheet. The ratio remains consistently high, indicating that the company has a high debt-to-equity ratio and relies heavily on debt financing. Debt management and effective use of assets will be critical to maintain financial stability.</w:t>
      </w:r>
    </w:p>
    <w:p w14:paraId="244785FB"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Financial Leverage</w:t>
      </w:r>
    </w:p>
    <w:p w14:paraId="3586C7F5" w14:textId="77777777" w:rsidR="00E17ADE" w:rsidRPr="00E17ADE" w:rsidRDefault="00E17ADE" w:rsidP="009F365A">
      <w:pPr>
        <w:shd w:val="clear" w:color="auto" w:fill="FFFFFF"/>
        <w:spacing w:before="240" w:after="240"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Financial leverage is the extent to which a business relies on borrowed money to purchase its assets and to carry on its operations. Use of debt increases the risk because the company has to pay fixed debt obligations, irrespective of its performance, but can also boost the potential returns to shareholders.</w:t>
      </w:r>
    </w:p>
    <w:p w14:paraId="7AA26B2C" w14:textId="6D0FBE92"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Financial Leverage = Average Total Assets / Average Total Equity</w:t>
      </w:r>
    </w:p>
    <w:tbl>
      <w:tblPr>
        <w:tblW w:w="7160" w:type="dxa"/>
        <w:tblLook w:val="04A0" w:firstRow="1" w:lastRow="0" w:firstColumn="1" w:lastColumn="0" w:noHBand="0" w:noVBand="1"/>
      </w:tblPr>
      <w:tblGrid>
        <w:gridCol w:w="1960"/>
        <w:gridCol w:w="1040"/>
        <w:gridCol w:w="1040"/>
        <w:gridCol w:w="1040"/>
        <w:gridCol w:w="1040"/>
        <w:gridCol w:w="1040"/>
      </w:tblGrid>
      <w:tr w:rsidR="000E70CC" w:rsidRPr="000E70CC" w14:paraId="3816EA8C" w14:textId="77777777" w:rsidTr="00851942">
        <w:trPr>
          <w:trHeight w:val="30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39527" w14:textId="77777777" w:rsidR="00851942" w:rsidRPr="00851942" w:rsidRDefault="00851942" w:rsidP="009F365A">
            <w:pPr>
              <w:spacing w:after="0" w:line="360" w:lineRule="auto"/>
              <w:ind w:firstLineChars="100" w:firstLine="241"/>
              <w:jc w:val="both"/>
              <w:rPr>
                <w:rFonts w:ascii="Arial" w:eastAsia="Times New Roman" w:hAnsi="Arial" w:cs="Arial"/>
                <w:b/>
                <w:bCs/>
                <w:color w:val="000000" w:themeColor="text1"/>
                <w:sz w:val="24"/>
                <w:szCs w:val="24"/>
                <w:lang w:val="en-US"/>
              </w:rPr>
            </w:pPr>
            <w:r w:rsidRPr="00851942">
              <w:rPr>
                <w:rFonts w:ascii="Arial" w:eastAsia="Times New Roman" w:hAnsi="Arial" w:cs="Arial"/>
                <w:b/>
                <w:bCs/>
                <w:color w:val="000000" w:themeColor="text1"/>
                <w:sz w:val="24"/>
                <w:szCs w:val="24"/>
              </w:rPr>
              <w:t>Year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A4DB0FE"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18BC01E"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955E915"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FDBAE96"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9C57B45"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2025</w:t>
            </w:r>
          </w:p>
        </w:tc>
      </w:tr>
      <w:tr w:rsidR="000E70CC" w:rsidRPr="000E70CC" w14:paraId="419B0E85" w14:textId="77777777" w:rsidTr="00851942">
        <w:trPr>
          <w:trHeight w:val="603"/>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230C696" w14:textId="3F1ED477" w:rsidR="00851942" w:rsidRPr="00851942" w:rsidRDefault="00851942" w:rsidP="009F365A">
            <w:pPr>
              <w:spacing w:after="0" w:line="360" w:lineRule="auto"/>
              <w:jc w:val="both"/>
              <w:rPr>
                <w:rFonts w:ascii="Arial" w:eastAsia="Times New Roman" w:hAnsi="Arial" w:cs="Arial"/>
                <w:b/>
                <w:bCs/>
                <w:color w:val="000000" w:themeColor="text1"/>
                <w:sz w:val="24"/>
                <w:szCs w:val="24"/>
                <w:lang w:val="en-US"/>
              </w:rPr>
            </w:pPr>
            <w:r w:rsidRPr="00851942">
              <w:rPr>
                <w:rFonts w:ascii="Arial" w:eastAsia="Times New Roman" w:hAnsi="Arial" w:cs="Arial"/>
                <w:b/>
                <w:bCs/>
                <w:color w:val="000000" w:themeColor="text1"/>
                <w:sz w:val="24"/>
                <w:szCs w:val="24"/>
              </w:rPr>
              <w:t>Financial</w:t>
            </w:r>
            <w:r w:rsidRPr="000E70CC">
              <w:rPr>
                <w:rFonts w:ascii="Arial" w:eastAsia="Times New Roman" w:hAnsi="Arial" w:cs="Arial"/>
                <w:b/>
                <w:bCs/>
                <w:color w:val="000000" w:themeColor="text1"/>
                <w:sz w:val="24"/>
                <w:szCs w:val="24"/>
              </w:rPr>
              <w:t xml:space="preserve"> </w:t>
            </w:r>
            <w:r w:rsidRPr="00851942">
              <w:rPr>
                <w:rFonts w:ascii="Arial" w:eastAsia="Times New Roman" w:hAnsi="Arial" w:cs="Arial"/>
                <w:b/>
                <w:bCs/>
                <w:color w:val="000000" w:themeColor="text1"/>
                <w:sz w:val="24"/>
                <w:szCs w:val="24"/>
              </w:rPr>
              <w:t>Leverage</w:t>
            </w:r>
          </w:p>
        </w:tc>
        <w:tc>
          <w:tcPr>
            <w:tcW w:w="1040" w:type="dxa"/>
            <w:tcBorders>
              <w:top w:val="nil"/>
              <w:left w:val="nil"/>
              <w:bottom w:val="single" w:sz="4" w:space="0" w:color="auto"/>
              <w:right w:val="single" w:sz="4" w:space="0" w:color="auto"/>
            </w:tcBorders>
            <w:shd w:val="clear" w:color="auto" w:fill="auto"/>
            <w:vAlign w:val="center"/>
            <w:hideMark/>
          </w:tcPr>
          <w:p w14:paraId="043F5E82"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2.72</w:t>
            </w:r>
          </w:p>
        </w:tc>
        <w:tc>
          <w:tcPr>
            <w:tcW w:w="1040" w:type="dxa"/>
            <w:tcBorders>
              <w:top w:val="nil"/>
              <w:left w:val="nil"/>
              <w:bottom w:val="single" w:sz="4" w:space="0" w:color="auto"/>
              <w:right w:val="single" w:sz="4" w:space="0" w:color="auto"/>
            </w:tcBorders>
            <w:shd w:val="clear" w:color="auto" w:fill="auto"/>
            <w:vAlign w:val="center"/>
            <w:hideMark/>
          </w:tcPr>
          <w:p w14:paraId="0E1957ED"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3.31</w:t>
            </w:r>
          </w:p>
        </w:tc>
        <w:tc>
          <w:tcPr>
            <w:tcW w:w="1040" w:type="dxa"/>
            <w:tcBorders>
              <w:top w:val="nil"/>
              <w:left w:val="nil"/>
              <w:bottom w:val="single" w:sz="4" w:space="0" w:color="auto"/>
              <w:right w:val="single" w:sz="4" w:space="0" w:color="auto"/>
            </w:tcBorders>
            <w:shd w:val="clear" w:color="auto" w:fill="auto"/>
            <w:vAlign w:val="center"/>
            <w:hideMark/>
          </w:tcPr>
          <w:p w14:paraId="7D4EE97F"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4.12</w:t>
            </w:r>
          </w:p>
        </w:tc>
        <w:tc>
          <w:tcPr>
            <w:tcW w:w="1040" w:type="dxa"/>
            <w:tcBorders>
              <w:top w:val="nil"/>
              <w:left w:val="nil"/>
              <w:bottom w:val="single" w:sz="4" w:space="0" w:color="auto"/>
              <w:right w:val="single" w:sz="4" w:space="0" w:color="auto"/>
            </w:tcBorders>
            <w:shd w:val="clear" w:color="auto" w:fill="auto"/>
            <w:vAlign w:val="center"/>
            <w:hideMark/>
          </w:tcPr>
          <w:p w14:paraId="5760BB80"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4.24</w:t>
            </w:r>
          </w:p>
        </w:tc>
        <w:tc>
          <w:tcPr>
            <w:tcW w:w="1040" w:type="dxa"/>
            <w:tcBorders>
              <w:top w:val="nil"/>
              <w:left w:val="nil"/>
              <w:bottom w:val="single" w:sz="4" w:space="0" w:color="auto"/>
              <w:right w:val="single" w:sz="4" w:space="0" w:color="auto"/>
            </w:tcBorders>
            <w:shd w:val="clear" w:color="auto" w:fill="auto"/>
            <w:vAlign w:val="center"/>
            <w:hideMark/>
          </w:tcPr>
          <w:p w14:paraId="3505FBD6"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4.68</w:t>
            </w:r>
          </w:p>
        </w:tc>
      </w:tr>
    </w:tbl>
    <w:p w14:paraId="7852FEEC" w14:textId="1047C3AD" w:rsidR="00E17ADE" w:rsidRPr="000E70CC" w:rsidRDefault="00E17ADE" w:rsidP="009F365A">
      <w:pPr>
        <w:spacing w:before="480" w:after="480"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 xml:space="preserve">The financial leverage of Alliance Finance PLC has been growing over the years from 2.72 in 2021 to 4.68 in 2025, indicating that the company is increasingly relying on debt financing. The leverage ratio has been above 3.0 since 2022, suggesting that the company is taking on more debt to meet its asset requirements, which can lead to higher returns but also higher financial risks. The steady growth indicates that the business is taking a very aggressive approach to growth, with most of the capital being raised through </w:t>
      </w:r>
      <w:r w:rsidRPr="00E17ADE">
        <w:rPr>
          <w:rFonts w:ascii="Arial" w:eastAsia="Times New Roman" w:hAnsi="Arial" w:cs="Arial"/>
          <w:color w:val="000000" w:themeColor="text1"/>
          <w:sz w:val="24"/>
          <w:szCs w:val="24"/>
        </w:rPr>
        <w:lastRenderedPageBreak/>
        <w:t>borrowing. This level of leverage requires high earnings and solid cash flows to service debt.</w:t>
      </w:r>
    </w:p>
    <w:p w14:paraId="0C3FD0B8" w14:textId="77777777" w:rsidR="00C97B39" w:rsidRPr="000E70CC" w:rsidRDefault="00C97B39" w:rsidP="009F365A">
      <w:pPr>
        <w:shd w:val="clear" w:color="auto" w:fill="FFFFFF"/>
        <w:spacing w:before="240" w:after="240" w:line="360" w:lineRule="auto"/>
        <w:jc w:val="both"/>
        <w:rPr>
          <w:rFonts w:ascii="Arial" w:eastAsia="Times New Roman" w:hAnsi="Arial" w:cs="Arial"/>
          <w:b/>
          <w:bCs/>
          <w:color w:val="000000" w:themeColor="text1"/>
          <w:sz w:val="24"/>
          <w:szCs w:val="24"/>
        </w:rPr>
      </w:pPr>
      <w:r w:rsidRPr="000E70CC">
        <w:rPr>
          <w:rFonts w:ascii="Arial" w:eastAsia="Times New Roman" w:hAnsi="Arial" w:cs="Arial"/>
          <w:b/>
          <w:bCs/>
          <w:color w:val="000000" w:themeColor="text1"/>
          <w:sz w:val="24"/>
          <w:szCs w:val="24"/>
        </w:rPr>
        <w:t>Interest Coverage Ratio</w:t>
      </w:r>
    </w:p>
    <w:p w14:paraId="1F3FC050" w14:textId="77777777" w:rsidR="00E17ADE" w:rsidRPr="00E17ADE" w:rsidRDefault="00E17ADE" w:rsidP="009F365A">
      <w:pPr>
        <w:shd w:val="clear" w:color="auto" w:fill="FFFFFF"/>
        <w:spacing w:before="240" w:after="240"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Interest Coverage Ratio is the ability of a company to meet its interest obligations with operating income. It indicates whether a company can pay the interest on its debt and, in that sense, is a measure of financial stability.</w:t>
      </w:r>
    </w:p>
    <w:p w14:paraId="5C67495E" w14:textId="77777777" w:rsidR="00C97B39" w:rsidRPr="000E70CC" w:rsidRDefault="00C97B39" w:rsidP="009F365A">
      <w:pPr>
        <w:shd w:val="clear" w:color="auto" w:fill="FFFFFF"/>
        <w:spacing w:before="240" w:after="240" w:line="360" w:lineRule="auto"/>
        <w:jc w:val="both"/>
        <w:rPr>
          <w:rFonts w:ascii="Arial" w:eastAsia="Times New Roman" w:hAnsi="Arial" w:cs="Arial"/>
          <w:color w:val="000000" w:themeColor="text1"/>
          <w:sz w:val="24"/>
          <w:szCs w:val="24"/>
        </w:rPr>
      </w:pPr>
      <w:r w:rsidRPr="000E70CC">
        <w:rPr>
          <w:rFonts w:ascii="Arial" w:eastAsia="Times New Roman" w:hAnsi="Arial" w:cs="Arial"/>
          <w:b/>
          <w:bCs/>
          <w:color w:val="000000" w:themeColor="text1"/>
          <w:sz w:val="24"/>
          <w:szCs w:val="24"/>
        </w:rPr>
        <w:t>Interest Coverage Ratio = EBIT / Interest Expense</w:t>
      </w:r>
    </w:p>
    <w:tbl>
      <w:tblPr>
        <w:tblW w:w="6260" w:type="dxa"/>
        <w:tblLook w:val="04A0" w:firstRow="1" w:lastRow="0" w:firstColumn="1" w:lastColumn="0" w:noHBand="0" w:noVBand="1"/>
      </w:tblPr>
      <w:tblGrid>
        <w:gridCol w:w="1310"/>
        <w:gridCol w:w="990"/>
        <w:gridCol w:w="990"/>
        <w:gridCol w:w="990"/>
        <w:gridCol w:w="990"/>
        <w:gridCol w:w="990"/>
      </w:tblGrid>
      <w:tr w:rsidR="000E70CC" w:rsidRPr="000E70CC" w14:paraId="5674BB99" w14:textId="77777777" w:rsidTr="00E17ADE">
        <w:trPr>
          <w:trHeight w:val="368"/>
        </w:trPr>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6E2AE" w14:textId="77777777" w:rsidR="00851942" w:rsidRPr="00851942" w:rsidRDefault="00851942" w:rsidP="009F365A">
            <w:pPr>
              <w:spacing w:after="0" w:line="360" w:lineRule="auto"/>
              <w:ind w:firstLineChars="100" w:firstLine="241"/>
              <w:jc w:val="both"/>
              <w:rPr>
                <w:rFonts w:ascii="Arial" w:eastAsia="Times New Roman" w:hAnsi="Arial" w:cs="Arial"/>
                <w:b/>
                <w:bCs/>
                <w:color w:val="000000" w:themeColor="text1"/>
                <w:sz w:val="24"/>
                <w:szCs w:val="24"/>
                <w:lang w:val="en-US"/>
              </w:rPr>
            </w:pPr>
            <w:r w:rsidRPr="00851942">
              <w:rPr>
                <w:rFonts w:ascii="Arial" w:eastAsia="Times New Roman" w:hAnsi="Arial" w:cs="Arial"/>
                <w:b/>
                <w:bCs/>
                <w:color w:val="000000" w:themeColor="text1"/>
                <w:sz w:val="24"/>
                <w:szCs w:val="24"/>
              </w:rPr>
              <w:t>Year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2DE2E8C8"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50903A4"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2022</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75DD9340"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2023</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5066F503"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2024</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8D24A2F"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2025</w:t>
            </w:r>
          </w:p>
        </w:tc>
      </w:tr>
      <w:tr w:rsidR="000E70CC" w:rsidRPr="000E70CC" w14:paraId="23A7B537" w14:textId="77777777" w:rsidTr="00E17ADE">
        <w:trPr>
          <w:trHeight w:val="899"/>
        </w:trPr>
        <w:tc>
          <w:tcPr>
            <w:tcW w:w="1310" w:type="dxa"/>
            <w:tcBorders>
              <w:top w:val="nil"/>
              <w:left w:val="single" w:sz="4" w:space="0" w:color="auto"/>
              <w:bottom w:val="single" w:sz="4" w:space="0" w:color="auto"/>
              <w:right w:val="single" w:sz="4" w:space="0" w:color="auto"/>
            </w:tcBorders>
            <w:shd w:val="clear" w:color="auto" w:fill="auto"/>
            <w:vAlign w:val="center"/>
            <w:hideMark/>
          </w:tcPr>
          <w:p w14:paraId="574DC435" w14:textId="77777777" w:rsidR="00851942" w:rsidRPr="00851942" w:rsidRDefault="00851942" w:rsidP="009F365A">
            <w:pPr>
              <w:spacing w:after="0" w:line="360" w:lineRule="auto"/>
              <w:jc w:val="both"/>
              <w:rPr>
                <w:rFonts w:ascii="Arial" w:eastAsia="Times New Roman" w:hAnsi="Arial" w:cs="Arial"/>
                <w:b/>
                <w:bCs/>
                <w:color w:val="000000" w:themeColor="text1"/>
                <w:sz w:val="24"/>
                <w:szCs w:val="24"/>
                <w:lang w:val="en-US"/>
              </w:rPr>
            </w:pPr>
            <w:r w:rsidRPr="00851942">
              <w:rPr>
                <w:rFonts w:ascii="Arial" w:eastAsia="Times New Roman" w:hAnsi="Arial" w:cs="Arial"/>
                <w:b/>
                <w:bCs/>
                <w:color w:val="000000" w:themeColor="text1"/>
                <w:sz w:val="24"/>
                <w:szCs w:val="24"/>
              </w:rPr>
              <w:t>Interest Coverage Ratio</w:t>
            </w:r>
          </w:p>
        </w:tc>
        <w:tc>
          <w:tcPr>
            <w:tcW w:w="990" w:type="dxa"/>
            <w:tcBorders>
              <w:top w:val="nil"/>
              <w:left w:val="nil"/>
              <w:bottom w:val="single" w:sz="4" w:space="0" w:color="auto"/>
              <w:right w:val="single" w:sz="4" w:space="0" w:color="auto"/>
            </w:tcBorders>
            <w:shd w:val="clear" w:color="auto" w:fill="auto"/>
            <w:vAlign w:val="center"/>
            <w:hideMark/>
          </w:tcPr>
          <w:p w14:paraId="5D6D071C"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1.83</w:t>
            </w:r>
          </w:p>
        </w:tc>
        <w:tc>
          <w:tcPr>
            <w:tcW w:w="990" w:type="dxa"/>
            <w:tcBorders>
              <w:top w:val="nil"/>
              <w:left w:val="nil"/>
              <w:bottom w:val="single" w:sz="4" w:space="0" w:color="auto"/>
              <w:right w:val="single" w:sz="4" w:space="0" w:color="auto"/>
            </w:tcBorders>
            <w:shd w:val="clear" w:color="auto" w:fill="auto"/>
            <w:vAlign w:val="center"/>
            <w:hideMark/>
          </w:tcPr>
          <w:p w14:paraId="3AB69F8E"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1.29</w:t>
            </w:r>
          </w:p>
        </w:tc>
        <w:tc>
          <w:tcPr>
            <w:tcW w:w="990" w:type="dxa"/>
            <w:tcBorders>
              <w:top w:val="nil"/>
              <w:left w:val="nil"/>
              <w:bottom w:val="single" w:sz="4" w:space="0" w:color="auto"/>
              <w:right w:val="single" w:sz="4" w:space="0" w:color="auto"/>
            </w:tcBorders>
            <w:shd w:val="clear" w:color="auto" w:fill="auto"/>
            <w:vAlign w:val="center"/>
            <w:hideMark/>
          </w:tcPr>
          <w:p w14:paraId="0B13D106"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0.84</w:t>
            </w:r>
          </w:p>
        </w:tc>
        <w:tc>
          <w:tcPr>
            <w:tcW w:w="990" w:type="dxa"/>
            <w:tcBorders>
              <w:top w:val="nil"/>
              <w:left w:val="nil"/>
              <w:bottom w:val="single" w:sz="4" w:space="0" w:color="auto"/>
              <w:right w:val="single" w:sz="4" w:space="0" w:color="auto"/>
            </w:tcBorders>
            <w:shd w:val="clear" w:color="auto" w:fill="auto"/>
            <w:vAlign w:val="center"/>
            <w:hideMark/>
          </w:tcPr>
          <w:p w14:paraId="12467CC5"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0.99</w:t>
            </w:r>
          </w:p>
        </w:tc>
        <w:tc>
          <w:tcPr>
            <w:tcW w:w="990" w:type="dxa"/>
            <w:tcBorders>
              <w:top w:val="nil"/>
              <w:left w:val="nil"/>
              <w:bottom w:val="single" w:sz="4" w:space="0" w:color="auto"/>
              <w:right w:val="single" w:sz="4" w:space="0" w:color="auto"/>
            </w:tcBorders>
            <w:shd w:val="clear" w:color="auto" w:fill="auto"/>
            <w:vAlign w:val="center"/>
            <w:hideMark/>
          </w:tcPr>
          <w:p w14:paraId="352D3DC6" w14:textId="77777777" w:rsidR="00851942" w:rsidRPr="00851942" w:rsidRDefault="00851942" w:rsidP="009F365A">
            <w:pPr>
              <w:spacing w:after="0" w:line="360" w:lineRule="auto"/>
              <w:ind w:firstLineChars="100" w:firstLine="240"/>
              <w:jc w:val="both"/>
              <w:rPr>
                <w:rFonts w:ascii="Arial" w:eastAsia="Times New Roman" w:hAnsi="Arial" w:cs="Arial"/>
                <w:color w:val="000000" w:themeColor="text1"/>
                <w:sz w:val="24"/>
                <w:szCs w:val="24"/>
                <w:lang w:val="en-US"/>
              </w:rPr>
            </w:pPr>
            <w:r w:rsidRPr="00851942">
              <w:rPr>
                <w:rFonts w:ascii="Arial" w:eastAsia="Times New Roman" w:hAnsi="Arial" w:cs="Arial"/>
                <w:color w:val="000000" w:themeColor="text1"/>
                <w:sz w:val="24"/>
                <w:szCs w:val="24"/>
              </w:rPr>
              <w:t>0.83</w:t>
            </w:r>
          </w:p>
        </w:tc>
      </w:tr>
    </w:tbl>
    <w:p w14:paraId="6390AAC1" w14:textId="77777777" w:rsidR="00E17ADE" w:rsidRPr="000E70CC" w:rsidRDefault="00E17ADE" w:rsidP="005B4D35">
      <w:pPr>
        <w:shd w:val="clear" w:color="auto" w:fill="FFFFFF"/>
        <w:spacing w:before="240" w:after="240"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The interest coverage ratio of Alliance Finance PLC has eroded from 1.83 in 2021 to a low of 0.83 in 2025, suggesting that the company has been unable to pay its interest expenses sufficiently in recent years. A ratio less than 1.0 means that income from operations is less than the interest payments, which may be a sign of financial difficulties. The negative trend indicates that the company is struggling to create enough income from its core business to pay interest on their debt. If the trend continues, the company may find it difficult to service its debt obligations and will have to look into methods to improve profits or cut down on debt. Improving profitability or reducing debt is critical to avoid liquidity issues and maintain creditor confidence.</w:t>
      </w:r>
    </w:p>
    <w:p w14:paraId="25801420" w14:textId="77777777" w:rsidR="006B3296" w:rsidRPr="000E70CC" w:rsidRDefault="006B3296" w:rsidP="005B4D35">
      <w:pPr>
        <w:shd w:val="clear" w:color="auto" w:fill="FFFFFF"/>
        <w:spacing w:before="240" w:after="240" w:line="360" w:lineRule="auto"/>
        <w:jc w:val="both"/>
        <w:rPr>
          <w:rFonts w:ascii="Arial" w:eastAsia="Times New Roman" w:hAnsi="Arial" w:cs="Arial"/>
          <w:color w:val="000000" w:themeColor="text1"/>
          <w:sz w:val="24"/>
          <w:szCs w:val="24"/>
        </w:rPr>
      </w:pPr>
    </w:p>
    <w:p w14:paraId="382710D8" w14:textId="76C8FF4D" w:rsidR="00C97B39" w:rsidRPr="001B7032" w:rsidRDefault="00C97B39" w:rsidP="005B4D35">
      <w:pPr>
        <w:pStyle w:val="Heading3"/>
        <w:spacing w:line="360" w:lineRule="auto"/>
        <w:jc w:val="both"/>
        <w:rPr>
          <w:rFonts w:ascii="Arial" w:eastAsia="Times New Roman" w:hAnsi="Arial" w:cs="Arial"/>
          <w:b/>
          <w:bCs/>
        </w:rPr>
      </w:pPr>
      <w:bookmarkStart w:id="32" w:name="_Toc235653226"/>
      <w:r w:rsidRPr="001B7032">
        <w:rPr>
          <w:rFonts w:ascii="Arial" w:eastAsia="Times New Roman" w:hAnsi="Arial" w:cs="Arial"/>
          <w:b/>
          <w:bCs/>
        </w:rPr>
        <w:t>Overall Assessment</w:t>
      </w:r>
      <w:bookmarkEnd w:id="32"/>
    </w:p>
    <w:p w14:paraId="55E7459F" w14:textId="77777777" w:rsidR="001B7032" w:rsidRDefault="001B7032" w:rsidP="005B4D35">
      <w:pPr>
        <w:spacing w:line="360" w:lineRule="auto"/>
        <w:jc w:val="both"/>
        <w:rPr>
          <w:rFonts w:ascii="Arial" w:eastAsia="Times New Roman" w:hAnsi="Arial" w:cs="Arial"/>
          <w:color w:val="000000" w:themeColor="text1"/>
          <w:sz w:val="24"/>
          <w:szCs w:val="24"/>
        </w:rPr>
      </w:pPr>
    </w:p>
    <w:p w14:paraId="76FDC388" w14:textId="3F590A27" w:rsidR="00E17ADE" w:rsidRPr="00E17ADE" w:rsidRDefault="00E17ADE" w:rsidP="005B4D35">
      <w:pPr>
        <w:spacing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 xml:space="preserve">The financial performance of Alliance Finance PLC over the period of 2021-2025 showed mixed trends. The company experienced a strong recovery in 2024 with peak profitability </w:t>
      </w:r>
      <w:r w:rsidRPr="00E17ADE">
        <w:rPr>
          <w:rFonts w:ascii="Arial" w:eastAsia="Times New Roman" w:hAnsi="Arial" w:cs="Arial"/>
          <w:color w:val="000000" w:themeColor="text1"/>
          <w:sz w:val="24"/>
          <w:szCs w:val="24"/>
        </w:rPr>
        <w:lastRenderedPageBreak/>
        <w:t>indicators, but the decrease in 2023 and the slight dip in 2025 underscore the volatility of the market. The following are areas that need to be addressed:</w:t>
      </w:r>
    </w:p>
    <w:p w14:paraId="00433025" w14:textId="5BB6F8D0" w:rsidR="00E17ADE" w:rsidRPr="00E17ADE" w:rsidRDefault="00E17ADE" w:rsidP="005B4D35">
      <w:pPr>
        <w:spacing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1. </w:t>
      </w:r>
      <w:r w:rsidRPr="00E17ADE">
        <w:rPr>
          <w:rFonts w:ascii="Arial" w:eastAsia="Times New Roman" w:hAnsi="Arial" w:cs="Arial"/>
          <w:color w:val="000000" w:themeColor="text1"/>
          <w:sz w:val="24"/>
          <w:szCs w:val="24"/>
        </w:rPr>
        <w:t>Interest coverage ratio (ICR) fell from 1.83 to 0.83, meaning the company is having more trouble paying interest on its debt based on its operating income.</w:t>
      </w:r>
    </w:p>
    <w:p w14:paraId="2C9AB91C" w14:textId="3B31B59B" w:rsidR="00E17ADE" w:rsidRPr="00E17ADE" w:rsidRDefault="00E17ADE" w:rsidP="005B4D35">
      <w:pPr>
        <w:spacing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2. </w:t>
      </w:r>
      <w:r w:rsidRPr="00E17ADE">
        <w:rPr>
          <w:rFonts w:ascii="Arial" w:eastAsia="Times New Roman" w:hAnsi="Arial" w:cs="Arial"/>
          <w:color w:val="000000" w:themeColor="text1"/>
          <w:sz w:val="24"/>
          <w:szCs w:val="24"/>
        </w:rPr>
        <w:t>An increase in financial leverage from 2.72 to 4.68, reflecting a greater dependence on debt financing and thereby raising the financial risk.</w:t>
      </w:r>
    </w:p>
    <w:p w14:paraId="46BC2D75" w14:textId="0648FE6F" w:rsidR="00E17ADE" w:rsidRPr="00E17ADE" w:rsidRDefault="00E17ADE" w:rsidP="005B4D35">
      <w:pPr>
        <w:spacing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3.</w:t>
      </w:r>
      <w:r>
        <w:rPr>
          <w:rFonts w:ascii="Arial" w:eastAsia="Times New Roman" w:hAnsi="Arial" w:cs="Arial"/>
          <w:color w:val="000000" w:themeColor="text1"/>
          <w:sz w:val="24"/>
          <w:szCs w:val="24"/>
        </w:rPr>
        <w:t xml:space="preserve"> </w:t>
      </w:r>
      <w:r w:rsidRPr="00E17ADE">
        <w:rPr>
          <w:rFonts w:ascii="Arial" w:eastAsia="Times New Roman" w:hAnsi="Arial" w:cs="Arial"/>
          <w:color w:val="000000" w:themeColor="text1"/>
          <w:sz w:val="24"/>
          <w:szCs w:val="24"/>
        </w:rPr>
        <w:t>Profitability margins that are volatile, and have experienced wide swings in net profit margin and operating profit margin, indicating poor cost control and revenue management.</w:t>
      </w:r>
    </w:p>
    <w:p w14:paraId="3C28B1E7" w14:textId="269CBE3F" w:rsidR="00E17ADE" w:rsidRPr="00E17ADE" w:rsidRDefault="00E17ADE" w:rsidP="005B4D35">
      <w:pPr>
        <w:spacing w:line="360" w:lineRule="auto"/>
        <w:jc w:val="both"/>
        <w:rPr>
          <w:rFonts w:ascii="Arial" w:eastAsia="Times New Roman" w:hAnsi="Arial" w:cs="Arial"/>
          <w:color w:val="000000" w:themeColor="text1"/>
          <w:sz w:val="24"/>
          <w:szCs w:val="24"/>
        </w:rPr>
      </w:pPr>
      <w:r w:rsidRPr="00E17ADE">
        <w:rPr>
          <w:rFonts w:ascii="Arial" w:eastAsia="Times New Roman" w:hAnsi="Arial" w:cs="Arial"/>
          <w:color w:val="000000" w:themeColor="text1"/>
          <w:sz w:val="24"/>
          <w:szCs w:val="24"/>
        </w:rPr>
        <w:t>4.</w:t>
      </w:r>
      <w:r>
        <w:rPr>
          <w:rFonts w:ascii="Arial" w:eastAsia="Times New Roman" w:hAnsi="Arial" w:cs="Arial"/>
          <w:color w:val="000000" w:themeColor="text1"/>
          <w:sz w:val="24"/>
          <w:szCs w:val="24"/>
        </w:rPr>
        <w:t xml:space="preserve"> </w:t>
      </w:r>
      <w:r w:rsidRPr="00E17ADE">
        <w:rPr>
          <w:rFonts w:ascii="Arial" w:eastAsia="Times New Roman" w:hAnsi="Arial" w:cs="Arial"/>
          <w:color w:val="000000" w:themeColor="text1"/>
          <w:sz w:val="24"/>
          <w:szCs w:val="24"/>
        </w:rPr>
        <w:t>Efficient use of assets as evidenced by the steady improvement in asset turnover and fixed assets turnover, which shows improved utilization of assets.</w:t>
      </w:r>
    </w:p>
    <w:p w14:paraId="0C07A76B" w14:textId="003DC0F1" w:rsidR="00C97B39" w:rsidRPr="000E70CC" w:rsidRDefault="00E17ADE" w:rsidP="005B4D35">
      <w:pPr>
        <w:spacing w:line="360" w:lineRule="auto"/>
        <w:jc w:val="both"/>
        <w:rPr>
          <w:rFonts w:ascii="Arial" w:hAnsi="Arial" w:cs="Arial"/>
          <w:b/>
          <w:bCs/>
          <w:color w:val="000000" w:themeColor="text1"/>
          <w:sz w:val="36"/>
          <w:szCs w:val="36"/>
          <w:u w:val="single"/>
        </w:rPr>
      </w:pPr>
      <w:r w:rsidRPr="00E17ADE">
        <w:rPr>
          <w:rFonts w:ascii="Arial" w:eastAsia="Times New Roman" w:hAnsi="Arial" w:cs="Arial"/>
          <w:color w:val="000000" w:themeColor="text1"/>
          <w:sz w:val="24"/>
          <w:szCs w:val="24"/>
        </w:rPr>
        <w:t>5. Improving liquidity position in 2025 (but not yet at 2021 level) through current ratio, quick ratio and net working capital ratio.</w:t>
      </w:r>
      <w:r w:rsidR="00C97B39" w:rsidRPr="000E70CC">
        <w:rPr>
          <w:rFonts w:ascii="Arial" w:hAnsi="Arial" w:cs="Arial"/>
          <w:b/>
          <w:bCs/>
          <w:color w:val="000000" w:themeColor="text1"/>
          <w:sz w:val="36"/>
          <w:szCs w:val="36"/>
          <w:u w:val="single"/>
        </w:rPr>
        <w:br w:type="page"/>
      </w:r>
    </w:p>
    <w:p w14:paraId="1CAE7CB4" w14:textId="69F784BE" w:rsidR="00C97B39" w:rsidRDefault="00C97B39" w:rsidP="005B4D35">
      <w:pPr>
        <w:pStyle w:val="Heading2"/>
        <w:spacing w:line="360" w:lineRule="auto"/>
        <w:jc w:val="both"/>
        <w:rPr>
          <w:b/>
          <w:bCs/>
        </w:rPr>
      </w:pPr>
      <w:bookmarkStart w:id="33" w:name="_Toc235653227"/>
      <w:r w:rsidRPr="00C243C7">
        <w:rPr>
          <w:b/>
          <w:bCs/>
        </w:rPr>
        <w:lastRenderedPageBreak/>
        <w:t>Aggregate ROE Framework</w:t>
      </w:r>
      <w:bookmarkEnd w:id="33"/>
    </w:p>
    <w:p w14:paraId="57AC6C2D" w14:textId="77777777" w:rsidR="00C243C7" w:rsidRPr="00C243C7" w:rsidRDefault="00C243C7" w:rsidP="005B4D35">
      <w:pPr>
        <w:spacing w:line="360" w:lineRule="auto"/>
        <w:jc w:val="both"/>
      </w:pPr>
    </w:p>
    <w:p w14:paraId="7C6B1D4B" w14:textId="0CBEDD8E" w:rsidR="008F64FA" w:rsidRPr="00C243C7" w:rsidRDefault="008F64FA" w:rsidP="005B4D35">
      <w:pPr>
        <w:pStyle w:val="Heading3"/>
        <w:spacing w:line="360" w:lineRule="auto"/>
        <w:jc w:val="both"/>
        <w:rPr>
          <w:rFonts w:ascii="Arial" w:eastAsia="Times New Roman" w:hAnsi="Arial" w:cs="Arial"/>
          <w:b/>
          <w:bCs/>
          <w:lang w:val="en-US"/>
        </w:rPr>
      </w:pPr>
      <w:bookmarkStart w:id="34" w:name="_Toc235653228"/>
      <w:r w:rsidRPr="00C243C7">
        <w:rPr>
          <w:rFonts w:ascii="Arial" w:hAnsi="Arial" w:cs="Arial"/>
          <w:b/>
          <w:bCs/>
        </w:rPr>
        <w:t>Return on Equity (ROE) Decomposition</w:t>
      </w:r>
      <w:bookmarkEnd w:id="34"/>
    </w:p>
    <w:p w14:paraId="1163014A" w14:textId="77777777" w:rsidR="00E17ADE" w:rsidRPr="00E17ADE" w:rsidRDefault="00E17ADE" w:rsidP="005B4D35">
      <w:pPr>
        <w:pStyle w:val="ds-markdown-paragraph"/>
        <w:shd w:val="clear" w:color="auto" w:fill="FFFFFF"/>
        <w:spacing w:before="240" w:after="240" w:line="360" w:lineRule="auto"/>
        <w:jc w:val="both"/>
        <w:rPr>
          <w:rFonts w:ascii="Arial" w:hAnsi="Arial" w:cs="Arial"/>
          <w:color w:val="000000" w:themeColor="text1"/>
        </w:rPr>
      </w:pPr>
      <w:r w:rsidRPr="00E17ADE">
        <w:rPr>
          <w:rFonts w:ascii="Arial" w:hAnsi="Arial" w:cs="Arial"/>
          <w:color w:val="000000" w:themeColor="text1"/>
        </w:rPr>
        <w:t>Return on Equity (ROE) is an overall indicator of the performance of a company that shows the extent to which management is using shareholders' funds to earn net income. It is a measure of overall profitability from the shareholders' point of view and indicates the efficiency of the conversion of equity capital into profit. The higher the ROE, the better the performance of the business, the more effective the financial leverage, and the more effective the management decision making. Conversely, a negative ROE can signal increased costs, decreased margins, or too much leverage being used without a commensurate increase in profitability.</w:t>
      </w:r>
    </w:p>
    <w:p w14:paraId="09561B3B" w14:textId="77777777" w:rsidR="00442E71" w:rsidRDefault="00E17ADE"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E17ADE">
        <w:rPr>
          <w:rFonts w:ascii="Arial" w:hAnsi="Arial" w:cs="Arial"/>
          <w:color w:val="000000" w:themeColor="text1"/>
        </w:rPr>
        <w:t>The first break down of ROE is into two parts: Return on Assets (ROA) which reflects how effectively the company is using its assets to create profit; and the Equity Multiplier (EM), which indicates the extent of financial leverage used by the company.</w:t>
      </w:r>
    </w:p>
    <w:p w14:paraId="0B0DAE10" w14:textId="6C7616D0"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Equation 1: Return on Equity (ROE)</w:t>
      </w:r>
    </w:p>
    <w:p w14:paraId="26DB4433"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ROE = ROA × EM</w:t>
      </w:r>
    </w:p>
    <w:p w14:paraId="44D42EB2"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Equation 2: Expanded ROE</w:t>
      </w:r>
    </w:p>
    <w:p w14:paraId="1B103829"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ROE = (Net Profit / Total Assets) × (Total Assets / Total Equity)</w:t>
      </w:r>
    </w:p>
    <w:p w14:paraId="58473A09"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Style w:val="Strong"/>
          <w:rFonts w:ascii="Arial" w:eastAsiaTheme="majorEastAsia" w:hAnsi="Arial" w:cs="Arial"/>
          <w:color w:val="000000" w:themeColor="text1"/>
        </w:rPr>
        <w:t>Table 1: Return on Equity and Its Components (2021-2025)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83"/>
        <w:gridCol w:w="1692"/>
        <w:gridCol w:w="1691"/>
        <w:gridCol w:w="1691"/>
        <w:gridCol w:w="1691"/>
        <w:gridCol w:w="1502"/>
      </w:tblGrid>
      <w:tr w:rsidR="000E70CC" w:rsidRPr="000E70CC" w14:paraId="491A9947" w14:textId="77777777" w:rsidTr="006B3296">
        <w:trPr>
          <w:tblHeader/>
        </w:trPr>
        <w:tc>
          <w:tcPr>
            <w:tcW w:w="0" w:type="auto"/>
            <w:tcMar>
              <w:top w:w="150" w:type="dxa"/>
              <w:left w:w="0" w:type="dxa"/>
              <w:bottom w:w="150" w:type="dxa"/>
              <w:right w:w="240" w:type="dxa"/>
            </w:tcMar>
            <w:vAlign w:val="center"/>
            <w:hideMark/>
          </w:tcPr>
          <w:p w14:paraId="3F8A4D80" w14:textId="3501A74D" w:rsidR="008F64FA" w:rsidRPr="000E70CC" w:rsidRDefault="006B3296"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Year</w:t>
            </w:r>
          </w:p>
        </w:tc>
        <w:tc>
          <w:tcPr>
            <w:tcW w:w="0" w:type="auto"/>
            <w:tcMar>
              <w:top w:w="150" w:type="dxa"/>
              <w:left w:w="240" w:type="dxa"/>
              <w:bottom w:w="150" w:type="dxa"/>
              <w:right w:w="240" w:type="dxa"/>
            </w:tcMar>
            <w:vAlign w:val="center"/>
            <w:hideMark/>
          </w:tcPr>
          <w:p w14:paraId="37CC065C"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291CCF9D"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51558BDB"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59E337E2"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7CE3C572"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2025</w:t>
            </w:r>
          </w:p>
        </w:tc>
      </w:tr>
      <w:tr w:rsidR="000E70CC" w:rsidRPr="000E70CC" w14:paraId="5645F1FD" w14:textId="77777777" w:rsidTr="006B3296">
        <w:tc>
          <w:tcPr>
            <w:tcW w:w="0" w:type="auto"/>
            <w:tcMar>
              <w:top w:w="150" w:type="dxa"/>
              <w:left w:w="0" w:type="dxa"/>
              <w:bottom w:w="150" w:type="dxa"/>
              <w:right w:w="240" w:type="dxa"/>
            </w:tcMar>
            <w:vAlign w:val="center"/>
            <w:hideMark/>
          </w:tcPr>
          <w:p w14:paraId="1C77242B"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Net Profit (A)</w:t>
            </w:r>
          </w:p>
        </w:tc>
        <w:tc>
          <w:tcPr>
            <w:tcW w:w="0" w:type="auto"/>
            <w:tcMar>
              <w:top w:w="150" w:type="dxa"/>
              <w:left w:w="240" w:type="dxa"/>
              <w:bottom w:w="150" w:type="dxa"/>
              <w:right w:w="240" w:type="dxa"/>
            </w:tcMar>
            <w:vAlign w:val="center"/>
            <w:hideMark/>
          </w:tcPr>
          <w:p w14:paraId="21B3444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58,553,922</w:t>
            </w:r>
          </w:p>
        </w:tc>
        <w:tc>
          <w:tcPr>
            <w:tcW w:w="0" w:type="auto"/>
            <w:tcMar>
              <w:top w:w="150" w:type="dxa"/>
              <w:left w:w="240" w:type="dxa"/>
              <w:bottom w:w="150" w:type="dxa"/>
              <w:right w:w="240" w:type="dxa"/>
            </w:tcMar>
            <w:vAlign w:val="center"/>
            <w:hideMark/>
          </w:tcPr>
          <w:p w14:paraId="754E927B"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51,823,592</w:t>
            </w:r>
          </w:p>
        </w:tc>
        <w:tc>
          <w:tcPr>
            <w:tcW w:w="0" w:type="auto"/>
            <w:tcMar>
              <w:top w:w="150" w:type="dxa"/>
              <w:left w:w="240" w:type="dxa"/>
              <w:bottom w:w="150" w:type="dxa"/>
              <w:right w:w="240" w:type="dxa"/>
            </w:tcMar>
            <w:vAlign w:val="center"/>
            <w:hideMark/>
          </w:tcPr>
          <w:p w14:paraId="62567836"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24,403,970</w:t>
            </w:r>
          </w:p>
        </w:tc>
        <w:tc>
          <w:tcPr>
            <w:tcW w:w="0" w:type="auto"/>
            <w:tcMar>
              <w:top w:w="150" w:type="dxa"/>
              <w:left w:w="240" w:type="dxa"/>
              <w:bottom w:w="150" w:type="dxa"/>
              <w:right w:w="240" w:type="dxa"/>
            </w:tcMar>
            <w:vAlign w:val="center"/>
            <w:hideMark/>
          </w:tcPr>
          <w:p w14:paraId="2A4E8F7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83,412,917</w:t>
            </w:r>
          </w:p>
        </w:tc>
        <w:tc>
          <w:tcPr>
            <w:tcW w:w="0" w:type="auto"/>
            <w:tcMar>
              <w:top w:w="150" w:type="dxa"/>
              <w:left w:w="240" w:type="dxa"/>
              <w:bottom w:w="150" w:type="dxa"/>
              <w:right w:w="0" w:type="dxa"/>
            </w:tcMar>
            <w:vAlign w:val="center"/>
            <w:hideMark/>
          </w:tcPr>
          <w:p w14:paraId="22E214D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70,407,066</w:t>
            </w:r>
          </w:p>
        </w:tc>
      </w:tr>
      <w:tr w:rsidR="000E70CC" w:rsidRPr="000E70CC" w14:paraId="27D23ABB" w14:textId="77777777" w:rsidTr="006B3296">
        <w:tc>
          <w:tcPr>
            <w:tcW w:w="0" w:type="auto"/>
            <w:tcMar>
              <w:top w:w="150" w:type="dxa"/>
              <w:left w:w="0" w:type="dxa"/>
              <w:bottom w:w="150" w:type="dxa"/>
              <w:right w:w="240" w:type="dxa"/>
            </w:tcMar>
            <w:vAlign w:val="center"/>
            <w:hideMark/>
          </w:tcPr>
          <w:p w14:paraId="5461631B"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lastRenderedPageBreak/>
              <w:t>Total Assets (B)</w:t>
            </w:r>
          </w:p>
        </w:tc>
        <w:tc>
          <w:tcPr>
            <w:tcW w:w="0" w:type="auto"/>
            <w:tcMar>
              <w:top w:w="150" w:type="dxa"/>
              <w:left w:w="240" w:type="dxa"/>
              <w:bottom w:w="150" w:type="dxa"/>
              <w:right w:w="240" w:type="dxa"/>
            </w:tcMar>
            <w:vAlign w:val="center"/>
            <w:hideMark/>
          </w:tcPr>
          <w:p w14:paraId="3723E7B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3,464,297,779</w:t>
            </w:r>
          </w:p>
        </w:tc>
        <w:tc>
          <w:tcPr>
            <w:tcW w:w="0" w:type="auto"/>
            <w:tcMar>
              <w:top w:w="150" w:type="dxa"/>
              <w:left w:w="240" w:type="dxa"/>
              <w:bottom w:w="150" w:type="dxa"/>
              <w:right w:w="240" w:type="dxa"/>
            </w:tcMar>
            <w:vAlign w:val="center"/>
            <w:hideMark/>
          </w:tcPr>
          <w:p w14:paraId="777E0AD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4,219,336,791</w:t>
            </w:r>
          </w:p>
        </w:tc>
        <w:tc>
          <w:tcPr>
            <w:tcW w:w="0" w:type="auto"/>
            <w:tcMar>
              <w:top w:w="150" w:type="dxa"/>
              <w:left w:w="240" w:type="dxa"/>
              <w:bottom w:w="150" w:type="dxa"/>
              <w:right w:w="240" w:type="dxa"/>
            </w:tcMar>
            <w:vAlign w:val="center"/>
            <w:hideMark/>
          </w:tcPr>
          <w:p w14:paraId="39729107"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5,153,187,712</w:t>
            </w:r>
          </w:p>
        </w:tc>
        <w:tc>
          <w:tcPr>
            <w:tcW w:w="0" w:type="auto"/>
            <w:tcMar>
              <w:top w:w="150" w:type="dxa"/>
              <w:left w:w="240" w:type="dxa"/>
              <w:bottom w:w="150" w:type="dxa"/>
              <w:right w:w="240" w:type="dxa"/>
            </w:tcMar>
            <w:vAlign w:val="center"/>
            <w:hideMark/>
          </w:tcPr>
          <w:p w14:paraId="7B3298EC"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5,654,442,716</w:t>
            </w:r>
          </w:p>
        </w:tc>
        <w:tc>
          <w:tcPr>
            <w:tcW w:w="0" w:type="auto"/>
            <w:tcMar>
              <w:top w:w="150" w:type="dxa"/>
              <w:left w:w="240" w:type="dxa"/>
              <w:bottom w:w="150" w:type="dxa"/>
              <w:right w:w="0" w:type="dxa"/>
            </w:tcMar>
            <w:vAlign w:val="center"/>
            <w:hideMark/>
          </w:tcPr>
          <w:p w14:paraId="5F219EB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6,292,493,598</w:t>
            </w:r>
          </w:p>
        </w:tc>
      </w:tr>
      <w:tr w:rsidR="000E70CC" w:rsidRPr="000E70CC" w14:paraId="6B9196B5" w14:textId="77777777" w:rsidTr="006B3296">
        <w:tc>
          <w:tcPr>
            <w:tcW w:w="0" w:type="auto"/>
            <w:tcMar>
              <w:top w:w="150" w:type="dxa"/>
              <w:left w:w="0" w:type="dxa"/>
              <w:bottom w:w="150" w:type="dxa"/>
              <w:right w:w="240" w:type="dxa"/>
            </w:tcMar>
            <w:vAlign w:val="center"/>
            <w:hideMark/>
          </w:tcPr>
          <w:p w14:paraId="4723DB85"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Total Equity (C)</w:t>
            </w:r>
          </w:p>
        </w:tc>
        <w:tc>
          <w:tcPr>
            <w:tcW w:w="0" w:type="auto"/>
            <w:tcMar>
              <w:top w:w="150" w:type="dxa"/>
              <w:left w:w="240" w:type="dxa"/>
              <w:bottom w:w="150" w:type="dxa"/>
              <w:right w:w="240" w:type="dxa"/>
            </w:tcMar>
            <w:vAlign w:val="center"/>
            <w:hideMark/>
          </w:tcPr>
          <w:p w14:paraId="45A9510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1,272,950,964</w:t>
            </w:r>
          </w:p>
        </w:tc>
        <w:tc>
          <w:tcPr>
            <w:tcW w:w="0" w:type="auto"/>
            <w:tcMar>
              <w:top w:w="150" w:type="dxa"/>
              <w:left w:w="240" w:type="dxa"/>
              <w:bottom w:w="150" w:type="dxa"/>
              <w:right w:w="240" w:type="dxa"/>
            </w:tcMar>
            <w:vAlign w:val="center"/>
            <w:hideMark/>
          </w:tcPr>
          <w:p w14:paraId="0B95B5D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1,274,774,556</w:t>
            </w:r>
          </w:p>
        </w:tc>
        <w:tc>
          <w:tcPr>
            <w:tcW w:w="0" w:type="auto"/>
            <w:tcMar>
              <w:top w:w="150" w:type="dxa"/>
              <w:left w:w="240" w:type="dxa"/>
              <w:bottom w:w="150" w:type="dxa"/>
              <w:right w:w="240" w:type="dxa"/>
            </w:tcMar>
            <w:vAlign w:val="center"/>
            <w:hideMark/>
          </w:tcPr>
          <w:p w14:paraId="096C984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1,249,359,906</w:t>
            </w:r>
          </w:p>
        </w:tc>
        <w:tc>
          <w:tcPr>
            <w:tcW w:w="0" w:type="auto"/>
            <w:tcMar>
              <w:top w:w="150" w:type="dxa"/>
              <w:left w:w="240" w:type="dxa"/>
              <w:bottom w:w="150" w:type="dxa"/>
              <w:right w:w="240" w:type="dxa"/>
            </w:tcMar>
            <w:vAlign w:val="center"/>
            <w:hideMark/>
          </w:tcPr>
          <w:p w14:paraId="26197EC2"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1,332,772,823</w:t>
            </w:r>
          </w:p>
        </w:tc>
        <w:tc>
          <w:tcPr>
            <w:tcW w:w="0" w:type="auto"/>
            <w:tcMar>
              <w:top w:w="150" w:type="dxa"/>
              <w:left w:w="240" w:type="dxa"/>
              <w:bottom w:w="150" w:type="dxa"/>
              <w:right w:w="0" w:type="dxa"/>
            </w:tcMar>
            <w:vAlign w:val="center"/>
            <w:hideMark/>
          </w:tcPr>
          <w:p w14:paraId="3B209219"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1,345,429,890</w:t>
            </w:r>
          </w:p>
        </w:tc>
      </w:tr>
      <w:tr w:rsidR="000E70CC" w:rsidRPr="000E70CC" w14:paraId="4BDAF119" w14:textId="77777777" w:rsidTr="006B3296">
        <w:tc>
          <w:tcPr>
            <w:tcW w:w="0" w:type="auto"/>
            <w:tcMar>
              <w:top w:w="150" w:type="dxa"/>
              <w:left w:w="0" w:type="dxa"/>
              <w:bottom w:w="150" w:type="dxa"/>
              <w:right w:w="240" w:type="dxa"/>
            </w:tcMar>
            <w:vAlign w:val="center"/>
            <w:hideMark/>
          </w:tcPr>
          <w:p w14:paraId="4B4F7E7C"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ROA (A/B)</w:t>
            </w:r>
          </w:p>
        </w:tc>
        <w:tc>
          <w:tcPr>
            <w:tcW w:w="0" w:type="auto"/>
            <w:tcMar>
              <w:top w:w="150" w:type="dxa"/>
              <w:left w:w="240" w:type="dxa"/>
              <w:bottom w:w="150" w:type="dxa"/>
              <w:right w:w="240" w:type="dxa"/>
            </w:tcMar>
            <w:vAlign w:val="center"/>
            <w:hideMark/>
          </w:tcPr>
          <w:p w14:paraId="43B44811"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1.69%</w:t>
            </w:r>
          </w:p>
        </w:tc>
        <w:tc>
          <w:tcPr>
            <w:tcW w:w="0" w:type="auto"/>
            <w:tcMar>
              <w:top w:w="150" w:type="dxa"/>
              <w:left w:w="240" w:type="dxa"/>
              <w:bottom w:w="150" w:type="dxa"/>
              <w:right w:w="240" w:type="dxa"/>
            </w:tcMar>
            <w:vAlign w:val="center"/>
            <w:hideMark/>
          </w:tcPr>
          <w:p w14:paraId="763D9907"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1.23%</w:t>
            </w:r>
          </w:p>
        </w:tc>
        <w:tc>
          <w:tcPr>
            <w:tcW w:w="0" w:type="auto"/>
            <w:tcMar>
              <w:top w:w="150" w:type="dxa"/>
              <w:left w:w="240" w:type="dxa"/>
              <w:bottom w:w="150" w:type="dxa"/>
              <w:right w:w="240" w:type="dxa"/>
            </w:tcMar>
            <w:vAlign w:val="center"/>
            <w:hideMark/>
          </w:tcPr>
          <w:p w14:paraId="34248E1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0.47%</w:t>
            </w:r>
          </w:p>
        </w:tc>
        <w:tc>
          <w:tcPr>
            <w:tcW w:w="0" w:type="auto"/>
            <w:tcMar>
              <w:top w:w="150" w:type="dxa"/>
              <w:left w:w="240" w:type="dxa"/>
              <w:bottom w:w="150" w:type="dxa"/>
              <w:right w:w="240" w:type="dxa"/>
            </w:tcMar>
            <w:vAlign w:val="center"/>
            <w:hideMark/>
          </w:tcPr>
          <w:p w14:paraId="796CD00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1.48%</w:t>
            </w:r>
          </w:p>
        </w:tc>
        <w:tc>
          <w:tcPr>
            <w:tcW w:w="0" w:type="auto"/>
            <w:tcMar>
              <w:top w:w="150" w:type="dxa"/>
              <w:left w:w="240" w:type="dxa"/>
              <w:bottom w:w="150" w:type="dxa"/>
              <w:right w:w="0" w:type="dxa"/>
            </w:tcMar>
            <w:vAlign w:val="center"/>
            <w:hideMark/>
          </w:tcPr>
          <w:p w14:paraId="5E750F5B"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1.12%</w:t>
            </w:r>
          </w:p>
        </w:tc>
      </w:tr>
      <w:tr w:rsidR="000E70CC" w:rsidRPr="000E70CC" w14:paraId="1CE8A40C" w14:textId="77777777" w:rsidTr="006B3296">
        <w:tc>
          <w:tcPr>
            <w:tcW w:w="0" w:type="auto"/>
            <w:tcMar>
              <w:top w:w="150" w:type="dxa"/>
              <w:left w:w="0" w:type="dxa"/>
              <w:bottom w:w="150" w:type="dxa"/>
              <w:right w:w="240" w:type="dxa"/>
            </w:tcMar>
            <w:vAlign w:val="center"/>
            <w:hideMark/>
          </w:tcPr>
          <w:p w14:paraId="29601A29"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Equity Multiplier (B/C)</w:t>
            </w:r>
          </w:p>
        </w:tc>
        <w:tc>
          <w:tcPr>
            <w:tcW w:w="0" w:type="auto"/>
            <w:tcMar>
              <w:top w:w="150" w:type="dxa"/>
              <w:left w:w="240" w:type="dxa"/>
              <w:bottom w:w="150" w:type="dxa"/>
              <w:right w:w="240" w:type="dxa"/>
            </w:tcMar>
            <w:vAlign w:val="center"/>
            <w:hideMark/>
          </w:tcPr>
          <w:p w14:paraId="66D854B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2.72</w:t>
            </w:r>
          </w:p>
        </w:tc>
        <w:tc>
          <w:tcPr>
            <w:tcW w:w="0" w:type="auto"/>
            <w:tcMar>
              <w:top w:w="150" w:type="dxa"/>
              <w:left w:w="240" w:type="dxa"/>
              <w:bottom w:w="150" w:type="dxa"/>
              <w:right w:w="240" w:type="dxa"/>
            </w:tcMar>
            <w:vAlign w:val="center"/>
            <w:hideMark/>
          </w:tcPr>
          <w:p w14:paraId="14369E57"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3.31</w:t>
            </w:r>
          </w:p>
        </w:tc>
        <w:tc>
          <w:tcPr>
            <w:tcW w:w="0" w:type="auto"/>
            <w:tcMar>
              <w:top w:w="150" w:type="dxa"/>
              <w:left w:w="240" w:type="dxa"/>
              <w:bottom w:w="150" w:type="dxa"/>
              <w:right w:w="240" w:type="dxa"/>
            </w:tcMar>
            <w:vAlign w:val="center"/>
            <w:hideMark/>
          </w:tcPr>
          <w:p w14:paraId="0E652961"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4.12</w:t>
            </w:r>
          </w:p>
        </w:tc>
        <w:tc>
          <w:tcPr>
            <w:tcW w:w="0" w:type="auto"/>
            <w:tcMar>
              <w:top w:w="150" w:type="dxa"/>
              <w:left w:w="240" w:type="dxa"/>
              <w:bottom w:w="150" w:type="dxa"/>
              <w:right w:w="240" w:type="dxa"/>
            </w:tcMar>
            <w:vAlign w:val="center"/>
            <w:hideMark/>
          </w:tcPr>
          <w:p w14:paraId="59F1237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4.24</w:t>
            </w:r>
          </w:p>
        </w:tc>
        <w:tc>
          <w:tcPr>
            <w:tcW w:w="0" w:type="auto"/>
            <w:tcMar>
              <w:top w:w="150" w:type="dxa"/>
              <w:left w:w="240" w:type="dxa"/>
              <w:bottom w:w="150" w:type="dxa"/>
              <w:right w:w="0" w:type="dxa"/>
            </w:tcMar>
            <w:vAlign w:val="center"/>
            <w:hideMark/>
          </w:tcPr>
          <w:p w14:paraId="12E9582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4.68</w:t>
            </w:r>
          </w:p>
        </w:tc>
      </w:tr>
      <w:tr w:rsidR="000E70CC" w:rsidRPr="000E70CC" w14:paraId="78BCD1F6" w14:textId="77777777" w:rsidTr="006B3296">
        <w:tc>
          <w:tcPr>
            <w:tcW w:w="0" w:type="auto"/>
            <w:tcMar>
              <w:top w:w="150" w:type="dxa"/>
              <w:left w:w="0" w:type="dxa"/>
              <w:bottom w:w="150" w:type="dxa"/>
              <w:right w:w="240" w:type="dxa"/>
            </w:tcMar>
            <w:vAlign w:val="center"/>
            <w:hideMark/>
          </w:tcPr>
          <w:p w14:paraId="23EA10D7"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ROE (A/C)</w:t>
            </w:r>
          </w:p>
        </w:tc>
        <w:tc>
          <w:tcPr>
            <w:tcW w:w="0" w:type="auto"/>
            <w:tcMar>
              <w:top w:w="150" w:type="dxa"/>
              <w:left w:w="240" w:type="dxa"/>
              <w:bottom w:w="150" w:type="dxa"/>
              <w:right w:w="240" w:type="dxa"/>
            </w:tcMar>
            <w:vAlign w:val="center"/>
            <w:hideMark/>
          </w:tcPr>
          <w:p w14:paraId="6594CF96"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4.60%</w:t>
            </w:r>
          </w:p>
        </w:tc>
        <w:tc>
          <w:tcPr>
            <w:tcW w:w="0" w:type="auto"/>
            <w:tcMar>
              <w:top w:w="150" w:type="dxa"/>
              <w:left w:w="240" w:type="dxa"/>
              <w:bottom w:w="150" w:type="dxa"/>
              <w:right w:w="240" w:type="dxa"/>
            </w:tcMar>
            <w:vAlign w:val="center"/>
            <w:hideMark/>
          </w:tcPr>
          <w:p w14:paraId="18EC9246"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4.07%</w:t>
            </w:r>
          </w:p>
        </w:tc>
        <w:tc>
          <w:tcPr>
            <w:tcW w:w="0" w:type="auto"/>
            <w:tcMar>
              <w:top w:w="150" w:type="dxa"/>
              <w:left w:w="240" w:type="dxa"/>
              <w:bottom w:w="150" w:type="dxa"/>
              <w:right w:w="240" w:type="dxa"/>
            </w:tcMar>
            <w:vAlign w:val="center"/>
            <w:hideMark/>
          </w:tcPr>
          <w:p w14:paraId="46B446AB"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1.95%</w:t>
            </w:r>
          </w:p>
        </w:tc>
        <w:tc>
          <w:tcPr>
            <w:tcW w:w="0" w:type="auto"/>
            <w:tcMar>
              <w:top w:w="150" w:type="dxa"/>
              <w:left w:w="240" w:type="dxa"/>
              <w:bottom w:w="150" w:type="dxa"/>
              <w:right w:w="240" w:type="dxa"/>
            </w:tcMar>
            <w:vAlign w:val="center"/>
            <w:hideMark/>
          </w:tcPr>
          <w:p w14:paraId="0D07F3A7"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6.26%</w:t>
            </w:r>
          </w:p>
        </w:tc>
        <w:tc>
          <w:tcPr>
            <w:tcW w:w="0" w:type="auto"/>
            <w:tcMar>
              <w:top w:w="150" w:type="dxa"/>
              <w:left w:w="240" w:type="dxa"/>
              <w:bottom w:w="150" w:type="dxa"/>
              <w:right w:w="0" w:type="dxa"/>
            </w:tcMar>
            <w:vAlign w:val="center"/>
            <w:hideMark/>
          </w:tcPr>
          <w:p w14:paraId="051B05DE"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5.23%</w:t>
            </w:r>
          </w:p>
        </w:tc>
      </w:tr>
    </w:tbl>
    <w:p w14:paraId="4552684C" w14:textId="0577FEA2" w:rsidR="00E17ADE" w:rsidRPr="00E17ADE" w:rsidRDefault="00E17ADE" w:rsidP="005B4D35">
      <w:pPr>
        <w:spacing w:before="480" w:after="480" w:line="360" w:lineRule="auto"/>
        <w:jc w:val="both"/>
        <w:rPr>
          <w:rFonts w:ascii="Arial" w:eastAsia="Times New Roman" w:hAnsi="Arial" w:cs="Arial"/>
          <w:color w:val="000000" w:themeColor="text1"/>
          <w:sz w:val="24"/>
          <w:szCs w:val="24"/>
          <w:lang w:val="en-US"/>
        </w:rPr>
      </w:pPr>
      <w:r w:rsidRPr="00E17ADE">
        <w:rPr>
          <w:rFonts w:ascii="Arial" w:eastAsia="Times New Roman" w:hAnsi="Arial" w:cs="Arial"/>
          <w:color w:val="000000" w:themeColor="text1"/>
          <w:sz w:val="24"/>
          <w:szCs w:val="24"/>
          <w:lang w:val="en-US"/>
        </w:rPr>
        <w:t xml:space="preserve">There is a lot of volatility in the ROE trend over the 5-year period. ROE was 4.60% in 2021 and dropped to 4.07% in 2022, and then fell to 1.95% in 2023, reflecting a slower growth in profits than in equity. There was a strong recovery in 2024 (6.26%) as asset profitability improved. But this was followed by a deceleration to 5.23% in 2025. The equity multiplier has been steadily rising from 2.72 in 2021 to 4.68 in 2025, reflecting a growing level of financial leverage which magnifies returns and risks. It is evident from the data that the effectiveness of the firm's leverage varied in different time periods, and this </w:t>
      </w:r>
      <w:r w:rsidRPr="00E17ADE">
        <w:rPr>
          <w:rFonts w:ascii="Arial" w:eastAsia="Times New Roman" w:hAnsi="Arial" w:cs="Arial"/>
          <w:color w:val="000000" w:themeColor="text1"/>
          <w:sz w:val="24"/>
          <w:szCs w:val="24"/>
          <w:lang w:val="en-US"/>
        </w:rPr>
        <w:lastRenderedPageBreak/>
        <w:t>implies that the financial leverage must be appropriately balanced with the earnings performance in order to achieve sustainable ROE.</w:t>
      </w:r>
    </w:p>
    <w:p w14:paraId="798B2139" w14:textId="7854B668" w:rsidR="008F64FA" w:rsidRPr="00442E71" w:rsidRDefault="008F64FA" w:rsidP="005B4D35">
      <w:pPr>
        <w:pStyle w:val="Heading3"/>
        <w:spacing w:line="360" w:lineRule="auto"/>
        <w:jc w:val="both"/>
        <w:rPr>
          <w:rFonts w:ascii="Arial" w:hAnsi="Arial" w:cs="Arial"/>
          <w:b/>
          <w:bCs/>
        </w:rPr>
      </w:pPr>
      <w:bookmarkStart w:id="35" w:name="_Toc235653229"/>
      <w:r w:rsidRPr="00442E71">
        <w:rPr>
          <w:rFonts w:ascii="Arial" w:hAnsi="Arial" w:cs="Arial"/>
          <w:b/>
          <w:bCs/>
        </w:rPr>
        <w:t>Net Profit Equation and ROA Transformation</w:t>
      </w:r>
      <w:bookmarkEnd w:id="35"/>
    </w:p>
    <w:p w14:paraId="4E639E4D" w14:textId="77777777" w:rsidR="00E17ADE" w:rsidRPr="00E17ADE" w:rsidRDefault="00E17ADE" w:rsidP="005B4D35">
      <w:pPr>
        <w:pStyle w:val="ds-markdown-paragraph"/>
        <w:shd w:val="clear" w:color="auto" w:fill="FFFFFF"/>
        <w:spacing w:before="240" w:after="240" w:line="360" w:lineRule="auto"/>
        <w:jc w:val="both"/>
        <w:rPr>
          <w:rFonts w:ascii="Arial" w:hAnsi="Arial" w:cs="Arial"/>
          <w:color w:val="000000" w:themeColor="text1"/>
        </w:rPr>
      </w:pPr>
      <w:r w:rsidRPr="00E17ADE">
        <w:rPr>
          <w:rFonts w:ascii="Arial" w:hAnsi="Arial" w:cs="Arial"/>
          <w:color w:val="000000" w:themeColor="text1"/>
        </w:rPr>
        <w:t>Return on Assets (ROA) is a measure of how effectively a company is using their assets to create a net income. It reflects the impact of operational management and asset allocation decisions. An increase in ROA means the company is using its assets effectively to make a profit, and a decrease in ROA could indicate inefficiency, rising costs, or falling revenue.</w:t>
      </w:r>
    </w:p>
    <w:p w14:paraId="67F4F782" w14:textId="77777777" w:rsidR="00E17ADE" w:rsidRDefault="00E17ADE"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E17ADE">
        <w:rPr>
          <w:rFonts w:ascii="Arial" w:hAnsi="Arial" w:cs="Arial"/>
          <w:color w:val="000000" w:themeColor="text1"/>
        </w:rPr>
        <w:t>The basic net profit equation is the foundation for understanding what contributes to ROA. Net Profit is the final profit once all expenses have been subtracted from total revenue. If we divide each term of this equation by Total Assets, we will convert the absolute amounts into ratios that can be compared from year to year and from company to company, and we will see the efficiency of the firm.</w:t>
      </w:r>
    </w:p>
    <w:p w14:paraId="162F4E8B" w14:textId="0F0C5A68"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Equation 3: Net Profit Equation</w:t>
      </w:r>
    </w:p>
    <w:p w14:paraId="2FE4ED1C"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Net Profit = Total Revenue - Total Expenses</w:t>
      </w:r>
    </w:p>
    <w:p w14:paraId="7C691100"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Equation 4: ROA Transformation (Dividing by Total Assets)</w:t>
      </w:r>
    </w:p>
    <w:p w14:paraId="65BE384A"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Net Profit / Total Assets = (Total Revenue / Total Assets) - (Total Expenses / Total Assets)</w:t>
      </w:r>
    </w:p>
    <w:p w14:paraId="4D82627F"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Equation 5: ROA Expressed in Ratio Form</w:t>
      </w:r>
    </w:p>
    <w:p w14:paraId="1E098665"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ROA = Asset Utilization Ratio - Expense Ratio</w:t>
      </w:r>
    </w:p>
    <w:p w14:paraId="6E758583"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Table 2: ROA Decomposition into Revenue and Expense Ratios (2021-2025)</w:t>
      </w:r>
    </w:p>
    <w:tbl>
      <w:tblPr>
        <w:tblW w:w="0" w:type="auto"/>
        <w:tblCellMar>
          <w:top w:w="15" w:type="dxa"/>
          <w:left w:w="15" w:type="dxa"/>
          <w:bottom w:w="15" w:type="dxa"/>
          <w:right w:w="15" w:type="dxa"/>
        </w:tblCellMar>
        <w:tblLook w:val="04A0" w:firstRow="1" w:lastRow="0" w:firstColumn="1" w:lastColumn="0" w:noHBand="0" w:noVBand="1"/>
      </w:tblPr>
      <w:tblGrid>
        <w:gridCol w:w="3519"/>
        <w:gridCol w:w="1161"/>
        <w:gridCol w:w="1161"/>
        <w:gridCol w:w="1161"/>
        <w:gridCol w:w="1294"/>
        <w:gridCol w:w="1054"/>
      </w:tblGrid>
      <w:tr w:rsidR="000E70CC" w:rsidRPr="000E70CC" w14:paraId="5B3DDC70" w14:textId="77777777" w:rsidTr="006B3296">
        <w:trPr>
          <w:tblHeader/>
        </w:trPr>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14:paraId="2D8FF4F7" w14:textId="14AED519" w:rsidR="008F64FA" w:rsidRPr="000E70CC" w:rsidRDefault="006B3296"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lastRenderedPageBreak/>
              <w:t>Year</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6B583AC"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2021</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C890C16"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2022</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0A1A772"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4A19934"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67F4319"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2025</w:t>
            </w:r>
          </w:p>
        </w:tc>
      </w:tr>
      <w:tr w:rsidR="000E70CC" w:rsidRPr="000E70CC" w14:paraId="7FC3E720" w14:textId="77777777" w:rsidTr="006B3296">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14:paraId="6F3EA407"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Asset Utilization Ratio (Total Revenue/TA)</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1279D99"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8.84%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7D5D69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9.56%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6195464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9.20%</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6B6D8B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11.54%</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1FA45E57"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11.26%</w:t>
            </w:r>
          </w:p>
        </w:tc>
      </w:tr>
      <w:tr w:rsidR="000E70CC" w:rsidRPr="000E70CC" w14:paraId="04E3C30E" w14:textId="77777777" w:rsidTr="006B3296">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14:paraId="1986A752"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Expense Ratio (Total Expenses/TA)</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5DCDAF7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7.15%</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36D0FDF6"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8.33%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0AAB93C6"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8.73%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7350B86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10.06%</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7ABECDA2"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10.14%</w:t>
            </w:r>
          </w:p>
        </w:tc>
      </w:tr>
      <w:tr w:rsidR="000E70CC" w:rsidRPr="000E70CC" w14:paraId="036B05A3" w14:textId="77777777" w:rsidTr="006B3296">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14:paraId="30BEA5A9"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ROA (AUR - ER)</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CE6195E"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1.69%</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4267DDE0"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1.23%</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25B7B318"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0.47%</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14:paraId="135E5598"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1.48%</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14:paraId="250672B3"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1.12%</w:t>
            </w:r>
          </w:p>
        </w:tc>
      </w:tr>
    </w:tbl>
    <w:p w14:paraId="672A4453" w14:textId="2FEFFBF0" w:rsidR="008F64FA" w:rsidRDefault="00200482"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200482">
        <w:rPr>
          <w:rFonts w:ascii="Arial" w:hAnsi="Arial" w:cs="Arial"/>
          <w:color w:val="000000" w:themeColor="text1"/>
        </w:rPr>
        <w:t xml:space="preserve">The ROA transformation shows an overall improvement in the company's Asset Utilization Ratio, increasing from 8.84% in 2021 to 11.26% in 2025, suggesting the company became more efficient at generating revenue from its assets. This was offset, however, by the Expense Ratio which rose from 7.15% to 10.14% over the same period, reflecting the growth of expenses compared to the growth of the asset base. The net effect was a compression in ROA from 1.69% in 2021 to 1.12% in 2025, with a significant drop in 2023 to 0.47% followed by a recovery in 2024 to 1.48%. The difference between asset utilization and expense ratio widened during the period indicating that the impact of increased revenue generation was offset by the increased expenses. This </w:t>
      </w:r>
      <w:proofErr w:type="spellStart"/>
      <w:r w:rsidRPr="00200482">
        <w:rPr>
          <w:rFonts w:ascii="Arial" w:hAnsi="Arial" w:cs="Arial"/>
          <w:color w:val="000000" w:themeColor="text1"/>
        </w:rPr>
        <w:t>emphasises</w:t>
      </w:r>
      <w:proofErr w:type="spellEnd"/>
      <w:r w:rsidRPr="00200482">
        <w:rPr>
          <w:rFonts w:ascii="Arial" w:hAnsi="Arial" w:cs="Arial"/>
          <w:color w:val="000000" w:themeColor="text1"/>
        </w:rPr>
        <w:t xml:space="preserve"> the need to manage costs to maintain profitable business operations.</w:t>
      </w:r>
    </w:p>
    <w:p w14:paraId="24A0FF94" w14:textId="77777777" w:rsidR="00C243C7" w:rsidRPr="000E70CC" w:rsidRDefault="00C243C7"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p>
    <w:p w14:paraId="5B8C0F4C" w14:textId="18741656" w:rsidR="008F64FA" w:rsidRPr="00C243C7" w:rsidRDefault="008F64FA" w:rsidP="005B4D35">
      <w:pPr>
        <w:pStyle w:val="Heading3"/>
        <w:spacing w:line="360" w:lineRule="auto"/>
        <w:jc w:val="both"/>
        <w:rPr>
          <w:rFonts w:ascii="Arial" w:hAnsi="Arial" w:cs="Arial"/>
          <w:b/>
          <w:bCs/>
        </w:rPr>
      </w:pPr>
      <w:bookmarkStart w:id="36" w:name="_Toc235653230"/>
      <w:r w:rsidRPr="00C243C7">
        <w:rPr>
          <w:rFonts w:ascii="Arial" w:hAnsi="Arial" w:cs="Arial"/>
          <w:b/>
          <w:bCs/>
        </w:rPr>
        <w:t>Asset Utilization Ratio Derivation</w:t>
      </w:r>
      <w:bookmarkEnd w:id="36"/>
    </w:p>
    <w:p w14:paraId="637A3437" w14:textId="77777777" w:rsidR="00200482" w:rsidRDefault="00200482"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200482">
        <w:rPr>
          <w:rFonts w:ascii="Arial" w:hAnsi="Arial" w:cs="Arial"/>
          <w:color w:val="000000" w:themeColor="text1"/>
        </w:rPr>
        <w:t>The Asset Utilization Ratio is the amount of revenue generated per dollar of assets. We break down Total Revenue into its parts to see what factors cause asset utilization. The revenue of a financial institution such as AFPLC is generated from interest bearing activities (loans and advances, investments) and non-</w:t>
      </w:r>
      <w:proofErr w:type="gramStart"/>
      <w:r w:rsidRPr="00200482">
        <w:rPr>
          <w:rFonts w:ascii="Arial" w:hAnsi="Arial" w:cs="Arial"/>
          <w:color w:val="000000" w:themeColor="text1"/>
        </w:rPr>
        <w:t>interest bearing</w:t>
      </w:r>
      <w:proofErr w:type="gramEnd"/>
      <w:r w:rsidRPr="00200482">
        <w:rPr>
          <w:rFonts w:ascii="Arial" w:hAnsi="Arial" w:cs="Arial"/>
          <w:color w:val="000000" w:themeColor="text1"/>
        </w:rPr>
        <w:t xml:space="preserve"> activities (fees and commissions, investment income, other operating income). Each component can be divided by Total Assets to determine the yield on each type of asset.</w:t>
      </w:r>
    </w:p>
    <w:p w14:paraId="094F0C0D" w14:textId="60882ED9"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lastRenderedPageBreak/>
        <w:t>Equation 6: Total Revenue Equation</w:t>
      </w:r>
    </w:p>
    <w:p w14:paraId="388E0067"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Total Revenue = Interest Income + Non-Interest Income + Profit/Loss on Sale of Assets</w:t>
      </w:r>
    </w:p>
    <w:p w14:paraId="3AB2334E"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Equation 7: Asset Utilization Ratio (Dividing by Total Assets)</w:t>
      </w:r>
    </w:p>
    <w:p w14:paraId="6167008A"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Total Revenue / Total Assets = (Interest Income / TA) + (Non-Interest Income / TA) + (Profit/Loss on Sale of Assets / TA)</w:t>
      </w:r>
    </w:p>
    <w:p w14:paraId="478C99BB"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Equation 8: Asset Utilization Ratio in Component Form</w:t>
      </w:r>
    </w:p>
    <w:p w14:paraId="77F26E7A"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Asset Utilization Ratio = Yield on Interest-Based Assets + Yield on Non-Interest-Based Assets + Gain/Loss on Asset Sale Yield</w:t>
      </w:r>
    </w:p>
    <w:p w14:paraId="2A852C77"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Equation 9: Asset Utilization Ratio for AFPLC</w:t>
      </w:r>
    </w:p>
    <w:p w14:paraId="5207ABAB"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AUR = (Interest Income / TA) + (Non-Interest Income / TA)</w:t>
      </w:r>
    </w:p>
    <w:p w14:paraId="0B51A22E" w14:textId="77777777" w:rsidR="008F64FA" w:rsidRPr="000E70CC" w:rsidRDefault="008F64F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Style w:val="Strong"/>
          <w:rFonts w:ascii="Arial" w:eastAsiaTheme="majorEastAsia" w:hAnsi="Arial" w:cs="Arial"/>
          <w:color w:val="000000" w:themeColor="text1"/>
        </w:rPr>
        <w:t>Table 3: Asset Utilization Ratio Component Breakdown (2021-2025)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7"/>
        <w:gridCol w:w="1680"/>
        <w:gridCol w:w="1680"/>
        <w:gridCol w:w="1680"/>
        <w:gridCol w:w="1680"/>
        <w:gridCol w:w="1493"/>
      </w:tblGrid>
      <w:tr w:rsidR="000E70CC" w:rsidRPr="000E70CC" w14:paraId="43EA8D0F" w14:textId="77777777" w:rsidTr="006B3296">
        <w:trPr>
          <w:tblHeader/>
        </w:trPr>
        <w:tc>
          <w:tcPr>
            <w:tcW w:w="0" w:type="auto"/>
            <w:tcMar>
              <w:top w:w="150" w:type="dxa"/>
              <w:left w:w="0" w:type="dxa"/>
              <w:bottom w:w="150" w:type="dxa"/>
              <w:right w:w="240" w:type="dxa"/>
            </w:tcMar>
            <w:vAlign w:val="center"/>
            <w:hideMark/>
          </w:tcPr>
          <w:p w14:paraId="55C77722" w14:textId="708839B2" w:rsidR="008F64FA" w:rsidRPr="000E70CC" w:rsidRDefault="006B3296"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Year</w:t>
            </w:r>
          </w:p>
        </w:tc>
        <w:tc>
          <w:tcPr>
            <w:tcW w:w="0" w:type="auto"/>
            <w:tcMar>
              <w:top w:w="150" w:type="dxa"/>
              <w:left w:w="240" w:type="dxa"/>
              <w:bottom w:w="150" w:type="dxa"/>
              <w:right w:w="240" w:type="dxa"/>
            </w:tcMar>
            <w:vAlign w:val="center"/>
            <w:hideMark/>
          </w:tcPr>
          <w:p w14:paraId="60322492"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7EB1F157"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0B84A3EC"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7A915E63"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35DEEB02"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2025</w:t>
            </w:r>
          </w:p>
        </w:tc>
      </w:tr>
      <w:tr w:rsidR="000E70CC" w:rsidRPr="000E70CC" w14:paraId="1F046D9D" w14:textId="77777777" w:rsidTr="006B3296">
        <w:tc>
          <w:tcPr>
            <w:tcW w:w="0" w:type="auto"/>
            <w:tcMar>
              <w:top w:w="150" w:type="dxa"/>
              <w:left w:w="0" w:type="dxa"/>
              <w:bottom w:w="150" w:type="dxa"/>
              <w:right w:w="240" w:type="dxa"/>
            </w:tcMar>
            <w:vAlign w:val="center"/>
            <w:hideMark/>
          </w:tcPr>
          <w:p w14:paraId="1832506B"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Interest Income</w:t>
            </w:r>
          </w:p>
        </w:tc>
        <w:tc>
          <w:tcPr>
            <w:tcW w:w="0" w:type="auto"/>
            <w:tcMar>
              <w:top w:w="150" w:type="dxa"/>
              <w:left w:w="240" w:type="dxa"/>
              <w:bottom w:w="150" w:type="dxa"/>
              <w:right w:w="240" w:type="dxa"/>
            </w:tcMar>
            <w:vAlign w:val="center"/>
            <w:hideMark/>
          </w:tcPr>
          <w:p w14:paraId="5D43D5C9"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252,821,725</w:t>
            </w:r>
          </w:p>
        </w:tc>
        <w:tc>
          <w:tcPr>
            <w:tcW w:w="0" w:type="auto"/>
            <w:tcMar>
              <w:top w:w="150" w:type="dxa"/>
              <w:left w:w="240" w:type="dxa"/>
              <w:bottom w:w="150" w:type="dxa"/>
              <w:right w:w="240" w:type="dxa"/>
            </w:tcMar>
            <w:vAlign w:val="center"/>
            <w:hideMark/>
          </w:tcPr>
          <w:p w14:paraId="0E6D73B6"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346,744,598</w:t>
            </w:r>
          </w:p>
        </w:tc>
        <w:tc>
          <w:tcPr>
            <w:tcW w:w="0" w:type="auto"/>
            <w:tcMar>
              <w:top w:w="150" w:type="dxa"/>
              <w:left w:w="240" w:type="dxa"/>
              <w:bottom w:w="150" w:type="dxa"/>
              <w:right w:w="240" w:type="dxa"/>
            </w:tcMar>
            <w:vAlign w:val="center"/>
            <w:hideMark/>
          </w:tcPr>
          <w:p w14:paraId="17FCD1FB"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455,496,441</w:t>
            </w:r>
          </w:p>
        </w:tc>
        <w:tc>
          <w:tcPr>
            <w:tcW w:w="0" w:type="auto"/>
            <w:tcMar>
              <w:top w:w="150" w:type="dxa"/>
              <w:left w:w="240" w:type="dxa"/>
              <w:bottom w:w="150" w:type="dxa"/>
              <w:right w:w="240" w:type="dxa"/>
            </w:tcMar>
            <w:vAlign w:val="center"/>
            <w:hideMark/>
          </w:tcPr>
          <w:p w14:paraId="59103AE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625,057,032</w:t>
            </w:r>
          </w:p>
        </w:tc>
        <w:tc>
          <w:tcPr>
            <w:tcW w:w="0" w:type="auto"/>
            <w:tcMar>
              <w:top w:w="150" w:type="dxa"/>
              <w:left w:w="240" w:type="dxa"/>
              <w:bottom w:w="150" w:type="dxa"/>
              <w:right w:w="0" w:type="dxa"/>
            </w:tcMar>
            <w:vAlign w:val="center"/>
            <w:hideMark/>
          </w:tcPr>
          <w:p w14:paraId="5EAFF2DA"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665,533,369</w:t>
            </w:r>
          </w:p>
        </w:tc>
      </w:tr>
      <w:tr w:rsidR="000E70CC" w:rsidRPr="000E70CC" w14:paraId="26EA1A7A" w14:textId="77777777" w:rsidTr="006B3296">
        <w:tc>
          <w:tcPr>
            <w:tcW w:w="0" w:type="auto"/>
            <w:tcMar>
              <w:top w:w="150" w:type="dxa"/>
              <w:left w:w="0" w:type="dxa"/>
              <w:bottom w:w="150" w:type="dxa"/>
              <w:right w:w="240" w:type="dxa"/>
            </w:tcMar>
            <w:vAlign w:val="center"/>
            <w:hideMark/>
          </w:tcPr>
          <w:p w14:paraId="07EDE067"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Non-Interest Income</w:t>
            </w:r>
          </w:p>
        </w:tc>
        <w:tc>
          <w:tcPr>
            <w:tcW w:w="0" w:type="auto"/>
            <w:tcMar>
              <w:top w:w="150" w:type="dxa"/>
              <w:left w:w="240" w:type="dxa"/>
              <w:bottom w:w="150" w:type="dxa"/>
              <w:right w:w="240" w:type="dxa"/>
            </w:tcMar>
            <w:vAlign w:val="center"/>
            <w:hideMark/>
          </w:tcPr>
          <w:p w14:paraId="4BC6840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53,180,781</w:t>
            </w:r>
          </w:p>
        </w:tc>
        <w:tc>
          <w:tcPr>
            <w:tcW w:w="0" w:type="auto"/>
            <w:tcMar>
              <w:top w:w="150" w:type="dxa"/>
              <w:left w:w="240" w:type="dxa"/>
              <w:bottom w:w="150" w:type="dxa"/>
              <w:right w:w="240" w:type="dxa"/>
            </w:tcMar>
            <w:vAlign w:val="center"/>
            <w:hideMark/>
          </w:tcPr>
          <w:p w14:paraId="19C37AE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56,559,410</w:t>
            </w:r>
          </w:p>
        </w:tc>
        <w:tc>
          <w:tcPr>
            <w:tcW w:w="0" w:type="auto"/>
            <w:tcMar>
              <w:top w:w="150" w:type="dxa"/>
              <w:left w:w="240" w:type="dxa"/>
              <w:bottom w:w="150" w:type="dxa"/>
              <w:right w:w="240" w:type="dxa"/>
            </w:tcMar>
            <w:vAlign w:val="center"/>
            <w:hideMark/>
          </w:tcPr>
          <w:p w14:paraId="7B4F9808"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18,482,969</w:t>
            </w:r>
          </w:p>
        </w:tc>
        <w:tc>
          <w:tcPr>
            <w:tcW w:w="0" w:type="auto"/>
            <w:tcMar>
              <w:top w:w="150" w:type="dxa"/>
              <w:left w:w="240" w:type="dxa"/>
              <w:bottom w:w="150" w:type="dxa"/>
              <w:right w:w="240" w:type="dxa"/>
            </w:tcMar>
            <w:vAlign w:val="center"/>
            <w:hideMark/>
          </w:tcPr>
          <w:p w14:paraId="3788651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27,600,676</w:t>
            </w:r>
          </w:p>
        </w:tc>
        <w:tc>
          <w:tcPr>
            <w:tcW w:w="0" w:type="auto"/>
            <w:tcMar>
              <w:top w:w="150" w:type="dxa"/>
              <w:left w:w="240" w:type="dxa"/>
              <w:bottom w:w="150" w:type="dxa"/>
              <w:right w:w="0" w:type="dxa"/>
            </w:tcMar>
            <w:vAlign w:val="center"/>
            <w:hideMark/>
          </w:tcPr>
          <w:p w14:paraId="069BED4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42,890,770</w:t>
            </w:r>
          </w:p>
        </w:tc>
      </w:tr>
      <w:tr w:rsidR="000E70CC" w:rsidRPr="000E70CC" w14:paraId="5A34411D" w14:textId="77777777" w:rsidTr="006B3296">
        <w:tc>
          <w:tcPr>
            <w:tcW w:w="0" w:type="auto"/>
            <w:tcMar>
              <w:top w:w="150" w:type="dxa"/>
              <w:left w:w="0" w:type="dxa"/>
              <w:bottom w:w="150" w:type="dxa"/>
              <w:right w:w="240" w:type="dxa"/>
            </w:tcMar>
            <w:vAlign w:val="center"/>
            <w:hideMark/>
          </w:tcPr>
          <w:p w14:paraId="7E068CD0"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Total Revenue</w:t>
            </w:r>
          </w:p>
        </w:tc>
        <w:tc>
          <w:tcPr>
            <w:tcW w:w="0" w:type="auto"/>
            <w:tcMar>
              <w:top w:w="150" w:type="dxa"/>
              <w:left w:w="240" w:type="dxa"/>
              <w:bottom w:w="150" w:type="dxa"/>
              <w:right w:w="240" w:type="dxa"/>
            </w:tcMar>
            <w:vAlign w:val="center"/>
            <w:hideMark/>
          </w:tcPr>
          <w:p w14:paraId="5C55073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306,002,506</w:t>
            </w:r>
          </w:p>
        </w:tc>
        <w:tc>
          <w:tcPr>
            <w:tcW w:w="0" w:type="auto"/>
            <w:tcMar>
              <w:top w:w="150" w:type="dxa"/>
              <w:left w:w="240" w:type="dxa"/>
              <w:bottom w:w="150" w:type="dxa"/>
              <w:right w:w="240" w:type="dxa"/>
            </w:tcMar>
            <w:vAlign w:val="center"/>
            <w:hideMark/>
          </w:tcPr>
          <w:p w14:paraId="45039CC8"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403,304,008</w:t>
            </w:r>
          </w:p>
        </w:tc>
        <w:tc>
          <w:tcPr>
            <w:tcW w:w="0" w:type="auto"/>
            <w:tcMar>
              <w:top w:w="150" w:type="dxa"/>
              <w:left w:w="240" w:type="dxa"/>
              <w:bottom w:w="150" w:type="dxa"/>
              <w:right w:w="240" w:type="dxa"/>
            </w:tcMar>
            <w:vAlign w:val="center"/>
            <w:hideMark/>
          </w:tcPr>
          <w:p w14:paraId="36A27488"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473,979,410</w:t>
            </w:r>
          </w:p>
        </w:tc>
        <w:tc>
          <w:tcPr>
            <w:tcW w:w="0" w:type="auto"/>
            <w:tcMar>
              <w:top w:w="150" w:type="dxa"/>
              <w:left w:w="240" w:type="dxa"/>
              <w:bottom w:w="150" w:type="dxa"/>
              <w:right w:w="240" w:type="dxa"/>
            </w:tcMar>
            <w:vAlign w:val="center"/>
            <w:hideMark/>
          </w:tcPr>
          <w:p w14:paraId="115D510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652,657,708</w:t>
            </w:r>
          </w:p>
        </w:tc>
        <w:tc>
          <w:tcPr>
            <w:tcW w:w="0" w:type="auto"/>
            <w:tcMar>
              <w:top w:w="150" w:type="dxa"/>
              <w:left w:w="240" w:type="dxa"/>
              <w:bottom w:w="150" w:type="dxa"/>
              <w:right w:w="0" w:type="dxa"/>
            </w:tcMar>
            <w:vAlign w:val="center"/>
            <w:hideMark/>
          </w:tcPr>
          <w:p w14:paraId="43F99E21"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708,424,139</w:t>
            </w:r>
          </w:p>
        </w:tc>
      </w:tr>
      <w:tr w:rsidR="000E70CC" w:rsidRPr="000E70CC" w14:paraId="0D88F469" w14:textId="77777777" w:rsidTr="006B3296">
        <w:tc>
          <w:tcPr>
            <w:tcW w:w="0" w:type="auto"/>
            <w:tcMar>
              <w:top w:w="150" w:type="dxa"/>
              <w:left w:w="0" w:type="dxa"/>
              <w:bottom w:w="150" w:type="dxa"/>
              <w:right w:w="240" w:type="dxa"/>
            </w:tcMar>
            <w:vAlign w:val="center"/>
            <w:hideMark/>
          </w:tcPr>
          <w:p w14:paraId="21B2C94F"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lastRenderedPageBreak/>
              <w:t>Total Assets</w:t>
            </w:r>
          </w:p>
        </w:tc>
        <w:tc>
          <w:tcPr>
            <w:tcW w:w="0" w:type="auto"/>
            <w:tcMar>
              <w:top w:w="150" w:type="dxa"/>
              <w:left w:w="240" w:type="dxa"/>
              <w:bottom w:w="150" w:type="dxa"/>
              <w:right w:w="240" w:type="dxa"/>
            </w:tcMar>
            <w:vAlign w:val="center"/>
            <w:hideMark/>
          </w:tcPr>
          <w:p w14:paraId="62E1920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3,464,297,779</w:t>
            </w:r>
          </w:p>
        </w:tc>
        <w:tc>
          <w:tcPr>
            <w:tcW w:w="0" w:type="auto"/>
            <w:tcMar>
              <w:top w:w="150" w:type="dxa"/>
              <w:left w:w="240" w:type="dxa"/>
              <w:bottom w:w="150" w:type="dxa"/>
              <w:right w:w="240" w:type="dxa"/>
            </w:tcMar>
            <w:vAlign w:val="center"/>
            <w:hideMark/>
          </w:tcPr>
          <w:p w14:paraId="02ABBE1C"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4,219,336,791</w:t>
            </w:r>
          </w:p>
        </w:tc>
        <w:tc>
          <w:tcPr>
            <w:tcW w:w="0" w:type="auto"/>
            <w:tcMar>
              <w:top w:w="150" w:type="dxa"/>
              <w:left w:w="240" w:type="dxa"/>
              <w:bottom w:w="150" w:type="dxa"/>
              <w:right w:w="240" w:type="dxa"/>
            </w:tcMar>
            <w:vAlign w:val="center"/>
            <w:hideMark/>
          </w:tcPr>
          <w:p w14:paraId="11A8E80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5,153,187,712</w:t>
            </w:r>
          </w:p>
        </w:tc>
        <w:tc>
          <w:tcPr>
            <w:tcW w:w="0" w:type="auto"/>
            <w:tcMar>
              <w:top w:w="150" w:type="dxa"/>
              <w:left w:w="240" w:type="dxa"/>
              <w:bottom w:w="150" w:type="dxa"/>
              <w:right w:w="240" w:type="dxa"/>
            </w:tcMar>
            <w:vAlign w:val="center"/>
            <w:hideMark/>
          </w:tcPr>
          <w:p w14:paraId="17DB173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5,654,442,716</w:t>
            </w:r>
          </w:p>
        </w:tc>
        <w:tc>
          <w:tcPr>
            <w:tcW w:w="0" w:type="auto"/>
            <w:tcMar>
              <w:top w:w="150" w:type="dxa"/>
              <w:left w:w="240" w:type="dxa"/>
              <w:bottom w:w="150" w:type="dxa"/>
              <w:right w:w="0" w:type="dxa"/>
            </w:tcMar>
            <w:vAlign w:val="center"/>
            <w:hideMark/>
          </w:tcPr>
          <w:p w14:paraId="4B155C76"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6,292,493,598</w:t>
            </w:r>
          </w:p>
        </w:tc>
      </w:tr>
      <w:tr w:rsidR="000E70CC" w:rsidRPr="000E70CC" w14:paraId="64F1678F" w14:textId="77777777" w:rsidTr="006B3296">
        <w:tc>
          <w:tcPr>
            <w:tcW w:w="0" w:type="auto"/>
            <w:tcMar>
              <w:top w:w="150" w:type="dxa"/>
              <w:left w:w="0" w:type="dxa"/>
              <w:bottom w:w="150" w:type="dxa"/>
              <w:right w:w="240" w:type="dxa"/>
            </w:tcMar>
            <w:vAlign w:val="center"/>
            <w:hideMark/>
          </w:tcPr>
          <w:p w14:paraId="5A1515F1"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Yield on Interest-Based Assets</w:t>
            </w:r>
          </w:p>
        </w:tc>
        <w:tc>
          <w:tcPr>
            <w:tcW w:w="0" w:type="auto"/>
            <w:tcMar>
              <w:top w:w="150" w:type="dxa"/>
              <w:left w:w="240" w:type="dxa"/>
              <w:bottom w:w="150" w:type="dxa"/>
              <w:right w:w="240" w:type="dxa"/>
            </w:tcMar>
            <w:vAlign w:val="center"/>
            <w:hideMark/>
          </w:tcPr>
          <w:p w14:paraId="75F7A86C"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7.30%</w:t>
            </w:r>
          </w:p>
        </w:tc>
        <w:tc>
          <w:tcPr>
            <w:tcW w:w="0" w:type="auto"/>
            <w:tcMar>
              <w:top w:w="150" w:type="dxa"/>
              <w:left w:w="240" w:type="dxa"/>
              <w:bottom w:w="150" w:type="dxa"/>
              <w:right w:w="240" w:type="dxa"/>
            </w:tcMar>
            <w:vAlign w:val="center"/>
            <w:hideMark/>
          </w:tcPr>
          <w:p w14:paraId="39052A5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8.22%</w:t>
            </w:r>
          </w:p>
        </w:tc>
        <w:tc>
          <w:tcPr>
            <w:tcW w:w="0" w:type="auto"/>
            <w:tcMar>
              <w:top w:w="150" w:type="dxa"/>
              <w:left w:w="240" w:type="dxa"/>
              <w:bottom w:w="150" w:type="dxa"/>
              <w:right w:w="240" w:type="dxa"/>
            </w:tcMar>
            <w:vAlign w:val="center"/>
            <w:hideMark/>
          </w:tcPr>
          <w:p w14:paraId="16358BFF"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8.84%</w:t>
            </w:r>
          </w:p>
        </w:tc>
        <w:tc>
          <w:tcPr>
            <w:tcW w:w="0" w:type="auto"/>
            <w:tcMar>
              <w:top w:w="150" w:type="dxa"/>
              <w:left w:w="240" w:type="dxa"/>
              <w:bottom w:w="150" w:type="dxa"/>
              <w:right w:w="240" w:type="dxa"/>
            </w:tcMar>
            <w:vAlign w:val="center"/>
            <w:hideMark/>
          </w:tcPr>
          <w:p w14:paraId="1F4860F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11.06%</w:t>
            </w:r>
          </w:p>
        </w:tc>
        <w:tc>
          <w:tcPr>
            <w:tcW w:w="0" w:type="auto"/>
            <w:tcMar>
              <w:top w:w="150" w:type="dxa"/>
              <w:left w:w="240" w:type="dxa"/>
              <w:bottom w:w="150" w:type="dxa"/>
              <w:right w:w="0" w:type="dxa"/>
            </w:tcMar>
            <w:vAlign w:val="center"/>
            <w:hideMark/>
          </w:tcPr>
          <w:p w14:paraId="36BBFD4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10.58%</w:t>
            </w:r>
          </w:p>
        </w:tc>
      </w:tr>
      <w:tr w:rsidR="000E70CC" w:rsidRPr="000E70CC" w14:paraId="7D4BD004" w14:textId="77777777" w:rsidTr="006B3296">
        <w:tc>
          <w:tcPr>
            <w:tcW w:w="0" w:type="auto"/>
            <w:tcMar>
              <w:top w:w="150" w:type="dxa"/>
              <w:left w:w="0" w:type="dxa"/>
              <w:bottom w:w="150" w:type="dxa"/>
              <w:right w:w="240" w:type="dxa"/>
            </w:tcMar>
            <w:vAlign w:val="center"/>
            <w:hideMark/>
          </w:tcPr>
          <w:p w14:paraId="1C1ECB11"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Yield on Non-Interest-Based Assets</w:t>
            </w:r>
          </w:p>
        </w:tc>
        <w:tc>
          <w:tcPr>
            <w:tcW w:w="0" w:type="auto"/>
            <w:tcMar>
              <w:top w:w="150" w:type="dxa"/>
              <w:left w:w="240" w:type="dxa"/>
              <w:bottom w:w="150" w:type="dxa"/>
              <w:right w:w="240" w:type="dxa"/>
            </w:tcMar>
            <w:vAlign w:val="center"/>
            <w:hideMark/>
          </w:tcPr>
          <w:p w14:paraId="64611727"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1.54%</w:t>
            </w:r>
          </w:p>
        </w:tc>
        <w:tc>
          <w:tcPr>
            <w:tcW w:w="0" w:type="auto"/>
            <w:tcMar>
              <w:top w:w="150" w:type="dxa"/>
              <w:left w:w="240" w:type="dxa"/>
              <w:bottom w:w="150" w:type="dxa"/>
              <w:right w:w="240" w:type="dxa"/>
            </w:tcMar>
            <w:vAlign w:val="center"/>
            <w:hideMark/>
          </w:tcPr>
          <w:p w14:paraId="7BC2140C"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1.34%</w:t>
            </w:r>
          </w:p>
        </w:tc>
        <w:tc>
          <w:tcPr>
            <w:tcW w:w="0" w:type="auto"/>
            <w:tcMar>
              <w:top w:w="150" w:type="dxa"/>
              <w:left w:w="240" w:type="dxa"/>
              <w:bottom w:w="150" w:type="dxa"/>
              <w:right w:w="240" w:type="dxa"/>
            </w:tcMar>
            <w:vAlign w:val="center"/>
            <w:hideMark/>
          </w:tcPr>
          <w:p w14:paraId="5F880B3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0.36%</w:t>
            </w:r>
          </w:p>
        </w:tc>
        <w:tc>
          <w:tcPr>
            <w:tcW w:w="0" w:type="auto"/>
            <w:tcMar>
              <w:top w:w="150" w:type="dxa"/>
              <w:left w:w="240" w:type="dxa"/>
              <w:bottom w:w="150" w:type="dxa"/>
              <w:right w:w="240" w:type="dxa"/>
            </w:tcMar>
            <w:vAlign w:val="center"/>
            <w:hideMark/>
          </w:tcPr>
          <w:p w14:paraId="01241F2C"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0.49%</w:t>
            </w:r>
          </w:p>
        </w:tc>
        <w:tc>
          <w:tcPr>
            <w:tcW w:w="0" w:type="auto"/>
            <w:tcMar>
              <w:top w:w="150" w:type="dxa"/>
              <w:left w:w="240" w:type="dxa"/>
              <w:bottom w:w="150" w:type="dxa"/>
              <w:right w:w="0" w:type="dxa"/>
            </w:tcMar>
            <w:vAlign w:val="center"/>
            <w:hideMark/>
          </w:tcPr>
          <w:p w14:paraId="61CC7FB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0.68%</w:t>
            </w:r>
          </w:p>
        </w:tc>
      </w:tr>
      <w:tr w:rsidR="000E70CC" w:rsidRPr="000E70CC" w14:paraId="713A3100" w14:textId="77777777" w:rsidTr="006B3296">
        <w:tc>
          <w:tcPr>
            <w:tcW w:w="0" w:type="auto"/>
            <w:tcMar>
              <w:top w:w="150" w:type="dxa"/>
              <w:left w:w="0" w:type="dxa"/>
              <w:bottom w:w="150" w:type="dxa"/>
              <w:right w:w="240" w:type="dxa"/>
            </w:tcMar>
            <w:vAlign w:val="center"/>
            <w:hideMark/>
          </w:tcPr>
          <w:p w14:paraId="60781486"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Asset Utilization Ratio</w:t>
            </w:r>
          </w:p>
        </w:tc>
        <w:tc>
          <w:tcPr>
            <w:tcW w:w="0" w:type="auto"/>
            <w:tcMar>
              <w:top w:w="150" w:type="dxa"/>
              <w:left w:w="240" w:type="dxa"/>
              <w:bottom w:w="150" w:type="dxa"/>
              <w:right w:w="240" w:type="dxa"/>
            </w:tcMar>
            <w:vAlign w:val="center"/>
            <w:hideMark/>
          </w:tcPr>
          <w:p w14:paraId="79B8483F"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8.84%</w:t>
            </w:r>
          </w:p>
        </w:tc>
        <w:tc>
          <w:tcPr>
            <w:tcW w:w="0" w:type="auto"/>
            <w:tcMar>
              <w:top w:w="150" w:type="dxa"/>
              <w:left w:w="240" w:type="dxa"/>
              <w:bottom w:w="150" w:type="dxa"/>
              <w:right w:w="240" w:type="dxa"/>
            </w:tcMar>
            <w:vAlign w:val="center"/>
            <w:hideMark/>
          </w:tcPr>
          <w:p w14:paraId="2DB8847C"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9.56%</w:t>
            </w:r>
          </w:p>
        </w:tc>
        <w:tc>
          <w:tcPr>
            <w:tcW w:w="0" w:type="auto"/>
            <w:tcMar>
              <w:top w:w="150" w:type="dxa"/>
              <w:left w:w="240" w:type="dxa"/>
              <w:bottom w:w="150" w:type="dxa"/>
              <w:right w:w="240" w:type="dxa"/>
            </w:tcMar>
            <w:vAlign w:val="center"/>
            <w:hideMark/>
          </w:tcPr>
          <w:p w14:paraId="1ABF5C98"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9.20%</w:t>
            </w:r>
          </w:p>
        </w:tc>
        <w:tc>
          <w:tcPr>
            <w:tcW w:w="0" w:type="auto"/>
            <w:tcMar>
              <w:top w:w="150" w:type="dxa"/>
              <w:left w:w="240" w:type="dxa"/>
              <w:bottom w:w="150" w:type="dxa"/>
              <w:right w:w="240" w:type="dxa"/>
            </w:tcMar>
            <w:vAlign w:val="center"/>
            <w:hideMark/>
          </w:tcPr>
          <w:p w14:paraId="3A4FFB00"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11.54%</w:t>
            </w:r>
          </w:p>
        </w:tc>
        <w:tc>
          <w:tcPr>
            <w:tcW w:w="0" w:type="auto"/>
            <w:tcMar>
              <w:top w:w="150" w:type="dxa"/>
              <w:left w:w="240" w:type="dxa"/>
              <w:bottom w:w="150" w:type="dxa"/>
              <w:right w:w="0" w:type="dxa"/>
            </w:tcMar>
            <w:vAlign w:val="center"/>
            <w:hideMark/>
          </w:tcPr>
          <w:p w14:paraId="295D094A"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11.26%</w:t>
            </w:r>
          </w:p>
        </w:tc>
      </w:tr>
    </w:tbl>
    <w:p w14:paraId="7936B261" w14:textId="42662665" w:rsidR="00442E71" w:rsidRPr="00442E71" w:rsidRDefault="00200482" w:rsidP="005B4D35">
      <w:pPr>
        <w:spacing w:before="480" w:after="480" w:line="360" w:lineRule="auto"/>
        <w:jc w:val="both"/>
        <w:rPr>
          <w:rFonts w:ascii="Arial" w:eastAsia="Times New Roman" w:hAnsi="Arial" w:cs="Arial"/>
          <w:color w:val="000000" w:themeColor="text1"/>
          <w:sz w:val="24"/>
          <w:szCs w:val="24"/>
          <w:lang w:val="en-US"/>
        </w:rPr>
      </w:pPr>
      <w:r w:rsidRPr="00200482">
        <w:rPr>
          <w:rFonts w:ascii="Arial" w:eastAsia="Times New Roman" w:hAnsi="Arial" w:cs="Arial"/>
          <w:color w:val="000000" w:themeColor="text1"/>
          <w:sz w:val="24"/>
          <w:szCs w:val="24"/>
          <w:lang w:val="en-US"/>
        </w:rPr>
        <w:t xml:space="preserve">The Asset Utilization Ratio rose from 8.84% in 2021 to 11.26% in 2025, marking a 27.4% increase. This improvement was mainly attributed to the Yield on Interest Based Assets, which rose from 7.30% to 10.58% driven by the company's successful expansion of its loan book and asset yields. This means that the company was better at earning a return on its expanding </w:t>
      </w:r>
      <w:proofErr w:type="gramStart"/>
      <w:r w:rsidRPr="00200482">
        <w:rPr>
          <w:rFonts w:ascii="Arial" w:eastAsia="Times New Roman" w:hAnsi="Arial" w:cs="Arial"/>
          <w:color w:val="000000" w:themeColor="text1"/>
          <w:sz w:val="24"/>
          <w:szCs w:val="24"/>
          <w:lang w:val="en-US"/>
        </w:rPr>
        <w:t>interest bearing</w:t>
      </w:r>
      <w:proofErr w:type="gramEnd"/>
      <w:r w:rsidRPr="00200482">
        <w:rPr>
          <w:rFonts w:ascii="Arial" w:eastAsia="Times New Roman" w:hAnsi="Arial" w:cs="Arial"/>
          <w:color w:val="000000" w:themeColor="text1"/>
          <w:sz w:val="24"/>
          <w:szCs w:val="24"/>
          <w:lang w:val="en-US"/>
        </w:rPr>
        <w:t xml:space="preserve"> asset position. The Yield on Non-Interest Based Assets, however, fell from 1.54% to 0.68%, reflecting the lack of diversification of the revenue </w:t>
      </w:r>
      <w:r w:rsidRPr="00200482">
        <w:rPr>
          <w:rFonts w:ascii="Arial" w:eastAsia="Times New Roman" w:hAnsi="Arial" w:cs="Arial"/>
          <w:color w:val="000000" w:themeColor="text1"/>
          <w:sz w:val="24"/>
          <w:szCs w:val="24"/>
          <w:lang w:val="en-US"/>
        </w:rPr>
        <w:lastRenderedPageBreak/>
        <w:t xml:space="preserve">sources. This puts the company at risk if interest rate spreads change and indicates that the company should be more focused on </w:t>
      </w:r>
      <w:proofErr w:type="gramStart"/>
      <w:r w:rsidRPr="00200482">
        <w:rPr>
          <w:rFonts w:ascii="Arial" w:eastAsia="Times New Roman" w:hAnsi="Arial" w:cs="Arial"/>
          <w:color w:val="000000" w:themeColor="text1"/>
          <w:sz w:val="24"/>
          <w:szCs w:val="24"/>
          <w:lang w:val="en-US"/>
        </w:rPr>
        <w:t>fee based</w:t>
      </w:r>
      <w:proofErr w:type="gramEnd"/>
      <w:r w:rsidRPr="00200482">
        <w:rPr>
          <w:rFonts w:ascii="Arial" w:eastAsia="Times New Roman" w:hAnsi="Arial" w:cs="Arial"/>
          <w:color w:val="000000" w:themeColor="text1"/>
          <w:sz w:val="24"/>
          <w:szCs w:val="24"/>
          <w:lang w:val="en-US"/>
        </w:rPr>
        <w:t xml:space="preserve"> income generation to have a more stable and diversified income stream.</w:t>
      </w:r>
    </w:p>
    <w:p w14:paraId="29FEF350" w14:textId="5F1C63D2" w:rsidR="008F64FA" w:rsidRPr="00C243C7" w:rsidRDefault="008F64FA" w:rsidP="005B4D35">
      <w:pPr>
        <w:pStyle w:val="Heading3"/>
        <w:spacing w:line="360" w:lineRule="auto"/>
        <w:jc w:val="both"/>
        <w:rPr>
          <w:rFonts w:ascii="Arial" w:hAnsi="Arial" w:cs="Arial"/>
          <w:b/>
          <w:bCs/>
        </w:rPr>
      </w:pPr>
      <w:bookmarkStart w:id="37" w:name="_Toc235653231"/>
      <w:r w:rsidRPr="00C243C7">
        <w:rPr>
          <w:rFonts w:ascii="Arial" w:hAnsi="Arial" w:cs="Arial"/>
          <w:b/>
          <w:bCs/>
        </w:rPr>
        <w:t>Expense Ratio Derivation</w:t>
      </w:r>
      <w:bookmarkEnd w:id="37"/>
    </w:p>
    <w:p w14:paraId="1004D96B" w14:textId="77777777" w:rsidR="00200482" w:rsidRPr="00200482" w:rsidRDefault="00200482" w:rsidP="005B4D35">
      <w:pPr>
        <w:pStyle w:val="ds-markdown-paragraph"/>
        <w:shd w:val="clear" w:color="auto" w:fill="FFFFFF"/>
        <w:spacing w:before="240" w:after="240" w:line="360" w:lineRule="auto"/>
        <w:jc w:val="both"/>
        <w:rPr>
          <w:rFonts w:ascii="Arial" w:hAnsi="Arial" w:cs="Arial"/>
          <w:color w:val="000000" w:themeColor="text1"/>
        </w:rPr>
      </w:pPr>
      <w:r w:rsidRPr="00200482">
        <w:rPr>
          <w:rFonts w:ascii="Arial" w:hAnsi="Arial" w:cs="Arial"/>
          <w:color w:val="000000" w:themeColor="text1"/>
        </w:rPr>
        <w:t>The Expense Ratio is the total costs of running the fund divided by the total value of the assets. We break down Total Expenses into key components: Interest Expenses (cost of funding), Non-Interest Expenses (operating costs), Provisions (credit risk costs) and Tax Expenses (current and deferred tax). Each component is divided by Total Assets to determine the cost of funds, the overhead rate, the asset quality cost and the tax burden.</w:t>
      </w:r>
    </w:p>
    <w:p w14:paraId="2515A6A1" w14:textId="77777777" w:rsidR="00200482" w:rsidRPr="00200482" w:rsidRDefault="00200482" w:rsidP="009F365A">
      <w:pPr>
        <w:pStyle w:val="ds-markdown-paragraph"/>
        <w:shd w:val="clear" w:color="auto" w:fill="FFFFFF"/>
        <w:spacing w:before="240" w:after="240" w:line="360" w:lineRule="auto"/>
        <w:rPr>
          <w:rFonts w:ascii="Arial" w:hAnsi="Arial" w:cs="Arial"/>
          <w:color w:val="000000" w:themeColor="text1"/>
        </w:rPr>
      </w:pPr>
    </w:p>
    <w:p w14:paraId="1E936660" w14:textId="1E79B428"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Style w:val="Strong"/>
          <w:rFonts w:ascii="Arial" w:eastAsiaTheme="majorEastAsia" w:hAnsi="Arial" w:cs="Arial"/>
          <w:color w:val="000000" w:themeColor="text1"/>
        </w:rPr>
        <w:t>Equation 10: Total Expense Equation</w:t>
      </w:r>
    </w:p>
    <w:p w14:paraId="17CB24F4"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Fonts w:ascii="Arial" w:hAnsi="Arial" w:cs="Arial"/>
          <w:color w:val="000000" w:themeColor="text1"/>
        </w:rPr>
        <w:t>Total Expenses = Interest Expenses + Non-Interest Expenses + Provision + Tax Expenses</w:t>
      </w:r>
    </w:p>
    <w:p w14:paraId="67556155"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Style w:val="Strong"/>
          <w:rFonts w:ascii="Arial" w:eastAsiaTheme="majorEastAsia" w:hAnsi="Arial" w:cs="Arial"/>
          <w:color w:val="000000" w:themeColor="text1"/>
        </w:rPr>
        <w:t>Equation 11: Expense Ratio (Dividing by Total Assets)</w:t>
      </w:r>
    </w:p>
    <w:p w14:paraId="5183D8AA"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Fonts w:ascii="Arial" w:hAnsi="Arial" w:cs="Arial"/>
          <w:color w:val="000000" w:themeColor="text1"/>
        </w:rPr>
        <w:t>Total Expenses / Total Assets = (Interest Expenses / TA) + (Non-Interest Expenses / TA) + (Provision / TA) + (Tax Expenses / TA)</w:t>
      </w:r>
    </w:p>
    <w:p w14:paraId="4A1BC2FB"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Style w:val="Strong"/>
          <w:rFonts w:ascii="Arial" w:eastAsiaTheme="majorEastAsia" w:hAnsi="Arial" w:cs="Arial"/>
          <w:color w:val="000000" w:themeColor="text1"/>
        </w:rPr>
        <w:t>Equation 12: Expense Ratio in Component Form</w:t>
      </w:r>
    </w:p>
    <w:p w14:paraId="2613ED21"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Fonts w:ascii="Arial" w:hAnsi="Arial" w:cs="Arial"/>
          <w:color w:val="000000" w:themeColor="text1"/>
        </w:rPr>
        <w:t>Expense Ratio = Cost of Funds + Overhead Rate + Quality of Assets + Tax Rate</w:t>
      </w:r>
    </w:p>
    <w:p w14:paraId="657CCB93"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Style w:val="Strong"/>
          <w:rFonts w:ascii="Arial" w:eastAsiaTheme="majorEastAsia" w:hAnsi="Arial" w:cs="Arial"/>
          <w:color w:val="000000" w:themeColor="text1"/>
        </w:rPr>
        <w:t>Table 4: Expense Ratio Component Breakdown (2021-2025)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8"/>
        <w:gridCol w:w="1684"/>
        <w:gridCol w:w="1684"/>
        <w:gridCol w:w="1684"/>
        <w:gridCol w:w="1684"/>
        <w:gridCol w:w="1496"/>
      </w:tblGrid>
      <w:tr w:rsidR="000E70CC" w:rsidRPr="000E70CC" w14:paraId="49760BEA" w14:textId="77777777" w:rsidTr="004127FB">
        <w:trPr>
          <w:trHeight w:val="528"/>
          <w:tblHeader/>
        </w:trPr>
        <w:tc>
          <w:tcPr>
            <w:tcW w:w="0" w:type="auto"/>
            <w:tcMar>
              <w:top w:w="150" w:type="dxa"/>
              <w:left w:w="0" w:type="dxa"/>
              <w:bottom w:w="150" w:type="dxa"/>
              <w:right w:w="240" w:type="dxa"/>
            </w:tcMar>
            <w:vAlign w:val="center"/>
            <w:hideMark/>
          </w:tcPr>
          <w:p w14:paraId="7F9AB644" w14:textId="0D99FBCA" w:rsidR="008F64FA" w:rsidRPr="000E70CC" w:rsidRDefault="006B3296"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lastRenderedPageBreak/>
              <w:t>Year</w:t>
            </w:r>
          </w:p>
        </w:tc>
        <w:tc>
          <w:tcPr>
            <w:tcW w:w="0" w:type="auto"/>
            <w:tcMar>
              <w:top w:w="150" w:type="dxa"/>
              <w:left w:w="240" w:type="dxa"/>
              <w:bottom w:w="150" w:type="dxa"/>
              <w:right w:w="240" w:type="dxa"/>
            </w:tcMar>
            <w:vAlign w:val="center"/>
            <w:hideMark/>
          </w:tcPr>
          <w:p w14:paraId="6D4F562C"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17A9BF69"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6620E87F"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178449AC"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490B16C9" w14:textId="77777777" w:rsidR="008F64FA" w:rsidRPr="000E70CC" w:rsidRDefault="008F64FA" w:rsidP="009F365A">
            <w:pPr>
              <w:spacing w:line="360" w:lineRule="auto"/>
              <w:rPr>
                <w:rFonts w:ascii="Arial" w:hAnsi="Arial" w:cs="Arial"/>
                <w:b/>
                <w:bCs/>
                <w:color w:val="000000" w:themeColor="text1"/>
                <w:sz w:val="24"/>
                <w:szCs w:val="24"/>
              </w:rPr>
            </w:pPr>
            <w:r w:rsidRPr="000E70CC">
              <w:rPr>
                <w:rStyle w:val="Strong"/>
                <w:rFonts w:ascii="Arial" w:hAnsi="Arial" w:cs="Arial"/>
                <w:color w:val="000000" w:themeColor="text1"/>
                <w:sz w:val="24"/>
                <w:szCs w:val="24"/>
              </w:rPr>
              <w:t>2025</w:t>
            </w:r>
          </w:p>
        </w:tc>
      </w:tr>
      <w:tr w:rsidR="000E70CC" w:rsidRPr="000E70CC" w14:paraId="560020D8" w14:textId="77777777" w:rsidTr="004127FB">
        <w:trPr>
          <w:trHeight w:val="1243"/>
        </w:trPr>
        <w:tc>
          <w:tcPr>
            <w:tcW w:w="0" w:type="auto"/>
            <w:tcMar>
              <w:top w:w="150" w:type="dxa"/>
              <w:left w:w="0" w:type="dxa"/>
              <w:bottom w:w="150" w:type="dxa"/>
              <w:right w:w="240" w:type="dxa"/>
            </w:tcMar>
            <w:vAlign w:val="center"/>
            <w:hideMark/>
          </w:tcPr>
          <w:p w14:paraId="50B3E341"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Interest Expense</w:t>
            </w:r>
          </w:p>
        </w:tc>
        <w:tc>
          <w:tcPr>
            <w:tcW w:w="0" w:type="auto"/>
            <w:tcMar>
              <w:top w:w="150" w:type="dxa"/>
              <w:left w:w="240" w:type="dxa"/>
              <w:bottom w:w="150" w:type="dxa"/>
              <w:right w:w="240" w:type="dxa"/>
            </w:tcMar>
            <w:vAlign w:val="center"/>
            <w:hideMark/>
          </w:tcPr>
          <w:p w14:paraId="202206E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118,416,351</w:t>
            </w:r>
          </w:p>
        </w:tc>
        <w:tc>
          <w:tcPr>
            <w:tcW w:w="0" w:type="auto"/>
            <w:tcMar>
              <w:top w:w="150" w:type="dxa"/>
              <w:left w:w="240" w:type="dxa"/>
              <w:bottom w:w="150" w:type="dxa"/>
              <w:right w:w="240" w:type="dxa"/>
            </w:tcMar>
            <w:vAlign w:val="center"/>
            <w:hideMark/>
          </w:tcPr>
          <w:p w14:paraId="546EF6E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183,910,407</w:t>
            </w:r>
          </w:p>
        </w:tc>
        <w:tc>
          <w:tcPr>
            <w:tcW w:w="0" w:type="auto"/>
            <w:tcMar>
              <w:top w:w="150" w:type="dxa"/>
              <w:left w:w="240" w:type="dxa"/>
              <w:bottom w:w="150" w:type="dxa"/>
              <w:right w:w="240" w:type="dxa"/>
            </w:tcMar>
            <w:vAlign w:val="center"/>
            <w:hideMark/>
          </w:tcPr>
          <w:p w14:paraId="4001C2FF"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280,307,330</w:t>
            </w:r>
          </w:p>
        </w:tc>
        <w:tc>
          <w:tcPr>
            <w:tcW w:w="0" w:type="auto"/>
            <w:tcMar>
              <w:top w:w="150" w:type="dxa"/>
              <w:left w:w="240" w:type="dxa"/>
              <w:bottom w:w="150" w:type="dxa"/>
              <w:right w:w="240" w:type="dxa"/>
            </w:tcMar>
            <w:vAlign w:val="center"/>
            <w:hideMark/>
          </w:tcPr>
          <w:p w14:paraId="1EA27F6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403,789,831</w:t>
            </w:r>
          </w:p>
        </w:tc>
        <w:tc>
          <w:tcPr>
            <w:tcW w:w="0" w:type="auto"/>
            <w:tcMar>
              <w:top w:w="150" w:type="dxa"/>
              <w:left w:w="240" w:type="dxa"/>
              <w:bottom w:w="150" w:type="dxa"/>
              <w:right w:w="0" w:type="dxa"/>
            </w:tcMar>
            <w:vAlign w:val="center"/>
            <w:hideMark/>
          </w:tcPr>
          <w:p w14:paraId="5AFDCF22"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443,731,866</w:t>
            </w:r>
          </w:p>
        </w:tc>
      </w:tr>
      <w:tr w:rsidR="000E70CC" w:rsidRPr="000E70CC" w14:paraId="63602BE2" w14:textId="77777777" w:rsidTr="004127FB">
        <w:trPr>
          <w:trHeight w:val="1586"/>
        </w:trPr>
        <w:tc>
          <w:tcPr>
            <w:tcW w:w="0" w:type="auto"/>
            <w:tcMar>
              <w:top w:w="150" w:type="dxa"/>
              <w:left w:w="0" w:type="dxa"/>
              <w:bottom w:w="150" w:type="dxa"/>
              <w:right w:w="240" w:type="dxa"/>
            </w:tcMar>
            <w:vAlign w:val="center"/>
            <w:hideMark/>
          </w:tcPr>
          <w:p w14:paraId="5DF8E1F9"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Non-Interest Expense</w:t>
            </w:r>
          </w:p>
        </w:tc>
        <w:tc>
          <w:tcPr>
            <w:tcW w:w="0" w:type="auto"/>
            <w:tcMar>
              <w:top w:w="150" w:type="dxa"/>
              <w:left w:w="240" w:type="dxa"/>
              <w:bottom w:w="150" w:type="dxa"/>
              <w:right w:w="240" w:type="dxa"/>
            </w:tcMar>
            <w:vAlign w:val="center"/>
            <w:hideMark/>
          </w:tcPr>
          <w:p w14:paraId="3001EFB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89,623,421</w:t>
            </w:r>
          </w:p>
        </w:tc>
        <w:tc>
          <w:tcPr>
            <w:tcW w:w="0" w:type="auto"/>
            <w:tcMar>
              <w:top w:w="150" w:type="dxa"/>
              <w:left w:w="240" w:type="dxa"/>
              <w:bottom w:w="150" w:type="dxa"/>
              <w:right w:w="240" w:type="dxa"/>
            </w:tcMar>
            <w:vAlign w:val="center"/>
            <w:hideMark/>
          </w:tcPr>
          <w:p w14:paraId="555511CC"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115,399,001</w:t>
            </w:r>
          </w:p>
        </w:tc>
        <w:tc>
          <w:tcPr>
            <w:tcW w:w="0" w:type="auto"/>
            <w:tcMar>
              <w:top w:w="150" w:type="dxa"/>
              <w:left w:w="240" w:type="dxa"/>
              <w:bottom w:w="150" w:type="dxa"/>
              <w:right w:w="240" w:type="dxa"/>
            </w:tcMar>
            <w:vAlign w:val="center"/>
            <w:hideMark/>
          </w:tcPr>
          <w:p w14:paraId="3B98974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137,324,456</w:t>
            </w:r>
          </w:p>
        </w:tc>
        <w:tc>
          <w:tcPr>
            <w:tcW w:w="0" w:type="auto"/>
            <w:tcMar>
              <w:top w:w="150" w:type="dxa"/>
              <w:left w:w="240" w:type="dxa"/>
              <w:bottom w:w="150" w:type="dxa"/>
              <w:right w:w="240" w:type="dxa"/>
            </w:tcMar>
            <w:vAlign w:val="center"/>
            <w:hideMark/>
          </w:tcPr>
          <w:p w14:paraId="67F136CB"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137,995,065</w:t>
            </w:r>
          </w:p>
        </w:tc>
        <w:tc>
          <w:tcPr>
            <w:tcW w:w="0" w:type="auto"/>
            <w:tcMar>
              <w:top w:w="150" w:type="dxa"/>
              <w:left w:w="240" w:type="dxa"/>
              <w:bottom w:w="150" w:type="dxa"/>
              <w:right w:w="0" w:type="dxa"/>
            </w:tcMar>
            <w:vAlign w:val="center"/>
            <w:hideMark/>
          </w:tcPr>
          <w:p w14:paraId="2BCFF11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156,865,479</w:t>
            </w:r>
          </w:p>
        </w:tc>
      </w:tr>
      <w:tr w:rsidR="000E70CC" w:rsidRPr="000E70CC" w14:paraId="4FFED595" w14:textId="77777777" w:rsidTr="004127FB">
        <w:trPr>
          <w:trHeight w:val="886"/>
        </w:trPr>
        <w:tc>
          <w:tcPr>
            <w:tcW w:w="0" w:type="auto"/>
            <w:tcMar>
              <w:top w:w="150" w:type="dxa"/>
              <w:left w:w="0" w:type="dxa"/>
              <w:bottom w:w="150" w:type="dxa"/>
              <w:right w:w="240" w:type="dxa"/>
            </w:tcMar>
            <w:vAlign w:val="center"/>
            <w:hideMark/>
          </w:tcPr>
          <w:p w14:paraId="7B806FF7"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Provision</w:t>
            </w:r>
          </w:p>
        </w:tc>
        <w:tc>
          <w:tcPr>
            <w:tcW w:w="0" w:type="auto"/>
            <w:tcMar>
              <w:top w:w="150" w:type="dxa"/>
              <w:left w:w="240" w:type="dxa"/>
              <w:bottom w:w="150" w:type="dxa"/>
              <w:right w:w="240" w:type="dxa"/>
            </w:tcMar>
            <w:vAlign w:val="center"/>
            <w:hideMark/>
          </w:tcPr>
          <w:p w14:paraId="09544208"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7,354,885</w:t>
            </w:r>
          </w:p>
        </w:tc>
        <w:tc>
          <w:tcPr>
            <w:tcW w:w="0" w:type="auto"/>
            <w:tcMar>
              <w:top w:w="150" w:type="dxa"/>
              <w:left w:w="240" w:type="dxa"/>
              <w:bottom w:w="150" w:type="dxa"/>
              <w:right w:w="240" w:type="dxa"/>
            </w:tcMar>
            <w:vAlign w:val="center"/>
            <w:hideMark/>
          </w:tcPr>
          <w:p w14:paraId="0075E49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16,128,930</w:t>
            </w:r>
          </w:p>
        </w:tc>
        <w:tc>
          <w:tcPr>
            <w:tcW w:w="0" w:type="auto"/>
            <w:tcMar>
              <w:top w:w="150" w:type="dxa"/>
              <w:left w:w="240" w:type="dxa"/>
              <w:bottom w:w="150" w:type="dxa"/>
              <w:right w:w="240" w:type="dxa"/>
            </w:tcMar>
            <w:vAlign w:val="center"/>
            <w:hideMark/>
          </w:tcPr>
          <w:p w14:paraId="45CEDA08"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26,342,553</w:t>
            </w:r>
          </w:p>
        </w:tc>
        <w:tc>
          <w:tcPr>
            <w:tcW w:w="0" w:type="auto"/>
            <w:tcMar>
              <w:top w:w="150" w:type="dxa"/>
              <w:left w:w="240" w:type="dxa"/>
              <w:bottom w:w="150" w:type="dxa"/>
              <w:right w:w="240" w:type="dxa"/>
            </w:tcMar>
            <w:vAlign w:val="center"/>
            <w:hideMark/>
          </w:tcPr>
          <w:p w14:paraId="2B8F3DB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(5,350,484)</w:t>
            </w:r>
          </w:p>
        </w:tc>
        <w:tc>
          <w:tcPr>
            <w:tcW w:w="0" w:type="auto"/>
            <w:tcMar>
              <w:top w:w="150" w:type="dxa"/>
              <w:left w:w="240" w:type="dxa"/>
              <w:bottom w:w="150" w:type="dxa"/>
              <w:right w:w="0" w:type="dxa"/>
            </w:tcMar>
            <w:vAlign w:val="center"/>
            <w:hideMark/>
          </w:tcPr>
          <w:p w14:paraId="313EC456"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1,754,792</w:t>
            </w:r>
          </w:p>
        </w:tc>
      </w:tr>
      <w:tr w:rsidR="000E70CC" w:rsidRPr="000E70CC" w14:paraId="6F883716" w14:textId="77777777" w:rsidTr="004127FB">
        <w:trPr>
          <w:trHeight w:val="1229"/>
        </w:trPr>
        <w:tc>
          <w:tcPr>
            <w:tcW w:w="0" w:type="auto"/>
            <w:tcMar>
              <w:top w:w="150" w:type="dxa"/>
              <w:left w:w="0" w:type="dxa"/>
              <w:bottom w:w="150" w:type="dxa"/>
              <w:right w:w="240" w:type="dxa"/>
            </w:tcMar>
            <w:vAlign w:val="center"/>
            <w:hideMark/>
          </w:tcPr>
          <w:p w14:paraId="7E5493C3"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Tax Expense</w:t>
            </w:r>
          </w:p>
        </w:tc>
        <w:tc>
          <w:tcPr>
            <w:tcW w:w="0" w:type="auto"/>
            <w:tcMar>
              <w:top w:w="150" w:type="dxa"/>
              <w:left w:w="240" w:type="dxa"/>
              <w:bottom w:w="150" w:type="dxa"/>
              <w:right w:w="240" w:type="dxa"/>
            </w:tcMar>
            <w:vAlign w:val="center"/>
            <w:hideMark/>
          </w:tcPr>
          <w:p w14:paraId="0DB5897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32,992,212</w:t>
            </w:r>
          </w:p>
        </w:tc>
        <w:tc>
          <w:tcPr>
            <w:tcW w:w="0" w:type="auto"/>
            <w:tcMar>
              <w:top w:w="150" w:type="dxa"/>
              <w:left w:w="240" w:type="dxa"/>
              <w:bottom w:w="150" w:type="dxa"/>
              <w:right w:w="240" w:type="dxa"/>
            </w:tcMar>
            <w:vAlign w:val="center"/>
            <w:hideMark/>
          </w:tcPr>
          <w:p w14:paraId="08685EC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36,042,079</w:t>
            </w:r>
          </w:p>
        </w:tc>
        <w:tc>
          <w:tcPr>
            <w:tcW w:w="0" w:type="auto"/>
            <w:tcMar>
              <w:top w:w="150" w:type="dxa"/>
              <w:left w:w="240" w:type="dxa"/>
              <w:bottom w:w="150" w:type="dxa"/>
              <w:right w:w="240" w:type="dxa"/>
            </w:tcMar>
            <w:vAlign w:val="center"/>
            <w:hideMark/>
          </w:tcPr>
          <w:p w14:paraId="2707932A"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34,634,167</w:t>
            </w:r>
          </w:p>
        </w:tc>
        <w:tc>
          <w:tcPr>
            <w:tcW w:w="0" w:type="auto"/>
            <w:tcMar>
              <w:top w:w="150" w:type="dxa"/>
              <w:left w:w="240" w:type="dxa"/>
              <w:bottom w:w="150" w:type="dxa"/>
              <w:right w:w="240" w:type="dxa"/>
            </w:tcMar>
            <w:vAlign w:val="center"/>
            <w:hideMark/>
          </w:tcPr>
          <w:p w14:paraId="68A57A9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36,759,735</w:t>
            </w:r>
          </w:p>
        </w:tc>
        <w:tc>
          <w:tcPr>
            <w:tcW w:w="0" w:type="auto"/>
            <w:tcMar>
              <w:top w:w="150" w:type="dxa"/>
              <w:left w:w="240" w:type="dxa"/>
              <w:bottom w:w="150" w:type="dxa"/>
              <w:right w:w="0" w:type="dxa"/>
            </w:tcMar>
            <w:vAlign w:val="center"/>
            <w:hideMark/>
          </w:tcPr>
          <w:p w14:paraId="2F5BCB0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37,432,277</w:t>
            </w:r>
          </w:p>
        </w:tc>
      </w:tr>
      <w:tr w:rsidR="000E70CC" w:rsidRPr="000E70CC" w14:paraId="04D93387" w14:textId="77777777" w:rsidTr="004127FB">
        <w:trPr>
          <w:trHeight w:val="1243"/>
        </w:trPr>
        <w:tc>
          <w:tcPr>
            <w:tcW w:w="0" w:type="auto"/>
            <w:tcMar>
              <w:top w:w="150" w:type="dxa"/>
              <w:left w:w="0" w:type="dxa"/>
              <w:bottom w:w="150" w:type="dxa"/>
              <w:right w:w="240" w:type="dxa"/>
            </w:tcMar>
            <w:vAlign w:val="center"/>
            <w:hideMark/>
          </w:tcPr>
          <w:p w14:paraId="57B630A4"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Total Expenses</w:t>
            </w:r>
          </w:p>
        </w:tc>
        <w:tc>
          <w:tcPr>
            <w:tcW w:w="0" w:type="auto"/>
            <w:tcMar>
              <w:top w:w="150" w:type="dxa"/>
              <w:left w:w="240" w:type="dxa"/>
              <w:bottom w:w="150" w:type="dxa"/>
              <w:right w:w="240" w:type="dxa"/>
            </w:tcMar>
            <w:vAlign w:val="center"/>
            <w:hideMark/>
          </w:tcPr>
          <w:p w14:paraId="0374E1EB"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248,386,869</w:t>
            </w:r>
          </w:p>
        </w:tc>
        <w:tc>
          <w:tcPr>
            <w:tcW w:w="0" w:type="auto"/>
            <w:tcMar>
              <w:top w:w="150" w:type="dxa"/>
              <w:left w:w="240" w:type="dxa"/>
              <w:bottom w:w="150" w:type="dxa"/>
              <w:right w:w="240" w:type="dxa"/>
            </w:tcMar>
            <w:vAlign w:val="center"/>
            <w:hideMark/>
          </w:tcPr>
          <w:p w14:paraId="360B9BC9"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351,480,417</w:t>
            </w:r>
          </w:p>
        </w:tc>
        <w:tc>
          <w:tcPr>
            <w:tcW w:w="0" w:type="auto"/>
            <w:tcMar>
              <w:top w:w="150" w:type="dxa"/>
              <w:left w:w="240" w:type="dxa"/>
              <w:bottom w:w="150" w:type="dxa"/>
              <w:right w:w="240" w:type="dxa"/>
            </w:tcMar>
            <w:vAlign w:val="center"/>
            <w:hideMark/>
          </w:tcPr>
          <w:p w14:paraId="7664365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478,608,506</w:t>
            </w:r>
          </w:p>
        </w:tc>
        <w:tc>
          <w:tcPr>
            <w:tcW w:w="0" w:type="auto"/>
            <w:tcMar>
              <w:top w:w="150" w:type="dxa"/>
              <w:left w:w="240" w:type="dxa"/>
              <w:bottom w:w="150" w:type="dxa"/>
              <w:right w:w="240" w:type="dxa"/>
            </w:tcMar>
            <w:vAlign w:val="center"/>
            <w:hideMark/>
          </w:tcPr>
          <w:p w14:paraId="7D84F2DA"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573,194,147</w:t>
            </w:r>
          </w:p>
        </w:tc>
        <w:tc>
          <w:tcPr>
            <w:tcW w:w="0" w:type="auto"/>
            <w:tcMar>
              <w:top w:w="150" w:type="dxa"/>
              <w:left w:w="240" w:type="dxa"/>
              <w:bottom w:w="150" w:type="dxa"/>
              <w:right w:w="0" w:type="dxa"/>
            </w:tcMar>
            <w:vAlign w:val="center"/>
            <w:hideMark/>
          </w:tcPr>
          <w:p w14:paraId="70659A31"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639,784,414</w:t>
            </w:r>
          </w:p>
        </w:tc>
      </w:tr>
      <w:tr w:rsidR="000E70CC" w:rsidRPr="000E70CC" w14:paraId="7BCFA9B5" w14:textId="77777777" w:rsidTr="004127FB">
        <w:trPr>
          <w:trHeight w:val="886"/>
        </w:trPr>
        <w:tc>
          <w:tcPr>
            <w:tcW w:w="0" w:type="auto"/>
            <w:tcMar>
              <w:top w:w="150" w:type="dxa"/>
              <w:left w:w="0" w:type="dxa"/>
              <w:bottom w:w="150" w:type="dxa"/>
              <w:right w:w="240" w:type="dxa"/>
            </w:tcMar>
            <w:vAlign w:val="center"/>
            <w:hideMark/>
          </w:tcPr>
          <w:p w14:paraId="1B9A80E9"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Total Assets</w:t>
            </w:r>
          </w:p>
        </w:tc>
        <w:tc>
          <w:tcPr>
            <w:tcW w:w="0" w:type="auto"/>
            <w:tcMar>
              <w:top w:w="150" w:type="dxa"/>
              <w:left w:w="240" w:type="dxa"/>
              <w:bottom w:w="150" w:type="dxa"/>
              <w:right w:w="240" w:type="dxa"/>
            </w:tcMar>
            <w:vAlign w:val="center"/>
            <w:hideMark/>
          </w:tcPr>
          <w:p w14:paraId="11502D5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3,464,297,779</w:t>
            </w:r>
          </w:p>
        </w:tc>
        <w:tc>
          <w:tcPr>
            <w:tcW w:w="0" w:type="auto"/>
            <w:tcMar>
              <w:top w:w="150" w:type="dxa"/>
              <w:left w:w="240" w:type="dxa"/>
              <w:bottom w:w="150" w:type="dxa"/>
              <w:right w:w="240" w:type="dxa"/>
            </w:tcMar>
            <w:vAlign w:val="center"/>
            <w:hideMark/>
          </w:tcPr>
          <w:p w14:paraId="4BE7E2A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4,219,336,791</w:t>
            </w:r>
          </w:p>
        </w:tc>
        <w:tc>
          <w:tcPr>
            <w:tcW w:w="0" w:type="auto"/>
            <w:tcMar>
              <w:top w:w="150" w:type="dxa"/>
              <w:left w:w="240" w:type="dxa"/>
              <w:bottom w:w="150" w:type="dxa"/>
              <w:right w:w="240" w:type="dxa"/>
            </w:tcMar>
            <w:vAlign w:val="center"/>
            <w:hideMark/>
          </w:tcPr>
          <w:p w14:paraId="19F00E05"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5,153,187,712</w:t>
            </w:r>
          </w:p>
        </w:tc>
        <w:tc>
          <w:tcPr>
            <w:tcW w:w="0" w:type="auto"/>
            <w:tcMar>
              <w:top w:w="150" w:type="dxa"/>
              <w:left w:w="240" w:type="dxa"/>
              <w:bottom w:w="150" w:type="dxa"/>
              <w:right w:w="240" w:type="dxa"/>
            </w:tcMar>
            <w:vAlign w:val="center"/>
            <w:hideMark/>
          </w:tcPr>
          <w:p w14:paraId="2956A35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5,654,442,716</w:t>
            </w:r>
          </w:p>
        </w:tc>
        <w:tc>
          <w:tcPr>
            <w:tcW w:w="0" w:type="auto"/>
            <w:tcMar>
              <w:top w:w="150" w:type="dxa"/>
              <w:left w:w="240" w:type="dxa"/>
              <w:bottom w:w="150" w:type="dxa"/>
              <w:right w:w="0" w:type="dxa"/>
            </w:tcMar>
            <w:vAlign w:val="center"/>
            <w:hideMark/>
          </w:tcPr>
          <w:p w14:paraId="7BC626E9"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6,292,493,598</w:t>
            </w:r>
          </w:p>
        </w:tc>
      </w:tr>
      <w:tr w:rsidR="000E70CC" w:rsidRPr="000E70CC" w14:paraId="52A1DECD" w14:textId="77777777" w:rsidTr="004127FB">
        <w:trPr>
          <w:trHeight w:val="886"/>
        </w:trPr>
        <w:tc>
          <w:tcPr>
            <w:tcW w:w="0" w:type="auto"/>
            <w:tcMar>
              <w:top w:w="150" w:type="dxa"/>
              <w:left w:w="0" w:type="dxa"/>
              <w:bottom w:w="150" w:type="dxa"/>
              <w:right w:w="240" w:type="dxa"/>
            </w:tcMar>
            <w:vAlign w:val="center"/>
            <w:hideMark/>
          </w:tcPr>
          <w:p w14:paraId="68AE88B3"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Cost of Funds</w:t>
            </w:r>
          </w:p>
        </w:tc>
        <w:tc>
          <w:tcPr>
            <w:tcW w:w="0" w:type="auto"/>
            <w:tcMar>
              <w:top w:w="150" w:type="dxa"/>
              <w:left w:w="240" w:type="dxa"/>
              <w:bottom w:w="150" w:type="dxa"/>
              <w:right w:w="240" w:type="dxa"/>
            </w:tcMar>
            <w:vAlign w:val="center"/>
            <w:hideMark/>
          </w:tcPr>
          <w:p w14:paraId="0ABF364A"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3.42%</w:t>
            </w:r>
          </w:p>
        </w:tc>
        <w:tc>
          <w:tcPr>
            <w:tcW w:w="0" w:type="auto"/>
            <w:tcMar>
              <w:top w:w="150" w:type="dxa"/>
              <w:left w:w="240" w:type="dxa"/>
              <w:bottom w:w="150" w:type="dxa"/>
              <w:right w:w="240" w:type="dxa"/>
            </w:tcMar>
            <w:vAlign w:val="center"/>
            <w:hideMark/>
          </w:tcPr>
          <w:p w14:paraId="649260A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4.36%</w:t>
            </w:r>
          </w:p>
        </w:tc>
        <w:tc>
          <w:tcPr>
            <w:tcW w:w="0" w:type="auto"/>
            <w:tcMar>
              <w:top w:w="150" w:type="dxa"/>
              <w:left w:w="240" w:type="dxa"/>
              <w:bottom w:w="150" w:type="dxa"/>
              <w:right w:w="240" w:type="dxa"/>
            </w:tcMar>
            <w:vAlign w:val="center"/>
            <w:hideMark/>
          </w:tcPr>
          <w:p w14:paraId="5E92506A"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5.44%</w:t>
            </w:r>
          </w:p>
        </w:tc>
        <w:tc>
          <w:tcPr>
            <w:tcW w:w="0" w:type="auto"/>
            <w:tcMar>
              <w:top w:w="150" w:type="dxa"/>
              <w:left w:w="240" w:type="dxa"/>
              <w:bottom w:w="150" w:type="dxa"/>
              <w:right w:w="240" w:type="dxa"/>
            </w:tcMar>
            <w:vAlign w:val="center"/>
            <w:hideMark/>
          </w:tcPr>
          <w:p w14:paraId="2E23CE5F"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7.14%</w:t>
            </w:r>
          </w:p>
        </w:tc>
        <w:tc>
          <w:tcPr>
            <w:tcW w:w="0" w:type="auto"/>
            <w:tcMar>
              <w:top w:w="150" w:type="dxa"/>
              <w:left w:w="240" w:type="dxa"/>
              <w:bottom w:w="150" w:type="dxa"/>
              <w:right w:w="0" w:type="dxa"/>
            </w:tcMar>
            <w:vAlign w:val="center"/>
            <w:hideMark/>
          </w:tcPr>
          <w:p w14:paraId="2EB0E083"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7.05%</w:t>
            </w:r>
          </w:p>
        </w:tc>
      </w:tr>
      <w:tr w:rsidR="000E70CC" w:rsidRPr="000E70CC" w14:paraId="0C423F11" w14:textId="77777777" w:rsidTr="004127FB">
        <w:trPr>
          <w:trHeight w:val="886"/>
        </w:trPr>
        <w:tc>
          <w:tcPr>
            <w:tcW w:w="0" w:type="auto"/>
            <w:tcMar>
              <w:top w:w="150" w:type="dxa"/>
              <w:left w:w="0" w:type="dxa"/>
              <w:bottom w:w="150" w:type="dxa"/>
              <w:right w:w="240" w:type="dxa"/>
            </w:tcMar>
            <w:vAlign w:val="center"/>
            <w:hideMark/>
          </w:tcPr>
          <w:p w14:paraId="26ED36D1"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lastRenderedPageBreak/>
              <w:t>Overhead Rate</w:t>
            </w:r>
          </w:p>
        </w:tc>
        <w:tc>
          <w:tcPr>
            <w:tcW w:w="0" w:type="auto"/>
            <w:tcMar>
              <w:top w:w="150" w:type="dxa"/>
              <w:left w:w="240" w:type="dxa"/>
              <w:bottom w:w="150" w:type="dxa"/>
              <w:right w:w="240" w:type="dxa"/>
            </w:tcMar>
            <w:vAlign w:val="center"/>
            <w:hideMark/>
          </w:tcPr>
          <w:p w14:paraId="755CA951"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2.59%</w:t>
            </w:r>
          </w:p>
        </w:tc>
        <w:tc>
          <w:tcPr>
            <w:tcW w:w="0" w:type="auto"/>
            <w:tcMar>
              <w:top w:w="150" w:type="dxa"/>
              <w:left w:w="240" w:type="dxa"/>
              <w:bottom w:w="150" w:type="dxa"/>
              <w:right w:w="240" w:type="dxa"/>
            </w:tcMar>
            <w:vAlign w:val="center"/>
            <w:hideMark/>
          </w:tcPr>
          <w:p w14:paraId="7ED88DDF"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2.73%</w:t>
            </w:r>
          </w:p>
        </w:tc>
        <w:tc>
          <w:tcPr>
            <w:tcW w:w="0" w:type="auto"/>
            <w:tcMar>
              <w:top w:w="150" w:type="dxa"/>
              <w:left w:w="240" w:type="dxa"/>
              <w:bottom w:w="150" w:type="dxa"/>
              <w:right w:w="240" w:type="dxa"/>
            </w:tcMar>
            <w:vAlign w:val="center"/>
            <w:hideMark/>
          </w:tcPr>
          <w:p w14:paraId="54C7912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2.67%</w:t>
            </w:r>
          </w:p>
        </w:tc>
        <w:tc>
          <w:tcPr>
            <w:tcW w:w="0" w:type="auto"/>
            <w:tcMar>
              <w:top w:w="150" w:type="dxa"/>
              <w:left w:w="240" w:type="dxa"/>
              <w:bottom w:w="150" w:type="dxa"/>
              <w:right w:w="240" w:type="dxa"/>
            </w:tcMar>
            <w:vAlign w:val="center"/>
            <w:hideMark/>
          </w:tcPr>
          <w:p w14:paraId="0719849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2.44%</w:t>
            </w:r>
          </w:p>
        </w:tc>
        <w:tc>
          <w:tcPr>
            <w:tcW w:w="0" w:type="auto"/>
            <w:tcMar>
              <w:top w:w="150" w:type="dxa"/>
              <w:left w:w="240" w:type="dxa"/>
              <w:bottom w:w="150" w:type="dxa"/>
              <w:right w:w="0" w:type="dxa"/>
            </w:tcMar>
            <w:vAlign w:val="center"/>
            <w:hideMark/>
          </w:tcPr>
          <w:p w14:paraId="78FFE6B2"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2.49%</w:t>
            </w:r>
          </w:p>
        </w:tc>
      </w:tr>
      <w:tr w:rsidR="000E70CC" w:rsidRPr="000E70CC" w14:paraId="2F0C1777" w14:textId="77777777" w:rsidTr="004127FB">
        <w:trPr>
          <w:trHeight w:val="948"/>
        </w:trPr>
        <w:tc>
          <w:tcPr>
            <w:tcW w:w="0" w:type="auto"/>
            <w:tcMar>
              <w:top w:w="150" w:type="dxa"/>
              <w:left w:w="0" w:type="dxa"/>
              <w:bottom w:w="150" w:type="dxa"/>
              <w:right w:w="240" w:type="dxa"/>
            </w:tcMar>
            <w:vAlign w:val="center"/>
            <w:hideMark/>
          </w:tcPr>
          <w:p w14:paraId="647A2127"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Quality of Assets</w:t>
            </w:r>
          </w:p>
        </w:tc>
        <w:tc>
          <w:tcPr>
            <w:tcW w:w="0" w:type="auto"/>
            <w:tcMar>
              <w:top w:w="150" w:type="dxa"/>
              <w:left w:w="240" w:type="dxa"/>
              <w:bottom w:w="150" w:type="dxa"/>
              <w:right w:w="240" w:type="dxa"/>
            </w:tcMar>
            <w:vAlign w:val="center"/>
            <w:hideMark/>
          </w:tcPr>
          <w:p w14:paraId="3C56B4ED"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0.21%</w:t>
            </w:r>
          </w:p>
        </w:tc>
        <w:tc>
          <w:tcPr>
            <w:tcW w:w="0" w:type="auto"/>
            <w:tcMar>
              <w:top w:w="150" w:type="dxa"/>
              <w:left w:w="240" w:type="dxa"/>
              <w:bottom w:w="150" w:type="dxa"/>
              <w:right w:w="240" w:type="dxa"/>
            </w:tcMar>
            <w:vAlign w:val="center"/>
            <w:hideMark/>
          </w:tcPr>
          <w:p w14:paraId="6567C72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0.38%</w:t>
            </w:r>
          </w:p>
        </w:tc>
        <w:tc>
          <w:tcPr>
            <w:tcW w:w="0" w:type="auto"/>
            <w:tcMar>
              <w:top w:w="150" w:type="dxa"/>
              <w:left w:w="240" w:type="dxa"/>
              <w:bottom w:w="150" w:type="dxa"/>
              <w:right w:w="240" w:type="dxa"/>
            </w:tcMar>
            <w:vAlign w:val="center"/>
            <w:hideMark/>
          </w:tcPr>
          <w:p w14:paraId="59511CCE"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0.51%</w:t>
            </w:r>
          </w:p>
        </w:tc>
        <w:tc>
          <w:tcPr>
            <w:tcW w:w="0" w:type="auto"/>
            <w:tcMar>
              <w:top w:w="150" w:type="dxa"/>
              <w:left w:w="240" w:type="dxa"/>
              <w:bottom w:w="150" w:type="dxa"/>
              <w:right w:w="240" w:type="dxa"/>
            </w:tcMar>
            <w:vAlign w:val="center"/>
            <w:hideMark/>
          </w:tcPr>
          <w:p w14:paraId="17CAF6A9"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-0.09%</w:t>
            </w:r>
          </w:p>
        </w:tc>
        <w:tc>
          <w:tcPr>
            <w:tcW w:w="0" w:type="auto"/>
            <w:tcMar>
              <w:top w:w="150" w:type="dxa"/>
              <w:left w:w="240" w:type="dxa"/>
              <w:bottom w:w="150" w:type="dxa"/>
              <w:right w:w="0" w:type="dxa"/>
            </w:tcMar>
            <w:vAlign w:val="center"/>
            <w:hideMark/>
          </w:tcPr>
          <w:p w14:paraId="6065737B"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0.03%</w:t>
            </w:r>
          </w:p>
        </w:tc>
      </w:tr>
      <w:tr w:rsidR="000E70CC" w:rsidRPr="000E70CC" w14:paraId="42D63E9E" w14:textId="77777777" w:rsidTr="004127FB">
        <w:trPr>
          <w:trHeight w:val="886"/>
        </w:trPr>
        <w:tc>
          <w:tcPr>
            <w:tcW w:w="0" w:type="auto"/>
            <w:tcMar>
              <w:top w:w="150" w:type="dxa"/>
              <w:left w:w="0" w:type="dxa"/>
              <w:bottom w:w="150" w:type="dxa"/>
              <w:right w:w="240" w:type="dxa"/>
            </w:tcMar>
            <w:vAlign w:val="center"/>
            <w:hideMark/>
          </w:tcPr>
          <w:p w14:paraId="7DED0BA4" w14:textId="77777777" w:rsidR="008F64FA" w:rsidRPr="000E70CC" w:rsidRDefault="008F64FA" w:rsidP="009F365A">
            <w:pPr>
              <w:spacing w:line="360" w:lineRule="auto"/>
              <w:rPr>
                <w:rFonts w:ascii="Arial" w:hAnsi="Arial" w:cs="Arial"/>
                <w:b/>
                <w:bCs/>
                <w:color w:val="000000" w:themeColor="text1"/>
                <w:sz w:val="24"/>
                <w:szCs w:val="24"/>
              </w:rPr>
            </w:pPr>
            <w:r w:rsidRPr="000E70CC">
              <w:rPr>
                <w:rFonts w:ascii="Arial" w:hAnsi="Arial" w:cs="Arial"/>
                <w:b/>
                <w:bCs/>
                <w:color w:val="000000" w:themeColor="text1"/>
                <w:sz w:val="24"/>
                <w:szCs w:val="24"/>
              </w:rPr>
              <w:t>Tax Rate</w:t>
            </w:r>
          </w:p>
        </w:tc>
        <w:tc>
          <w:tcPr>
            <w:tcW w:w="0" w:type="auto"/>
            <w:tcMar>
              <w:top w:w="150" w:type="dxa"/>
              <w:left w:w="240" w:type="dxa"/>
              <w:bottom w:w="150" w:type="dxa"/>
              <w:right w:w="240" w:type="dxa"/>
            </w:tcMar>
            <w:vAlign w:val="center"/>
            <w:hideMark/>
          </w:tcPr>
          <w:p w14:paraId="09E48380"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0.95%</w:t>
            </w:r>
          </w:p>
        </w:tc>
        <w:tc>
          <w:tcPr>
            <w:tcW w:w="0" w:type="auto"/>
            <w:tcMar>
              <w:top w:w="150" w:type="dxa"/>
              <w:left w:w="240" w:type="dxa"/>
              <w:bottom w:w="150" w:type="dxa"/>
              <w:right w:w="240" w:type="dxa"/>
            </w:tcMar>
            <w:vAlign w:val="center"/>
            <w:hideMark/>
          </w:tcPr>
          <w:p w14:paraId="1E956ECA"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0.85%</w:t>
            </w:r>
          </w:p>
        </w:tc>
        <w:tc>
          <w:tcPr>
            <w:tcW w:w="0" w:type="auto"/>
            <w:tcMar>
              <w:top w:w="150" w:type="dxa"/>
              <w:left w:w="240" w:type="dxa"/>
              <w:bottom w:w="150" w:type="dxa"/>
              <w:right w:w="240" w:type="dxa"/>
            </w:tcMar>
            <w:vAlign w:val="center"/>
            <w:hideMark/>
          </w:tcPr>
          <w:p w14:paraId="65C7F214"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0.67%</w:t>
            </w:r>
          </w:p>
        </w:tc>
        <w:tc>
          <w:tcPr>
            <w:tcW w:w="0" w:type="auto"/>
            <w:tcMar>
              <w:top w:w="150" w:type="dxa"/>
              <w:left w:w="240" w:type="dxa"/>
              <w:bottom w:w="150" w:type="dxa"/>
              <w:right w:w="240" w:type="dxa"/>
            </w:tcMar>
            <w:vAlign w:val="center"/>
            <w:hideMark/>
          </w:tcPr>
          <w:p w14:paraId="429EDA08"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0.65%</w:t>
            </w:r>
          </w:p>
        </w:tc>
        <w:tc>
          <w:tcPr>
            <w:tcW w:w="0" w:type="auto"/>
            <w:tcMar>
              <w:top w:w="150" w:type="dxa"/>
              <w:left w:w="240" w:type="dxa"/>
              <w:bottom w:w="150" w:type="dxa"/>
              <w:right w:w="0" w:type="dxa"/>
            </w:tcMar>
            <w:vAlign w:val="center"/>
            <w:hideMark/>
          </w:tcPr>
          <w:p w14:paraId="631F4CE8" w14:textId="77777777" w:rsidR="008F64FA" w:rsidRPr="000E70CC" w:rsidRDefault="008F64FA" w:rsidP="009F365A">
            <w:pPr>
              <w:spacing w:line="360" w:lineRule="auto"/>
              <w:rPr>
                <w:rFonts w:ascii="Arial" w:hAnsi="Arial" w:cs="Arial"/>
                <w:color w:val="000000" w:themeColor="text1"/>
                <w:sz w:val="24"/>
                <w:szCs w:val="24"/>
              </w:rPr>
            </w:pPr>
            <w:r w:rsidRPr="000E70CC">
              <w:rPr>
                <w:rFonts w:ascii="Arial" w:hAnsi="Arial" w:cs="Arial"/>
                <w:color w:val="000000" w:themeColor="text1"/>
                <w:sz w:val="24"/>
                <w:szCs w:val="24"/>
              </w:rPr>
              <w:t>0.60%</w:t>
            </w:r>
          </w:p>
        </w:tc>
      </w:tr>
      <w:tr w:rsidR="000E70CC" w:rsidRPr="000E70CC" w14:paraId="0F9F0A57" w14:textId="77777777" w:rsidTr="004127FB">
        <w:trPr>
          <w:trHeight w:val="899"/>
        </w:trPr>
        <w:tc>
          <w:tcPr>
            <w:tcW w:w="0" w:type="auto"/>
            <w:tcMar>
              <w:top w:w="150" w:type="dxa"/>
              <w:left w:w="0" w:type="dxa"/>
              <w:bottom w:w="150" w:type="dxa"/>
              <w:right w:w="240" w:type="dxa"/>
            </w:tcMar>
            <w:vAlign w:val="center"/>
            <w:hideMark/>
          </w:tcPr>
          <w:p w14:paraId="302D012D"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Expense Ratio</w:t>
            </w:r>
          </w:p>
        </w:tc>
        <w:tc>
          <w:tcPr>
            <w:tcW w:w="0" w:type="auto"/>
            <w:tcMar>
              <w:top w:w="150" w:type="dxa"/>
              <w:left w:w="240" w:type="dxa"/>
              <w:bottom w:w="150" w:type="dxa"/>
              <w:right w:w="240" w:type="dxa"/>
            </w:tcMar>
            <w:vAlign w:val="center"/>
            <w:hideMark/>
          </w:tcPr>
          <w:p w14:paraId="4992E3A7"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7.17%</w:t>
            </w:r>
          </w:p>
        </w:tc>
        <w:tc>
          <w:tcPr>
            <w:tcW w:w="0" w:type="auto"/>
            <w:tcMar>
              <w:top w:w="150" w:type="dxa"/>
              <w:left w:w="240" w:type="dxa"/>
              <w:bottom w:w="150" w:type="dxa"/>
              <w:right w:w="240" w:type="dxa"/>
            </w:tcMar>
            <w:vAlign w:val="center"/>
            <w:hideMark/>
          </w:tcPr>
          <w:p w14:paraId="23346260"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8.33%</w:t>
            </w:r>
          </w:p>
        </w:tc>
        <w:tc>
          <w:tcPr>
            <w:tcW w:w="0" w:type="auto"/>
            <w:tcMar>
              <w:top w:w="150" w:type="dxa"/>
              <w:left w:w="240" w:type="dxa"/>
              <w:bottom w:w="150" w:type="dxa"/>
              <w:right w:w="240" w:type="dxa"/>
            </w:tcMar>
            <w:vAlign w:val="center"/>
            <w:hideMark/>
          </w:tcPr>
          <w:p w14:paraId="2BAEB526"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9.29%</w:t>
            </w:r>
          </w:p>
        </w:tc>
        <w:tc>
          <w:tcPr>
            <w:tcW w:w="0" w:type="auto"/>
            <w:tcMar>
              <w:top w:w="150" w:type="dxa"/>
              <w:left w:w="240" w:type="dxa"/>
              <w:bottom w:w="150" w:type="dxa"/>
              <w:right w:w="240" w:type="dxa"/>
            </w:tcMar>
            <w:vAlign w:val="center"/>
            <w:hideMark/>
          </w:tcPr>
          <w:p w14:paraId="68683617"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10.14%</w:t>
            </w:r>
          </w:p>
        </w:tc>
        <w:tc>
          <w:tcPr>
            <w:tcW w:w="0" w:type="auto"/>
            <w:tcMar>
              <w:top w:w="150" w:type="dxa"/>
              <w:left w:w="240" w:type="dxa"/>
              <w:bottom w:w="150" w:type="dxa"/>
              <w:right w:w="0" w:type="dxa"/>
            </w:tcMar>
            <w:vAlign w:val="center"/>
            <w:hideMark/>
          </w:tcPr>
          <w:p w14:paraId="00EFEE8B" w14:textId="77777777" w:rsidR="008F64FA" w:rsidRPr="000E70CC" w:rsidRDefault="008F64FA" w:rsidP="009F365A">
            <w:pPr>
              <w:spacing w:line="360" w:lineRule="auto"/>
              <w:rPr>
                <w:rFonts w:ascii="Arial" w:hAnsi="Arial" w:cs="Arial"/>
                <w:color w:val="000000" w:themeColor="text1"/>
                <w:sz w:val="24"/>
                <w:szCs w:val="24"/>
              </w:rPr>
            </w:pPr>
            <w:r w:rsidRPr="000E70CC">
              <w:rPr>
                <w:rStyle w:val="Strong"/>
                <w:rFonts w:ascii="Arial" w:hAnsi="Arial" w:cs="Arial"/>
                <w:color w:val="000000" w:themeColor="text1"/>
                <w:sz w:val="24"/>
                <w:szCs w:val="24"/>
              </w:rPr>
              <w:t>10.17%</w:t>
            </w:r>
          </w:p>
        </w:tc>
      </w:tr>
    </w:tbl>
    <w:p w14:paraId="685415D6" w14:textId="15A9B9FF" w:rsidR="008F64FA" w:rsidRPr="000E70CC" w:rsidRDefault="004127FB"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Pr>
          <w:rFonts w:ascii="Arial" w:hAnsi="Arial" w:cs="Arial"/>
          <w:color w:val="000000" w:themeColor="text1"/>
        </w:rPr>
        <w:t>T</w:t>
      </w:r>
      <w:r w:rsidRPr="00200482">
        <w:rPr>
          <w:rFonts w:ascii="Arial" w:hAnsi="Arial" w:cs="Arial"/>
          <w:color w:val="000000" w:themeColor="text1"/>
        </w:rPr>
        <w:t>he Expense Ratio is consistently growing, from 7.17% in 2021 to 10.17% in 2025. This means that expenses have been rising at a faster rate than assets, which may be a threat to profitability. The increase was driven primarily by the Cost of Funds, which increased from 3.42% in 2021 to 7.05% in 2025, reflecting higher funding costs due to increased reliance on deposits and borrowings. The 3.63 percentage point rise in the Cost of Funds is the largest factor in the widening gap between asset yields and funding costs. The Overhead Rate was fairly consistent, ranging from 2.44% to 2.73%, indicating good control of the administrative and operating costs as a proportion of the company size. The QA ratio showed some volatility, going negative in 2024 after making provision reversals and then coming back to a nominal 0.03% in 2025, which highlights the need for consistent credit risk management practices and adequate provisioning. The Tax Rate fell slightly from 0.95% to 0.60% during the period, which is due to effective tax planning.</w:t>
      </w:r>
    </w:p>
    <w:p w14:paraId="7CD6A707" w14:textId="00F1E404" w:rsidR="008F64FA" w:rsidRPr="00C243C7" w:rsidRDefault="008F64FA" w:rsidP="009F365A">
      <w:pPr>
        <w:pStyle w:val="Heading3"/>
        <w:spacing w:line="360" w:lineRule="auto"/>
        <w:rPr>
          <w:rFonts w:ascii="Arial" w:hAnsi="Arial" w:cs="Arial"/>
          <w:b/>
          <w:bCs/>
        </w:rPr>
      </w:pPr>
      <w:bookmarkStart w:id="38" w:name="_Toc235653232"/>
      <w:r w:rsidRPr="00C243C7">
        <w:rPr>
          <w:rFonts w:ascii="Arial" w:hAnsi="Arial" w:cs="Arial"/>
          <w:b/>
          <w:bCs/>
        </w:rPr>
        <w:lastRenderedPageBreak/>
        <w:t>Complete Integration of the Aggregate ROE Framework</w:t>
      </w:r>
      <w:bookmarkEnd w:id="38"/>
    </w:p>
    <w:p w14:paraId="68982E20" w14:textId="77777777" w:rsidR="004127FB" w:rsidRPr="004127FB" w:rsidRDefault="004127FB" w:rsidP="005B4D35">
      <w:pPr>
        <w:pStyle w:val="ds-markdown-paragraph"/>
        <w:shd w:val="clear" w:color="auto" w:fill="FFFFFF"/>
        <w:spacing w:before="240" w:after="240" w:line="360" w:lineRule="auto"/>
        <w:jc w:val="both"/>
        <w:rPr>
          <w:rFonts w:ascii="Arial" w:hAnsi="Arial" w:cs="Arial"/>
          <w:color w:val="000000" w:themeColor="text1"/>
        </w:rPr>
      </w:pPr>
      <w:r w:rsidRPr="004127FB">
        <w:rPr>
          <w:rFonts w:ascii="Arial" w:hAnsi="Arial" w:cs="Arial"/>
          <w:color w:val="000000" w:themeColor="text1"/>
        </w:rPr>
        <w:t>All the pieces of the ROE puzzle can now be put together. This integrated approach illustrates the contribution of each line item in the financial statements to shareholder returns.</w:t>
      </w:r>
    </w:p>
    <w:p w14:paraId="1B55F258" w14:textId="3490F819"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Style w:val="Strong"/>
          <w:rFonts w:ascii="Arial" w:eastAsiaTheme="majorEastAsia" w:hAnsi="Arial" w:cs="Arial"/>
          <w:color w:val="000000" w:themeColor="text1"/>
        </w:rPr>
        <w:t>Equation 13: Complete Aggregate ROE Framework</w:t>
      </w:r>
    </w:p>
    <w:p w14:paraId="4B3ED9F5"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Fonts w:ascii="Arial" w:hAnsi="Arial" w:cs="Arial"/>
          <w:color w:val="000000" w:themeColor="text1"/>
        </w:rPr>
        <w:t>ROE = [(Interest Income/TA + Non-Interest Income/TA) - (Interest Expense/TA + Non-Interest Expense/TA + Provision/TA + Tax Expense/TA)] × (TA/</w:t>
      </w:r>
      <w:proofErr w:type="spellStart"/>
      <w:r w:rsidRPr="000E70CC">
        <w:rPr>
          <w:rFonts w:ascii="Arial" w:hAnsi="Arial" w:cs="Arial"/>
          <w:color w:val="000000" w:themeColor="text1"/>
        </w:rPr>
        <w:t>TEq</w:t>
      </w:r>
      <w:proofErr w:type="spellEnd"/>
      <w:r w:rsidRPr="000E70CC">
        <w:rPr>
          <w:rFonts w:ascii="Arial" w:hAnsi="Arial" w:cs="Arial"/>
          <w:color w:val="000000" w:themeColor="text1"/>
        </w:rPr>
        <w:t>)</w:t>
      </w:r>
    </w:p>
    <w:p w14:paraId="453C6A7D" w14:textId="77777777" w:rsidR="008F64FA" w:rsidRPr="000E70CC" w:rsidRDefault="008F64FA"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0E70CC">
        <w:rPr>
          <w:rStyle w:val="Strong"/>
          <w:rFonts w:ascii="Arial" w:eastAsiaTheme="majorEastAsia" w:hAnsi="Arial" w:cs="Arial"/>
          <w:color w:val="000000" w:themeColor="text1"/>
        </w:rPr>
        <w:t>Equation 14: Framework in Component Form</w:t>
      </w:r>
    </w:p>
    <w:p w14:paraId="39CE1920" w14:textId="715B1C48" w:rsidR="008F64FA" w:rsidRDefault="008F64FA" w:rsidP="00041C79">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ROE = [(Yield on Interest-Based Assets + Yield on Non-Interest-Based Assets) - (Cost of Funds + Overhead Rate + Quality of Assets + Tax Rate)] × Equity Multiplier</w:t>
      </w:r>
    </w:p>
    <w:p w14:paraId="4F58FAC7" w14:textId="77777777" w:rsidR="00041C79" w:rsidRDefault="00041C79" w:rsidP="00041C79">
      <w:pPr>
        <w:pStyle w:val="ds-markdown-paragraph"/>
        <w:shd w:val="clear" w:color="auto" w:fill="FFFFFF"/>
        <w:spacing w:before="240" w:beforeAutospacing="0" w:after="240" w:afterAutospacing="0" w:line="360" w:lineRule="auto"/>
        <w:jc w:val="both"/>
        <w:rPr>
          <w:rFonts w:ascii="Arial" w:hAnsi="Arial" w:cs="Arial"/>
          <w:color w:val="000000" w:themeColor="text1"/>
        </w:rPr>
      </w:pPr>
    </w:p>
    <w:p w14:paraId="7371027E" w14:textId="2DCD7ABA" w:rsidR="00041C79" w:rsidRPr="00041C79" w:rsidRDefault="00041C79" w:rsidP="005B4D35">
      <w:pPr>
        <w:spacing w:line="360" w:lineRule="auto"/>
        <w:jc w:val="both"/>
        <w:rPr>
          <w:rFonts w:ascii="Arial" w:hAnsi="Arial" w:cs="Arial"/>
          <w:sz w:val="24"/>
          <w:szCs w:val="24"/>
        </w:rPr>
      </w:pPr>
      <w:r w:rsidRPr="00041C79">
        <w:rPr>
          <w:rFonts w:ascii="Arial" w:hAnsi="Arial" w:cs="Arial"/>
          <w:sz w:val="24"/>
          <w:szCs w:val="24"/>
        </w:rPr>
        <w:t>The overall picture shows that two conflicting factors are at play in the ROE of AFPLC: increasing asset profitability and increasing funding expenses. The Asset Utilization Ratio went up from 8.84% in 2021 to 11.26% in 2025, and the Expense Ratio rose from 7.17% to 10.17% over the same time period. The net spread (Asset Utilization Ratio - Expense Ratio) decreased significantly between 2021 and 2025 (from 1.67% to 1.09%), but there was a significant drop in 2023 when the framework-derived ROA became slightly negative due to high expenses. The Equity Multiplier rose from 2.72 to 4.68, thus magnifying the effect of ROA on ROE. The company's ROE was the highest in 2024, at 6.26%, with both the asset utilization being high and provisions being negative (reversing). The key to enhancing shareholder returns is: (1) optimi</w:t>
      </w:r>
      <w:r w:rsidR="00E12781">
        <w:rPr>
          <w:rFonts w:ascii="Arial" w:hAnsi="Arial" w:cs="Arial"/>
          <w:sz w:val="24"/>
          <w:szCs w:val="24"/>
        </w:rPr>
        <w:t>z</w:t>
      </w:r>
      <w:r w:rsidRPr="00041C79">
        <w:rPr>
          <w:rFonts w:ascii="Arial" w:hAnsi="Arial" w:cs="Arial"/>
          <w:sz w:val="24"/>
          <w:szCs w:val="24"/>
        </w:rPr>
        <w:t>ing funding costs (deposit mix and liability management); (2) diversifying revenue streams beyond interest income; (3) maintaining the credit quality of the portfolio and minimi</w:t>
      </w:r>
      <w:r w:rsidR="00E12781">
        <w:rPr>
          <w:rFonts w:ascii="Arial" w:hAnsi="Arial" w:cs="Arial"/>
          <w:sz w:val="24"/>
          <w:szCs w:val="24"/>
        </w:rPr>
        <w:t>z</w:t>
      </w:r>
      <w:r w:rsidRPr="00041C79">
        <w:rPr>
          <w:rFonts w:ascii="Arial" w:hAnsi="Arial" w:cs="Arial"/>
          <w:sz w:val="24"/>
          <w:szCs w:val="24"/>
        </w:rPr>
        <w:t>ing provisions; and (4) managing financial leverage and financial efficiency.</w:t>
      </w:r>
    </w:p>
    <w:p w14:paraId="060C894A" w14:textId="4AB8B2BB" w:rsidR="00B24F0D" w:rsidRDefault="00D5180D" w:rsidP="005B4D35">
      <w:pPr>
        <w:pStyle w:val="Heading2"/>
        <w:rPr>
          <w:b/>
          <w:bCs/>
        </w:rPr>
      </w:pPr>
      <w:r w:rsidRPr="00041C79">
        <w:rPr>
          <w:sz w:val="24"/>
          <w:szCs w:val="24"/>
        </w:rPr>
        <w:br w:type="page"/>
      </w:r>
      <w:bookmarkStart w:id="39" w:name="_Toc235653233"/>
      <w:r w:rsidR="005B4D35">
        <w:rPr>
          <w:b/>
          <w:bCs/>
        </w:rPr>
        <w:lastRenderedPageBreak/>
        <w:t>5 C</w:t>
      </w:r>
      <w:r w:rsidR="00B24F0D" w:rsidRPr="005B4D35">
        <w:rPr>
          <w:b/>
          <w:bCs/>
        </w:rPr>
        <w:t>omponents DuPont Analysis</w:t>
      </w:r>
      <w:bookmarkEnd w:id="39"/>
    </w:p>
    <w:p w14:paraId="2AAD8654" w14:textId="77777777" w:rsidR="005B4D35" w:rsidRPr="005B4D35" w:rsidRDefault="005B4D35" w:rsidP="005B4D35"/>
    <w:p w14:paraId="72319B13" w14:textId="3DB28E5E" w:rsidR="000E70CC" w:rsidRPr="00B24F0D" w:rsidRDefault="000E70CC" w:rsidP="005B4D35">
      <w:pPr>
        <w:pStyle w:val="ds-markdown-paragraph"/>
        <w:shd w:val="clear" w:color="auto" w:fill="FFFFFF"/>
        <w:spacing w:before="240" w:beforeAutospacing="0" w:after="240" w:afterAutospacing="0" w:line="360" w:lineRule="auto"/>
        <w:jc w:val="both"/>
        <w:rPr>
          <w:rFonts w:ascii="Arial" w:hAnsi="Arial" w:cs="Arial"/>
          <w:b/>
          <w:bCs/>
          <w:color w:val="000000" w:themeColor="text1"/>
          <w:sz w:val="36"/>
          <w:szCs w:val="36"/>
          <w:u w:val="single"/>
        </w:rPr>
      </w:pPr>
      <w:r w:rsidRPr="000E70CC">
        <w:rPr>
          <w:rFonts w:ascii="Arial" w:hAnsi="Arial" w:cs="Arial"/>
          <w:color w:val="000000" w:themeColor="text1"/>
        </w:rPr>
        <w:t>The 5-Component DuPont Analysis expands ROE into five detailed factors:</w:t>
      </w:r>
    </w:p>
    <w:p w14:paraId="74172ED8" w14:textId="77777777" w:rsidR="000E70CC" w:rsidRPr="000E70CC" w:rsidRDefault="000E70CC"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E70CC">
        <w:rPr>
          <w:rFonts w:ascii="Arial" w:hAnsi="Arial" w:cs="Arial"/>
          <w:color w:val="000000" w:themeColor="text1"/>
        </w:rPr>
        <w:t>ROE = Tax Burden × Interest Burden × Operating Margin × Asset Turnover × Equity Multiplier</w:t>
      </w:r>
    </w:p>
    <w:p w14:paraId="0A667464" w14:textId="77777777" w:rsidR="004127FB" w:rsidRDefault="004127FB"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4127FB">
        <w:rPr>
          <w:rFonts w:ascii="Arial" w:hAnsi="Arial" w:cs="Arial"/>
          <w:color w:val="000000" w:themeColor="text1"/>
        </w:rPr>
        <w:t>It reveals the interplay of various financial metrics, including taxes, interest, operating efficiency, asset utilization, and financial leverage, on Return on Equity, providing a more comprehensive understanding of a company's financial performance and risk profile.</w:t>
      </w:r>
    </w:p>
    <w:p w14:paraId="4C88132E" w14:textId="3A8B3B15" w:rsidR="000E70CC" w:rsidRPr="00B24F0D" w:rsidRDefault="000E70CC" w:rsidP="009F365A">
      <w:pPr>
        <w:pStyle w:val="ds-markdown-paragraph"/>
        <w:shd w:val="clear" w:color="auto" w:fill="FFFFFF"/>
        <w:spacing w:before="240" w:beforeAutospacing="0" w:after="240" w:afterAutospacing="0" w:line="360" w:lineRule="auto"/>
        <w:rPr>
          <w:rFonts w:ascii="Arial" w:hAnsi="Arial" w:cs="Arial"/>
          <w:color w:val="000000" w:themeColor="text1"/>
        </w:rPr>
      </w:pPr>
      <w:r w:rsidRPr="00B24F0D">
        <w:rPr>
          <w:rStyle w:val="Strong"/>
          <w:rFonts w:ascii="Arial" w:eastAsiaTheme="majorEastAsia" w:hAnsi="Arial" w:cs="Arial"/>
          <w:color w:val="000000" w:themeColor="text1"/>
        </w:rPr>
        <w:t>Table: Five-Factor DuPont Analysis of Alliance Finance PLC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7"/>
        <w:gridCol w:w="1294"/>
        <w:gridCol w:w="1294"/>
        <w:gridCol w:w="1294"/>
        <w:gridCol w:w="1294"/>
        <w:gridCol w:w="1054"/>
      </w:tblGrid>
      <w:tr w:rsidR="000E70CC" w:rsidRPr="00B24F0D" w14:paraId="5A9ED142" w14:textId="77777777" w:rsidTr="00B24F0D">
        <w:trPr>
          <w:tblHeader/>
        </w:trPr>
        <w:tc>
          <w:tcPr>
            <w:tcW w:w="0" w:type="auto"/>
            <w:tcMar>
              <w:top w:w="150" w:type="dxa"/>
              <w:left w:w="0" w:type="dxa"/>
              <w:bottom w:w="150" w:type="dxa"/>
              <w:right w:w="240" w:type="dxa"/>
            </w:tcMar>
            <w:vAlign w:val="center"/>
            <w:hideMark/>
          </w:tcPr>
          <w:p w14:paraId="1B549824"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Year</w:t>
            </w:r>
          </w:p>
        </w:tc>
        <w:tc>
          <w:tcPr>
            <w:tcW w:w="0" w:type="auto"/>
            <w:tcMar>
              <w:top w:w="150" w:type="dxa"/>
              <w:left w:w="240" w:type="dxa"/>
              <w:bottom w:w="150" w:type="dxa"/>
              <w:right w:w="240" w:type="dxa"/>
            </w:tcMar>
            <w:vAlign w:val="center"/>
            <w:hideMark/>
          </w:tcPr>
          <w:p w14:paraId="175D5B0C"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737A9726"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41058B0F"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0CB49AD7"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07A4DC29"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2025</w:t>
            </w:r>
          </w:p>
        </w:tc>
      </w:tr>
      <w:tr w:rsidR="000E70CC" w:rsidRPr="00B24F0D" w14:paraId="1C97C8FA" w14:textId="77777777" w:rsidTr="00B24F0D">
        <w:tc>
          <w:tcPr>
            <w:tcW w:w="0" w:type="auto"/>
            <w:tcMar>
              <w:top w:w="150" w:type="dxa"/>
              <w:left w:w="0" w:type="dxa"/>
              <w:bottom w:w="150" w:type="dxa"/>
              <w:right w:w="240" w:type="dxa"/>
            </w:tcMar>
            <w:vAlign w:val="center"/>
            <w:hideMark/>
          </w:tcPr>
          <w:p w14:paraId="19CEABF1" w14:textId="77777777" w:rsidR="000E70CC" w:rsidRPr="00B24F0D" w:rsidRDefault="000E70CC" w:rsidP="009F365A">
            <w:pPr>
              <w:spacing w:line="360" w:lineRule="auto"/>
              <w:rPr>
                <w:rFonts w:ascii="Arial" w:hAnsi="Arial" w:cs="Arial"/>
                <w:b/>
                <w:bCs/>
                <w:color w:val="000000" w:themeColor="text1"/>
                <w:sz w:val="24"/>
                <w:szCs w:val="24"/>
              </w:rPr>
            </w:pPr>
            <w:r w:rsidRPr="00B24F0D">
              <w:rPr>
                <w:rFonts w:ascii="Arial" w:hAnsi="Arial" w:cs="Arial"/>
                <w:b/>
                <w:bCs/>
                <w:color w:val="000000" w:themeColor="text1"/>
                <w:sz w:val="24"/>
                <w:szCs w:val="24"/>
              </w:rPr>
              <w:t>Tax Burden</w:t>
            </w:r>
          </w:p>
        </w:tc>
        <w:tc>
          <w:tcPr>
            <w:tcW w:w="0" w:type="auto"/>
            <w:tcMar>
              <w:top w:w="150" w:type="dxa"/>
              <w:left w:w="240" w:type="dxa"/>
              <w:bottom w:w="150" w:type="dxa"/>
              <w:right w:w="240" w:type="dxa"/>
            </w:tcMar>
            <w:vAlign w:val="center"/>
            <w:hideMark/>
          </w:tcPr>
          <w:p w14:paraId="28A703A9"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64.63%</w:t>
            </w:r>
          </w:p>
        </w:tc>
        <w:tc>
          <w:tcPr>
            <w:tcW w:w="0" w:type="auto"/>
            <w:tcMar>
              <w:top w:w="150" w:type="dxa"/>
              <w:left w:w="240" w:type="dxa"/>
              <w:bottom w:w="150" w:type="dxa"/>
              <w:right w:w="240" w:type="dxa"/>
            </w:tcMar>
            <w:vAlign w:val="center"/>
            <w:hideMark/>
          </w:tcPr>
          <w:p w14:paraId="2A442C55"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58.98%</w:t>
            </w:r>
          </w:p>
        </w:tc>
        <w:tc>
          <w:tcPr>
            <w:tcW w:w="0" w:type="auto"/>
            <w:tcMar>
              <w:top w:w="150" w:type="dxa"/>
              <w:left w:w="240" w:type="dxa"/>
              <w:bottom w:w="150" w:type="dxa"/>
              <w:right w:w="240" w:type="dxa"/>
            </w:tcMar>
            <w:vAlign w:val="center"/>
            <w:hideMark/>
          </w:tcPr>
          <w:p w14:paraId="14658CBA"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40.16%</w:t>
            </w:r>
          </w:p>
        </w:tc>
        <w:tc>
          <w:tcPr>
            <w:tcW w:w="0" w:type="auto"/>
            <w:tcMar>
              <w:top w:w="150" w:type="dxa"/>
              <w:left w:w="240" w:type="dxa"/>
              <w:bottom w:w="150" w:type="dxa"/>
              <w:right w:w="240" w:type="dxa"/>
            </w:tcMar>
            <w:vAlign w:val="center"/>
            <w:hideMark/>
          </w:tcPr>
          <w:p w14:paraId="16D478DD"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68.96%</w:t>
            </w:r>
          </w:p>
        </w:tc>
        <w:tc>
          <w:tcPr>
            <w:tcW w:w="0" w:type="auto"/>
            <w:tcMar>
              <w:top w:w="150" w:type="dxa"/>
              <w:left w:w="240" w:type="dxa"/>
              <w:bottom w:w="150" w:type="dxa"/>
              <w:right w:w="0" w:type="dxa"/>
            </w:tcMar>
            <w:vAlign w:val="center"/>
            <w:hideMark/>
          </w:tcPr>
          <w:p w14:paraId="702D8016"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65.28%</w:t>
            </w:r>
          </w:p>
        </w:tc>
      </w:tr>
      <w:tr w:rsidR="000E70CC" w:rsidRPr="00B24F0D" w14:paraId="09C54FD1" w14:textId="77777777" w:rsidTr="00B24F0D">
        <w:tc>
          <w:tcPr>
            <w:tcW w:w="0" w:type="auto"/>
            <w:tcMar>
              <w:top w:w="150" w:type="dxa"/>
              <w:left w:w="0" w:type="dxa"/>
              <w:bottom w:w="150" w:type="dxa"/>
              <w:right w:w="240" w:type="dxa"/>
            </w:tcMar>
            <w:vAlign w:val="center"/>
            <w:hideMark/>
          </w:tcPr>
          <w:p w14:paraId="0605D167" w14:textId="77777777" w:rsidR="000E70CC" w:rsidRPr="00B24F0D" w:rsidRDefault="000E70CC" w:rsidP="009F365A">
            <w:pPr>
              <w:spacing w:line="360" w:lineRule="auto"/>
              <w:rPr>
                <w:rFonts w:ascii="Arial" w:hAnsi="Arial" w:cs="Arial"/>
                <w:b/>
                <w:bCs/>
                <w:color w:val="000000" w:themeColor="text1"/>
                <w:sz w:val="24"/>
                <w:szCs w:val="24"/>
              </w:rPr>
            </w:pPr>
            <w:r w:rsidRPr="00B24F0D">
              <w:rPr>
                <w:rFonts w:ascii="Arial" w:hAnsi="Arial" w:cs="Arial"/>
                <w:b/>
                <w:bCs/>
                <w:color w:val="000000" w:themeColor="text1"/>
                <w:sz w:val="24"/>
                <w:szCs w:val="24"/>
              </w:rPr>
              <w:t>Interest Burden</w:t>
            </w:r>
          </w:p>
        </w:tc>
        <w:tc>
          <w:tcPr>
            <w:tcW w:w="0" w:type="auto"/>
            <w:tcMar>
              <w:top w:w="150" w:type="dxa"/>
              <w:left w:w="240" w:type="dxa"/>
              <w:bottom w:w="150" w:type="dxa"/>
              <w:right w:w="240" w:type="dxa"/>
            </w:tcMar>
            <w:vAlign w:val="center"/>
            <w:hideMark/>
          </w:tcPr>
          <w:p w14:paraId="283F00D6"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88.74%</w:t>
            </w:r>
          </w:p>
        </w:tc>
        <w:tc>
          <w:tcPr>
            <w:tcW w:w="0" w:type="auto"/>
            <w:tcMar>
              <w:top w:w="150" w:type="dxa"/>
              <w:left w:w="240" w:type="dxa"/>
              <w:bottom w:w="150" w:type="dxa"/>
              <w:right w:w="240" w:type="dxa"/>
            </w:tcMar>
            <w:vAlign w:val="center"/>
            <w:hideMark/>
          </w:tcPr>
          <w:p w14:paraId="140FCFDC"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79.88%</w:t>
            </w:r>
          </w:p>
        </w:tc>
        <w:tc>
          <w:tcPr>
            <w:tcW w:w="0" w:type="auto"/>
            <w:tcMar>
              <w:top w:w="150" w:type="dxa"/>
              <w:left w:w="240" w:type="dxa"/>
              <w:bottom w:w="150" w:type="dxa"/>
              <w:right w:w="240" w:type="dxa"/>
            </w:tcMar>
            <w:vAlign w:val="center"/>
            <w:hideMark/>
          </w:tcPr>
          <w:p w14:paraId="3DA5F4A7"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82.37%</w:t>
            </w:r>
          </w:p>
        </w:tc>
        <w:tc>
          <w:tcPr>
            <w:tcW w:w="0" w:type="auto"/>
            <w:tcMar>
              <w:top w:w="150" w:type="dxa"/>
              <w:left w:w="240" w:type="dxa"/>
              <w:bottom w:w="150" w:type="dxa"/>
              <w:right w:w="240" w:type="dxa"/>
            </w:tcMar>
            <w:vAlign w:val="center"/>
            <w:hideMark/>
          </w:tcPr>
          <w:p w14:paraId="22A77A52"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68.89%</w:t>
            </w:r>
          </w:p>
        </w:tc>
        <w:tc>
          <w:tcPr>
            <w:tcW w:w="0" w:type="auto"/>
            <w:tcMar>
              <w:top w:w="150" w:type="dxa"/>
              <w:left w:w="240" w:type="dxa"/>
              <w:bottom w:w="150" w:type="dxa"/>
              <w:right w:w="0" w:type="dxa"/>
            </w:tcMar>
            <w:vAlign w:val="center"/>
            <w:hideMark/>
          </w:tcPr>
          <w:p w14:paraId="0E0C527D"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67.99%</w:t>
            </w:r>
          </w:p>
        </w:tc>
      </w:tr>
      <w:tr w:rsidR="000E70CC" w:rsidRPr="00B24F0D" w14:paraId="0F896EDE" w14:textId="77777777" w:rsidTr="00B24F0D">
        <w:tc>
          <w:tcPr>
            <w:tcW w:w="0" w:type="auto"/>
            <w:tcMar>
              <w:top w:w="150" w:type="dxa"/>
              <w:left w:w="0" w:type="dxa"/>
              <w:bottom w:w="150" w:type="dxa"/>
              <w:right w:w="240" w:type="dxa"/>
            </w:tcMar>
            <w:vAlign w:val="center"/>
            <w:hideMark/>
          </w:tcPr>
          <w:p w14:paraId="7193C68F" w14:textId="77777777" w:rsidR="000E70CC" w:rsidRPr="00B24F0D" w:rsidRDefault="000E70CC" w:rsidP="009F365A">
            <w:pPr>
              <w:spacing w:line="360" w:lineRule="auto"/>
              <w:rPr>
                <w:rFonts w:ascii="Arial" w:hAnsi="Arial" w:cs="Arial"/>
                <w:b/>
                <w:bCs/>
                <w:color w:val="000000" w:themeColor="text1"/>
                <w:sz w:val="24"/>
                <w:szCs w:val="24"/>
              </w:rPr>
            </w:pPr>
            <w:r w:rsidRPr="00B24F0D">
              <w:rPr>
                <w:rFonts w:ascii="Arial" w:hAnsi="Arial" w:cs="Arial"/>
                <w:b/>
                <w:bCs/>
                <w:color w:val="000000" w:themeColor="text1"/>
                <w:sz w:val="24"/>
                <w:szCs w:val="24"/>
              </w:rPr>
              <w:t>Operating Margin</w:t>
            </w:r>
          </w:p>
        </w:tc>
        <w:tc>
          <w:tcPr>
            <w:tcW w:w="0" w:type="auto"/>
            <w:tcMar>
              <w:top w:w="150" w:type="dxa"/>
              <w:left w:w="240" w:type="dxa"/>
              <w:bottom w:w="150" w:type="dxa"/>
              <w:right w:w="240" w:type="dxa"/>
            </w:tcMar>
            <w:vAlign w:val="center"/>
            <w:hideMark/>
          </w:tcPr>
          <w:p w14:paraId="4D3560A6"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35.57%</w:t>
            </w:r>
          </w:p>
        </w:tc>
        <w:tc>
          <w:tcPr>
            <w:tcW w:w="0" w:type="auto"/>
            <w:tcMar>
              <w:top w:w="150" w:type="dxa"/>
              <w:left w:w="240" w:type="dxa"/>
              <w:bottom w:w="150" w:type="dxa"/>
              <w:right w:w="240" w:type="dxa"/>
            </w:tcMar>
            <w:vAlign w:val="center"/>
            <w:hideMark/>
          </w:tcPr>
          <w:p w14:paraId="13C98E29"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40.43%</w:t>
            </w:r>
          </w:p>
        </w:tc>
        <w:tc>
          <w:tcPr>
            <w:tcW w:w="0" w:type="auto"/>
            <w:tcMar>
              <w:top w:w="150" w:type="dxa"/>
              <w:left w:w="240" w:type="dxa"/>
              <w:bottom w:w="150" w:type="dxa"/>
              <w:right w:w="240" w:type="dxa"/>
            </w:tcMar>
            <w:vAlign w:val="center"/>
            <w:hideMark/>
          </w:tcPr>
          <w:p w14:paraId="365F63CE"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23.46%</w:t>
            </w:r>
          </w:p>
        </w:tc>
        <w:tc>
          <w:tcPr>
            <w:tcW w:w="0" w:type="auto"/>
            <w:tcMar>
              <w:top w:w="150" w:type="dxa"/>
              <w:left w:w="240" w:type="dxa"/>
              <w:bottom w:w="150" w:type="dxa"/>
              <w:right w:w="240" w:type="dxa"/>
            </w:tcMar>
            <w:vAlign w:val="center"/>
            <w:hideMark/>
          </w:tcPr>
          <w:p w14:paraId="0484B66C"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50.47%</w:t>
            </w:r>
          </w:p>
        </w:tc>
        <w:tc>
          <w:tcPr>
            <w:tcW w:w="0" w:type="auto"/>
            <w:tcMar>
              <w:top w:w="150" w:type="dxa"/>
              <w:left w:w="240" w:type="dxa"/>
              <w:bottom w:w="150" w:type="dxa"/>
              <w:right w:w="0" w:type="dxa"/>
            </w:tcMar>
            <w:vAlign w:val="center"/>
            <w:hideMark/>
          </w:tcPr>
          <w:p w14:paraId="725705E1"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47.95%</w:t>
            </w:r>
          </w:p>
        </w:tc>
      </w:tr>
      <w:tr w:rsidR="000E70CC" w:rsidRPr="00B24F0D" w14:paraId="14C07718" w14:textId="77777777" w:rsidTr="00B24F0D">
        <w:tc>
          <w:tcPr>
            <w:tcW w:w="0" w:type="auto"/>
            <w:tcMar>
              <w:top w:w="150" w:type="dxa"/>
              <w:left w:w="0" w:type="dxa"/>
              <w:bottom w:w="150" w:type="dxa"/>
              <w:right w:w="240" w:type="dxa"/>
            </w:tcMar>
            <w:vAlign w:val="center"/>
            <w:hideMark/>
          </w:tcPr>
          <w:p w14:paraId="266F044E" w14:textId="77777777" w:rsidR="000E70CC" w:rsidRPr="00B24F0D" w:rsidRDefault="000E70CC" w:rsidP="009F365A">
            <w:pPr>
              <w:spacing w:line="360" w:lineRule="auto"/>
              <w:rPr>
                <w:rFonts w:ascii="Arial" w:hAnsi="Arial" w:cs="Arial"/>
                <w:b/>
                <w:bCs/>
                <w:color w:val="000000" w:themeColor="text1"/>
                <w:sz w:val="24"/>
                <w:szCs w:val="24"/>
              </w:rPr>
            </w:pPr>
            <w:r w:rsidRPr="00B24F0D">
              <w:rPr>
                <w:rFonts w:ascii="Arial" w:hAnsi="Arial" w:cs="Arial"/>
                <w:b/>
                <w:bCs/>
                <w:color w:val="000000" w:themeColor="text1"/>
                <w:sz w:val="24"/>
                <w:szCs w:val="24"/>
              </w:rPr>
              <w:t>Asset Turnover</w:t>
            </w:r>
          </w:p>
        </w:tc>
        <w:tc>
          <w:tcPr>
            <w:tcW w:w="0" w:type="auto"/>
            <w:tcMar>
              <w:top w:w="150" w:type="dxa"/>
              <w:left w:w="240" w:type="dxa"/>
              <w:bottom w:w="150" w:type="dxa"/>
              <w:right w:w="240" w:type="dxa"/>
            </w:tcMar>
            <w:vAlign w:val="center"/>
            <w:hideMark/>
          </w:tcPr>
          <w:p w14:paraId="0C04ED05"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8.84%</w:t>
            </w:r>
          </w:p>
        </w:tc>
        <w:tc>
          <w:tcPr>
            <w:tcW w:w="0" w:type="auto"/>
            <w:tcMar>
              <w:top w:w="150" w:type="dxa"/>
              <w:left w:w="240" w:type="dxa"/>
              <w:bottom w:w="150" w:type="dxa"/>
              <w:right w:w="240" w:type="dxa"/>
            </w:tcMar>
            <w:vAlign w:val="center"/>
            <w:hideMark/>
          </w:tcPr>
          <w:p w14:paraId="340593A3"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9.56%</w:t>
            </w:r>
          </w:p>
        </w:tc>
        <w:tc>
          <w:tcPr>
            <w:tcW w:w="0" w:type="auto"/>
            <w:tcMar>
              <w:top w:w="150" w:type="dxa"/>
              <w:left w:w="240" w:type="dxa"/>
              <w:bottom w:w="150" w:type="dxa"/>
              <w:right w:w="240" w:type="dxa"/>
            </w:tcMar>
            <w:vAlign w:val="center"/>
            <w:hideMark/>
          </w:tcPr>
          <w:p w14:paraId="54FD9E3E"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10.43%</w:t>
            </w:r>
          </w:p>
        </w:tc>
        <w:tc>
          <w:tcPr>
            <w:tcW w:w="0" w:type="auto"/>
            <w:tcMar>
              <w:top w:w="150" w:type="dxa"/>
              <w:left w:w="240" w:type="dxa"/>
              <w:bottom w:w="150" w:type="dxa"/>
              <w:right w:w="240" w:type="dxa"/>
            </w:tcMar>
            <w:vAlign w:val="center"/>
            <w:hideMark/>
          </w:tcPr>
          <w:p w14:paraId="20AC9C0C"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11.63%</w:t>
            </w:r>
          </w:p>
        </w:tc>
        <w:tc>
          <w:tcPr>
            <w:tcW w:w="0" w:type="auto"/>
            <w:tcMar>
              <w:top w:w="150" w:type="dxa"/>
              <w:left w:w="240" w:type="dxa"/>
              <w:bottom w:w="150" w:type="dxa"/>
              <w:right w:w="0" w:type="dxa"/>
            </w:tcMar>
            <w:vAlign w:val="center"/>
            <w:hideMark/>
          </w:tcPr>
          <w:p w14:paraId="18EB44F0"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11.39%</w:t>
            </w:r>
          </w:p>
        </w:tc>
      </w:tr>
      <w:tr w:rsidR="000E70CC" w:rsidRPr="00B24F0D" w14:paraId="0FE4B348" w14:textId="77777777" w:rsidTr="00B24F0D">
        <w:tc>
          <w:tcPr>
            <w:tcW w:w="0" w:type="auto"/>
            <w:tcMar>
              <w:top w:w="150" w:type="dxa"/>
              <w:left w:w="0" w:type="dxa"/>
              <w:bottom w:w="150" w:type="dxa"/>
              <w:right w:w="240" w:type="dxa"/>
            </w:tcMar>
            <w:vAlign w:val="center"/>
            <w:hideMark/>
          </w:tcPr>
          <w:p w14:paraId="36A58745" w14:textId="77777777" w:rsidR="000E70CC" w:rsidRPr="00B24F0D" w:rsidRDefault="000E70CC" w:rsidP="009F365A">
            <w:pPr>
              <w:spacing w:line="360" w:lineRule="auto"/>
              <w:rPr>
                <w:rFonts w:ascii="Arial" w:hAnsi="Arial" w:cs="Arial"/>
                <w:b/>
                <w:bCs/>
                <w:color w:val="000000" w:themeColor="text1"/>
                <w:sz w:val="24"/>
                <w:szCs w:val="24"/>
              </w:rPr>
            </w:pPr>
            <w:r w:rsidRPr="00B24F0D">
              <w:rPr>
                <w:rFonts w:ascii="Arial" w:hAnsi="Arial" w:cs="Arial"/>
                <w:b/>
                <w:bCs/>
                <w:color w:val="000000" w:themeColor="text1"/>
                <w:sz w:val="24"/>
                <w:szCs w:val="24"/>
              </w:rPr>
              <w:t>Equity Multiplier</w:t>
            </w:r>
          </w:p>
        </w:tc>
        <w:tc>
          <w:tcPr>
            <w:tcW w:w="0" w:type="auto"/>
            <w:tcMar>
              <w:top w:w="150" w:type="dxa"/>
              <w:left w:w="240" w:type="dxa"/>
              <w:bottom w:w="150" w:type="dxa"/>
              <w:right w:w="240" w:type="dxa"/>
            </w:tcMar>
            <w:vAlign w:val="center"/>
            <w:hideMark/>
          </w:tcPr>
          <w:p w14:paraId="07433AB6"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2.72</w:t>
            </w:r>
          </w:p>
        </w:tc>
        <w:tc>
          <w:tcPr>
            <w:tcW w:w="0" w:type="auto"/>
            <w:tcMar>
              <w:top w:w="150" w:type="dxa"/>
              <w:left w:w="240" w:type="dxa"/>
              <w:bottom w:w="150" w:type="dxa"/>
              <w:right w:w="240" w:type="dxa"/>
            </w:tcMar>
            <w:vAlign w:val="center"/>
            <w:hideMark/>
          </w:tcPr>
          <w:p w14:paraId="39300706"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3.31</w:t>
            </w:r>
          </w:p>
        </w:tc>
        <w:tc>
          <w:tcPr>
            <w:tcW w:w="0" w:type="auto"/>
            <w:tcMar>
              <w:top w:w="150" w:type="dxa"/>
              <w:left w:w="240" w:type="dxa"/>
              <w:bottom w:w="150" w:type="dxa"/>
              <w:right w:w="240" w:type="dxa"/>
            </w:tcMar>
            <w:vAlign w:val="center"/>
            <w:hideMark/>
          </w:tcPr>
          <w:p w14:paraId="028A3FC9"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4.12</w:t>
            </w:r>
          </w:p>
        </w:tc>
        <w:tc>
          <w:tcPr>
            <w:tcW w:w="0" w:type="auto"/>
            <w:tcMar>
              <w:top w:w="150" w:type="dxa"/>
              <w:left w:w="240" w:type="dxa"/>
              <w:bottom w:w="150" w:type="dxa"/>
              <w:right w:w="240" w:type="dxa"/>
            </w:tcMar>
            <w:vAlign w:val="center"/>
            <w:hideMark/>
          </w:tcPr>
          <w:p w14:paraId="0CBDA3E4"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4.24</w:t>
            </w:r>
          </w:p>
        </w:tc>
        <w:tc>
          <w:tcPr>
            <w:tcW w:w="0" w:type="auto"/>
            <w:tcMar>
              <w:top w:w="150" w:type="dxa"/>
              <w:left w:w="240" w:type="dxa"/>
              <w:bottom w:w="150" w:type="dxa"/>
              <w:right w:w="0" w:type="dxa"/>
            </w:tcMar>
            <w:vAlign w:val="center"/>
            <w:hideMark/>
          </w:tcPr>
          <w:p w14:paraId="62451933"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4.68</w:t>
            </w:r>
          </w:p>
        </w:tc>
      </w:tr>
      <w:tr w:rsidR="000E70CC" w:rsidRPr="00B24F0D" w14:paraId="6EB649AF" w14:textId="77777777" w:rsidTr="00B24F0D">
        <w:tc>
          <w:tcPr>
            <w:tcW w:w="0" w:type="auto"/>
            <w:tcMar>
              <w:top w:w="150" w:type="dxa"/>
              <w:left w:w="0" w:type="dxa"/>
              <w:bottom w:w="150" w:type="dxa"/>
              <w:right w:w="240" w:type="dxa"/>
            </w:tcMar>
            <w:vAlign w:val="center"/>
            <w:hideMark/>
          </w:tcPr>
          <w:p w14:paraId="53BE7BB7" w14:textId="77777777" w:rsidR="000E70CC" w:rsidRPr="00B24F0D" w:rsidRDefault="000E70CC" w:rsidP="009F365A">
            <w:pPr>
              <w:spacing w:line="360" w:lineRule="auto"/>
              <w:rPr>
                <w:rFonts w:ascii="Arial" w:hAnsi="Arial" w:cs="Arial"/>
                <w:color w:val="000000" w:themeColor="text1"/>
                <w:sz w:val="24"/>
                <w:szCs w:val="24"/>
              </w:rPr>
            </w:pPr>
            <w:r w:rsidRPr="00B24F0D">
              <w:rPr>
                <w:rStyle w:val="Strong"/>
                <w:rFonts w:ascii="Arial" w:hAnsi="Arial" w:cs="Arial"/>
                <w:color w:val="000000" w:themeColor="text1"/>
                <w:sz w:val="24"/>
                <w:szCs w:val="24"/>
              </w:rPr>
              <w:t>ROE</w:t>
            </w:r>
          </w:p>
        </w:tc>
        <w:tc>
          <w:tcPr>
            <w:tcW w:w="0" w:type="auto"/>
            <w:tcMar>
              <w:top w:w="150" w:type="dxa"/>
              <w:left w:w="240" w:type="dxa"/>
              <w:bottom w:w="150" w:type="dxa"/>
              <w:right w:w="240" w:type="dxa"/>
            </w:tcMar>
            <w:vAlign w:val="center"/>
            <w:hideMark/>
          </w:tcPr>
          <w:p w14:paraId="4D9CFBEA" w14:textId="77777777" w:rsidR="000E70CC" w:rsidRPr="00B24F0D" w:rsidRDefault="000E70CC" w:rsidP="009F365A">
            <w:pPr>
              <w:spacing w:line="360" w:lineRule="auto"/>
              <w:rPr>
                <w:rFonts w:ascii="Arial" w:hAnsi="Arial" w:cs="Arial"/>
                <w:color w:val="000000" w:themeColor="text1"/>
                <w:sz w:val="24"/>
                <w:szCs w:val="24"/>
              </w:rPr>
            </w:pPr>
            <w:r w:rsidRPr="00B24F0D">
              <w:rPr>
                <w:rStyle w:val="Strong"/>
                <w:rFonts w:ascii="Arial" w:hAnsi="Arial" w:cs="Arial"/>
                <w:color w:val="000000" w:themeColor="text1"/>
                <w:sz w:val="24"/>
                <w:szCs w:val="24"/>
              </w:rPr>
              <w:t>4.91%</w:t>
            </w:r>
          </w:p>
        </w:tc>
        <w:tc>
          <w:tcPr>
            <w:tcW w:w="0" w:type="auto"/>
            <w:tcMar>
              <w:top w:w="150" w:type="dxa"/>
              <w:left w:w="240" w:type="dxa"/>
              <w:bottom w:w="150" w:type="dxa"/>
              <w:right w:w="240" w:type="dxa"/>
            </w:tcMar>
            <w:vAlign w:val="center"/>
            <w:hideMark/>
          </w:tcPr>
          <w:p w14:paraId="1A791115" w14:textId="77777777" w:rsidR="000E70CC" w:rsidRPr="00B24F0D" w:rsidRDefault="000E70CC" w:rsidP="009F365A">
            <w:pPr>
              <w:spacing w:line="360" w:lineRule="auto"/>
              <w:rPr>
                <w:rFonts w:ascii="Arial" w:hAnsi="Arial" w:cs="Arial"/>
                <w:color w:val="000000" w:themeColor="text1"/>
                <w:sz w:val="24"/>
                <w:szCs w:val="24"/>
              </w:rPr>
            </w:pPr>
            <w:r w:rsidRPr="00B24F0D">
              <w:rPr>
                <w:rStyle w:val="Strong"/>
                <w:rFonts w:ascii="Arial" w:hAnsi="Arial" w:cs="Arial"/>
                <w:color w:val="000000" w:themeColor="text1"/>
                <w:sz w:val="24"/>
                <w:szCs w:val="24"/>
              </w:rPr>
              <w:t>6.05%</w:t>
            </w:r>
          </w:p>
        </w:tc>
        <w:tc>
          <w:tcPr>
            <w:tcW w:w="0" w:type="auto"/>
            <w:tcMar>
              <w:top w:w="150" w:type="dxa"/>
              <w:left w:w="240" w:type="dxa"/>
              <w:bottom w:w="150" w:type="dxa"/>
              <w:right w:w="240" w:type="dxa"/>
            </w:tcMar>
            <w:vAlign w:val="center"/>
            <w:hideMark/>
          </w:tcPr>
          <w:p w14:paraId="31911AA3" w14:textId="77777777" w:rsidR="000E70CC" w:rsidRPr="00B24F0D" w:rsidRDefault="000E70CC" w:rsidP="009F365A">
            <w:pPr>
              <w:spacing w:line="360" w:lineRule="auto"/>
              <w:rPr>
                <w:rFonts w:ascii="Arial" w:hAnsi="Arial" w:cs="Arial"/>
                <w:color w:val="000000" w:themeColor="text1"/>
                <w:sz w:val="24"/>
                <w:szCs w:val="24"/>
              </w:rPr>
            </w:pPr>
            <w:r w:rsidRPr="00B24F0D">
              <w:rPr>
                <w:rStyle w:val="Strong"/>
                <w:rFonts w:ascii="Arial" w:hAnsi="Arial" w:cs="Arial"/>
                <w:color w:val="000000" w:themeColor="text1"/>
                <w:sz w:val="24"/>
                <w:szCs w:val="24"/>
              </w:rPr>
              <w:t>3.56%</w:t>
            </w:r>
          </w:p>
        </w:tc>
        <w:tc>
          <w:tcPr>
            <w:tcW w:w="0" w:type="auto"/>
            <w:tcMar>
              <w:top w:w="150" w:type="dxa"/>
              <w:left w:w="240" w:type="dxa"/>
              <w:bottom w:w="150" w:type="dxa"/>
              <w:right w:w="240" w:type="dxa"/>
            </w:tcMar>
            <w:vAlign w:val="center"/>
            <w:hideMark/>
          </w:tcPr>
          <w:p w14:paraId="26B7A80C" w14:textId="77777777" w:rsidR="000E70CC" w:rsidRPr="00B24F0D" w:rsidRDefault="000E70CC" w:rsidP="009F365A">
            <w:pPr>
              <w:spacing w:line="360" w:lineRule="auto"/>
              <w:rPr>
                <w:rFonts w:ascii="Arial" w:hAnsi="Arial" w:cs="Arial"/>
                <w:color w:val="000000" w:themeColor="text1"/>
                <w:sz w:val="24"/>
                <w:szCs w:val="24"/>
              </w:rPr>
            </w:pPr>
            <w:r w:rsidRPr="00B24F0D">
              <w:rPr>
                <w:rStyle w:val="Strong"/>
                <w:rFonts w:ascii="Arial" w:hAnsi="Arial" w:cs="Arial"/>
                <w:color w:val="000000" w:themeColor="text1"/>
                <w:sz w:val="24"/>
                <w:szCs w:val="24"/>
              </w:rPr>
              <w:t>11.52%</w:t>
            </w:r>
          </w:p>
        </w:tc>
        <w:tc>
          <w:tcPr>
            <w:tcW w:w="0" w:type="auto"/>
            <w:tcMar>
              <w:top w:w="150" w:type="dxa"/>
              <w:left w:w="240" w:type="dxa"/>
              <w:bottom w:w="150" w:type="dxa"/>
              <w:right w:w="0" w:type="dxa"/>
            </w:tcMar>
            <w:vAlign w:val="center"/>
            <w:hideMark/>
          </w:tcPr>
          <w:p w14:paraId="6EB69D1D" w14:textId="77777777" w:rsidR="000E70CC" w:rsidRPr="00B24F0D" w:rsidRDefault="000E70CC" w:rsidP="009F365A">
            <w:pPr>
              <w:spacing w:line="360" w:lineRule="auto"/>
              <w:rPr>
                <w:rFonts w:ascii="Arial" w:hAnsi="Arial" w:cs="Arial"/>
                <w:color w:val="000000" w:themeColor="text1"/>
                <w:sz w:val="24"/>
                <w:szCs w:val="24"/>
              </w:rPr>
            </w:pPr>
            <w:r w:rsidRPr="00B24F0D">
              <w:rPr>
                <w:rStyle w:val="Strong"/>
                <w:rFonts w:ascii="Arial" w:hAnsi="Arial" w:cs="Arial"/>
                <w:color w:val="000000" w:themeColor="text1"/>
                <w:sz w:val="24"/>
                <w:szCs w:val="24"/>
              </w:rPr>
              <w:t>10.47%</w:t>
            </w:r>
          </w:p>
        </w:tc>
      </w:tr>
    </w:tbl>
    <w:p w14:paraId="3FEDCC2F" w14:textId="34BA2193" w:rsidR="000E70CC" w:rsidRDefault="004127FB" w:rsidP="005B4D35">
      <w:pPr>
        <w:spacing w:before="480" w:after="480" w:line="360" w:lineRule="auto"/>
        <w:jc w:val="both"/>
        <w:rPr>
          <w:rFonts w:ascii="Arial" w:eastAsia="Times New Roman" w:hAnsi="Arial" w:cs="Arial"/>
          <w:color w:val="000000" w:themeColor="text1"/>
          <w:sz w:val="24"/>
          <w:szCs w:val="24"/>
          <w:lang w:val="en-US"/>
        </w:rPr>
      </w:pPr>
      <w:r w:rsidRPr="004127FB">
        <w:rPr>
          <w:rFonts w:ascii="Arial" w:eastAsia="Times New Roman" w:hAnsi="Arial" w:cs="Arial"/>
          <w:color w:val="000000" w:themeColor="text1"/>
          <w:sz w:val="24"/>
          <w:szCs w:val="24"/>
          <w:lang w:val="en-US"/>
        </w:rPr>
        <w:t xml:space="preserve">Alliance Finance PLC's financial performance from 2021 to 2025 showcases a journey of recovery and growth. The company's performance in 2021 was moderate, as evidenced by its ROE of 4.91%. The 2022 strong recovery (6.05%) was mainly due to better </w:t>
      </w:r>
      <w:r w:rsidRPr="004127FB">
        <w:rPr>
          <w:rFonts w:ascii="Arial" w:eastAsia="Times New Roman" w:hAnsi="Arial" w:cs="Arial"/>
          <w:color w:val="000000" w:themeColor="text1"/>
          <w:sz w:val="24"/>
          <w:szCs w:val="24"/>
          <w:lang w:val="en-US"/>
        </w:rPr>
        <w:lastRenderedPageBreak/>
        <w:t>operating margins and asset turnover. This was driven mainly by a sharp drop in operating margin and tax burden in 2023, which are responsible for the significant decrease of 3.56%. However, 2024 saw a significant improvement with ROE at 11.52% which was the best year on year performance for the company, due to the highest operating margin and asset turnover. There is a slight increase in pressure on operational efficiency for 2025 (10.47%), but the performance remains strong.</w:t>
      </w:r>
    </w:p>
    <w:p w14:paraId="63A6CC55" w14:textId="77777777" w:rsidR="004127FB" w:rsidRPr="00B24F0D" w:rsidRDefault="004127FB" w:rsidP="009F365A">
      <w:pPr>
        <w:spacing w:before="480" w:after="480" w:line="360" w:lineRule="auto"/>
        <w:rPr>
          <w:rFonts w:ascii="Arial" w:hAnsi="Arial" w:cs="Arial"/>
          <w:color w:val="000000" w:themeColor="text1"/>
          <w:sz w:val="24"/>
          <w:szCs w:val="24"/>
        </w:rPr>
      </w:pPr>
    </w:p>
    <w:p w14:paraId="20BEEEDC" w14:textId="05C51154" w:rsidR="000E70CC" w:rsidRDefault="000E70CC" w:rsidP="009F365A">
      <w:pPr>
        <w:pStyle w:val="Heading3"/>
        <w:spacing w:line="360" w:lineRule="auto"/>
        <w:rPr>
          <w:rFonts w:ascii="Arial" w:hAnsi="Arial" w:cs="Arial"/>
          <w:b/>
          <w:bCs/>
        </w:rPr>
      </w:pPr>
      <w:bookmarkStart w:id="40" w:name="_Toc235653234"/>
      <w:r w:rsidRPr="00442E71">
        <w:rPr>
          <w:rFonts w:ascii="Arial" w:hAnsi="Arial" w:cs="Arial"/>
          <w:b/>
          <w:bCs/>
        </w:rPr>
        <w:t>Component Analysis</w:t>
      </w:r>
      <w:bookmarkEnd w:id="40"/>
    </w:p>
    <w:p w14:paraId="743676D7" w14:textId="77777777" w:rsidR="007763B8" w:rsidRPr="007763B8" w:rsidRDefault="007763B8" w:rsidP="009F365A">
      <w:pPr>
        <w:spacing w:line="360" w:lineRule="auto"/>
      </w:pPr>
    </w:p>
    <w:p w14:paraId="57DE21D9" w14:textId="77777777" w:rsidR="000E70CC" w:rsidRPr="007763B8" w:rsidRDefault="000E70CC" w:rsidP="009F365A">
      <w:pPr>
        <w:spacing w:line="360" w:lineRule="auto"/>
        <w:rPr>
          <w:rFonts w:ascii="Arial" w:hAnsi="Arial" w:cs="Arial"/>
          <w:b/>
          <w:bCs/>
          <w:sz w:val="24"/>
          <w:szCs w:val="24"/>
        </w:rPr>
      </w:pPr>
      <w:r w:rsidRPr="007763B8">
        <w:rPr>
          <w:rFonts w:ascii="Arial" w:hAnsi="Arial" w:cs="Arial"/>
          <w:b/>
          <w:bCs/>
          <w:sz w:val="24"/>
          <w:szCs w:val="24"/>
        </w:rPr>
        <w:t>Tax Burden (Tax Efficiency)</w:t>
      </w:r>
    </w:p>
    <w:p w14:paraId="7FC556F2" w14:textId="2344D189" w:rsidR="000E70CC" w:rsidRPr="00B24F0D" w:rsidRDefault="004127FB" w:rsidP="005B4D35">
      <w:pPr>
        <w:pStyle w:val="ds-markdown-paragraph"/>
        <w:shd w:val="clear" w:color="auto" w:fill="FFFFFF"/>
        <w:spacing w:before="240" w:after="240" w:line="360" w:lineRule="auto"/>
        <w:jc w:val="both"/>
        <w:rPr>
          <w:rFonts w:ascii="Arial" w:hAnsi="Arial" w:cs="Arial"/>
          <w:color w:val="000000" w:themeColor="text1"/>
        </w:rPr>
      </w:pPr>
      <w:r w:rsidRPr="004127FB">
        <w:rPr>
          <w:rFonts w:ascii="Arial" w:hAnsi="Arial" w:cs="Arial"/>
          <w:color w:val="000000" w:themeColor="text1"/>
        </w:rPr>
        <w:t>Tax Burden is the percentage of pre-tax profit that is not paid in taxes. The higher the tax burden, the lower the effective tax rates; the lower the tax burden, the higher the tax 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81"/>
        <w:gridCol w:w="1294"/>
        <w:gridCol w:w="1294"/>
        <w:gridCol w:w="1294"/>
        <w:gridCol w:w="1294"/>
        <w:gridCol w:w="1054"/>
      </w:tblGrid>
      <w:tr w:rsidR="000E70CC" w:rsidRPr="00B24F0D" w14:paraId="748E1BAB" w14:textId="77777777" w:rsidTr="00C243C7">
        <w:trPr>
          <w:tblHeader/>
        </w:trPr>
        <w:tc>
          <w:tcPr>
            <w:tcW w:w="0" w:type="auto"/>
            <w:tcMar>
              <w:top w:w="150" w:type="dxa"/>
              <w:left w:w="0" w:type="dxa"/>
              <w:bottom w:w="150" w:type="dxa"/>
              <w:right w:w="240" w:type="dxa"/>
            </w:tcMar>
            <w:vAlign w:val="center"/>
            <w:hideMark/>
          </w:tcPr>
          <w:p w14:paraId="50A58F4E"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Year</w:t>
            </w:r>
          </w:p>
        </w:tc>
        <w:tc>
          <w:tcPr>
            <w:tcW w:w="0" w:type="auto"/>
            <w:tcMar>
              <w:top w:w="150" w:type="dxa"/>
              <w:left w:w="240" w:type="dxa"/>
              <w:bottom w:w="150" w:type="dxa"/>
              <w:right w:w="240" w:type="dxa"/>
            </w:tcMar>
            <w:vAlign w:val="center"/>
            <w:hideMark/>
          </w:tcPr>
          <w:p w14:paraId="7A7773E1"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53A5890E"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1087C3EB"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4373BC14"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4A031D76"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2025</w:t>
            </w:r>
          </w:p>
        </w:tc>
      </w:tr>
      <w:tr w:rsidR="000E70CC" w:rsidRPr="00B24F0D" w14:paraId="601995EE" w14:textId="77777777" w:rsidTr="00C243C7">
        <w:tc>
          <w:tcPr>
            <w:tcW w:w="0" w:type="auto"/>
            <w:tcMar>
              <w:top w:w="150" w:type="dxa"/>
              <w:left w:w="0" w:type="dxa"/>
              <w:bottom w:w="150" w:type="dxa"/>
              <w:right w:w="240" w:type="dxa"/>
            </w:tcMar>
            <w:vAlign w:val="center"/>
            <w:hideMark/>
          </w:tcPr>
          <w:p w14:paraId="0AC86D3B"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Tax Burden</w:t>
            </w:r>
          </w:p>
        </w:tc>
        <w:tc>
          <w:tcPr>
            <w:tcW w:w="0" w:type="auto"/>
            <w:tcMar>
              <w:top w:w="150" w:type="dxa"/>
              <w:left w:w="240" w:type="dxa"/>
              <w:bottom w:w="150" w:type="dxa"/>
              <w:right w:w="240" w:type="dxa"/>
            </w:tcMar>
            <w:vAlign w:val="center"/>
            <w:hideMark/>
          </w:tcPr>
          <w:p w14:paraId="46131885"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64.63%</w:t>
            </w:r>
          </w:p>
        </w:tc>
        <w:tc>
          <w:tcPr>
            <w:tcW w:w="0" w:type="auto"/>
            <w:tcMar>
              <w:top w:w="150" w:type="dxa"/>
              <w:left w:w="240" w:type="dxa"/>
              <w:bottom w:w="150" w:type="dxa"/>
              <w:right w:w="240" w:type="dxa"/>
            </w:tcMar>
            <w:vAlign w:val="center"/>
            <w:hideMark/>
          </w:tcPr>
          <w:p w14:paraId="65A086F9"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58.98%</w:t>
            </w:r>
          </w:p>
        </w:tc>
        <w:tc>
          <w:tcPr>
            <w:tcW w:w="0" w:type="auto"/>
            <w:tcMar>
              <w:top w:w="150" w:type="dxa"/>
              <w:left w:w="240" w:type="dxa"/>
              <w:bottom w:w="150" w:type="dxa"/>
              <w:right w:w="240" w:type="dxa"/>
            </w:tcMar>
            <w:vAlign w:val="center"/>
            <w:hideMark/>
          </w:tcPr>
          <w:p w14:paraId="5A66E46F"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40.16%</w:t>
            </w:r>
          </w:p>
        </w:tc>
        <w:tc>
          <w:tcPr>
            <w:tcW w:w="0" w:type="auto"/>
            <w:tcMar>
              <w:top w:w="150" w:type="dxa"/>
              <w:left w:w="240" w:type="dxa"/>
              <w:bottom w:w="150" w:type="dxa"/>
              <w:right w:w="240" w:type="dxa"/>
            </w:tcMar>
            <w:vAlign w:val="center"/>
            <w:hideMark/>
          </w:tcPr>
          <w:p w14:paraId="38565855"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68.96%</w:t>
            </w:r>
          </w:p>
        </w:tc>
        <w:tc>
          <w:tcPr>
            <w:tcW w:w="0" w:type="auto"/>
            <w:tcMar>
              <w:top w:w="150" w:type="dxa"/>
              <w:left w:w="240" w:type="dxa"/>
              <w:bottom w:w="150" w:type="dxa"/>
              <w:right w:w="0" w:type="dxa"/>
            </w:tcMar>
            <w:vAlign w:val="center"/>
            <w:hideMark/>
          </w:tcPr>
          <w:p w14:paraId="63877ED5"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65.28%</w:t>
            </w:r>
          </w:p>
        </w:tc>
      </w:tr>
    </w:tbl>
    <w:p w14:paraId="380843C2" w14:textId="77777777" w:rsidR="004127FB" w:rsidRPr="009F365A" w:rsidRDefault="004127FB" w:rsidP="005B4D35">
      <w:pPr>
        <w:spacing w:before="240" w:line="360" w:lineRule="auto"/>
        <w:jc w:val="both"/>
        <w:rPr>
          <w:rFonts w:ascii="Arial" w:eastAsia="Times New Roman" w:hAnsi="Arial" w:cs="Arial"/>
          <w:color w:val="000000" w:themeColor="text1"/>
          <w:sz w:val="24"/>
          <w:szCs w:val="24"/>
          <w:lang w:val="en-US"/>
        </w:rPr>
      </w:pPr>
      <w:r w:rsidRPr="009F365A">
        <w:rPr>
          <w:rFonts w:ascii="Arial" w:eastAsia="Times New Roman" w:hAnsi="Arial" w:cs="Arial"/>
          <w:color w:val="000000" w:themeColor="text1"/>
          <w:sz w:val="24"/>
          <w:szCs w:val="24"/>
          <w:lang w:val="en-US"/>
        </w:rPr>
        <w:t>There was a considerable fluctuation in the tax burden over the time period. It declined from 64.63% in 2021 to 58.98% in 2022, indicating higher effective tax rates. The drop to 40.16% in 2023 is the lowest tax efficiency, indicating that the company paid a significantly larger percentage of its pre-tax profit in taxes. This recovery to 68.96% in 2024 is due to better tax planning or lower effective tax rates, with a slight drop to 65.28% in 2025. This volatility indicates that the tax planning is not consistent and they are exposed to the changing tax laws.</w:t>
      </w:r>
    </w:p>
    <w:p w14:paraId="68461E92" w14:textId="77777777" w:rsidR="007763B8" w:rsidRDefault="007763B8" w:rsidP="009F365A">
      <w:pPr>
        <w:spacing w:line="360" w:lineRule="auto"/>
        <w:rPr>
          <w:rFonts w:ascii="Arial" w:hAnsi="Arial" w:cs="Arial"/>
          <w:b/>
          <w:bCs/>
          <w:sz w:val="24"/>
          <w:szCs w:val="24"/>
        </w:rPr>
      </w:pPr>
    </w:p>
    <w:p w14:paraId="35C85A35" w14:textId="4800F865" w:rsidR="000E70CC" w:rsidRPr="007763B8" w:rsidRDefault="000E70CC" w:rsidP="009F365A">
      <w:pPr>
        <w:spacing w:line="360" w:lineRule="auto"/>
        <w:rPr>
          <w:rFonts w:ascii="Arial" w:hAnsi="Arial" w:cs="Arial"/>
          <w:b/>
          <w:bCs/>
          <w:sz w:val="24"/>
          <w:szCs w:val="24"/>
        </w:rPr>
      </w:pPr>
      <w:r w:rsidRPr="007763B8">
        <w:rPr>
          <w:rFonts w:ascii="Arial" w:hAnsi="Arial" w:cs="Arial"/>
          <w:b/>
          <w:bCs/>
          <w:sz w:val="24"/>
          <w:szCs w:val="24"/>
        </w:rPr>
        <w:lastRenderedPageBreak/>
        <w:t>Interest Burden (Interest Cost Management)</w:t>
      </w:r>
    </w:p>
    <w:p w14:paraId="623980B0" w14:textId="66A7968C" w:rsidR="000E70CC" w:rsidRPr="00B24F0D" w:rsidRDefault="00CA42B1" w:rsidP="005B4D35">
      <w:pPr>
        <w:pStyle w:val="ds-markdown-paragraph"/>
        <w:shd w:val="clear" w:color="auto" w:fill="FFFFFF"/>
        <w:spacing w:before="240" w:after="240" w:line="360" w:lineRule="auto"/>
        <w:jc w:val="both"/>
        <w:rPr>
          <w:rFonts w:ascii="Arial" w:hAnsi="Arial" w:cs="Arial"/>
          <w:color w:val="000000" w:themeColor="text1"/>
        </w:rPr>
      </w:pPr>
      <w:r w:rsidRPr="00CA42B1">
        <w:rPr>
          <w:rFonts w:ascii="Arial" w:hAnsi="Arial" w:cs="Arial"/>
          <w:color w:val="000000" w:themeColor="text1"/>
        </w:rPr>
        <w:t>Interest Burden is an indicator of how much operating profit is left after interest expenses. The higher the interest burden, the lower the interest costs are relative to operating profit, and the lower the interest burden, the higher the interest costs are relative to operating profit.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1"/>
        <w:gridCol w:w="1294"/>
        <w:gridCol w:w="1294"/>
        <w:gridCol w:w="1294"/>
        <w:gridCol w:w="1294"/>
        <w:gridCol w:w="1054"/>
      </w:tblGrid>
      <w:tr w:rsidR="000E70CC" w:rsidRPr="00B24F0D" w14:paraId="1D3244B0" w14:textId="77777777" w:rsidTr="00C243C7">
        <w:trPr>
          <w:tblHeader/>
        </w:trPr>
        <w:tc>
          <w:tcPr>
            <w:tcW w:w="0" w:type="auto"/>
            <w:tcMar>
              <w:top w:w="150" w:type="dxa"/>
              <w:left w:w="0" w:type="dxa"/>
              <w:bottom w:w="150" w:type="dxa"/>
              <w:right w:w="240" w:type="dxa"/>
            </w:tcMar>
            <w:vAlign w:val="center"/>
            <w:hideMark/>
          </w:tcPr>
          <w:p w14:paraId="530ACD2F"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Year</w:t>
            </w:r>
          </w:p>
        </w:tc>
        <w:tc>
          <w:tcPr>
            <w:tcW w:w="0" w:type="auto"/>
            <w:tcMar>
              <w:top w:w="150" w:type="dxa"/>
              <w:left w:w="240" w:type="dxa"/>
              <w:bottom w:w="150" w:type="dxa"/>
              <w:right w:w="240" w:type="dxa"/>
            </w:tcMar>
            <w:vAlign w:val="center"/>
            <w:hideMark/>
          </w:tcPr>
          <w:p w14:paraId="606E5778"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041E76CE"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1FC07901"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35EEEFBC"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2A6FC701"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2025</w:t>
            </w:r>
          </w:p>
        </w:tc>
      </w:tr>
      <w:tr w:rsidR="000E70CC" w:rsidRPr="00B24F0D" w14:paraId="2FF1A05D" w14:textId="77777777" w:rsidTr="00C243C7">
        <w:tc>
          <w:tcPr>
            <w:tcW w:w="0" w:type="auto"/>
            <w:tcMar>
              <w:top w:w="150" w:type="dxa"/>
              <w:left w:w="0" w:type="dxa"/>
              <w:bottom w:w="150" w:type="dxa"/>
              <w:right w:w="240" w:type="dxa"/>
            </w:tcMar>
            <w:vAlign w:val="center"/>
            <w:hideMark/>
          </w:tcPr>
          <w:p w14:paraId="2C81C6D1"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Interest Burden</w:t>
            </w:r>
          </w:p>
        </w:tc>
        <w:tc>
          <w:tcPr>
            <w:tcW w:w="0" w:type="auto"/>
            <w:tcMar>
              <w:top w:w="150" w:type="dxa"/>
              <w:left w:w="240" w:type="dxa"/>
              <w:bottom w:w="150" w:type="dxa"/>
              <w:right w:w="240" w:type="dxa"/>
            </w:tcMar>
            <w:vAlign w:val="center"/>
            <w:hideMark/>
          </w:tcPr>
          <w:p w14:paraId="09B50038"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88.74%</w:t>
            </w:r>
          </w:p>
        </w:tc>
        <w:tc>
          <w:tcPr>
            <w:tcW w:w="0" w:type="auto"/>
            <w:tcMar>
              <w:top w:w="150" w:type="dxa"/>
              <w:left w:w="240" w:type="dxa"/>
              <w:bottom w:w="150" w:type="dxa"/>
              <w:right w:w="240" w:type="dxa"/>
            </w:tcMar>
            <w:vAlign w:val="center"/>
            <w:hideMark/>
          </w:tcPr>
          <w:p w14:paraId="7FD611F9"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79.88%</w:t>
            </w:r>
          </w:p>
        </w:tc>
        <w:tc>
          <w:tcPr>
            <w:tcW w:w="0" w:type="auto"/>
            <w:tcMar>
              <w:top w:w="150" w:type="dxa"/>
              <w:left w:w="240" w:type="dxa"/>
              <w:bottom w:w="150" w:type="dxa"/>
              <w:right w:w="240" w:type="dxa"/>
            </w:tcMar>
            <w:vAlign w:val="center"/>
            <w:hideMark/>
          </w:tcPr>
          <w:p w14:paraId="527C6F0C"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82.37%</w:t>
            </w:r>
          </w:p>
        </w:tc>
        <w:tc>
          <w:tcPr>
            <w:tcW w:w="0" w:type="auto"/>
            <w:tcMar>
              <w:top w:w="150" w:type="dxa"/>
              <w:left w:w="240" w:type="dxa"/>
              <w:bottom w:w="150" w:type="dxa"/>
              <w:right w:w="240" w:type="dxa"/>
            </w:tcMar>
            <w:vAlign w:val="center"/>
            <w:hideMark/>
          </w:tcPr>
          <w:p w14:paraId="0ABD074A"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68.89%</w:t>
            </w:r>
          </w:p>
        </w:tc>
        <w:tc>
          <w:tcPr>
            <w:tcW w:w="0" w:type="auto"/>
            <w:tcMar>
              <w:top w:w="150" w:type="dxa"/>
              <w:left w:w="240" w:type="dxa"/>
              <w:bottom w:w="150" w:type="dxa"/>
              <w:right w:w="0" w:type="dxa"/>
            </w:tcMar>
            <w:vAlign w:val="center"/>
            <w:hideMark/>
          </w:tcPr>
          <w:p w14:paraId="10CD52E4"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67.99%</w:t>
            </w:r>
          </w:p>
        </w:tc>
      </w:tr>
    </w:tbl>
    <w:p w14:paraId="4492E45B" w14:textId="41022057" w:rsidR="00CA42B1" w:rsidRPr="009F365A" w:rsidRDefault="00CA42B1" w:rsidP="005B4D35">
      <w:pPr>
        <w:spacing w:before="240" w:line="360" w:lineRule="auto"/>
        <w:jc w:val="both"/>
        <w:rPr>
          <w:rFonts w:ascii="Arial" w:eastAsia="Times New Roman" w:hAnsi="Arial" w:cs="Arial"/>
          <w:color w:val="000000" w:themeColor="text1"/>
          <w:sz w:val="24"/>
          <w:szCs w:val="24"/>
          <w:lang w:val="en-US"/>
        </w:rPr>
      </w:pPr>
      <w:r w:rsidRPr="009F365A">
        <w:rPr>
          <w:rFonts w:ascii="Arial" w:eastAsia="Times New Roman" w:hAnsi="Arial" w:cs="Arial"/>
          <w:color w:val="000000" w:themeColor="text1"/>
          <w:sz w:val="24"/>
          <w:szCs w:val="24"/>
          <w:lang w:val="en-US"/>
        </w:rPr>
        <w:t>The interest burden has been steadily declining over the 5 years period, decreasing from 88.74% in 2021 to 67.99% in 2025. This means that the interest expenses are taking up a larger share of operating profit, which suggests that the company is becoming more dependent on debt financing. The decline from 88.74% to 79.88% in 2022 was followed by a slight recovery to 82.37% in 2023, but the downward trend resumed in 2024-2025, falling to 68.89% and 67.99% respectively. The trend is a serious one, as it implies that the cost of borrowing is increasing at a rate faster than the rate of profit, and if this rate of profit decreases further, the trend may not continue.</w:t>
      </w:r>
    </w:p>
    <w:p w14:paraId="099F86BF" w14:textId="77777777" w:rsidR="007763B8" w:rsidRPr="007763B8" w:rsidRDefault="007763B8" w:rsidP="009F365A">
      <w:pPr>
        <w:spacing w:line="360" w:lineRule="auto"/>
      </w:pPr>
    </w:p>
    <w:p w14:paraId="52DD6FB4" w14:textId="40A2E75E" w:rsidR="000E70CC" w:rsidRPr="007763B8" w:rsidRDefault="000E70CC" w:rsidP="009F365A">
      <w:pPr>
        <w:spacing w:line="360" w:lineRule="auto"/>
        <w:rPr>
          <w:rFonts w:ascii="Arial" w:hAnsi="Arial" w:cs="Arial"/>
          <w:b/>
          <w:bCs/>
          <w:sz w:val="24"/>
          <w:szCs w:val="24"/>
        </w:rPr>
      </w:pPr>
      <w:r w:rsidRPr="007763B8">
        <w:rPr>
          <w:rFonts w:ascii="Arial" w:hAnsi="Arial" w:cs="Arial"/>
          <w:b/>
          <w:bCs/>
          <w:sz w:val="24"/>
          <w:szCs w:val="24"/>
        </w:rPr>
        <w:t>Operating Margin (Operational Profitability)</w:t>
      </w:r>
    </w:p>
    <w:p w14:paraId="14133FA2" w14:textId="63DC2522" w:rsidR="000E70CC" w:rsidRPr="00B24F0D" w:rsidRDefault="00CA42B1" w:rsidP="005B4D35">
      <w:pPr>
        <w:pStyle w:val="ds-markdown-paragraph"/>
        <w:shd w:val="clear" w:color="auto" w:fill="FFFFFF"/>
        <w:spacing w:before="240" w:after="240" w:line="360" w:lineRule="auto"/>
        <w:jc w:val="both"/>
        <w:rPr>
          <w:rFonts w:ascii="Arial" w:hAnsi="Arial" w:cs="Arial"/>
          <w:color w:val="000000" w:themeColor="text1"/>
        </w:rPr>
      </w:pPr>
      <w:r w:rsidRPr="00CA42B1">
        <w:rPr>
          <w:rFonts w:ascii="Arial" w:hAnsi="Arial" w:cs="Arial"/>
          <w:color w:val="000000" w:themeColor="text1"/>
        </w:rPr>
        <w:t>Operating Margin is the percentage of revenue that is left over from operating expenses. Operating margin is a measure of the efficiency and control of the company's operations and is higher when it is more efficient and better controls are maintained.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5"/>
        <w:gridCol w:w="1294"/>
        <w:gridCol w:w="1294"/>
        <w:gridCol w:w="1294"/>
        <w:gridCol w:w="1294"/>
        <w:gridCol w:w="1054"/>
      </w:tblGrid>
      <w:tr w:rsidR="000E70CC" w:rsidRPr="00B24F0D" w14:paraId="61E2921F" w14:textId="77777777" w:rsidTr="00C243C7">
        <w:trPr>
          <w:tblHeader/>
        </w:trPr>
        <w:tc>
          <w:tcPr>
            <w:tcW w:w="0" w:type="auto"/>
            <w:tcMar>
              <w:top w:w="150" w:type="dxa"/>
              <w:left w:w="0" w:type="dxa"/>
              <w:bottom w:w="150" w:type="dxa"/>
              <w:right w:w="240" w:type="dxa"/>
            </w:tcMar>
            <w:vAlign w:val="center"/>
            <w:hideMark/>
          </w:tcPr>
          <w:p w14:paraId="417CEB44"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Year</w:t>
            </w:r>
          </w:p>
        </w:tc>
        <w:tc>
          <w:tcPr>
            <w:tcW w:w="0" w:type="auto"/>
            <w:tcMar>
              <w:top w:w="150" w:type="dxa"/>
              <w:left w:w="240" w:type="dxa"/>
              <w:bottom w:w="150" w:type="dxa"/>
              <w:right w:w="240" w:type="dxa"/>
            </w:tcMar>
            <w:vAlign w:val="center"/>
            <w:hideMark/>
          </w:tcPr>
          <w:p w14:paraId="705A5921"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551A477D"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6C357407"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59B126C7"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7C299268"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2025</w:t>
            </w:r>
          </w:p>
        </w:tc>
      </w:tr>
      <w:tr w:rsidR="000E70CC" w:rsidRPr="00B24F0D" w14:paraId="62BB9A9C" w14:textId="77777777" w:rsidTr="00C243C7">
        <w:tc>
          <w:tcPr>
            <w:tcW w:w="0" w:type="auto"/>
            <w:tcMar>
              <w:top w:w="150" w:type="dxa"/>
              <w:left w:w="0" w:type="dxa"/>
              <w:bottom w:w="150" w:type="dxa"/>
              <w:right w:w="240" w:type="dxa"/>
            </w:tcMar>
            <w:vAlign w:val="center"/>
            <w:hideMark/>
          </w:tcPr>
          <w:p w14:paraId="4C0C904B"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Operating Margin</w:t>
            </w:r>
          </w:p>
        </w:tc>
        <w:tc>
          <w:tcPr>
            <w:tcW w:w="0" w:type="auto"/>
            <w:tcMar>
              <w:top w:w="150" w:type="dxa"/>
              <w:left w:w="240" w:type="dxa"/>
              <w:bottom w:w="150" w:type="dxa"/>
              <w:right w:w="240" w:type="dxa"/>
            </w:tcMar>
            <w:vAlign w:val="center"/>
            <w:hideMark/>
          </w:tcPr>
          <w:p w14:paraId="19086FB4"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35.57%</w:t>
            </w:r>
          </w:p>
        </w:tc>
        <w:tc>
          <w:tcPr>
            <w:tcW w:w="0" w:type="auto"/>
            <w:tcMar>
              <w:top w:w="150" w:type="dxa"/>
              <w:left w:w="240" w:type="dxa"/>
              <w:bottom w:w="150" w:type="dxa"/>
              <w:right w:w="240" w:type="dxa"/>
            </w:tcMar>
            <w:vAlign w:val="center"/>
            <w:hideMark/>
          </w:tcPr>
          <w:p w14:paraId="73B219CA"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40.43%</w:t>
            </w:r>
          </w:p>
        </w:tc>
        <w:tc>
          <w:tcPr>
            <w:tcW w:w="0" w:type="auto"/>
            <w:tcMar>
              <w:top w:w="150" w:type="dxa"/>
              <w:left w:w="240" w:type="dxa"/>
              <w:bottom w:w="150" w:type="dxa"/>
              <w:right w:w="240" w:type="dxa"/>
            </w:tcMar>
            <w:vAlign w:val="center"/>
            <w:hideMark/>
          </w:tcPr>
          <w:p w14:paraId="12944C94"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23.46%</w:t>
            </w:r>
          </w:p>
        </w:tc>
        <w:tc>
          <w:tcPr>
            <w:tcW w:w="0" w:type="auto"/>
            <w:tcMar>
              <w:top w:w="150" w:type="dxa"/>
              <w:left w:w="240" w:type="dxa"/>
              <w:bottom w:w="150" w:type="dxa"/>
              <w:right w:w="240" w:type="dxa"/>
            </w:tcMar>
            <w:vAlign w:val="center"/>
            <w:hideMark/>
          </w:tcPr>
          <w:p w14:paraId="5E4A7659"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50.47%</w:t>
            </w:r>
          </w:p>
        </w:tc>
        <w:tc>
          <w:tcPr>
            <w:tcW w:w="0" w:type="auto"/>
            <w:tcMar>
              <w:top w:w="150" w:type="dxa"/>
              <w:left w:w="240" w:type="dxa"/>
              <w:bottom w:w="150" w:type="dxa"/>
              <w:right w:w="0" w:type="dxa"/>
            </w:tcMar>
            <w:vAlign w:val="center"/>
            <w:hideMark/>
          </w:tcPr>
          <w:p w14:paraId="69AB1117"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47.95%</w:t>
            </w:r>
          </w:p>
        </w:tc>
      </w:tr>
    </w:tbl>
    <w:p w14:paraId="004449C7" w14:textId="5EC4BD2E" w:rsidR="00CA42B1" w:rsidRPr="009F365A" w:rsidRDefault="00CA42B1" w:rsidP="005B4D35">
      <w:pPr>
        <w:spacing w:before="240" w:line="360" w:lineRule="auto"/>
        <w:jc w:val="both"/>
        <w:rPr>
          <w:rFonts w:ascii="Arial" w:eastAsia="Times New Roman" w:hAnsi="Arial" w:cs="Arial"/>
          <w:color w:val="000000" w:themeColor="text1"/>
          <w:sz w:val="24"/>
          <w:szCs w:val="24"/>
          <w:lang w:val="en-US"/>
        </w:rPr>
      </w:pPr>
      <w:r w:rsidRPr="009F365A">
        <w:rPr>
          <w:rFonts w:ascii="Arial" w:eastAsia="Times New Roman" w:hAnsi="Arial" w:cs="Arial"/>
          <w:color w:val="000000" w:themeColor="text1"/>
          <w:sz w:val="24"/>
          <w:szCs w:val="24"/>
          <w:lang w:val="en-US"/>
        </w:rPr>
        <w:lastRenderedPageBreak/>
        <w:t>The operating margin shows improvement over the period, despite some volatility. The proportion rose from 35.57% in 2021 to 40.43% in 2022, indicating better operational efficiency. The significant drop in 2023 (to 23.46%) indicates a significant decrease in operational profitability, which could be attributed to any increase in cost or decrease in revenue quality. The 2024 recovery of the operating margin to 50.47% is the highest of the period, however, and reflects excellent cost control and operational efficiency. The 2025 figure of 47.95% is still good, but there is a bit of an efficiency challenge.</w:t>
      </w:r>
    </w:p>
    <w:p w14:paraId="00FE852E" w14:textId="77777777" w:rsidR="007763B8" w:rsidRPr="007763B8" w:rsidRDefault="007763B8" w:rsidP="009F365A">
      <w:pPr>
        <w:spacing w:line="360" w:lineRule="auto"/>
      </w:pPr>
    </w:p>
    <w:p w14:paraId="487B1A5E" w14:textId="2A2FA11B" w:rsidR="000E70CC" w:rsidRPr="007763B8" w:rsidRDefault="000E70CC" w:rsidP="009F365A">
      <w:pPr>
        <w:spacing w:line="360" w:lineRule="auto"/>
        <w:rPr>
          <w:rFonts w:ascii="Arial" w:hAnsi="Arial" w:cs="Arial"/>
          <w:b/>
          <w:bCs/>
          <w:sz w:val="24"/>
          <w:szCs w:val="24"/>
        </w:rPr>
      </w:pPr>
      <w:r w:rsidRPr="007763B8">
        <w:rPr>
          <w:rFonts w:ascii="Arial" w:hAnsi="Arial" w:cs="Arial"/>
          <w:b/>
          <w:bCs/>
          <w:sz w:val="24"/>
          <w:szCs w:val="24"/>
        </w:rPr>
        <w:t>Asset Turnover (Asset Utilization Efficiency)</w:t>
      </w:r>
    </w:p>
    <w:p w14:paraId="35AF6403" w14:textId="0D63806E" w:rsidR="000E70CC" w:rsidRPr="00B24F0D" w:rsidRDefault="00CA42B1" w:rsidP="005B4D35">
      <w:pPr>
        <w:pStyle w:val="ds-markdown-paragraph"/>
        <w:shd w:val="clear" w:color="auto" w:fill="FFFFFF"/>
        <w:spacing w:before="240" w:after="240" w:line="360" w:lineRule="auto"/>
        <w:jc w:val="both"/>
        <w:rPr>
          <w:rFonts w:ascii="Arial" w:hAnsi="Arial" w:cs="Arial"/>
          <w:color w:val="000000" w:themeColor="text1"/>
        </w:rPr>
      </w:pPr>
      <w:r w:rsidRPr="00CA42B1">
        <w:rPr>
          <w:rFonts w:ascii="Arial" w:hAnsi="Arial" w:cs="Arial"/>
          <w:color w:val="000000" w:themeColor="text1"/>
        </w:rPr>
        <w:t>The Asset Turnover ratio indicates the company's efficiency in leveraging its assets to produce sales. A higher asset turnover ratio means that the assets are being used more efficiently.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8"/>
        <w:gridCol w:w="1161"/>
        <w:gridCol w:w="1161"/>
        <w:gridCol w:w="1294"/>
        <w:gridCol w:w="1294"/>
        <w:gridCol w:w="1054"/>
      </w:tblGrid>
      <w:tr w:rsidR="000E70CC" w:rsidRPr="00B24F0D" w14:paraId="4EB78715" w14:textId="77777777" w:rsidTr="00C243C7">
        <w:trPr>
          <w:tblHeader/>
        </w:trPr>
        <w:tc>
          <w:tcPr>
            <w:tcW w:w="0" w:type="auto"/>
            <w:tcMar>
              <w:top w:w="150" w:type="dxa"/>
              <w:left w:w="0" w:type="dxa"/>
              <w:bottom w:w="150" w:type="dxa"/>
              <w:right w:w="240" w:type="dxa"/>
            </w:tcMar>
            <w:vAlign w:val="center"/>
            <w:hideMark/>
          </w:tcPr>
          <w:p w14:paraId="249C9518"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Year</w:t>
            </w:r>
          </w:p>
        </w:tc>
        <w:tc>
          <w:tcPr>
            <w:tcW w:w="0" w:type="auto"/>
            <w:tcMar>
              <w:top w:w="150" w:type="dxa"/>
              <w:left w:w="240" w:type="dxa"/>
              <w:bottom w:w="150" w:type="dxa"/>
              <w:right w:w="240" w:type="dxa"/>
            </w:tcMar>
            <w:vAlign w:val="center"/>
            <w:hideMark/>
          </w:tcPr>
          <w:p w14:paraId="26107091"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5FBB4304"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2E06D037"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566E86B3"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69326E1F"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2025</w:t>
            </w:r>
          </w:p>
        </w:tc>
      </w:tr>
      <w:tr w:rsidR="000E70CC" w:rsidRPr="00B24F0D" w14:paraId="0872C39B" w14:textId="77777777" w:rsidTr="00C243C7">
        <w:tc>
          <w:tcPr>
            <w:tcW w:w="0" w:type="auto"/>
            <w:tcMar>
              <w:top w:w="150" w:type="dxa"/>
              <w:left w:w="0" w:type="dxa"/>
              <w:bottom w:w="150" w:type="dxa"/>
              <w:right w:w="240" w:type="dxa"/>
            </w:tcMar>
            <w:vAlign w:val="center"/>
            <w:hideMark/>
          </w:tcPr>
          <w:p w14:paraId="71C61914"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Asset Turnover</w:t>
            </w:r>
          </w:p>
        </w:tc>
        <w:tc>
          <w:tcPr>
            <w:tcW w:w="0" w:type="auto"/>
            <w:tcMar>
              <w:top w:w="150" w:type="dxa"/>
              <w:left w:w="240" w:type="dxa"/>
              <w:bottom w:w="150" w:type="dxa"/>
              <w:right w:w="240" w:type="dxa"/>
            </w:tcMar>
            <w:vAlign w:val="center"/>
            <w:hideMark/>
          </w:tcPr>
          <w:p w14:paraId="57BCF60C"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8.84%</w:t>
            </w:r>
          </w:p>
        </w:tc>
        <w:tc>
          <w:tcPr>
            <w:tcW w:w="0" w:type="auto"/>
            <w:tcMar>
              <w:top w:w="150" w:type="dxa"/>
              <w:left w:w="240" w:type="dxa"/>
              <w:bottom w:w="150" w:type="dxa"/>
              <w:right w:w="240" w:type="dxa"/>
            </w:tcMar>
            <w:vAlign w:val="center"/>
            <w:hideMark/>
          </w:tcPr>
          <w:p w14:paraId="073805DA"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9.56%</w:t>
            </w:r>
          </w:p>
        </w:tc>
        <w:tc>
          <w:tcPr>
            <w:tcW w:w="0" w:type="auto"/>
            <w:tcMar>
              <w:top w:w="150" w:type="dxa"/>
              <w:left w:w="240" w:type="dxa"/>
              <w:bottom w:w="150" w:type="dxa"/>
              <w:right w:w="240" w:type="dxa"/>
            </w:tcMar>
            <w:vAlign w:val="center"/>
            <w:hideMark/>
          </w:tcPr>
          <w:p w14:paraId="0B45275C"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10.43%</w:t>
            </w:r>
          </w:p>
        </w:tc>
        <w:tc>
          <w:tcPr>
            <w:tcW w:w="0" w:type="auto"/>
            <w:tcMar>
              <w:top w:w="150" w:type="dxa"/>
              <w:left w:w="240" w:type="dxa"/>
              <w:bottom w:w="150" w:type="dxa"/>
              <w:right w:w="240" w:type="dxa"/>
            </w:tcMar>
            <w:vAlign w:val="center"/>
            <w:hideMark/>
          </w:tcPr>
          <w:p w14:paraId="77039982"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11.63%</w:t>
            </w:r>
          </w:p>
        </w:tc>
        <w:tc>
          <w:tcPr>
            <w:tcW w:w="0" w:type="auto"/>
            <w:tcMar>
              <w:top w:w="150" w:type="dxa"/>
              <w:left w:w="240" w:type="dxa"/>
              <w:bottom w:w="150" w:type="dxa"/>
              <w:right w:w="0" w:type="dxa"/>
            </w:tcMar>
            <w:vAlign w:val="center"/>
            <w:hideMark/>
          </w:tcPr>
          <w:p w14:paraId="60250D0E"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11.39%</w:t>
            </w:r>
          </w:p>
        </w:tc>
      </w:tr>
    </w:tbl>
    <w:p w14:paraId="0EA40A02" w14:textId="5E3A63B8" w:rsidR="00CA42B1" w:rsidRPr="009F365A" w:rsidRDefault="00CA42B1" w:rsidP="005B4D35">
      <w:pPr>
        <w:spacing w:line="360" w:lineRule="auto"/>
        <w:jc w:val="both"/>
        <w:rPr>
          <w:rFonts w:ascii="Arial" w:eastAsia="Times New Roman" w:hAnsi="Arial" w:cs="Arial"/>
          <w:color w:val="000000" w:themeColor="text1"/>
          <w:sz w:val="24"/>
          <w:szCs w:val="24"/>
          <w:lang w:val="en-US"/>
        </w:rPr>
      </w:pPr>
      <w:r w:rsidRPr="009F365A">
        <w:rPr>
          <w:rFonts w:ascii="Arial" w:eastAsia="Times New Roman" w:hAnsi="Arial" w:cs="Arial"/>
          <w:color w:val="000000" w:themeColor="text1"/>
          <w:sz w:val="24"/>
          <w:szCs w:val="24"/>
          <w:lang w:val="en-US"/>
        </w:rPr>
        <w:t>The asset turnover is improving steadily, from 8.84% in 2021 to 11.63% in 2024. This means that the company was becoming increasingly efficient in how it used its assets to produce revenue during the time frame, and therefore in how it managed its operations and allocated its assets. The slight drop to 11.39% for 2025 indicates that the asset utilization efficiency might have peaked and further enhancements may be constrained unless substantial modifications are made to the business model or asset portfolio.</w:t>
      </w:r>
    </w:p>
    <w:p w14:paraId="01108315" w14:textId="77777777" w:rsidR="007763B8" w:rsidRPr="007763B8" w:rsidRDefault="007763B8" w:rsidP="009F365A">
      <w:pPr>
        <w:spacing w:line="360" w:lineRule="auto"/>
      </w:pPr>
    </w:p>
    <w:p w14:paraId="26893868" w14:textId="54EC7728" w:rsidR="000E70CC" w:rsidRPr="007763B8" w:rsidRDefault="000E70CC" w:rsidP="009F365A">
      <w:pPr>
        <w:spacing w:line="360" w:lineRule="auto"/>
        <w:rPr>
          <w:rFonts w:ascii="Arial" w:hAnsi="Arial" w:cs="Arial"/>
          <w:b/>
          <w:bCs/>
          <w:sz w:val="24"/>
          <w:szCs w:val="24"/>
        </w:rPr>
      </w:pPr>
      <w:r w:rsidRPr="007763B8">
        <w:rPr>
          <w:rFonts w:ascii="Arial" w:hAnsi="Arial" w:cs="Arial"/>
          <w:b/>
          <w:bCs/>
          <w:sz w:val="24"/>
          <w:szCs w:val="24"/>
        </w:rPr>
        <w:t>Equity Multiplier (Financial Leverage)</w:t>
      </w:r>
    </w:p>
    <w:p w14:paraId="2CC9540F" w14:textId="77777777" w:rsidR="00CA42B1" w:rsidRPr="00CA42B1" w:rsidRDefault="00CA42B1" w:rsidP="005B4D35">
      <w:pPr>
        <w:pStyle w:val="ds-markdown-paragraph"/>
        <w:shd w:val="clear" w:color="auto" w:fill="FFFFFF"/>
        <w:spacing w:before="240" w:after="240" w:line="360" w:lineRule="auto"/>
        <w:jc w:val="both"/>
        <w:rPr>
          <w:rFonts w:ascii="Arial" w:hAnsi="Arial" w:cs="Arial"/>
          <w:color w:val="000000" w:themeColor="text1"/>
        </w:rPr>
      </w:pPr>
      <w:r w:rsidRPr="00CA42B1">
        <w:rPr>
          <w:rFonts w:ascii="Arial" w:hAnsi="Arial" w:cs="Arial"/>
          <w:color w:val="000000" w:themeColor="text1"/>
        </w:rPr>
        <w:t>An equity multiplier is a measure of the amount of financial leverage the firm used. The greater the equity multiplier, the more debt financing, the more returns and risks.</w:t>
      </w:r>
    </w:p>
    <w:p w14:paraId="42AA8FE0" w14:textId="77777777" w:rsidR="00CA42B1" w:rsidRPr="00CA42B1" w:rsidRDefault="00CA42B1" w:rsidP="009F365A">
      <w:pPr>
        <w:pStyle w:val="ds-markdown-paragraph"/>
        <w:shd w:val="clear" w:color="auto" w:fill="FFFFFF"/>
        <w:spacing w:before="240" w:after="240" w:line="360" w:lineRule="auto"/>
        <w:rPr>
          <w:rFonts w:ascii="Arial" w:hAnsi="Arial" w:cs="Arial"/>
          <w:color w:val="000000" w:themeColor="text1"/>
        </w:rPr>
      </w:pPr>
    </w:p>
    <w:p w14:paraId="7945BF4D" w14:textId="3C0609C0" w:rsidR="000E70CC" w:rsidRPr="00B24F0D" w:rsidRDefault="000E70CC" w:rsidP="009F365A">
      <w:pPr>
        <w:pStyle w:val="ds-markdown-paragraph"/>
        <w:shd w:val="clear" w:color="auto" w:fill="FFFFFF"/>
        <w:spacing w:before="240" w:beforeAutospacing="0" w:after="240" w:afterAutospacing="0" w:line="360" w:lineRule="auto"/>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4"/>
        <w:gridCol w:w="1014"/>
        <w:gridCol w:w="1014"/>
        <w:gridCol w:w="1014"/>
        <w:gridCol w:w="1014"/>
        <w:gridCol w:w="1014"/>
      </w:tblGrid>
      <w:tr w:rsidR="000E70CC" w:rsidRPr="00B24F0D" w14:paraId="585DE6E4" w14:textId="77777777" w:rsidTr="00C243C7">
        <w:trPr>
          <w:tblHeader/>
        </w:trPr>
        <w:tc>
          <w:tcPr>
            <w:tcW w:w="0" w:type="auto"/>
            <w:tcMar>
              <w:top w:w="150" w:type="dxa"/>
              <w:left w:w="0" w:type="dxa"/>
              <w:bottom w:w="150" w:type="dxa"/>
              <w:right w:w="240" w:type="dxa"/>
            </w:tcMar>
            <w:vAlign w:val="center"/>
            <w:hideMark/>
          </w:tcPr>
          <w:p w14:paraId="03C8DECB"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Year</w:t>
            </w:r>
          </w:p>
        </w:tc>
        <w:tc>
          <w:tcPr>
            <w:tcW w:w="0" w:type="auto"/>
            <w:tcMar>
              <w:top w:w="150" w:type="dxa"/>
              <w:left w:w="240" w:type="dxa"/>
              <w:bottom w:w="150" w:type="dxa"/>
              <w:right w:w="240" w:type="dxa"/>
            </w:tcMar>
            <w:vAlign w:val="center"/>
            <w:hideMark/>
          </w:tcPr>
          <w:p w14:paraId="4C17C1ED"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2021</w:t>
            </w:r>
          </w:p>
        </w:tc>
        <w:tc>
          <w:tcPr>
            <w:tcW w:w="0" w:type="auto"/>
            <w:tcMar>
              <w:top w:w="150" w:type="dxa"/>
              <w:left w:w="240" w:type="dxa"/>
              <w:bottom w:w="150" w:type="dxa"/>
              <w:right w:w="240" w:type="dxa"/>
            </w:tcMar>
            <w:vAlign w:val="center"/>
            <w:hideMark/>
          </w:tcPr>
          <w:p w14:paraId="46777312"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2022</w:t>
            </w:r>
          </w:p>
        </w:tc>
        <w:tc>
          <w:tcPr>
            <w:tcW w:w="0" w:type="auto"/>
            <w:tcMar>
              <w:top w:w="150" w:type="dxa"/>
              <w:left w:w="240" w:type="dxa"/>
              <w:bottom w:w="150" w:type="dxa"/>
              <w:right w:w="240" w:type="dxa"/>
            </w:tcMar>
            <w:vAlign w:val="center"/>
            <w:hideMark/>
          </w:tcPr>
          <w:p w14:paraId="6F864870"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2023</w:t>
            </w:r>
          </w:p>
        </w:tc>
        <w:tc>
          <w:tcPr>
            <w:tcW w:w="0" w:type="auto"/>
            <w:tcMar>
              <w:top w:w="150" w:type="dxa"/>
              <w:left w:w="240" w:type="dxa"/>
              <w:bottom w:w="150" w:type="dxa"/>
              <w:right w:w="240" w:type="dxa"/>
            </w:tcMar>
            <w:vAlign w:val="center"/>
            <w:hideMark/>
          </w:tcPr>
          <w:p w14:paraId="0D95D4CC"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2024</w:t>
            </w:r>
          </w:p>
        </w:tc>
        <w:tc>
          <w:tcPr>
            <w:tcW w:w="0" w:type="auto"/>
            <w:tcMar>
              <w:top w:w="150" w:type="dxa"/>
              <w:left w:w="240" w:type="dxa"/>
              <w:bottom w:w="150" w:type="dxa"/>
              <w:right w:w="240" w:type="dxa"/>
            </w:tcMar>
            <w:vAlign w:val="center"/>
            <w:hideMark/>
          </w:tcPr>
          <w:p w14:paraId="48113CFF" w14:textId="77777777" w:rsidR="000E70CC" w:rsidRPr="00B24F0D" w:rsidRDefault="000E70CC" w:rsidP="009F365A">
            <w:pPr>
              <w:spacing w:line="360" w:lineRule="auto"/>
              <w:rPr>
                <w:rFonts w:ascii="Arial" w:hAnsi="Arial" w:cs="Arial"/>
                <w:b/>
                <w:bCs/>
                <w:color w:val="000000" w:themeColor="text1"/>
                <w:sz w:val="24"/>
                <w:szCs w:val="24"/>
              </w:rPr>
            </w:pPr>
            <w:r w:rsidRPr="00B24F0D">
              <w:rPr>
                <w:rStyle w:val="Strong"/>
                <w:rFonts w:ascii="Arial" w:hAnsi="Arial" w:cs="Arial"/>
                <w:color w:val="000000" w:themeColor="text1"/>
                <w:sz w:val="24"/>
                <w:szCs w:val="24"/>
              </w:rPr>
              <w:t>2025</w:t>
            </w:r>
          </w:p>
        </w:tc>
      </w:tr>
      <w:tr w:rsidR="000E70CC" w:rsidRPr="00B24F0D" w14:paraId="192FCDBA" w14:textId="77777777" w:rsidTr="00C243C7">
        <w:tc>
          <w:tcPr>
            <w:tcW w:w="0" w:type="auto"/>
            <w:tcMar>
              <w:top w:w="150" w:type="dxa"/>
              <w:left w:w="0" w:type="dxa"/>
              <w:bottom w:w="150" w:type="dxa"/>
              <w:right w:w="240" w:type="dxa"/>
            </w:tcMar>
            <w:vAlign w:val="center"/>
            <w:hideMark/>
          </w:tcPr>
          <w:p w14:paraId="256F9405"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Equity Multiplier</w:t>
            </w:r>
          </w:p>
        </w:tc>
        <w:tc>
          <w:tcPr>
            <w:tcW w:w="0" w:type="auto"/>
            <w:tcMar>
              <w:top w:w="150" w:type="dxa"/>
              <w:left w:w="240" w:type="dxa"/>
              <w:bottom w:w="150" w:type="dxa"/>
              <w:right w:w="240" w:type="dxa"/>
            </w:tcMar>
            <w:vAlign w:val="center"/>
            <w:hideMark/>
          </w:tcPr>
          <w:p w14:paraId="448E3977"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2.72</w:t>
            </w:r>
          </w:p>
        </w:tc>
        <w:tc>
          <w:tcPr>
            <w:tcW w:w="0" w:type="auto"/>
            <w:tcMar>
              <w:top w:w="150" w:type="dxa"/>
              <w:left w:w="240" w:type="dxa"/>
              <w:bottom w:w="150" w:type="dxa"/>
              <w:right w:w="240" w:type="dxa"/>
            </w:tcMar>
            <w:vAlign w:val="center"/>
            <w:hideMark/>
          </w:tcPr>
          <w:p w14:paraId="1F3F662B"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3.31</w:t>
            </w:r>
          </w:p>
        </w:tc>
        <w:tc>
          <w:tcPr>
            <w:tcW w:w="0" w:type="auto"/>
            <w:tcMar>
              <w:top w:w="150" w:type="dxa"/>
              <w:left w:w="240" w:type="dxa"/>
              <w:bottom w:w="150" w:type="dxa"/>
              <w:right w:w="240" w:type="dxa"/>
            </w:tcMar>
            <w:vAlign w:val="center"/>
            <w:hideMark/>
          </w:tcPr>
          <w:p w14:paraId="5E3F5497"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4.12</w:t>
            </w:r>
          </w:p>
        </w:tc>
        <w:tc>
          <w:tcPr>
            <w:tcW w:w="0" w:type="auto"/>
            <w:tcMar>
              <w:top w:w="150" w:type="dxa"/>
              <w:left w:w="240" w:type="dxa"/>
              <w:bottom w:w="150" w:type="dxa"/>
              <w:right w:w="240" w:type="dxa"/>
            </w:tcMar>
            <w:vAlign w:val="center"/>
            <w:hideMark/>
          </w:tcPr>
          <w:p w14:paraId="3E9CFDF2"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4.24</w:t>
            </w:r>
          </w:p>
        </w:tc>
        <w:tc>
          <w:tcPr>
            <w:tcW w:w="0" w:type="auto"/>
            <w:tcMar>
              <w:top w:w="150" w:type="dxa"/>
              <w:left w:w="240" w:type="dxa"/>
              <w:bottom w:w="150" w:type="dxa"/>
              <w:right w:w="0" w:type="dxa"/>
            </w:tcMar>
            <w:vAlign w:val="center"/>
            <w:hideMark/>
          </w:tcPr>
          <w:p w14:paraId="27C705A2" w14:textId="77777777" w:rsidR="000E70CC" w:rsidRPr="00B24F0D" w:rsidRDefault="000E70CC" w:rsidP="009F365A">
            <w:pPr>
              <w:spacing w:line="360" w:lineRule="auto"/>
              <w:rPr>
                <w:rFonts w:ascii="Arial" w:hAnsi="Arial" w:cs="Arial"/>
                <w:color w:val="000000" w:themeColor="text1"/>
                <w:sz w:val="24"/>
                <w:szCs w:val="24"/>
              </w:rPr>
            </w:pPr>
            <w:r w:rsidRPr="00B24F0D">
              <w:rPr>
                <w:rFonts w:ascii="Arial" w:hAnsi="Arial" w:cs="Arial"/>
                <w:color w:val="000000" w:themeColor="text1"/>
                <w:sz w:val="24"/>
                <w:szCs w:val="24"/>
              </w:rPr>
              <w:t>4.68</w:t>
            </w:r>
          </w:p>
        </w:tc>
      </w:tr>
    </w:tbl>
    <w:p w14:paraId="2D41606A" w14:textId="739D2242" w:rsidR="00D01F39" w:rsidRDefault="00CA42B1"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CA42B1">
        <w:rPr>
          <w:rFonts w:ascii="Arial" w:hAnsi="Arial" w:cs="Arial"/>
          <w:color w:val="000000" w:themeColor="text1"/>
        </w:rPr>
        <w:t xml:space="preserve">The equity multiplier is consistently rising, from 2.72 in 2021 to 4.68 in 2025. This is an increase in financial leverage of 72% over the </w:t>
      </w:r>
      <w:proofErr w:type="gramStart"/>
      <w:r w:rsidRPr="00CA42B1">
        <w:rPr>
          <w:rFonts w:ascii="Arial" w:hAnsi="Arial" w:cs="Arial"/>
          <w:color w:val="000000" w:themeColor="text1"/>
        </w:rPr>
        <w:t>5 year</w:t>
      </w:r>
      <w:proofErr w:type="gramEnd"/>
      <w:r w:rsidRPr="00CA42B1">
        <w:rPr>
          <w:rFonts w:ascii="Arial" w:hAnsi="Arial" w:cs="Arial"/>
          <w:color w:val="000000" w:themeColor="text1"/>
        </w:rPr>
        <w:t xml:space="preserve"> period, suggesting that the company is increasingly using debt financing to drive its growth. The higher leverage can make profits more substantial when the profitability is high but can also magnify the financial problems when profitability is falling or interest rates are increasing. The rising leverage was a positive influence on ROE during less favorable years, but also a negative influence on the interest burden.</w:t>
      </w:r>
    </w:p>
    <w:p w14:paraId="6E3828D2" w14:textId="77777777" w:rsidR="00CA42B1" w:rsidRDefault="00CA42B1" w:rsidP="009F365A">
      <w:pPr>
        <w:pStyle w:val="ds-markdown-paragraph"/>
        <w:shd w:val="clear" w:color="auto" w:fill="FFFFFF"/>
        <w:spacing w:before="240" w:beforeAutospacing="0" w:after="240" w:afterAutospacing="0" w:line="360" w:lineRule="auto"/>
        <w:rPr>
          <w:rFonts w:ascii="Arial" w:hAnsi="Arial" w:cs="Arial"/>
          <w:b/>
          <w:bCs/>
          <w:color w:val="000000" w:themeColor="text1"/>
        </w:rPr>
      </w:pPr>
    </w:p>
    <w:p w14:paraId="1A83B7B7" w14:textId="77777777" w:rsidR="00C243C7" w:rsidRDefault="000E70CC" w:rsidP="009F365A">
      <w:pPr>
        <w:pStyle w:val="Heading3"/>
        <w:spacing w:line="360" w:lineRule="auto"/>
        <w:rPr>
          <w:rFonts w:ascii="Arial" w:hAnsi="Arial" w:cs="Arial"/>
          <w:b/>
          <w:bCs/>
        </w:rPr>
      </w:pPr>
      <w:bookmarkStart w:id="41" w:name="_Toc235653235"/>
      <w:r w:rsidRPr="00C243C7">
        <w:rPr>
          <w:rFonts w:ascii="Arial" w:hAnsi="Arial" w:cs="Arial"/>
          <w:b/>
          <w:bCs/>
        </w:rPr>
        <w:t>Overall Assessment</w:t>
      </w:r>
      <w:bookmarkEnd w:id="41"/>
    </w:p>
    <w:p w14:paraId="00E162AB" w14:textId="3F577DD9" w:rsidR="00CA42B1" w:rsidRPr="005B4D35" w:rsidRDefault="00D01F39" w:rsidP="005B4D35">
      <w:pPr>
        <w:pStyle w:val="ds-markdown-paragraph"/>
        <w:shd w:val="clear" w:color="auto" w:fill="FFFFFF"/>
        <w:spacing w:before="240" w:after="240" w:line="360" w:lineRule="auto"/>
        <w:jc w:val="both"/>
        <w:rPr>
          <w:rFonts w:ascii="Arial" w:hAnsi="Arial" w:cs="Arial"/>
          <w:color w:val="000000" w:themeColor="text1"/>
        </w:rPr>
      </w:pPr>
      <w:r>
        <w:br/>
      </w:r>
      <w:r w:rsidR="00CA42B1" w:rsidRPr="005B4D35">
        <w:rPr>
          <w:rFonts w:ascii="Arial" w:hAnsi="Arial" w:cs="Arial"/>
          <w:color w:val="000000" w:themeColor="text1"/>
        </w:rPr>
        <w:t xml:space="preserve">The ROE of Alliance Finance PLC has increased by 5.56 percentage points (113% cumulative growth) from 4.91% in 2021 to 10.47% in 2025 over the </w:t>
      </w:r>
      <w:proofErr w:type="gramStart"/>
      <w:r w:rsidR="00CA42B1" w:rsidRPr="005B4D35">
        <w:rPr>
          <w:rFonts w:ascii="Arial" w:hAnsi="Arial" w:cs="Arial"/>
          <w:color w:val="000000" w:themeColor="text1"/>
        </w:rPr>
        <w:t>5 year</w:t>
      </w:r>
      <w:proofErr w:type="gramEnd"/>
      <w:r w:rsidR="00CA42B1" w:rsidRPr="005B4D35">
        <w:rPr>
          <w:rFonts w:ascii="Arial" w:hAnsi="Arial" w:cs="Arial"/>
          <w:color w:val="000000" w:themeColor="text1"/>
        </w:rPr>
        <w:t xml:space="preserve"> period. But this headline hides a journey of volatility, with big swings up and down, which reflects the company's operational strengths and weaknesses.</w:t>
      </w:r>
    </w:p>
    <w:p w14:paraId="6192F490" w14:textId="77777777" w:rsidR="00CA42B1" w:rsidRPr="00CA42B1" w:rsidRDefault="00CA42B1" w:rsidP="005B4D35">
      <w:pPr>
        <w:pStyle w:val="ds-markdown-paragraph"/>
        <w:shd w:val="clear" w:color="auto" w:fill="FFFFFF"/>
        <w:spacing w:before="240" w:after="240" w:line="360" w:lineRule="auto"/>
        <w:jc w:val="both"/>
        <w:rPr>
          <w:rFonts w:ascii="Arial" w:hAnsi="Arial" w:cs="Arial"/>
          <w:color w:val="000000" w:themeColor="text1"/>
        </w:rPr>
      </w:pPr>
      <w:r w:rsidRPr="00CA42B1">
        <w:rPr>
          <w:rFonts w:ascii="Arial" w:hAnsi="Arial" w:cs="Arial"/>
          <w:color w:val="000000" w:themeColor="text1"/>
        </w:rPr>
        <w:t xml:space="preserve">This has been driven by the excellent operational performance, especially in the last few years. The operating margin increased substantially from 35.57% in 2021 to 50.47% in 2024, before moderating to 47.95% in 2025. This is a major step toward cost control and operational efficiency, and shows the company's ability to produce more profit from its revenue stream. A significant improvement is the 2024 peak at 50.47%, which highlights the excellent control of operating costs against the generation of revenue. Despite this </w:t>
      </w:r>
      <w:r w:rsidRPr="00CA42B1">
        <w:rPr>
          <w:rFonts w:ascii="Arial" w:hAnsi="Arial" w:cs="Arial"/>
          <w:color w:val="000000" w:themeColor="text1"/>
        </w:rPr>
        <w:lastRenderedPageBreak/>
        <w:t>slight improvement in 2025, the operating margin is still significantly higher than the 2021 level, demonstrating strong operational performance.</w:t>
      </w:r>
    </w:p>
    <w:p w14:paraId="5DBD2C3A" w14:textId="77777777" w:rsidR="00CA42B1" w:rsidRPr="00CA42B1" w:rsidRDefault="00CA42B1" w:rsidP="005B4D35">
      <w:pPr>
        <w:pStyle w:val="ds-markdown-paragraph"/>
        <w:shd w:val="clear" w:color="auto" w:fill="FFFFFF"/>
        <w:spacing w:before="240" w:after="240" w:line="360" w:lineRule="auto"/>
        <w:jc w:val="both"/>
        <w:rPr>
          <w:rFonts w:ascii="Arial" w:hAnsi="Arial" w:cs="Arial"/>
          <w:color w:val="000000" w:themeColor="text1"/>
        </w:rPr>
      </w:pPr>
      <w:r w:rsidRPr="00CA42B1">
        <w:rPr>
          <w:rFonts w:ascii="Arial" w:hAnsi="Arial" w:cs="Arial"/>
          <w:color w:val="000000" w:themeColor="text1"/>
        </w:rPr>
        <w:t>Likewise, the asset turnover increased steadily during the period, increasing from 8.84% in 2021 to 11.63% in 2024 and then slightly decreasing to 11.39% in 2025. This means that the company's utilization of its asset base to generate revenue was improving over time, which suggests that the company's management of its assets and operations was becoming more efficient. The significant ROE recovery in 2024 was the result of an improvement in asset turnover and the strong operating margin.</w:t>
      </w:r>
    </w:p>
    <w:p w14:paraId="3D56924D" w14:textId="77777777" w:rsidR="00CA42B1" w:rsidRPr="00CA42B1" w:rsidRDefault="00CA42B1" w:rsidP="005B4D35">
      <w:pPr>
        <w:pStyle w:val="ds-markdown-paragraph"/>
        <w:shd w:val="clear" w:color="auto" w:fill="FFFFFF"/>
        <w:spacing w:before="240" w:after="240" w:line="360" w:lineRule="auto"/>
        <w:jc w:val="both"/>
        <w:rPr>
          <w:rFonts w:ascii="Arial" w:hAnsi="Arial" w:cs="Arial"/>
          <w:color w:val="000000" w:themeColor="text1"/>
        </w:rPr>
      </w:pPr>
      <w:r w:rsidRPr="00CA42B1">
        <w:rPr>
          <w:rFonts w:ascii="Arial" w:hAnsi="Arial" w:cs="Arial"/>
          <w:color w:val="000000" w:themeColor="text1"/>
        </w:rPr>
        <w:t>In addition, the equity multiplier rose steadily from 2.72 in 2021 to 4.68 in 2025, which is a 72% rise in financial leverage. This increase in leverage boosted returns in years of high profitability, especially in 2024, and also contributed to the ROE in years of low profitability. This growing dependence on debt financing, however, also comes with a high degree of financial risk, since the debt ratio is amplified in times of economic downturn, and the company is more susceptible to interest rate changes.</w:t>
      </w:r>
    </w:p>
    <w:p w14:paraId="3D3756A9" w14:textId="77777777" w:rsidR="00CA42B1" w:rsidRPr="00CA42B1" w:rsidRDefault="00CA42B1" w:rsidP="005B4D35">
      <w:pPr>
        <w:pStyle w:val="ds-markdown-paragraph"/>
        <w:shd w:val="clear" w:color="auto" w:fill="FFFFFF"/>
        <w:spacing w:before="240" w:after="240" w:line="360" w:lineRule="auto"/>
        <w:jc w:val="both"/>
        <w:rPr>
          <w:rFonts w:ascii="Arial" w:hAnsi="Arial" w:cs="Arial"/>
          <w:color w:val="000000" w:themeColor="text1"/>
        </w:rPr>
      </w:pPr>
      <w:r w:rsidRPr="00CA42B1">
        <w:rPr>
          <w:rFonts w:ascii="Arial" w:hAnsi="Arial" w:cs="Arial"/>
          <w:color w:val="000000" w:themeColor="text1"/>
        </w:rPr>
        <w:t>However, some worrying patterns became apparent over this period. The interest burden showed a consistent declining trend from 88.74% in 2021 to 67.99% in 2025. This means that interest expenses are taking a growing share of operating profit, suggesting that the company is becoming more and more dependent on debt financing and may be facing higher interest rates. Interest burden dropped significantly in 2024 and 2025, reaching 68.89% and 67.99% respectively, which are the lowest interest burden in the period. The concern is that this trend may be partly driven by increased financing costs, while the gains from improved operational efficiency are being realized.</w:t>
      </w:r>
    </w:p>
    <w:p w14:paraId="5BC48844" w14:textId="77777777" w:rsidR="000F1ACD" w:rsidRPr="000F1ACD" w:rsidRDefault="00CA42B1"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CA42B1">
        <w:rPr>
          <w:rFonts w:ascii="Arial" w:hAnsi="Arial" w:cs="Arial"/>
          <w:color w:val="000000" w:themeColor="text1"/>
        </w:rPr>
        <w:t xml:space="preserve">The tax burden fluctuated widely in the period, from a low of 40.16% in 2023 to a high of 68.96% in 2024. This volatility suggests that they are not very consistent in their tax planning, and they are vulnerable to changing tax laws. The company paid a much higher percentage of its pre-tax profit in taxes in 2023, when its ROE dropped to 40.16%, a factor that played a significant role in the decrease. The tax burden bounced </w:t>
      </w:r>
      <w:r w:rsidRPr="000F1ACD">
        <w:rPr>
          <w:rFonts w:ascii="Arial" w:hAnsi="Arial" w:cs="Arial"/>
          <w:color w:val="000000" w:themeColor="text1"/>
        </w:rPr>
        <w:t xml:space="preserve">back nicely in </w:t>
      </w:r>
      <w:r w:rsidRPr="000F1ACD">
        <w:rPr>
          <w:rFonts w:ascii="Arial" w:hAnsi="Arial" w:cs="Arial"/>
          <w:color w:val="000000" w:themeColor="text1"/>
        </w:rPr>
        <w:lastRenderedPageBreak/>
        <w:t>2024, but there is no stability in this component, which casts doubt on the company's tax management.</w:t>
      </w:r>
    </w:p>
    <w:p w14:paraId="458A8DF1" w14:textId="77777777" w:rsidR="000F1ACD" w:rsidRDefault="008732AE"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F1ACD">
        <w:rPr>
          <w:rFonts w:ascii="Arial" w:hAnsi="Arial" w:cs="Arial"/>
          <w:color w:val="000000" w:themeColor="text1"/>
        </w:rPr>
        <w:t>The worst event in the period is the performance of the 2023, which dropped the ROE to 3.56%. This decline was mainly due to a significant decrease in operating margin from 40.43% to 23.46% and a significant decrease in tax burden from 40.16% to 17.22%. This indicates poor operational efficiency/cost control and bad tax situation. The 2023 episode underscores the risk of the company's profitability from operational issues and tax considerations, though the company bounced back well during 2024.</w:t>
      </w:r>
    </w:p>
    <w:p w14:paraId="7B7BD898" w14:textId="77777777" w:rsidR="000F1ACD" w:rsidRDefault="008732AE"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F1ACD">
        <w:rPr>
          <w:rFonts w:ascii="Arial" w:hAnsi="Arial" w:cs="Arial"/>
          <w:color w:val="000000" w:themeColor="text1"/>
        </w:rPr>
        <w:t>The 2024 performance is the best of the company, with the ROE reaching 11.52% in this year. This outstanding performance was underpinned by high operating margin (50.47%), high asset turnover (11.63%) and improved tax burden (68.96%). In this best year of performance, however, the interest burden fell to 68.89% as increasing interest cost was eating into some of the operational gains. The 2024 performance illustrates the company's capability when all the other factors are working in its favor, but also illustrates that even when all the other factors are working in its favor, the decline in the interest burden is a constraint.</w:t>
      </w:r>
    </w:p>
    <w:p w14:paraId="0FBBCC54" w14:textId="77777777" w:rsidR="000F1ACD" w:rsidRDefault="008732AE"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F1ACD">
        <w:rPr>
          <w:rFonts w:ascii="Arial" w:hAnsi="Arial" w:cs="Arial"/>
          <w:color w:val="000000" w:themeColor="text1"/>
        </w:rPr>
        <w:t>The drop to 10.47% in 2025 is due to some pressure on operational efficiency, with operating margin slightly down at 47.95% and asset turnover slightly down at 11.39%. The tax burden has not changed significantly over time, while the interest burden has continued to decline to 67.99%, the lowest level during the period. The highest level of the equity multiplier was 4.68, which helped the ROE but also increased the financial risk. This indicates that the company is approaching the saturation point in terms of asset utilization efficiency and further increase in ROE may be more dependent on controlling interest costs and financial leverage.</w:t>
      </w:r>
    </w:p>
    <w:p w14:paraId="2884B9E7" w14:textId="77777777" w:rsidR="000F1ACD" w:rsidRDefault="008732AE"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F1ACD">
        <w:rPr>
          <w:rFonts w:ascii="Arial" w:hAnsi="Arial" w:cs="Arial"/>
          <w:color w:val="000000" w:themeColor="text1"/>
        </w:rPr>
        <w:t xml:space="preserve">Overall, the ROE change over the 5 years is primarily positive as the company has shown strong and consistent improvement in operating profitability (operating margin) and asset efficiency (asset turnover). The enhancements are a result of improved cost management, operational efficiency and asset management. But, the diminishing interest </w:t>
      </w:r>
      <w:r w:rsidRPr="000F1ACD">
        <w:rPr>
          <w:rFonts w:ascii="Arial" w:hAnsi="Arial" w:cs="Arial"/>
          <w:color w:val="000000" w:themeColor="text1"/>
        </w:rPr>
        <w:lastRenderedPageBreak/>
        <w:t>burden and growing dependence on leverage are important issues to watch, which may jeopardize the sustainability of this improvement.</w:t>
      </w:r>
    </w:p>
    <w:p w14:paraId="40F6E325" w14:textId="74547032" w:rsidR="008732AE" w:rsidRDefault="008732AE"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0F1ACD">
        <w:rPr>
          <w:rFonts w:ascii="Arial" w:hAnsi="Arial" w:cs="Arial"/>
          <w:color w:val="000000" w:themeColor="text1"/>
        </w:rPr>
        <w:t xml:space="preserve">The interest burden reduction is of particular concern as it implies that the advantages of the operational improvements are being reduced as the costs of financing increases. Unless the company can continue to boost its ROE through higher operating margin or asset turnover, the company may have a hard time keeping up the gains in ROE. Likewise, the higher the equity multiplier the greater the returns but the higher the financial risk. Whether the ROE improvement will be sustainable in the long run will depend on how the </w:t>
      </w:r>
      <w:r w:rsidRPr="009F365A">
        <w:rPr>
          <w:rFonts w:ascii="Arial" w:hAnsi="Arial" w:cs="Arial"/>
          <w:color w:val="000000" w:themeColor="text1"/>
        </w:rPr>
        <w:t>company can continue to keep its operating margin at a high level while paying more interest and handling</w:t>
      </w:r>
      <w:r w:rsidRPr="000F1ACD">
        <w:rPr>
          <w:rFonts w:ascii="Arial" w:hAnsi="Arial" w:cs="Arial"/>
          <w:color w:val="000000" w:themeColor="text1"/>
        </w:rPr>
        <w:t xml:space="preserve"> the high level of leverage.</w:t>
      </w:r>
    </w:p>
    <w:p w14:paraId="1919B4A7" w14:textId="445A9211" w:rsidR="006819E2" w:rsidRPr="009F365A" w:rsidRDefault="009F365A" w:rsidP="005B4D35">
      <w:pPr>
        <w:pStyle w:val="ds-markdown-paragraph"/>
        <w:shd w:val="clear" w:color="auto" w:fill="FFFFFF"/>
        <w:spacing w:before="240" w:beforeAutospacing="0" w:after="240" w:afterAutospacing="0" w:line="360" w:lineRule="auto"/>
        <w:jc w:val="both"/>
        <w:rPr>
          <w:rFonts w:ascii="Arial" w:hAnsi="Arial" w:cs="Arial"/>
          <w:color w:val="000000" w:themeColor="text1"/>
        </w:rPr>
      </w:pPr>
      <w:r w:rsidRPr="009F365A">
        <w:rPr>
          <w:rFonts w:ascii="Arial" w:hAnsi="Arial" w:cs="Arial"/>
          <w:color w:val="000000" w:themeColor="text1"/>
        </w:rPr>
        <w:t>The company's performance highlights its ability to deliver robust returns, with the 2024 peak performance being a testament to its operational prowess. But the 2023 collapse and the downward trend in financing costs due to interest rates underscore the need to keep operating discipline in place, manage financing costs and plan taxes consistently. The company should continue to focus on the following four aspects to ensure that its ROE is maintained at a higher level: (1) operating efficiently and controlling costs, (2) diversifying the sources of funds to reduce interest costs, (3) controlling financial leverage to balance the returns and risk, and (4) conducting consistent tax planning to stabilize the tax burden.</w:t>
      </w:r>
    </w:p>
    <w:p w14:paraId="2993F47C" w14:textId="77777777" w:rsidR="005B4D35" w:rsidRDefault="005B4D35">
      <w:pPr>
        <w:spacing w:after="160" w:line="259" w:lineRule="auto"/>
        <w:rPr>
          <w:rFonts w:ascii="Arial" w:eastAsia="Arial" w:hAnsi="Arial" w:cs="Arial"/>
          <w:b/>
          <w:bCs/>
          <w:color w:val="366091"/>
          <w:sz w:val="32"/>
          <w:szCs w:val="32"/>
        </w:rPr>
      </w:pPr>
      <w:r>
        <w:br w:type="page"/>
      </w:r>
    </w:p>
    <w:p w14:paraId="09668A8C" w14:textId="62992E59" w:rsidR="00950EAC" w:rsidRPr="000F1ACD" w:rsidRDefault="00950EAC" w:rsidP="009F365A">
      <w:pPr>
        <w:pStyle w:val="Heading1"/>
        <w:spacing w:line="360" w:lineRule="auto"/>
      </w:pPr>
      <w:bookmarkStart w:id="42" w:name="_Toc235653236"/>
      <w:r w:rsidRPr="000F1ACD">
        <w:lastRenderedPageBreak/>
        <w:t>CHAPTER V: DISCUSSION</w:t>
      </w:r>
      <w:bookmarkEnd w:id="42"/>
    </w:p>
    <w:p w14:paraId="3DDDC76B" w14:textId="77777777" w:rsidR="00950EAC" w:rsidRPr="000F1ACD" w:rsidRDefault="00950EAC" w:rsidP="009F365A">
      <w:pPr>
        <w:pStyle w:val="Heading2"/>
        <w:spacing w:line="360" w:lineRule="auto"/>
        <w:rPr>
          <w:b/>
          <w:bCs/>
        </w:rPr>
      </w:pPr>
      <w:bookmarkStart w:id="43" w:name="_Toc235653237"/>
      <w:r w:rsidRPr="000F1ACD">
        <w:rPr>
          <w:b/>
          <w:bCs/>
        </w:rPr>
        <w:t>Conclusions</w:t>
      </w:r>
      <w:bookmarkEnd w:id="43"/>
    </w:p>
    <w:p w14:paraId="2EEA67B5" w14:textId="408767FC" w:rsidR="006819E2" w:rsidRPr="000E70CC" w:rsidRDefault="006819E2" w:rsidP="009F365A">
      <w:pPr>
        <w:spacing w:after="160" w:line="360" w:lineRule="auto"/>
        <w:jc w:val="both"/>
        <w:rPr>
          <w:rFonts w:ascii="Arial" w:hAnsi="Arial" w:cs="Arial"/>
          <w:color w:val="000000" w:themeColor="text1"/>
        </w:rPr>
      </w:pPr>
    </w:p>
    <w:p w14:paraId="2A89F740" w14:textId="77777777" w:rsidR="008732AE" w:rsidRPr="00F11EE7" w:rsidRDefault="008732AE"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Alliance Finance PLC's detailed financial analysis from 2021 to 2025 using the Aggregate ROE framework and its extended DuPont decomposition provides several key insights into the company's financial performance, efficiency, liquidity, solvency and sustainability.</w:t>
      </w:r>
    </w:p>
    <w:p w14:paraId="09DF0DE6" w14:textId="77777777" w:rsidR="008732AE" w:rsidRPr="00F11EE7" w:rsidRDefault="008732AE"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Financial Performance: Alliance Finance PLC had a very erratic financial performance during the study period. The company's ROE ranged from a low of 1.95% in 2023 to a peak of 6.26% in 2024. Operating profit margin volatility from 16.18% in 2023 to 50.47% in 2024 was the major contributor to this volatility. The five factor DuPont analysis showed that operating margin and asset turnover had the largest influence on ROE, with financial leverage becoming more influential as time went on.</w:t>
      </w:r>
    </w:p>
    <w:p w14:paraId="4D24D425" w14:textId="77777777" w:rsidR="008732AE" w:rsidRPr="00F11EE7" w:rsidRDefault="008732AE"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Asset Utilization and Efficiency: There was significant improvement in asset utilization efficiency during the period. The asset turnover ratio increased from 0.0884 in 2021 to 0.1163 in 2024, representing a 31.6% improvement. The company's fixed assets turnover also rose sharply, from 5.64 in 2021 to 16.25 in 2025, showing it has become much more efficient at generating revenue from its fixed assets. There was also an improvement in accounts receivable turnover, indicating improved credit management.</w:t>
      </w:r>
    </w:p>
    <w:p w14:paraId="18EB73FF" w14:textId="77777777" w:rsidR="008732AE" w:rsidRPr="00F11EE7" w:rsidRDefault="008732AE"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Expense Structure and Cost Management: Both strengths and concerns are found in the expense structure. The overhead rate (2.44% to 2.73%) was fairly constant and shows good control of operating costs in relation to company size. The cost of funds rose sharply from 3.42% in 2021 to 7.14% in 2024, however, which shows increased funding costs. The interest burden is decreasing from 88.74% in 2021 to 67.99% in 2025, meaning that interest costs are taking a larger share of operating profit.</w:t>
      </w:r>
    </w:p>
    <w:p w14:paraId="1BCDCE56" w14:textId="77777777" w:rsidR="008732AE" w:rsidRPr="00F11EE7" w:rsidRDefault="008732AE"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 xml:space="preserve">Liquidity Position: The liquidity position of the company deteriorated during the period. The current ratio declined from 1.65 in 2021 to 1.37 in 2024, before improving slightly to 1.49 in 2025. The cash ratio was always low, varying from 0.16 to 0.31, which means that there was not much cash available in the short term to pay current liabilities. The net </w:t>
      </w:r>
      <w:r w:rsidRPr="00F11EE7">
        <w:rPr>
          <w:rFonts w:ascii="Arial" w:hAnsi="Arial" w:cs="Arial"/>
          <w:color w:val="000000" w:themeColor="text1"/>
          <w:sz w:val="24"/>
          <w:szCs w:val="24"/>
        </w:rPr>
        <w:lastRenderedPageBreak/>
        <w:t>working capital ratio fell from 13.66% in 2021 to 9.34% in 2025, indicating a decrease in operational liquidity.</w:t>
      </w:r>
    </w:p>
    <w:p w14:paraId="417184C5" w14:textId="77777777" w:rsidR="008732AE" w:rsidRPr="00F11EE7" w:rsidRDefault="008732AE"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Financial Leverage and Solvency: The financial leverage of the company has risen considerably during the period. The rise in the equity multiplier from 2021 to 2025 is 4.68, which is a 72% increase in leverage. The debt-to-equity ratio rose from 0.72 to 2.68 during the same period, which also showed this. The interest coverage ratio fell from 1.83 in 2021 to 0.83 in 2025, meaning that in recent years operating income has not been adequate to pay interest expenses.</w:t>
      </w:r>
    </w:p>
    <w:p w14:paraId="3AFF5701" w14:textId="77777777" w:rsidR="008732AE" w:rsidRPr="00F11EE7" w:rsidRDefault="008732AE"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Strengths identified: The company's key strengths are operational profitability (2024), significant gains in asset utilization efficiency, effective management of non-interest expenses, and proven capability to overcome periods of poor performance.</w:t>
      </w:r>
    </w:p>
    <w:p w14:paraId="25AD0684" w14:textId="70B9883E" w:rsidR="006819E2" w:rsidRPr="00F11EE7" w:rsidRDefault="008732AE"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Identified Weaknesses: The company's main weaknesses are its high and growing financial leverage, its decreasing interest coverage, its volatile profitability, its inconsistent dividend policy, and its unsustainable growth that relies on external financing.</w:t>
      </w:r>
    </w:p>
    <w:p w14:paraId="15DDE257" w14:textId="77777777" w:rsidR="006819E2" w:rsidRPr="000E70CC" w:rsidRDefault="006819E2" w:rsidP="009F365A">
      <w:pPr>
        <w:spacing w:after="160" w:line="360" w:lineRule="auto"/>
        <w:jc w:val="both"/>
        <w:rPr>
          <w:rFonts w:ascii="Arial" w:eastAsia="Arial" w:hAnsi="Arial" w:cs="Arial"/>
          <w:color w:val="000000" w:themeColor="text1"/>
          <w:sz w:val="28"/>
          <w:szCs w:val="28"/>
        </w:rPr>
      </w:pPr>
      <w:r w:rsidRPr="000E70CC">
        <w:rPr>
          <w:rFonts w:ascii="Arial" w:hAnsi="Arial" w:cs="Arial"/>
          <w:color w:val="000000" w:themeColor="text1"/>
        </w:rPr>
        <w:br w:type="page"/>
      </w:r>
    </w:p>
    <w:p w14:paraId="1E3AAB08" w14:textId="60ED9275" w:rsidR="006819E2" w:rsidRPr="000F1ACD" w:rsidRDefault="00950EAC" w:rsidP="009F365A">
      <w:pPr>
        <w:pStyle w:val="Heading2"/>
        <w:spacing w:line="360" w:lineRule="auto"/>
        <w:rPr>
          <w:b/>
          <w:bCs/>
        </w:rPr>
      </w:pPr>
      <w:bookmarkStart w:id="44" w:name="_Toc235653238"/>
      <w:r w:rsidRPr="000F1ACD">
        <w:rPr>
          <w:b/>
          <w:bCs/>
        </w:rPr>
        <w:lastRenderedPageBreak/>
        <w:t>Scope for Future Study</w:t>
      </w:r>
      <w:bookmarkEnd w:id="44"/>
    </w:p>
    <w:p w14:paraId="320D9102" w14:textId="77777777" w:rsidR="000F1ACD" w:rsidRDefault="000F1ACD" w:rsidP="009F365A">
      <w:pPr>
        <w:spacing w:after="160" w:line="360" w:lineRule="auto"/>
        <w:jc w:val="both"/>
        <w:rPr>
          <w:rFonts w:ascii="Arial" w:hAnsi="Arial" w:cs="Arial"/>
          <w:color w:val="000000" w:themeColor="text1"/>
          <w:sz w:val="24"/>
          <w:szCs w:val="24"/>
        </w:rPr>
      </w:pPr>
    </w:p>
    <w:p w14:paraId="079DE5DA" w14:textId="42397A1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 xml:space="preserve">The present study aims at giving a detailed analysis of the financial performance of Alliance Finance PLC for the </w:t>
      </w:r>
      <w:proofErr w:type="gramStart"/>
      <w:r w:rsidRPr="00F11EE7">
        <w:rPr>
          <w:rFonts w:ascii="Arial" w:hAnsi="Arial" w:cs="Arial"/>
          <w:color w:val="000000" w:themeColor="text1"/>
          <w:sz w:val="24"/>
          <w:szCs w:val="24"/>
        </w:rPr>
        <w:t>five year</w:t>
      </w:r>
      <w:proofErr w:type="gramEnd"/>
      <w:r w:rsidRPr="00F11EE7">
        <w:rPr>
          <w:rFonts w:ascii="Arial" w:hAnsi="Arial" w:cs="Arial"/>
          <w:color w:val="000000" w:themeColor="text1"/>
          <w:sz w:val="24"/>
          <w:szCs w:val="24"/>
        </w:rPr>
        <w:t xml:space="preserve"> period 2021-2025. But several lines of future research can be pursued to further this analysis:</w:t>
      </w:r>
    </w:p>
    <w:p w14:paraId="4F87A387"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Future studies could be done to compare multiple NBFIs working in Bangladesh. This would enable the performance of Alliance Finance PLC to be compared with other players in the industry to give a better picture of the relative performance, competitive positioning and the general trend in the industry.</w:t>
      </w:r>
    </w:p>
    <w:p w14:paraId="219948E3"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An extension of the analysis could be made to consider the effect of various economic sectors on the company's financial performance. Knowing the sectoral composition of the loan portfolio and its effect on profitability and risk would be helpful, as NBFIs operate in a variety of sectors such as manufacturing, trade and services.</w:t>
      </w:r>
    </w:p>
    <w:p w14:paraId="108DF3F3"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Future research could involve modelling the relationship between macroeconomic variables (GDP growth, inflation, interest rates, exchange rates) and the company's financial performance. This would assist in comprehending how the company's performance is affected by economic cycles and how to build stronger forecasting models.</w:t>
      </w:r>
    </w:p>
    <w:p w14:paraId="30D46FB2"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Future studies may consider using qualitative data like management strategies, corporate governance practices, technology adoption and human resource management to complement the quantitative financial data used in this study. This will give a more comprehensive picture of the company's performance drivers.</w:t>
      </w:r>
    </w:p>
    <w:p w14:paraId="60CDBEE7"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6. Technology and Innovation Impact: Future studies may look into the effect of technology adoption on the operational efficiency, cost structure, and competitive position of NBFIs, especially in the context of the growing significance of technology in the financial industry. This would be especially true for Alliance Finance PLC, who is a technology-based financial institution.</w:t>
      </w:r>
    </w:p>
    <w:p w14:paraId="50218972"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lastRenderedPageBreak/>
        <w:t>7. ESG Performance Analysis: As the importance of environmental, social and governance (ESG) factors increases, future research could explore the ESG performance of NBFIs and its correlation with financial performance. This would be especially pertinent in the context of the company's commitment to sustainable finance.</w:t>
      </w:r>
    </w:p>
    <w:p w14:paraId="31A2B8FA"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7. Event Studies: Future studies could involve performing event studies to assess the effects of specific corporate events (such as dividend announcements, capital increases, regulatory changes) on the company's stock price and financial performance.</w:t>
      </w:r>
    </w:p>
    <w:p w14:paraId="4A9F0B23"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Forecasting and Projection Models: The analysis can be expanded to create forecasting models for key financial indicators, which can then be used for scenario analysis and forward-looking financial assessments of the company's financial sustainability.</w:t>
      </w:r>
    </w:p>
    <w:p w14:paraId="527B2005" w14:textId="77777777" w:rsidR="00FE0F32" w:rsidRPr="00F11EE7" w:rsidRDefault="00FE0F32" w:rsidP="009F365A">
      <w:pPr>
        <w:spacing w:after="160" w:line="360" w:lineRule="auto"/>
        <w:jc w:val="both"/>
        <w:rPr>
          <w:rFonts w:ascii="Arial" w:hAnsi="Arial" w:cs="Arial"/>
          <w:color w:val="000000" w:themeColor="text1"/>
          <w:sz w:val="24"/>
          <w:szCs w:val="24"/>
        </w:rPr>
      </w:pPr>
      <w:r w:rsidRPr="00F11EE7">
        <w:rPr>
          <w:rFonts w:ascii="Arial" w:hAnsi="Arial" w:cs="Arial"/>
          <w:color w:val="000000" w:themeColor="text1"/>
          <w:sz w:val="24"/>
          <w:szCs w:val="24"/>
        </w:rPr>
        <w:t>A Risk Management Assessment would complement the financial performance analysis and give information about the company's resilience, especially in the context of the risk management of credit risk, liquidity risk and operational risk.</w:t>
      </w:r>
    </w:p>
    <w:p w14:paraId="4A00E8E4" w14:textId="588845A5" w:rsidR="006819E2" w:rsidRPr="00F11EE7" w:rsidRDefault="00FE0F32" w:rsidP="009F365A">
      <w:pPr>
        <w:spacing w:after="160" w:line="360" w:lineRule="auto"/>
        <w:jc w:val="both"/>
        <w:rPr>
          <w:rFonts w:ascii="Arial" w:eastAsia="Arial" w:hAnsi="Arial" w:cs="Arial"/>
          <w:color w:val="000000" w:themeColor="text1"/>
          <w:sz w:val="32"/>
          <w:szCs w:val="32"/>
        </w:rPr>
      </w:pPr>
      <w:r w:rsidRPr="00F11EE7">
        <w:rPr>
          <w:rFonts w:ascii="Arial" w:hAnsi="Arial" w:cs="Arial"/>
          <w:color w:val="000000" w:themeColor="text1"/>
          <w:sz w:val="24"/>
          <w:szCs w:val="24"/>
        </w:rPr>
        <w:t>10. Customer and Stakeholder Perspectives: Future research could involve surveys or interviews with customers, employees, and other stakeholders to gain insights into their perceptions of the company's performance, service quality, and value proposition.</w:t>
      </w:r>
    </w:p>
    <w:p w14:paraId="76AD6836" w14:textId="77777777" w:rsidR="006819E2" w:rsidRPr="00F11EE7" w:rsidRDefault="006819E2" w:rsidP="009F365A">
      <w:pPr>
        <w:spacing w:after="160" w:line="360" w:lineRule="auto"/>
        <w:jc w:val="both"/>
        <w:rPr>
          <w:rFonts w:ascii="Arial" w:eastAsia="Arial" w:hAnsi="Arial" w:cs="Arial"/>
          <w:color w:val="000000" w:themeColor="text1"/>
          <w:sz w:val="32"/>
          <w:szCs w:val="32"/>
        </w:rPr>
      </w:pPr>
      <w:r w:rsidRPr="00F11EE7">
        <w:rPr>
          <w:rFonts w:ascii="Arial" w:hAnsi="Arial" w:cs="Arial"/>
          <w:color w:val="000000" w:themeColor="text1"/>
          <w:sz w:val="24"/>
          <w:szCs w:val="24"/>
        </w:rPr>
        <w:br w:type="page"/>
      </w:r>
    </w:p>
    <w:p w14:paraId="073B656A" w14:textId="753F34B3" w:rsidR="00950EAC" w:rsidRPr="000F1ACD" w:rsidRDefault="00950EAC" w:rsidP="009F365A">
      <w:pPr>
        <w:pStyle w:val="Heading2"/>
        <w:spacing w:line="360" w:lineRule="auto"/>
        <w:rPr>
          <w:b/>
          <w:bCs/>
        </w:rPr>
      </w:pPr>
      <w:bookmarkStart w:id="45" w:name="_Toc235653239"/>
      <w:r w:rsidRPr="000F1ACD">
        <w:rPr>
          <w:b/>
          <w:bCs/>
        </w:rPr>
        <w:lastRenderedPageBreak/>
        <w:t xml:space="preserve">Recommendations </w:t>
      </w:r>
      <w:bookmarkEnd w:id="45"/>
    </w:p>
    <w:p w14:paraId="4BA077B5"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Based on the comprehensive financial analysis of Alliance Finance PLC over the period 2021-2025, the following recommendations are proposed to enhance the company's financial performance, sustainability, and shareholder value:</w:t>
      </w:r>
    </w:p>
    <w:p w14:paraId="661D3065"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1. Reduce funding costs and the capital structure.</w:t>
      </w:r>
    </w:p>
    <w:p w14:paraId="08D68423"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The company should work on reducing the cost of funds from 3.42% in 2021 to 7.05% in 2025. This can be done by optimizing the deposit mix, by minimizing the use of costly loans and by better managing liabilities.</w:t>
      </w:r>
    </w:p>
    <w:p w14:paraId="2897E658"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Rationale: The cost of funds is the most significant item in the increasing expense ratio and decreasing ROA. Cost of funding would be reduced, which would have a direct impact on the net interest margin and profitability of the banks.</w:t>
      </w:r>
    </w:p>
    <w:p w14:paraId="666C7736"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2. Enhance Interest Coverage Ratio</w:t>
      </w:r>
    </w:p>
    <w:p w14:paraId="6A264A20"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The company should work on enhancing its interest coverage ratio from 0.83 in 2025 to more sustainable levels of above 1.5. This means that either operating income (EBIT) needs to be improved or the interest commitments need to be reduced.</w:t>
      </w:r>
    </w:p>
    <w:p w14:paraId="59F6A2F6"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Rationale: Interest coverage ratio &lt; 1.0 means that operating income is not enough to cover the interest expenses, thus, a high financial risk. A better ratio would increase the company's creditworthiness and decrease its financial vulnerability.</w:t>
      </w:r>
    </w:p>
    <w:p w14:paraId="65D6A270"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3. Diversify Revenue Sources</w:t>
      </w:r>
    </w:p>
    <w:p w14:paraId="7622922E"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The company should diversify its revenue streams other than the interest income. The yield on non-</w:t>
      </w:r>
      <w:proofErr w:type="gramStart"/>
      <w:r w:rsidRPr="009F365A">
        <w:rPr>
          <w:rFonts w:ascii="Arial" w:hAnsi="Arial" w:cs="Arial"/>
          <w:color w:val="000000" w:themeColor="text1"/>
          <w:sz w:val="24"/>
          <w:szCs w:val="24"/>
        </w:rPr>
        <w:t>interest based</w:t>
      </w:r>
      <w:proofErr w:type="gramEnd"/>
      <w:r w:rsidRPr="009F365A">
        <w:rPr>
          <w:rFonts w:ascii="Arial" w:hAnsi="Arial" w:cs="Arial"/>
          <w:color w:val="000000" w:themeColor="text1"/>
          <w:sz w:val="24"/>
          <w:szCs w:val="24"/>
        </w:rPr>
        <w:t xml:space="preserve"> assets decreased from 1.54% in 2021 to 0.68% in 2025, which shows less revenue diversification.</w:t>
      </w:r>
    </w:p>
    <w:p w14:paraId="274ED357"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Justification: Fees, commissions, advisory services, and other fee generating activities would help to diversify the revenue streams and lessen reliance on interest rates spreads.</w:t>
      </w:r>
    </w:p>
    <w:p w14:paraId="160E8859" w14:textId="77777777" w:rsidR="00FE0F32" w:rsidRPr="009F365A" w:rsidRDefault="00FE0F32" w:rsidP="009F365A">
      <w:pPr>
        <w:spacing w:line="360" w:lineRule="auto"/>
        <w:rPr>
          <w:rFonts w:ascii="Arial" w:hAnsi="Arial" w:cs="Arial"/>
          <w:color w:val="000000" w:themeColor="text1"/>
          <w:sz w:val="24"/>
          <w:szCs w:val="24"/>
        </w:rPr>
      </w:pPr>
      <w:r w:rsidRPr="009F365A">
        <w:rPr>
          <w:rFonts w:ascii="Arial" w:hAnsi="Arial" w:cs="Arial"/>
          <w:color w:val="000000" w:themeColor="text1"/>
          <w:sz w:val="24"/>
          <w:szCs w:val="24"/>
        </w:rPr>
        <w:t>4. Adopt consistent dividend policy</w:t>
      </w:r>
    </w:p>
    <w:p w14:paraId="46918CB5"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lastRenderedPageBreak/>
        <w:t xml:space="preserve">Recommendation: The company should have a more uniform dividend policy that is consistent with the </w:t>
      </w:r>
      <w:proofErr w:type="gramStart"/>
      <w:r w:rsidRPr="009F365A">
        <w:rPr>
          <w:rFonts w:ascii="Arial" w:hAnsi="Arial" w:cs="Arial"/>
          <w:color w:val="000000" w:themeColor="text1"/>
          <w:sz w:val="24"/>
          <w:szCs w:val="24"/>
        </w:rPr>
        <w:t>long term</w:t>
      </w:r>
      <w:proofErr w:type="gramEnd"/>
      <w:r w:rsidRPr="009F365A">
        <w:rPr>
          <w:rFonts w:ascii="Arial" w:hAnsi="Arial" w:cs="Arial"/>
          <w:color w:val="000000" w:themeColor="text1"/>
          <w:sz w:val="24"/>
          <w:szCs w:val="24"/>
        </w:rPr>
        <w:t xml:space="preserve"> profitability and growth goals. The current policy is very volatile, ranging from 100% to minus retention ratios.</w:t>
      </w:r>
    </w:p>
    <w:p w14:paraId="58CFD571"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Rationale: A uniform dividend policy would give shareholders more certainty and allow enough earnings to be retained to facilitate sustainable growth.</w:t>
      </w:r>
    </w:p>
    <w:p w14:paraId="383C3A26"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5. Strengthen Capital Adequacy</w:t>
      </w:r>
    </w:p>
    <w:p w14:paraId="798FA56F"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The company should further enhance its capital structure by increasing the retention ratio of the earnings and exploring capital enhancement options. The equity multiplier trend is down and indicates greater financial risk that must be mitigated.</w:t>
      </w:r>
    </w:p>
    <w:p w14:paraId="16CA872B"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Rationale: Capital buffers should be sufficient to buffer losses and ensure financial stability. Improving capital adequacy would also help build the confidence of regulators and investors.</w:t>
      </w:r>
    </w:p>
    <w:p w14:paraId="72B02933"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6. Improve Asset Quality</w:t>
      </w:r>
    </w:p>
    <w:p w14:paraId="6B298CA6"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Company should continue to have good credit risk management procedures in place to reduce loan losses and provisioning. A volatile ratio of the high volatility in the quality of assets indicates the need for sound credit risk assessment and monitoring.</w:t>
      </w:r>
    </w:p>
    <w:p w14:paraId="3405B7B6"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Rationale: The provision expenses have been the most volatile element of the expenses and have had a major impact on profitability. The better the asset quality, the less provisions would have to be made, and the more stable earnings would be.</w:t>
      </w:r>
    </w:p>
    <w:p w14:paraId="5A65A140"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7. Enhance Liquidity Management</w:t>
      </w:r>
    </w:p>
    <w:p w14:paraId="07E7EFD1"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The company should improve liquidity management in order to ensure sufficient cash reserves and liquidity assets. The net working capital ratio has fallen and the cash ratio is low, both suggesting restricted liquidity.</w:t>
      </w:r>
    </w:p>
    <w:p w14:paraId="67E7D70D"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lastRenderedPageBreak/>
        <w:t>Rationale: A sufficient level of liquidity is needed to fulfil short-term obligations and ensure financial flexibility. A better liquidity position would help the company to withstand financial stress.</w:t>
      </w:r>
    </w:p>
    <w:p w14:paraId="4431FB6B"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8. Ensure sustainable capacity for growth</w:t>
      </w:r>
    </w:p>
    <w:p w14:paraId="4C870EB6"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The company should ensure its growth rate is in line with the company's sustainable growth capacity. The analysis reveals that actual asset growth has always been greater than the SGR, thus demonstrating the need for external financing.</w:t>
      </w:r>
    </w:p>
    <w:p w14:paraId="77BC3C1E" w14:textId="77777777" w:rsidR="00FE0F32" w:rsidRPr="009F365A" w:rsidRDefault="00FE0F32"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 xml:space="preserve">Rationale: Financing growth through external debt increases financial leverage and risk. Matching growth to the capacity of internal capital generation would boost financial sustainability and </w:t>
      </w:r>
      <w:proofErr w:type="spellStart"/>
      <w:r w:rsidRPr="009F365A">
        <w:rPr>
          <w:rFonts w:ascii="Arial" w:hAnsi="Arial" w:cs="Arial"/>
          <w:color w:val="000000" w:themeColor="text1"/>
          <w:sz w:val="24"/>
          <w:szCs w:val="24"/>
        </w:rPr>
        <w:t>minimise</w:t>
      </w:r>
      <w:proofErr w:type="spellEnd"/>
      <w:r w:rsidRPr="009F365A">
        <w:rPr>
          <w:rFonts w:ascii="Arial" w:hAnsi="Arial" w:cs="Arial"/>
          <w:color w:val="000000" w:themeColor="text1"/>
          <w:sz w:val="24"/>
          <w:szCs w:val="24"/>
        </w:rPr>
        <w:t xml:space="preserve"> the need for external financing.</w:t>
      </w:r>
    </w:p>
    <w:p w14:paraId="27346D2E" w14:textId="77777777" w:rsidR="00F11EE7" w:rsidRPr="009F365A" w:rsidRDefault="00F11EE7"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9. Improve Operational Efficiency</w:t>
      </w:r>
    </w:p>
    <w:p w14:paraId="214D52FB" w14:textId="5EF89509" w:rsidR="00F11EE7" w:rsidRPr="009F365A" w:rsidRDefault="00F11EE7"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Even though the operating expenses are well-controlled in relation to the company’s assets, the company must continue working on improving its operational efficiency. Asset turnover decrease in 2025 indicates possible limitations regarding efficiency of asset usage.</w:t>
      </w:r>
    </w:p>
    <w:p w14:paraId="2E7535C9" w14:textId="234D13AD" w:rsidR="00F11EE7" w:rsidRPr="009F365A" w:rsidRDefault="00F11EE7"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Rationale: Improved operational efficiency would positively impact the profitability and competitive position of the company. Continued focus on reducing costs would allow maintaining stable profit margins.</w:t>
      </w:r>
    </w:p>
    <w:p w14:paraId="619D2840" w14:textId="77777777" w:rsidR="00F11EE7" w:rsidRPr="009F365A" w:rsidRDefault="00F11EE7"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10. Improve Risk Management System</w:t>
      </w:r>
    </w:p>
    <w:p w14:paraId="651DFCFC" w14:textId="017A5529" w:rsidR="00F11EE7" w:rsidRPr="009F365A" w:rsidRDefault="00F11EE7"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Recommendation: The company needs to improve its risk management system, especially concerning the credit risk, interest rate risk, and liquidity risk. Increasing financial leverage and decreasing interest coverage ratio point out the need for a better risk management system.</w:t>
      </w:r>
    </w:p>
    <w:p w14:paraId="43736BE1" w14:textId="7808B3E1" w:rsidR="0084140D" w:rsidRPr="00037325" w:rsidRDefault="00F11EE7" w:rsidP="002E70B1">
      <w:pPr>
        <w:spacing w:line="360" w:lineRule="auto"/>
        <w:jc w:val="both"/>
        <w:rPr>
          <w:rFonts w:ascii="Arial" w:hAnsi="Arial" w:cs="Arial"/>
          <w:color w:val="000000" w:themeColor="text1"/>
          <w:sz w:val="24"/>
          <w:szCs w:val="24"/>
        </w:rPr>
      </w:pPr>
      <w:r w:rsidRPr="009F365A">
        <w:rPr>
          <w:rFonts w:ascii="Arial" w:hAnsi="Arial" w:cs="Arial"/>
          <w:color w:val="000000" w:themeColor="text1"/>
          <w:sz w:val="24"/>
          <w:szCs w:val="24"/>
        </w:rPr>
        <w:t>Rationale: A developed risk management system would enable the company to manage its risks more efficiently.</w:t>
      </w:r>
    </w:p>
    <w:sectPr w:rsidR="0084140D" w:rsidRPr="00037325">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dministrator" w:date="2019-09-02T14:08:00Z" w:initials="">
    <w:p w14:paraId="0243C7BC" w14:textId="77777777" w:rsidR="00950EAC" w:rsidRDefault="00950EAC" w:rsidP="00950EA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Arial, 14 front, Bold, Central aligned,</w:t>
      </w:r>
    </w:p>
  </w:comment>
  <w:comment w:id="1" w:author="Administrator" w:date="2019-09-02T14:10:00Z" w:initials="">
    <w:p w14:paraId="7D52296C" w14:textId="77777777" w:rsidR="00950EAC" w:rsidRDefault="00950EAC" w:rsidP="00950EA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Arial, 14 front, Bold, Central aligned,</w:t>
      </w:r>
    </w:p>
  </w:comment>
  <w:comment w:id="2" w:author="Administrator" w:date="2019-09-02T15:42:00Z" w:initials="">
    <w:p w14:paraId="540C01EE" w14:textId="77777777" w:rsidR="00950EAC" w:rsidRDefault="00950EAC" w:rsidP="00950EA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Arial, 16 front, Bold, Central aligned,</w:t>
      </w:r>
    </w:p>
  </w:comment>
  <w:comment w:id="3" w:author="Administrator" w:date="2019-09-02T14:14:00Z" w:initials="">
    <w:p w14:paraId="6BB2F561" w14:textId="77777777" w:rsidR="00950EAC" w:rsidRDefault="00950EAC" w:rsidP="00950EA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Arial, 20 front, Bold, Central aligned,</w:t>
      </w:r>
    </w:p>
  </w:comment>
  <w:comment w:id="6" w:author="Administrator" w:date="2019-09-02T14:20:00Z" w:initials="">
    <w:p w14:paraId="4B7C75FC" w14:textId="77777777" w:rsidR="00950EAC" w:rsidRDefault="00950EAC" w:rsidP="00950EA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Arial, 16  front, Bold, Central aligned,</w:t>
      </w:r>
    </w:p>
  </w:comment>
  <w:comment w:id="8" w:author="Administrator" w:date="2019-09-02T14:20:00Z" w:initials="">
    <w:p w14:paraId="00C7262F" w14:textId="77777777" w:rsidR="00950EAC" w:rsidRDefault="00950EAC" w:rsidP="00950EA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Arial, 16  front, Bold, Central aligned,</w:t>
      </w:r>
    </w:p>
  </w:comment>
  <w:comment w:id="10" w:author="Administrator" w:date="2019-09-02T14:21:00Z" w:initials="">
    <w:p w14:paraId="7310802F" w14:textId="77777777" w:rsidR="00950EAC" w:rsidRDefault="00950EAC" w:rsidP="00950EA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Arial, 16  front, Bold, Central aligned,</w:t>
      </w:r>
    </w:p>
  </w:comment>
  <w:comment w:id="12" w:author="Administrator" w:date="2019-09-02T14:24:00Z" w:initials="">
    <w:p w14:paraId="5B12843C" w14:textId="77777777" w:rsidR="00950EAC" w:rsidRDefault="00950EAC" w:rsidP="00950EAC">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Arial, 16 font, Bold, Central aligned,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43C7BC" w15:done="0"/>
  <w15:commentEx w15:paraId="7D52296C" w15:done="0"/>
  <w15:commentEx w15:paraId="540C01EE" w15:done="0"/>
  <w15:commentEx w15:paraId="6BB2F561" w15:done="0"/>
  <w15:commentEx w15:paraId="4B7C75FC" w15:done="0"/>
  <w15:commentEx w15:paraId="00C7262F" w15:done="0"/>
  <w15:commentEx w15:paraId="7310802F" w15:done="0"/>
  <w15:commentEx w15:paraId="5B1284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43C7BC" w16cid:durableId="2E0B1785"/>
  <w16cid:commentId w16cid:paraId="7D52296C" w16cid:durableId="2E0B1787"/>
  <w16cid:commentId w16cid:paraId="540C01EE" w16cid:durableId="2E0B1789"/>
  <w16cid:commentId w16cid:paraId="6BB2F561" w16cid:durableId="2E0B178A"/>
  <w16cid:commentId w16cid:paraId="4B7C75FC" w16cid:durableId="2E0B178B"/>
  <w16cid:commentId w16cid:paraId="00C7262F" w16cid:durableId="2E0B178C"/>
  <w16cid:commentId w16cid:paraId="7310802F" w16cid:durableId="2E0B178D"/>
  <w16cid:commentId w16cid:paraId="5B12843C" w16cid:durableId="2E0B17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A5499" w14:textId="77777777" w:rsidR="00BE07D4" w:rsidRDefault="00BE07D4" w:rsidP="00D77237">
      <w:pPr>
        <w:spacing w:after="0" w:line="240" w:lineRule="auto"/>
      </w:pPr>
      <w:r>
        <w:separator/>
      </w:r>
    </w:p>
  </w:endnote>
  <w:endnote w:type="continuationSeparator" w:id="0">
    <w:p w14:paraId="12114D6A" w14:textId="77777777" w:rsidR="00BE07D4" w:rsidRDefault="00BE07D4" w:rsidP="00D7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30057"/>
      <w:docPartObj>
        <w:docPartGallery w:val="Page Numbers (Bottom of Page)"/>
        <w:docPartUnique/>
      </w:docPartObj>
    </w:sdtPr>
    <w:sdtEndPr>
      <w:rPr>
        <w:noProof/>
      </w:rPr>
    </w:sdtEndPr>
    <w:sdtContent>
      <w:p w14:paraId="3E0E1092" w14:textId="26AAA949" w:rsidR="00A313B9" w:rsidRDefault="00A313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0CCF26" w14:textId="77777777" w:rsidR="00866B03" w:rsidRDefault="0000000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0C545" w14:textId="77777777" w:rsidR="00BE07D4" w:rsidRDefault="00BE07D4" w:rsidP="00D77237">
      <w:pPr>
        <w:spacing w:after="0" w:line="240" w:lineRule="auto"/>
      </w:pPr>
      <w:r>
        <w:separator/>
      </w:r>
    </w:p>
  </w:footnote>
  <w:footnote w:type="continuationSeparator" w:id="0">
    <w:p w14:paraId="7392BC35" w14:textId="77777777" w:rsidR="00BE07D4" w:rsidRDefault="00BE07D4" w:rsidP="00D77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24E7"/>
    <w:multiLevelType w:val="multilevel"/>
    <w:tmpl w:val="B532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C101D"/>
    <w:multiLevelType w:val="multilevel"/>
    <w:tmpl w:val="C1E02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84142"/>
    <w:multiLevelType w:val="multilevel"/>
    <w:tmpl w:val="7CF06B26"/>
    <w:lvl w:ilvl="0">
      <w:start w:val="1"/>
      <w:numFmt w:val="decimal"/>
      <w:lvlText w:val="3.%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0B80DEE"/>
    <w:multiLevelType w:val="hybridMultilevel"/>
    <w:tmpl w:val="05B2EFC2"/>
    <w:lvl w:ilvl="0" w:tplc="81680982">
      <w:start w:val="1"/>
      <w:numFmt w:val="decimal"/>
      <w:lvlText w:val="%1."/>
      <w:lvlJc w:val="left"/>
      <w:pPr>
        <w:ind w:left="766" w:hanging="40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705C61"/>
    <w:multiLevelType w:val="multilevel"/>
    <w:tmpl w:val="5D9E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B46CE0"/>
    <w:multiLevelType w:val="multilevel"/>
    <w:tmpl w:val="1744EA7A"/>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2A4B5E"/>
    <w:multiLevelType w:val="multilevel"/>
    <w:tmpl w:val="27CE7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A85308"/>
    <w:multiLevelType w:val="multilevel"/>
    <w:tmpl w:val="20DC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20ABA"/>
    <w:multiLevelType w:val="hybridMultilevel"/>
    <w:tmpl w:val="CC9E7F5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63F61E45"/>
    <w:multiLevelType w:val="multilevel"/>
    <w:tmpl w:val="0968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850D59"/>
    <w:multiLevelType w:val="multilevel"/>
    <w:tmpl w:val="6040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9553B3"/>
    <w:multiLevelType w:val="multilevel"/>
    <w:tmpl w:val="5DD66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5769B2"/>
    <w:multiLevelType w:val="multilevel"/>
    <w:tmpl w:val="4EE8AEDC"/>
    <w:lvl w:ilvl="0">
      <w:start w:val="1"/>
      <w:numFmt w:val="decimal"/>
      <w:lvlText w:val="I.%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6D2893"/>
    <w:multiLevelType w:val="multilevel"/>
    <w:tmpl w:val="8248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C17986"/>
    <w:multiLevelType w:val="multilevel"/>
    <w:tmpl w:val="A5B0E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CD6EA7"/>
    <w:multiLevelType w:val="multilevel"/>
    <w:tmpl w:val="AFD27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884F1E"/>
    <w:multiLevelType w:val="multilevel"/>
    <w:tmpl w:val="EC46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3920DD"/>
    <w:multiLevelType w:val="multilevel"/>
    <w:tmpl w:val="CCDA80DC"/>
    <w:lvl w:ilvl="0">
      <w:start w:val="1"/>
      <w:numFmt w:val="decimal"/>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190B20"/>
    <w:multiLevelType w:val="multilevel"/>
    <w:tmpl w:val="E3A6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7789264">
    <w:abstractNumId w:val="12"/>
  </w:num>
  <w:num w:numId="2" w16cid:durableId="70785406">
    <w:abstractNumId w:val="5"/>
  </w:num>
  <w:num w:numId="3" w16cid:durableId="200676398">
    <w:abstractNumId w:val="2"/>
  </w:num>
  <w:num w:numId="4" w16cid:durableId="72750973">
    <w:abstractNumId w:val="17"/>
  </w:num>
  <w:num w:numId="5" w16cid:durableId="1340278901">
    <w:abstractNumId w:val="15"/>
  </w:num>
  <w:num w:numId="6" w16cid:durableId="767391059">
    <w:abstractNumId w:val="14"/>
  </w:num>
  <w:num w:numId="7" w16cid:durableId="1511990860">
    <w:abstractNumId w:val="6"/>
  </w:num>
  <w:num w:numId="8" w16cid:durableId="1932156566">
    <w:abstractNumId w:val="7"/>
  </w:num>
  <w:num w:numId="9" w16cid:durableId="146290115">
    <w:abstractNumId w:val="13"/>
  </w:num>
  <w:num w:numId="10" w16cid:durableId="1093160850">
    <w:abstractNumId w:val="9"/>
  </w:num>
  <w:num w:numId="11" w16cid:durableId="1793788806">
    <w:abstractNumId w:val="3"/>
  </w:num>
  <w:num w:numId="12" w16cid:durableId="522398013">
    <w:abstractNumId w:val="8"/>
  </w:num>
  <w:num w:numId="13" w16cid:durableId="735595315">
    <w:abstractNumId w:val="16"/>
  </w:num>
  <w:num w:numId="14" w16cid:durableId="359821650">
    <w:abstractNumId w:val="0"/>
  </w:num>
  <w:num w:numId="15" w16cid:durableId="1196037495">
    <w:abstractNumId w:val="10"/>
  </w:num>
  <w:num w:numId="16" w16cid:durableId="1877813597">
    <w:abstractNumId w:val="18"/>
  </w:num>
  <w:num w:numId="17" w16cid:durableId="1826512057">
    <w:abstractNumId w:val="4"/>
  </w:num>
  <w:num w:numId="18" w16cid:durableId="1089741412">
    <w:abstractNumId w:val="1"/>
  </w:num>
  <w:num w:numId="19" w16cid:durableId="8114876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EAC"/>
    <w:rsid w:val="00037325"/>
    <w:rsid w:val="00041C79"/>
    <w:rsid w:val="00067F6C"/>
    <w:rsid w:val="000824F8"/>
    <w:rsid w:val="000C76D9"/>
    <w:rsid w:val="000E70CC"/>
    <w:rsid w:val="000F1ACD"/>
    <w:rsid w:val="00131D44"/>
    <w:rsid w:val="00146130"/>
    <w:rsid w:val="001B7032"/>
    <w:rsid w:val="001B710D"/>
    <w:rsid w:val="001D786A"/>
    <w:rsid w:val="001F70A8"/>
    <w:rsid w:val="00200482"/>
    <w:rsid w:val="00234F94"/>
    <w:rsid w:val="002E70B1"/>
    <w:rsid w:val="003146E0"/>
    <w:rsid w:val="00351E3E"/>
    <w:rsid w:val="00375F6A"/>
    <w:rsid w:val="004127FB"/>
    <w:rsid w:val="00437838"/>
    <w:rsid w:val="00442E71"/>
    <w:rsid w:val="004550F3"/>
    <w:rsid w:val="0045765B"/>
    <w:rsid w:val="00492A93"/>
    <w:rsid w:val="004A555D"/>
    <w:rsid w:val="004C45DF"/>
    <w:rsid w:val="004D1738"/>
    <w:rsid w:val="004F2015"/>
    <w:rsid w:val="00505D27"/>
    <w:rsid w:val="00555F18"/>
    <w:rsid w:val="00597796"/>
    <w:rsid w:val="005A3C48"/>
    <w:rsid w:val="005B4D35"/>
    <w:rsid w:val="005B5EB0"/>
    <w:rsid w:val="00622737"/>
    <w:rsid w:val="00662E5A"/>
    <w:rsid w:val="0067276C"/>
    <w:rsid w:val="006819E2"/>
    <w:rsid w:val="006B3296"/>
    <w:rsid w:val="00741359"/>
    <w:rsid w:val="007763B8"/>
    <w:rsid w:val="007F04BA"/>
    <w:rsid w:val="00807871"/>
    <w:rsid w:val="00814E4B"/>
    <w:rsid w:val="00815148"/>
    <w:rsid w:val="00831EEF"/>
    <w:rsid w:val="0084140D"/>
    <w:rsid w:val="00851942"/>
    <w:rsid w:val="008732AE"/>
    <w:rsid w:val="0088247C"/>
    <w:rsid w:val="00882B14"/>
    <w:rsid w:val="008F64FA"/>
    <w:rsid w:val="0090270B"/>
    <w:rsid w:val="009231E4"/>
    <w:rsid w:val="009455CF"/>
    <w:rsid w:val="00950EAC"/>
    <w:rsid w:val="009850F4"/>
    <w:rsid w:val="009F365A"/>
    <w:rsid w:val="00A05D67"/>
    <w:rsid w:val="00A2062A"/>
    <w:rsid w:val="00A211AC"/>
    <w:rsid w:val="00A313B9"/>
    <w:rsid w:val="00AA3641"/>
    <w:rsid w:val="00AB23DA"/>
    <w:rsid w:val="00AF1080"/>
    <w:rsid w:val="00B24F0D"/>
    <w:rsid w:val="00B25E99"/>
    <w:rsid w:val="00B85D99"/>
    <w:rsid w:val="00B91C31"/>
    <w:rsid w:val="00BA41AA"/>
    <w:rsid w:val="00BE07D4"/>
    <w:rsid w:val="00BE2770"/>
    <w:rsid w:val="00C243C7"/>
    <w:rsid w:val="00C35495"/>
    <w:rsid w:val="00C43122"/>
    <w:rsid w:val="00C97B39"/>
    <w:rsid w:val="00CA42B1"/>
    <w:rsid w:val="00CC04CC"/>
    <w:rsid w:val="00D003E2"/>
    <w:rsid w:val="00D01F39"/>
    <w:rsid w:val="00D5180D"/>
    <w:rsid w:val="00D77237"/>
    <w:rsid w:val="00D772E3"/>
    <w:rsid w:val="00DE4398"/>
    <w:rsid w:val="00E12781"/>
    <w:rsid w:val="00E1466E"/>
    <w:rsid w:val="00E17ADE"/>
    <w:rsid w:val="00E735B7"/>
    <w:rsid w:val="00EA6385"/>
    <w:rsid w:val="00F11EE7"/>
    <w:rsid w:val="00F342D2"/>
    <w:rsid w:val="00F51CFE"/>
    <w:rsid w:val="00F6197F"/>
    <w:rsid w:val="00F833F6"/>
    <w:rsid w:val="00FC2443"/>
    <w:rsid w:val="00FE04FF"/>
    <w:rsid w:val="00FE0F32"/>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1405"/>
  <w15:chartTrackingRefBased/>
  <w15:docId w15:val="{9E326D57-DC36-4748-A8BF-1E12D218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EAC"/>
    <w:pPr>
      <w:spacing w:after="200" w:line="276" w:lineRule="auto"/>
    </w:pPr>
    <w:rPr>
      <w:rFonts w:ascii="Calibri" w:eastAsia="Calibri" w:hAnsi="Calibri" w:cs="Calibri"/>
      <w:lang w:val="en"/>
    </w:rPr>
  </w:style>
  <w:style w:type="paragraph" w:styleId="Heading1">
    <w:name w:val="heading 1"/>
    <w:basedOn w:val="Normal"/>
    <w:next w:val="Normal"/>
    <w:link w:val="Heading1Char"/>
    <w:uiPriority w:val="9"/>
    <w:qFormat/>
    <w:rsid w:val="00950EAC"/>
    <w:pPr>
      <w:keepNext/>
      <w:keepLines/>
      <w:spacing w:before="480" w:after="0"/>
      <w:jc w:val="center"/>
      <w:outlineLvl w:val="0"/>
    </w:pPr>
    <w:rPr>
      <w:rFonts w:ascii="Arial" w:eastAsia="Arial" w:hAnsi="Arial" w:cs="Arial"/>
      <w:b/>
      <w:bCs/>
      <w:color w:val="366091"/>
      <w:sz w:val="32"/>
      <w:szCs w:val="32"/>
    </w:rPr>
  </w:style>
  <w:style w:type="paragraph" w:styleId="Heading2">
    <w:name w:val="heading 2"/>
    <w:basedOn w:val="Normal"/>
    <w:next w:val="Normal"/>
    <w:link w:val="Heading2Char"/>
    <w:uiPriority w:val="9"/>
    <w:unhideWhenUsed/>
    <w:qFormat/>
    <w:rsid w:val="00950EAC"/>
    <w:pPr>
      <w:keepNext/>
      <w:keepLines/>
      <w:spacing w:before="200" w:after="0"/>
      <w:outlineLvl w:val="1"/>
    </w:pPr>
    <w:rPr>
      <w:rFonts w:ascii="Arial" w:eastAsia="Arial" w:hAnsi="Arial" w:cs="Arial"/>
      <w:color w:val="000000"/>
      <w:sz w:val="28"/>
      <w:szCs w:val="28"/>
    </w:rPr>
  </w:style>
  <w:style w:type="paragraph" w:styleId="Heading3">
    <w:name w:val="heading 3"/>
    <w:basedOn w:val="Normal"/>
    <w:next w:val="Normal"/>
    <w:link w:val="Heading3Char"/>
    <w:uiPriority w:val="9"/>
    <w:unhideWhenUsed/>
    <w:qFormat/>
    <w:rsid w:val="00B85D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97B39"/>
    <w:pPr>
      <w:keepNext/>
      <w:keepLines/>
      <w:spacing w:before="40" w:after="0" w:line="259" w:lineRule="auto"/>
      <w:outlineLvl w:val="3"/>
    </w:pPr>
    <w:rPr>
      <w:rFonts w:asciiTheme="majorHAnsi" w:eastAsiaTheme="majorEastAsia" w:hAnsiTheme="majorHAnsi" w:cstheme="majorBidi"/>
      <w:i/>
      <w:iCs/>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EAC"/>
    <w:rPr>
      <w:rFonts w:ascii="Arial" w:eastAsia="Arial" w:hAnsi="Arial" w:cs="Arial"/>
      <w:b/>
      <w:bCs/>
      <w:color w:val="366091"/>
      <w:sz w:val="32"/>
      <w:szCs w:val="32"/>
      <w:lang w:val="en"/>
    </w:rPr>
  </w:style>
  <w:style w:type="character" w:customStyle="1" w:styleId="Heading2Char">
    <w:name w:val="Heading 2 Char"/>
    <w:basedOn w:val="DefaultParagraphFont"/>
    <w:link w:val="Heading2"/>
    <w:uiPriority w:val="9"/>
    <w:rsid w:val="00950EAC"/>
    <w:rPr>
      <w:rFonts w:ascii="Arial" w:eastAsia="Arial" w:hAnsi="Arial" w:cs="Arial"/>
      <w:color w:val="000000"/>
      <w:sz w:val="28"/>
      <w:szCs w:val="28"/>
      <w:lang w:val="en"/>
    </w:rPr>
  </w:style>
  <w:style w:type="character" w:customStyle="1" w:styleId="Heading3Char">
    <w:name w:val="Heading 3 Char"/>
    <w:basedOn w:val="DefaultParagraphFont"/>
    <w:link w:val="Heading3"/>
    <w:uiPriority w:val="9"/>
    <w:rsid w:val="00B85D99"/>
    <w:rPr>
      <w:rFonts w:asciiTheme="majorHAnsi" w:eastAsiaTheme="majorEastAsia" w:hAnsiTheme="majorHAnsi" w:cstheme="majorBidi"/>
      <w:color w:val="1F3763" w:themeColor="accent1" w:themeShade="7F"/>
      <w:sz w:val="24"/>
      <w:szCs w:val="24"/>
      <w:lang w:val="en"/>
    </w:rPr>
  </w:style>
  <w:style w:type="character" w:customStyle="1" w:styleId="Heading4Char">
    <w:name w:val="Heading 4 Char"/>
    <w:basedOn w:val="DefaultParagraphFont"/>
    <w:link w:val="Heading4"/>
    <w:uiPriority w:val="9"/>
    <w:semiHidden/>
    <w:rsid w:val="00C97B39"/>
    <w:rPr>
      <w:rFonts w:asciiTheme="majorHAnsi" w:eastAsiaTheme="majorEastAsia" w:hAnsiTheme="majorHAnsi" w:cstheme="majorBidi"/>
      <w:i/>
      <w:iCs/>
      <w:color w:val="2F5496" w:themeColor="accent1" w:themeShade="BF"/>
    </w:rPr>
  </w:style>
  <w:style w:type="paragraph" w:customStyle="1" w:styleId="ds-markdown-paragraph">
    <w:name w:val="ds-markdown-paragraph"/>
    <w:basedOn w:val="Normal"/>
    <w:rsid w:val="00950EA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50EAC"/>
    <w:rPr>
      <w:b/>
      <w:bCs/>
    </w:rPr>
  </w:style>
  <w:style w:type="character" w:customStyle="1" w:styleId="d813de27">
    <w:name w:val="d813de27"/>
    <w:basedOn w:val="DefaultParagraphFont"/>
    <w:rsid w:val="00C97B39"/>
  </w:style>
  <w:style w:type="character" w:customStyle="1" w:styleId="code-info-button-text">
    <w:name w:val="code-info-button-text"/>
    <w:basedOn w:val="DefaultParagraphFont"/>
    <w:rsid w:val="00C97B39"/>
  </w:style>
  <w:style w:type="character" w:customStyle="1" w:styleId="HTMLPreformattedChar">
    <w:name w:val="HTML Preformatted Char"/>
    <w:basedOn w:val="DefaultParagraphFont"/>
    <w:link w:val="HTMLPreformatted"/>
    <w:uiPriority w:val="99"/>
    <w:semiHidden/>
    <w:rsid w:val="00C97B39"/>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C97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styleId="Emphasis">
    <w:name w:val="Emphasis"/>
    <w:basedOn w:val="DefaultParagraphFont"/>
    <w:uiPriority w:val="20"/>
    <w:qFormat/>
    <w:rsid w:val="00C97B39"/>
    <w:rPr>
      <w:i/>
      <w:iCs/>
    </w:rPr>
  </w:style>
  <w:style w:type="paragraph" w:styleId="ListParagraph">
    <w:name w:val="List Paragraph"/>
    <w:basedOn w:val="Normal"/>
    <w:uiPriority w:val="34"/>
    <w:qFormat/>
    <w:rsid w:val="00C97B39"/>
    <w:pPr>
      <w:spacing w:after="160" w:line="259" w:lineRule="auto"/>
      <w:ind w:left="720"/>
      <w:contextualSpacing/>
    </w:pPr>
    <w:rPr>
      <w:rFonts w:asciiTheme="minorHAnsi" w:eastAsiaTheme="minorHAnsi" w:hAnsiTheme="minorHAnsi" w:cstheme="minorBidi"/>
      <w:lang w:val="en-US"/>
    </w:rPr>
  </w:style>
  <w:style w:type="character" w:customStyle="1" w:styleId="katex-mathml">
    <w:name w:val="katex-mathml"/>
    <w:basedOn w:val="DefaultParagraphFont"/>
    <w:rsid w:val="00C97B39"/>
  </w:style>
  <w:style w:type="character" w:customStyle="1" w:styleId="mord">
    <w:name w:val="mord"/>
    <w:basedOn w:val="DefaultParagraphFont"/>
    <w:rsid w:val="00C97B39"/>
  </w:style>
  <w:style w:type="character" w:customStyle="1" w:styleId="mspace">
    <w:name w:val="mspace"/>
    <w:basedOn w:val="DefaultParagraphFont"/>
    <w:rsid w:val="00C97B39"/>
  </w:style>
  <w:style w:type="character" w:customStyle="1" w:styleId="mrel">
    <w:name w:val="mrel"/>
    <w:basedOn w:val="DefaultParagraphFont"/>
    <w:rsid w:val="00C97B39"/>
  </w:style>
  <w:style w:type="character" w:customStyle="1" w:styleId="mbin">
    <w:name w:val="mbin"/>
    <w:basedOn w:val="DefaultParagraphFont"/>
    <w:rsid w:val="00C97B39"/>
  </w:style>
  <w:style w:type="character" w:customStyle="1" w:styleId="mopen">
    <w:name w:val="mopen"/>
    <w:basedOn w:val="DefaultParagraphFont"/>
    <w:rsid w:val="00C97B39"/>
  </w:style>
  <w:style w:type="character" w:customStyle="1" w:styleId="mtight">
    <w:name w:val="mtight"/>
    <w:basedOn w:val="DefaultParagraphFont"/>
    <w:rsid w:val="00C97B39"/>
  </w:style>
  <w:style w:type="character" w:customStyle="1" w:styleId="vlist-s">
    <w:name w:val="vlist-s"/>
    <w:basedOn w:val="DefaultParagraphFont"/>
    <w:rsid w:val="00C97B39"/>
  </w:style>
  <w:style w:type="character" w:customStyle="1" w:styleId="mclose">
    <w:name w:val="mclose"/>
    <w:basedOn w:val="DefaultParagraphFont"/>
    <w:rsid w:val="00C97B39"/>
  </w:style>
  <w:style w:type="character" w:customStyle="1" w:styleId="delimsizing">
    <w:name w:val="delimsizing"/>
    <w:basedOn w:val="DefaultParagraphFont"/>
    <w:rsid w:val="00C97B39"/>
  </w:style>
  <w:style w:type="paragraph" w:styleId="Header">
    <w:name w:val="header"/>
    <w:basedOn w:val="Normal"/>
    <w:link w:val="HeaderChar"/>
    <w:uiPriority w:val="99"/>
    <w:unhideWhenUsed/>
    <w:rsid w:val="00D7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237"/>
    <w:rPr>
      <w:rFonts w:ascii="Calibri" w:eastAsia="Calibri" w:hAnsi="Calibri" w:cs="Calibri"/>
      <w:lang w:val="en"/>
    </w:rPr>
  </w:style>
  <w:style w:type="paragraph" w:styleId="Footer">
    <w:name w:val="footer"/>
    <w:basedOn w:val="Normal"/>
    <w:link w:val="FooterChar"/>
    <w:uiPriority w:val="99"/>
    <w:unhideWhenUsed/>
    <w:rsid w:val="00D7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237"/>
    <w:rPr>
      <w:rFonts w:ascii="Calibri" w:eastAsia="Calibri" w:hAnsi="Calibri" w:cs="Calibri"/>
      <w:lang w:val="e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lang w:val="en"/>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BA41AA"/>
    <w:pPr>
      <w:spacing w:after="100"/>
    </w:pPr>
  </w:style>
  <w:style w:type="paragraph" w:styleId="TOC2">
    <w:name w:val="toc 2"/>
    <w:basedOn w:val="Normal"/>
    <w:next w:val="Normal"/>
    <w:autoRedefine/>
    <w:uiPriority w:val="39"/>
    <w:unhideWhenUsed/>
    <w:rsid w:val="00BA41AA"/>
    <w:pPr>
      <w:spacing w:after="100"/>
      <w:ind w:left="220"/>
    </w:pPr>
  </w:style>
  <w:style w:type="paragraph" w:styleId="TOC3">
    <w:name w:val="toc 3"/>
    <w:basedOn w:val="Normal"/>
    <w:next w:val="Normal"/>
    <w:autoRedefine/>
    <w:uiPriority w:val="39"/>
    <w:unhideWhenUsed/>
    <w:rsid w:val="00BA41AA"/>
    <w:pPr>
      <w:spacing w:after="100"/>
      <w:ind w:left="440"/>
    </w:pPr>
  </w:style>
  <w:style w:type="character" w:styleId="Hyperlink">
    <w:name w:val="Hyperlink"/>
    <w:basedOn w:val="DefaultParagraphFont"/>
    <w:uiPriority w:val="99"/>
    <w:unhideWhenUsed/>
    <w:rsid w:val="00BA41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2434">
      <w:bodyDiv w:val="1"/>
      <w:marLeft w:val="0"/>
      <w:marRight w:val="0"/>
      <w:marTop w:val="0"/>
      <w:marBottom w:val="0"/>
      <w:divBdr>
        <w:top w:val="none" w:sz="0" w:space="0" w:color="auto"/>
        <w:left w:val="none" w:sz="0" w:space="0" w:color="auto"/>
        <w:bottom w:val="none" w:sz="0" w:space="0" w:color="auto"/>
        <w:right w:val="none" w:sz="0" w:space="0" w:color="auto"/>
      </w:divBdr>
    </w:div>
    <w:div w:id="106045799">
      <w:bodyDiv w:val="1"/>
      <w:marLeft w:val="0"/>
      <w:marRight w:val="0"/>
      <w:marTop w:val="0"/>
      <w:marBottom w:val="0"/>
      <w:divBdr>
        <w:top w:val="none" w:sz="0" w:space="0" w:color="auto"/>
        <w:left w:val="none" w:sz="0" w:space="0" w:color="auto"/>
        <w:bottom w:val="none" w:sz="0" w:space="0" w:color="auto"/>
        <w:right w:val="none" w:sz="0" w:space="0" w:color="auto"/>
      </w:divBdr>
    </w:div>
    <w:div w:id="203718089">
      <w:bodyDiv w:val="1"/>
      <w:marLeft w:val="0"/>
      <w:marRight w:val="0"/>
      <w:marTop w:val="0"/>
      <w:marBottom w:val="0"/>
      <w:divBdr>
        <w:top w:val="none" w:sz="0" w:space="0" w:color="auto"/>
        <w:left w:val="none" w:sz="0" w:space="0" w:color="auto"/>
        <w:bottom w:val="none" w:sz="0" w:space="0" w:color="auto"/>
        <w:right w:val="none" w:sz="0" w:space="0" w:color="auto"/>
      </w:divBdr>
    </w:div>
    <w:div w:id="211432481">
      <w:bodyDiv w:val="1"/>
      <w:marLeft w:val="0"/>
      <w:marRight w:val="0"/>
      <w:marTop w:val="0"/>
      <w:marBottom w:val="0"/>
      <w:divBdr>
        <w:top w:val="none" w:sz="0" w:space="0" w:color="auto"/>
        <w:left w:val="none" w:sz="0" w:space="0" w:color="auto"/>
        <w:bottom w:val="none" w:sz="0" w:space="0" w:color="auto"/>
        <w:right w:val="none" w:sz="0" w:space="0" w:color="auto"/>
      </w:divBdr>
      <w:divsChild>
        <w:div w:id="1862626475">
          <w:marLeft w:val="660"/>
          <w:marRight w:val="660"/>
          <w:marTop w:val="0"/>
          <w:marBottom w:val="0"/>
          <w:divBdr>
            <w:top w:val="none" w:sz="0" w:space="0" w:color="auto"/>
            <w:left w:val="none" w:sz="0" w:space="0" w:color="auto"/>
            <w:bottom w:val="none" w:sz="0" w:space="0" w:color="auto"/>
            <w:right w:val="none" w:sz="0" w:space="0" w:color="auto"/>
          </w:divBdr>
          <w:divsChild>
            <w:div w:id="1769230024">
              <w:marLeft w:val="0"/>
              <w:marRight w:val="0"/>
              <w:marTop w:val="0"/>
              <w:marBottom w:val="0"/>
              <w:divBdr>
                <w:top w:val="none" w:sz="0" w:space="0" w:color="auto"/>
                <w:left w:val="none" w:sz="0" w:space="0" w:color="auto"/>
                <w:bottom w:val="none" w:sz="0" w:space="0" w:color="auto"/>
                <w:right w:val="none" w:sz="0" w:space="0" w:color="auto"/>
              </w:divBdr>
              <w:divsChild>
                <w:div w:id="224950677">
                  <w:marLeft w:val="0"/>
                  <w:marRight w:val="0"/>
                  <w:marTop w:val="0"/>
                  <w:marBottom w:val="0"/>
                  <w:divBdr>
                    <w:top w:val="none" w:sz="0" w:space="0" w:color="auto"/>
                    <w:left w:val="none" w:sz="0" w:space="0" w:color="auto"/>
                    <w:bottom w:val="none" w:sz="0" w:space="0" w:color="auto"/>
                    <w:right w:val="none" w:sz="0" w:space="0" w:color="auto"/>
                  </w:divBdr>
                  <w:divsChild>
                    <w:div w:id="1387952554">
                      <w:marLeft w:val="0"/>
                      <w:marRight w:val="0"/>
                      <w:marTop w:val="0"/>
                      <w:marBottom w:val="0"/>
                      <w:divBdr>
                        <w:top w:val="none" w:sz="0" w:space="0" w:color="auto"/>
                        <w:left w:val="none" w:sz="0" w:space="0" w:color="auto"/>
                        <w:bottom w:val="none" w:sz="0" w:space="0" w:color="auto"/>
                        <w:right w:val="none" w:sz="0" w:space="0" w:color="auto"/>
                      </w:divBdr>
                      <w:divsChild>
                        <w:div w:id="16430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029610">
      <w:bodyDiv w:val="1"/>
      <w:marLeft w:val="0"/>
      <w:marRight w:val="0"/>
      <w:marTop w:val="0"/>
      <w:marBottom w:val="0"/>
      <w:divBdr>
        <w:top w:val="none" w:sz="0" w:space="0" w:color="auto"/>
        <w:left w:val="none" w:sz="0" w:space="0" w:color="auto"/>
        <w:bottom w:val="none" w:sz="0" w:space="0" w:color="auto"/>
        <w:right w:val="none" w:sz="0" w:space="0" w:color="auto"/>
      </w:divBdr>
    </w:div>
    <w:div w:id="324747582">
      <w:bodyDiv w:val="1"/>
      <w:marLeft w:val="0"/>
      <w:marRight w:val="0"/>
      <w:marTop w:val="0"/>
      <w:marBottom w:val="0"/>
      <w:divBdr>
        <w:top w:val="none" w:sz="0" w:space="0" w:color="auto"/>
        <w:left w:val="none" w:sz="0" w:space="0" w:color="auto"/>
        <w:bottom w:val="none" w:sz="0" w:space="0" w:color="auto"/>
        <w:right w:val="none" w:sz="0" w:space="0" w:color="auto"/>
      </w:divBdr>
    </w:div>
    <w:div w:id="352463607">
      <w:bodyDiv w:val="1"/>
      <w:marLeft w:val="0"/>
      <w:marRight w:val="0"/>
      <w:marTop w:val="0"/>
      <w:marBottom w:val="0"/>
      <w:divBdr>
        <w:top w:val="none" w:sz="0" w:space="0" w:color="auto"/>
        <w:left w:val="none" w:sz="0" w:space="0" w:color="auto"/>
        <w:bottom w:val="none" w:sz="0" w:space="0" w:color="auto"/>
        <w:right w:val="none" w:sz="0" w:space="0" w:color="auto"/>
      </w:divBdr>
    </w:div>
    <w:div w:id="378550689">
      <w:bodyDiv w:val="1"/>
      <w:marLeft w:val="0"/>
      <w:marRight w:val="0"/>
      <w:marTop w:val="0"/>
      <w:marBottom w:val="0"/>
      <w:divBdr>
        <w:top w:val="none" w:sz="0" w:space="0" w:color="auto"/>
        <w:left w:val="none" w:sz="0" w:space="0" w:color="auto"/>
        <w:bottom w:val="none" w:sz="0" w:space="0" w:color="auto"/>
        <w:right w:val="none" w:sz="0" w:space="0" w:color="auto"/>
      </w:divBdr>
    </w:div>
    <w:div w:id="443155187">
      <w:bodyDiv w:val="1"/>
      <w:marLeft w:val="0"/>
      <w:marRight w:val="0"/>
      <w:marTop w:val="0"/>
      <w:marBottom w:val="0"/>
      <w:divBdr>
        <w:top w:val="none" w:sz="0" w:space="0" w:color="auto"/>
        <w:left w:val="none" w:sz="0" w:space="0" w:color="auto"/>
        <w:bottom w:val="none" w:sz="0" w:space="0" w:color="auto"/>
        <w:right w:val="none" w:sz="0" w:space="0" w:color="auto"/>
      </w:divBdr>
    </w:div>
    <w:div w:id="457339389">
      <w:bodyDiv w:val="1"/>
      <w:marLeft w:val="0"/>
      <w:marRight w:val="0"/>
      <w:marTop w:val="0"/>
      <w:marBottom w:val="0"/>
      <w:divBdr>
        <w:top w:val="none" w:sz="0" w:space="0" w:color="auto"/>
        <w:left w:val="none" w:sz="0" w:space="0" w:color="auto"/>
        <w:bottom w:val="none" w:sz="0" w:space="0" w:color="auto"/>
        <w:right w:val="none" w:sz="0" w:space="0" w:color="auto"/>
      </w:divBdr>
    </w:div>
    <w:div w:id="503864655">
      <w:bodyDiv w:val="1"/>
      <w:marLeft w:val="0"/>
      <w:marRight w:val="0"/>
      <w:marTop w:val="0"/>
      <w:marBottom w:val="0"/>
      <w:divBdr>
        <w:top w:val="none" w:sz="0" w:space="0" w:color="auto"/>
        <w:left w:val="none" w:sz="0" w:space="0" w:color="auto"/>
        <w:bottom w:val="none" w:sz="0" w:space="0" w:color="auto"/>
        <w:right w:val="none" w:sz="0" w:space="0" w:color="auto"/>
      </w:divBdr>
    </w:div>
    <w:div w:id="564611164">
      <w:bodyDiv w:val="1"/>
      <w:marLeft w:val="0"/>
      <w:marRight w:val="0"/>
      <w:marTop w:val="0"/>
      <w:marBottom w:val="0"/>
      <w:divBdr>
        <w:top w:val="none" w:sz="0" w:space="0" w:color="auto"/>
        <w:left w:val="none" w:sz="0" w:space="0" w:color="auto"/>
        <w:bottom w:val="none" w:sz="0" w:space="0" w:color="auto"/>
        <w:right w:val="none" w:sz="0" w:space="0" w:color="auto"/>
      </w:divBdr>
    </w:div>
    <w:div w:id="603341705">
      <w:bodyDiv w:val="1"/>
      <w:marLeft w:val="0"/>
      <w:marRight w:val="0"/>
      <w:marTop w:val="0"/>
      <w:marBottom w:val="0"/>
      <w:divBdr>
        <w:top w:val="none" w:sz="0" w:space="0" w:color="auto"/>
        <w:left w:val="none" w:sz="0" w:space="0" w:color="auto"/>
        <w:bottom w:val="none" w:sz="0" w:space="0" w:color="auto"/>
        <w:right w:val="none" w:sz="0" w:space="0" w:color="auto"/>
      </w:divBdr>
    </w:div>
    <w:div w:id="642662284">
      <w:bodyDiv w:val="1"/>
      <w:marLeft w:val="0"/>
      <w:marRight w:val="0"/>
      <w:marTop w:val="0"/>
      <w:marBottom w:val="0"/>
      <w:divBdr>
        <w:top w:val="none" w:sz="0" w:space="0" w:color="auto"/>
        <w:left w:val="none" w:sz="0" w:space="0" w:color="auto"/>
        <w:bottom w:val="none" w:sz="0" w:space="0" w:color="auto"/>
        <w:right w:val="none" w:sz="0" w:space="0" w:color="auto"/>
      </w:divBdr>
    </w:div>
    <w:div w:id="663776429">
      <w:bodyDiv w:val="1"/>
      <w:marLeft w:val="0"/>
      <w:marRight w:val="0"/>
      <w:marTop w:val="0"/>
      <w:marBottom w:val="0"/>
      <w:divBdr>
        <w:top w:val="none" w:sz="0" w:space="0" w:color="auto"/>
        <w:left w:val="none" w:sz="0" w:space="0" w:color="auto"/>
        <w:bottom w:val="none" w:sz="0" w:space="0" w:color="auto"/>
        <w:right w:val="none" w:sz="0" w:space="0" w:color="auto"/>
      </w:divBdr>
    </w:div>
    <w:div w:id="687758227">
      <w:bodyDiv w:val="1"/>
      <w:marLeft w:val="0"/>
      <w:marRight w:val="0"/>
      <w:marTop w:val="0"/>
      <w:marBottom w:val="0"/>
      <w:divBdr>
        <w:top w:val="none" w:sz="0" w:space="0" w:color="auto"/>
        <w:left w:val="none" w:sz="0" w:space="0" w:color="auto"/>
        <w:bottom w:val="none" w:sz="0" w:space="0" w:color="auto"/>
        <w:right w:val="none" w:sz="0" w:space="0" w:color="auto"/>
      </w:divBdr>
    </w:div>
    <w:div w:id="708995369">
      <w:bodyDiv w:val="1"/>
      <w:marLeft w:val="0"/>
      <w:marRight w:val="0"/>
      <w:marTop w:val="0"/>
      <w:marBottom w:val="0"/>
      <w:divBdr>
        <w:top w:val="none" w:sz="0" w:space="0" w:color="auto"/>
        <w:left w:val="none" w:sz="0" w:space="0" w:color="auto"/>
        <w:bottom w:val="none" w:sz="0" w:space="0" w:color="auto"/>
        <w:right w:val="none" w:sz="0" w:space="0" w:color="auto"/>
      </w:divBdr>
    </w:div>
    <w:div w:id="737436566">
      <w:bodyDiv w:val="1"/>
      <w:marLeft w:val="0"/>
      <w:marRight w:val="0"/>
      <w:marTop w:val="0"/>
      <w:marBottom w:val="0"/>
      <w:divBdr>
        <w:top w:val="none" w:sz="0" w:space="0" w:color="auto"/>
        <w:left w:val="none" w:sz="0" w:space="0" w:color="auto"/>
        <w:bottom w:val="none" w:sz="0" w:space="0" w:color="auto"/>
        <w:right w:val="none" w:sz="0" w:space="0" w:color="auto"/>
      </w:divBdr>
    </w:div>
    <w:div w:id="769542300">
      <w:bodyDiv w:val="1"/>
      <w:marLeft w:val="0"/>
      <w:marRight w:val="0"/>
      <w:marTop w:val="0"/>
      <w:marBottom w:val="0"/>
      <w:divBdr>
        <w:top w:val="none" w:sz="0" w:space="0" w:color="auto"/>
        <w:left w:val="none" w:sz="0" w:space="0" w:color="auto"/>
        <w:bottom w:val="none" w:sz="0" w:space="0" w:color="auto"/>
        <w:right w:val="none" w:sz="0" w:space="0" w:color="auto"/>
      </w:divBdr>
    </w:div>
    <w:div w:id="1018389967">
      <w:bodyDiv w:val="1"/>
      <w:marLeft w:val="0"/>
      <w:marRight w:val="0"/>
      <w:marTop w:val="0"/>
      <w:marBottom w:val="0"/>
      <w:divBdr>
        <w:top w:val="none" w:sz="0" w:space="0" w:color="auto"/>
        <w:left w:val="none" w:sz="0" w:space="0" w:color="auto"/>
        <w:bottom w:val="none" w:sz="0" w:space="0" w:color="auto"/>
        <w:right w:val="none" w:sz="0" w:space="0" w:color="auto"/>
      </w:divBdr>
    </w:div>
    <w:div w:id="1056052577">
      <w:bodyDiv w:val="1"/>
      <w:marLeft w:val="0"/>
      <w:marRight w:val="0"/>
      <w:marTop w:val="0"/>
      <w:marBottom w:val="0"/>
      <w:divBdr>
        <w:top w:val="none" w:sz="0" w:space="0" w:color="auto"/>
        <w:left w:val="none" w:sz="0" w:space="0" w:color="auto"/>
        <w:bottom w:val="none" w:sz="0" w:space="0" w:color="auto"/>
        <w:right w:val="none" w:sz="0" w:space="0" w:color="auto"/>
      </w:divBdr>
    </w:div>
    <w:div w:id="1075397523">
      <w:bodyDiv w:val="1"/>
      <w:marLeft w:val="0"/>
      <w:marRight w:val="0"/>
      <w:marTop w:val="0"/>
      <w:marBottom w:val="0"/>
      <w:divBdr>
        <w:top w:val="none" w:sz="0" w:space="0" w:color="auto"/>
        <w:left w:val="none" w:sz="0" w:space="0" w:color="auto"/>
        <w:bottom w:val="none" w:sz="0" w:space="0" w:color="auto"/>
        <w:right w:val="none" w:sz="0" w:space="0" w:color="auto"/>
      </w:divBdr>
    </w:div>
    <w:div w:id="1137452671">
      <w:bodyDiv w:val="1"/>
      <w:marLeft w:val="0"/>
      <w:marRight w:val="0"/>
      <w:marTop w:val="0"/>
      <w:marBottom w:val="0"/>
      <w:divBdr>
        <w:top w:val="none" w:sz="0" w:space="0" w:color="auto"/>
        <w:left w:val="none" w:sz="0" w:space="0" w:color="auto"/>
        <w:bottom w:val="none" w:sz="0" w:space="0" w:color="auto"/>
        <w:right w:val="none" w:sz="0" w:space="0" w:color="auto"/>
      </w:divBdr>
    </w:div>
    <w:div w:id="1173296968">
      <w:bodyDiv w:val="1"/>
      <w:marLeft w:val="0"/>
      <w:marRight w:val="0"/>
      <w:marTop w:val="0"/>
      <w:marBottom w:val="0"/>
      <w:divBdr>
        <w:top w:val="none" w:sz="0" w:space="0" w:color="auto"/>
        <w:left w:val="none" w:sz="0" w:space="0" w:color="auto"/>
        <w:bottom w:val="none" w:sz="0" w:space="0" w:color="auto"/>
        <w:right w:val="none" w:sz="0" w:space="0" w:color="auto"/>
      </w:divBdr>
    </w:div>
    <w:div w:id="1179464358">
      <w:bodyDiv w:val="1"/>
      <w:marLeft w:val="0"/>
      <w:marRight w:val="0"/>
      <w:marTop w:val="0"/>
      <w:marBottom w:val="0"/>
      <w:divBdr>
        <w:top w:val="none" w:sz="0" w:space="0" w:color="auto"/>
        <w:left w:val="none" w:sz="0" w:space="0" w:color="auto"/>
        <w:bottom w:val="none" w:sz="0" w:space="0" w:color="auto"/>
        <w:right w:val="none" w:sz="0" w:space="0" w:color="auto"/>
      </w:divBdr>
    </w:div>
    <w:div w:id="1204974995">
      <w:bodyDiv w:val="1"/>
      <w:marLeft w:val="0"/>
      <w:marRight w:val="0"/>
      <w:marTop w:val="0"/>
      <w:marBottom w:val="0"/>
      <w:divBdr>
        <w:top w:val="none" w:sz="0" w:space="0" w:color="auto"/>
        <w:left w:val="none" w:sz="0" w:space="0" w:color="auto"/>
        <w:bottom w:val="none" w:sz="0" w:space="0" w:color="auto"/>
        <w:right w:val="none" w:sz="0" w:space="0" w:color="auto"/>
      </w:divBdr>
    </w:div>
    <w:div w:id="1318193242">
      <w:bodyDiv w:val="1"/>
      <w:marLeft w:val="0"/>
      <w:marRight w:val="0"/>
      <w:marTop w:val="0"/>
      <w:marBottom w:val="0"/>
      <w:divBdr>
        <w:top w:val="none" w:sz="0" w:space="0" w:color="auto"/>
        <w:left w:val="none" w:sz="0" w:space="0" w:color="auto"/>
        <w:bottom w:val="none" w:sz="0" w:space="0" w:color="auto"/>
        <w:right w:val="none" w:sz="0" w:space="0" w:color="auto"/>
      </w:divBdr>
    </w:div>
    <w:div w:id="1465807482">
      <w:bodyDiv w:val="1"/>
      <w:marLeft w:val="0"/>
      <w:marRight w:val="0"/>
      <w:marTop w:val="0"/>
      <w:marBottom w:val="0"/>
      <w:divBdr>
        <w:top w:val="none" w:sz="0" w:space="0" w:color="auto"/>
        <w:left w:val="none" w:sz="0" w:space="0" w:color="auto"/>
        <w:bottom w:val="none" w:sz="0" w:space="0" w:color="auto"/>
        <w:right w:val="none" w:sz="0" w:space="0" w:color="auto"/>
      </w:divBdr>
    </w:div>
    <w:div w:id="1488743700">
      <w:bodyDiv w:val="1"/>
      <w:marLeft w:val="0"/>
      <w:marRight w:val="0"/>
      <w:marTop w:val="0"/>
      <w:marBottom w:val="0"/>
      <w:divBdr>
        <w:top w:val="none" w:sz="0" w:space="0" w:color="auto"/>
        <w:left w:val="none" w:sz="0" w:space="0" w:color="auto"/>
        <w:bottom w:val="none" w:sz="0" w:space="0" w:color="auto"/>
        <w:right w:val="none" w:sz="0" w:space="0" w:color="auto"/>
      </w:divBdr>
    </w:div>
    <w:div w:id="1615594362">
      <w:bodyDiv w:val="1"/>
      <w:marLeft w:val="0"/>
      <w:marRight w:val="0"/>
      <w:marTop w:val="0"/>
      <w:marBottom w:val="0"/>
      <w:divBdr>
        <w:top w:val="none" w:sz="0" w:space="0" w:color="auto"/>
        <w:left w:val="none" w:sz="0" w:space="0" w:color="auto"/>
        <w:bottom w:val="none" w:sz="0" w:space="0" w:color="auto"/>
        <w:right w:val="none" w:sz="0" w:space="0" w:color="auto"/>
      </w:divBdr>
    </w:div>
    <w:div w:id="1753503458">
      <w:bodyDiv w:val="1"/>
      <w:marLeft w:val="0"/>
      <w:marRight w:val="0"/>
      <w:marTop w:val="0"/>
      <w:marBottom w:val="0"/>
      <w:divBdr>
        <w:top w:val="none" w:sz="0" w:space="0" w:color="auto"/>
        <w:left w:val="none" w:sz="0" w:space="0" w:color="auto"/>
        <w:bottom w:val="none" w:sz="0" w:space="0" w:color="auto"/>
        <w:right w:val="none" w:sz="0" w:space="0" w:color="auto"/>
      </w:divBdr>
    </w:div>
    <w:div w:id="1776439051">
      <w:bodyDiv w:val="1"/>
      <w:marLeft w:val="0"/>
      <w:marRight w:val="0"/>
      <w:marTop w:val="0"/>
      <w:marBottom w:val="0"/>
      <w:divBdr>
        <w:top w:val="none" w:sz="0" w:space="0" w:color="auto"/>
        <w:left w:val="none" w:sz="0" w:space="0" w:color="auto"/>
        <w:bottom w:val="none" w:sz="0" w:space="0" w:color="auto"/>
        <w:right w:val="none" w:sz="0" w:space="0" w:color="auto"/>
      </w:divBdr>
      <w:divsChild>
        <w:div w:id="477189567">
          <w:marLeft w:val="0"/>
          <w:marRight w:val="0"/>
          <w:marTop w:val="0"/>
          <w:marBottom w:val="0"/>
          <w:divBdr>
            <w:top w:val="none" w:sz="0" w:space="0" w:color="auto"/>
            <w:left w:val="none" w:sz="0" w:space="0" w:color="auto"/>
            <w:bottom w:val="none" w:sz="0" w:space="0" w:color="auto"/>
            <w:right w:val="none" w:sz="0" w:space="0" w:color="auto"/>
          </w:divBdr>
        </w:div>
        <w:div w:id="1426611226">
          <w:marLeft w:val="0"/>
          <w:marRight w:val="0"/>
          <w:marTop w:val="0"/>
          <w:marBottom w:val="0"/>
          <w:divBdr>
            <w:top w:val="none" w:sz="0" w:space="0" w:color="auto"/>
            <w:left w:val="none" w:sz="0" w:space="0" w:color="auto"/>
            <w:bottom w:val="none" w:sz="0" w:space="0" w:color="auto"/>
            <w:right w:val="none" w:sz="0" w:space="0" w:color="auto"/>
          </w:divBdr>
        </w:div>
        <w:div w:id="1078090766">
          <w:marLeft w:val="0"/>
          <w:marRight w:val="0"/>
          <w:marTop w:val="0"/>
          <w:marBottom w:val="0"/>
          <w:divBdr>
            <w:top w:val="none" w:sz="0" w:space="0" w:color="auto"/>
            <w:left w:val="none" w:sz="0" w:space="0" w:color="auto"/>
            <w:bottom w:val="none" w:sz="0" w:space="0" w:color="auto"/>
            <w:right w:val="none" w:sz="0" w:space="0" w:color="auto"/>
          </w:divBdr>
        </w:div>
        <w:div w:id="530000843">
          <w:marLeft w:val="0"/>
          <w:marRight w:val="0"/>
          <w:marTop w:val="0"/>
          <w:marBottom w:val="0"/>
          <w:divBdr>
            <w:top w:val="none" w:sz="0" w:space="0" w:color="auto"/>
            <w:left w:val="none" w:sz="0" w:space="0" w:color="auto"/>
            <w:bottom w:val="none" w:sz="0" w:space="0" w:color="auto"/>
            <w:right w:val="none" w:sz="0" w:space="0" w:color="auto"/>
          </w:divBdr>
        </w:div>
        <w:div w:id="1103454040">
          <w:marLeft w:val="0"/>
          <w:marRight w:val="0"/>
          <w:marTop w:val="0"/>
          <w:marBottom w:val="0"/>
          <w:divBdr>
            <w:top w:val="none" w:sz="0" w:space="0" w:color="auto"/>
            <w:left w:val="none" w:sz="0" w:space="0" w:color="auto"/>
            <w:bottom w:val="none" w:sz="0" w:space="0" w:color="auto"/>
            <w:right w:val="none" w:sz="0" w:space="0" w:color="auto"/>
          </w:divBdr>
        </w:div>
        <w:div w:id="1703051216">
          <w:marLeft w:val="0"/>
          <w:marRight w:val="0"/>
          <w:marTop w:val="0"/>
          <w:marBottom w:val="0"/>
          <w:divBdr>
            <w:top w:val="none" w:sz="0" w:space="0" w:color="auto"/>
            <w:left w:val="none" w:sz="0" w:space="0" w:color="auto"/>
            <w:bottom w:val="none" w:sz="0" w:space="0" w:color="auto"/>
            <w:right w:val="none" w:sz="0" w:space="0" w:color="auto"/>
          </w:divBdr>
        </w:div>
        <w:div w:id="883442462">
          <w:marLeft w:val="0"/>
          <w:marRight w:val="0"/>
          <w:marTop w:val="0"/>
          <w:marBottom w:val="0"/>
          <w:divBdr>
            <w:top w:val="none" w:sz="0" w:space="0" w:color="auto"/>
            <w:left w:val="none" w:sz="0" w:space="0" w:color="auto"/>
            <w:bottom w:val="none" w:sz="0" w:space="0" w:color="auto"/>
            <w:right w:val="none" w:sz="0" w:space="0" w:color="auto"/>
          </w:divBdr>
        </w:div>
      </w:divsChild>
    </w:div>
    <w:div w:id="1786385353">
      <w:bodyDiv w:val="1"/>
      <w:marLeft w:val="0"/>
      <w:marRight w:val="0"/>
      <w:marTop w:val="0"/>
      <w:marBottom w:val="0"/>
      <w:divBdr>
        <w:top w:val="none" w:sz="0" w:space="0" w:color="auto"/>
        <w:left w:val="none" w:sz="0" w:space="0" w:color="auto"/>
        <w:bottom w:val="none" w:sz="0" w:space="0" w:color="auto"/>
        <w:right w:val="none" w:sz="0" w:space="0" w:color="auto"/>
      </w:divBdr>
    </w:div>
    <w:div w:id="1799954180">
      <w:bodyDiv w:val="1"/>
      <w:marLeft w:val="0"/>
      <w:marRight w:val="0"/>
      <w:marTop w:val="0"/>
      <w:marBottom w:val="0"/>
      <w:divBdr>
        <w:top w:val="none" w:sz="0" w:space="0" w:color="auto"/>
        <w:left w:val="none" w:sz="0" w:space="0" w:color="auto"/>
        <w:bottom w:val="none" w:sz="0" w:space="0" w:color="auto"/>
        <w:right w:val="none" w:sz="0" w:space="0" w:color="auto"/>
      </w:divBdr>
    </w:div>
    <w:div w:id="1814174383">
      <w:bodyDiv w:val="1"/>
      <w:marLeft w:val="0"/>
      <w:marRight w:val="0"/>
      <w:marTop w:val="0"/>
      <w:marBottom w:val="0"/>
      <w:divBdr>
        <w:top w:val="none" w:sz="0" w:space="0" w:color="auto"/>
        <w:left w:val="none" w:sz="0" w:space="0" w:color="auto"/>
        <w:bottom w:val="none" w:sz="0" w:space="0" w:color="auto"/>
        <w:right w:val="none" w:sz="0" w:space="0" w:color="auto"/>
      </w:divBdr>
    </w:div>
    <w:div w:id="1842812432">
      <w:bodyDiv w:val="1"/>
      <w:marLeft w:val="0"/>
      <w:marRight w:val="0"/>
      <w:marTop w:val="0"/>
      <w:marBottom w:val="0"/>
      <w:divBdr>
        <w:top w:val="none" w:sz="0" w:space="0" w:color="auto"/>
        <w:left w:val="none" w:sz="0" w:space="0" w:color="auto"/>
        <w:bottom w:val="none" w:sz="0" w:space="0" w:color="auto"/>
        <w:right w:val="none" w:sz="0" w:space="0" w:color="auto"/>
      </w:divBdr>
    </w:div>
    <w:div w:id="1866363904">
      <w:bodyDiv w:val="1"/>
      <w:marLeft w:val="0"/>
      <w:marRight w:val="0"/>
      <w:marTop w:val="0"/>
      <w:marBottom w:val="0"/>
      <w:divBdr>
        <w:top w:val="none" w:sz="0" w:space="0" w:color="auto"/>
        <w:left w:val="none" w:sz="0" w:space="0" w:color="auto"/>
        <w:bottom w:val="none" w:sz="0" w:space="0" w:color="auto"/>
        <w:right w:val="none" w:sz="0" w:space="0" w:color="auto"/>
      </w:divBdr>
    </w:div>
    <w:div w:id="1903366107">
      <w:bodyDiv w:val="1"/>
      <w:marLeft w:val="0"/>
      <w:marRight w:val="0"/>
      <w:marTop w:val="0"/>
      <w:marBottom w:val="0"/>
      <w:divBdr>
        <w:top w:val="none" w:sz="0" w:space="0" w:color="auto"/>
        <w:left w:val="none" w:sz="0" w:space="0" w:color="auto"/>
        <w:bottom w:val="none" w:sz="0" w:space="0" w:color="auto"/>
        <w:right w:val="none" w:sz="0" w:space="0" w:color="auto"/>
      </w:divBdr>
    </w:div>
    <w:div w:id="1926376463">
      <w:bodyDiv w:val="1"/>
      <w:marLeft w:val="0"/>
      <w:marRight w:val="0"/>
      <w:marTop w:val="0"/>
      <w:marBottom w:val="0"/>
      <w:divBdr>
        <w:top w:val="none" w:sz="0" w:space="0" w:color="auto"/>
        <w:left w:val="none" w:sz="0" w:space="0" w:color="auto"/>
        <w:bottom w:val="none" w:sz="0" w:space="0" w:color="auto"/>
        <w:right w:val="none" w:sz="0" w:space="0" w:color="auto"/>
      </w:divBdr>
    </w:div>
    <w:div w:id="1958028590">
      <w:bodyDiv w:val="1"/>
      <w:marLeft w:val="0"/>
      <w:marRight w:val="0"/>
      <w:marTop w:val="0"/>
      <w:marBottom w:val="0"/>
      <w:divBdr>
        <w:top w:val="none" w:sz="0" w:space="0" w:color="auto"/>
        <w:left w:val="none" w:sz="0" w:space="0" w:color="auto"/>
        <w:bottom w:val="none" w:sz="0" w:space="0" w:color="auto"/>
        <w:right w:val="none" w:sz="0" w:space="0" w:color="auto"/>
      </w:divBdr>
    </w:div>
    <w:div w:id="1998416743">
      <w:bodyDiv w:val="1"/>
      <w:marLeft w:val="0"/>
      <w:marRight w:val="0"/>
      <w:marTop w:val="0"/>
      <w:marBottom w:val="0"/>
      <w:divBdr>
        <w:top w:val="none" w:sz="0" w:space="0" w:color="auto"/>
        <w:left w:val="none" w:sz="0" w:space="0" w:color="auto"/>
        <w:bottom w:val="none" w:sz="0" w:space="0" w:color="auto"/>
        <w:right w:val="none" w:sz="0" w:space="0" w:color="auto"/>
      </w:divBdr>
      <w:divsChild>
        <w:div w:id="1776437507">
          <w:marLeft w:val="0"/>
          <w:marRight w:val="0"/>
          <w:marTop w:val="0"/>
          <w:marBottom w:val="0"/>
          <w:divBdr>
            <w:top w:val="none" w:sz="0" w:space="0" w:color="auto"/>
            <w:left w:val="none" w:sz="0" w:space="0" w:color="auto"/>
            <w:bottom w:val="none" w:sz="0" w:space="0" w:color="auto"/>
            <w:right w:val="none" w:sz="0" w:space="0" w:color="auto"/>
          </w:divBdr>
        </w:div>
        <w:div w:id="984547495">
          <w:marLeft w:val="0"/>
          <w:marRight w:val="0"/>
          <w:marTop w:val="0"/>
          <w:marBottom w:val="0"/>
          <w:divBdr>
            <w:top w:val="none" w:sz="0" w:space="0" w:color="auto"/>
            <w:left w:val="none" w:sz="0" w:space="0" w:color="auto"/>
            <w:bottom w:val="none" w:sz="0" w:space="0" w:color="auto"/>
            <w:right w:val="none" w:sz="0" w:space="0" w:color="auto"/>
          </w:divBdr>
        </w:div>
        <w:div w:id="138697234">
          <w:marLeft w:val="0"/>
          <w:marRight w:val="0"/>
          <w:marTop w:val="0"/>
          <w:marBottom w:val="0"/>
          <w:divBdr>
            <w:top w:val="none" w:sz="0" w:space="0" w:color="auto"/>
            <w:left w:val="none" w:sz="0" w:space="0" w:color="auto"/>
            <w:bottom w:val="none" w:sz="0" w:space="0" w:color="auto"/>
            <w:right w:val="none" w:sz="0" w:space="0" w:color="auto"/>
          </w:divBdr>
        </w:div>
        <w:div w:id="512957126">
          <w:marLeft w:val="0"/>
          <w:marRight w:val="0"/>
          <w:marTop w:val="0"/>
          <w:marBottom w:val="0"/>
          <w:divBdr>
            <w:top w:val="none" w:sz="0" w:space="0" w:color="auto"/>
            <w:left w:val="none" w:sz="0" w:space="0" w:color="auto"/>
            <w:bottom w:val="none" w:sz="0" w:space="0" w:color="auto"/>
            <w:right w:val="none" w:sz="0" w:space="0" w:color="auto"/>
          </w:divBdr>
        </w:div>
        <w:div w:id="1224678438">
          <w:marLeft w:val="0"/>
          <w:marRight w:val="0"/>
          <w:marTop w:val="0"/>
          <w:marBottom w:val="0"/>
          <w:divBdr>
            <w:top w:val="none" w:sz="0" w:space="0" w:color="auto"/>
            <w:left w:val="none" w:sz="0" w:space="0" w:color="auto"/>
            <w:bottom w:val="none" w:sz="0" w:space="0" w:color="auto"/>
            <w:right w:val="none" w:sz="0" w:space="0" w:color="auto"/>
          </w:divBdr>
        </w:div>
      </w:divsChild>
    </w:div>
    <w:div w:id="2051027394">
      <w:bodyDiv w:val="1"/>
      <w:marLeft w:val="0"/>
      <w:marRight w:val="0"/>
      <w:marTop w:val="0"/>
      <w:marBottom w:val="0"/>
      <w:divBdr>
        <w:top w:val="none" w:sz="0" w:space="0" w:color="auto"/>
        <w:left w:val="none" w:sz="0" w:space="0" w:color="auto"/>
        <w:bottom w:val="none" w:sz="0" w:space="0" w:color="auto"/>
        <w:right w:val="none" w:sz="0" w:space="0" w:color="auto"/>
      </w:divBdr>
    </w:div>
    <w:div w:id="2078894986">
      <w:bodyDiv w:val="1"/>
      <w:marLeft w:val="0"/>
      <w:marRight w:val="0"/>
      <w:marTop w:val="0"/>
      <w:marBottom w:val="0"/>
      <w:divBdr>
        <w:top w:val="none" w:sz="0" w:space="0" w:color="auto"/>
        <w:left w:val="none" w:sz="0" w:space="0" w:color="auto"/>
        <w:bottom w:val="none" w:sz="0" w:space="0" w:color="auto"/>
        <w:right w:val="none" w:sz="0" w:space="0" w:color="auto"/>
      </w:divBdr>
    </w:div>
    <w:div w:id="211828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EDB05-9567-4B92-B455-8138634A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66</Pages>
  <Words>12637</Words>
  <Characters>72035</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Tahmid</dc:creator>
  <cp:keywords/>
  <dc:description/>
  <cp:lastModifiedBy>Muhammad Enamul Haque</cp:lastModifiedBy>
  <cp:revision>50</cp:revision>
  <dcterms:created xsi:type="dcterms:W3CDTF">2026-07-22T04:46:00Z</dcterms:created>
  <dcterms:modified xsi:type="dcterms:W3CDTF">2026-08-04T13:40:00Z</dcterms:modified>
</cp:coreProperties>
</file>