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BE9" w:rsidRDefault="00CC4D20">
      <w:bookmarkStart w:id="0" w:name="_GoBack"/>
      <w:bookmarkEnd w:id="0"/>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14215" cy="1477645"/>
            <wp:effectExtent l="0" t="0" r="1270" b="0"/>
            <wp:wrapSquare wrapText="bothSides"/>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513921" cy="1477704"/>
                    </a:xfrm>
                    <a:prstGeom prst="rect">
                      <a:avLst/>
                    </a:prstGeom>
                  </pic:spPr>
                </pic:pic>
              </a:graphicData>
            </a:graphic>
          </wp:anchor>
        </w:drawing>
      </w:r>
    </w:p>
    <w:p w:rsidR="00831BE9" w:rsidRDefault="00CC4D20">
      <w:pPr>
        <w:rPr>
          <w:rFonts w:ascii="Times New Roman" w:hAnsi="Times New Roman" w:cs="Times New Roman"/>
          <w:szCs w:val="24"/>
        </w:rPr>
      </w:pPr>
      <w:r>
        <w:rPr>
          <w:rFonts w:ascii="Times New Roman" w:hAnsi="Times New Roman" w:cs="Times New Roman"/>
          <w:szCs w:val="24"/>
        </w:rPr>
        <w:br w:type="textWrapping" w:clear="all"/>
      </w:r>
    </w:p>
    <w:p w:rsidR="00831BE9" w:rsidRDefault="00CC4D20">
      <w:pPr>
        <w:autoSpaceDE w:val="0"/>
        <w:autoSpaceDN w:val="0"/>
        <w:adjustRightInd w:val="0"/>
        <w:jc w:val="center"/>
        <w:rPr>
          <w:rFonts w:cs="Arial"/>
          <w:b/>
          <w:bCs/>
          <w:szCs w:val="24"/>
        </w:rPr>
      </w:pPr>
      <w:r>
        <w:rPr>
          <w:rFonts w:cs="Arial"/>
          <w:b/>
          <w:bCs/>
          <w:szCs w:val="24"/>
        </w:rPr>
        <w:t>Project Report</w:t>
      </w:r>
    </w:p>
    <w:p w:rsidR="00831BE9" w:rsidRDefault="00CC4D20">
      <w:pPr>
        <w:autoSpaceDE w:val="0"/>
        <w:autoSpaceDN w:val="0"/>
        <w:adjustRightInd w:val="0"/>
        <w:jc w:val="center"/>
        <w:rPr>
          <w:rFonts w:cs="Arial"/>
          <w:b/>
          <w:bCs/>
          <w:szCs w:val="24"/>
        </w:rPr>
      </w:pPr>
      <w:r>
        <w:rPr>
          <w:rFonts w:cs="Arial"/>
          <w:bCs/>
          <w:szCs w:val="24"/>
        </w:rPr>
        <w:t>On</w:t>
      </w:r>
    </w:p>
    <w:p w:rsidR="00831BE9" w:rsidRDefault="00CC4D20">
      <w:pPr>
        <w:autoSpaceDE w:val="0"/>
        <w:autoSpaceDN w:val="0"/>
        <w:adjustRightInd w:val="0"/>
        <w:jc w:val="center"/>
        <w:rPr>
          <w:rFonts w:cs="Arial"/>
          <w:b/>
          <w:bCs/>
          <w:szCs w:val="24"/>
        </w:rPr>
      </w:pPr>
      <w:r>
        <w:rPr>
          <w:rFonts w:cs="Arial"/>
          <w:b/>
          <w:bCs/>
          <w:szCs w:val="24"/>
        </w:rPr>
        <w:t>Credit risk management of commercial Banks in Bangladesh</w:t>
      </w:r>
    </w:p>
    <w:p w:rsidR="00831BE9" w:rsidRDefault="00831BE9">
      <w:pPr>
        <w:autoSpaceDE w:val="0"/>
        <w:autoSpaceDN w:val="0"/>
        <w:adjustRightInd w:val="0"/>
        <w:jc w:val="center"/>
        <w:rPr>
          <w:rFonts w:cs="Arial"/>
          <w:b/>
          <w:bCs/>
          <w:szCs w:val="24"/>
        </w:rPr>
      </w:pPr>
    </w:p>
    <w:p w:rsidR="00831BE9" w:rsidRDefault="00831BE9">
      <w:pPr>
        <w:jc w:val="center"/>
        <w:rPr>
          <w:rFonts w:cs="Arial"/>
          <w:b/>
          <w:szCs w:val="24"/>
          <w:u w:val="single"/>
        </w:rPr>
      </w:pPr>
    </w:p>
    <w:p w:rsidR="00831BE9" w:rsidRDefault="00CC4D20">
      <w:pPr>
        <w:jc w:val="center"/>
        <w:rPr>
          <w:rFonts w:cs="Arial"/>
          <w:b/>
          <w:szCs w:val="24"/>
        </w:rPr>
      </w:pPr>
      <w:r>
        <w:rPr>
          <w:rFonts w:eastAsia="Calibri" w:cs="Arial"/>
          <w:b/>
          <w:szCs w:val="24"/>
        </w:rPr>
        <w:t>Submitted To</w:t>
      </w:r>
    </w:p>
    <w:p w:rsidR="00831BE9" w:rsidRDefault="00CC4D20">
      <w:pPr>
        <w:jc w:val="center"/>
        <w:rPr>
          <w:rFonts w:cs="Arial"/>
          <w:color w:val="000000" w:themeColor="text1"/>
          <w:szCs w:val="24"/>
        </w:rPr>
      </w:pPr>
      <w:r>
        <w:rPr>
          <w:rFonts w:cs="Arial"/>
          <w:color w:val="000000" w:themeColor="text1"/>
          <w:szCs w:val="24"/>
        </w:rPr>
        <w:t xml:space="preserve">Mr. </w:t>
      </w:r>
      <w:proofErr w:type="spellStart"/>
      <w:r>
        <w:rPr>
          <w:rFonts w:cs="Arial"/>
          <w:color w:val="000000" w:themeColor="text1"/>
          <w:szCs w:val="24"/>
        </w:rPr>
        <w:t>Rana</w:t>
      </w:r>
      <w:proofErr w:type="spellEnd"/>
      <w:r>
        <w:rPr>
          <w:rFonts w:cs="Arial"/>
          <w:color w:val="000000" w:themeColor="text1"/>
          <w:szCs w:val="24"/>
        </w:rPr>
        <w:t xml:space="preserve"> </w:t>
      </w:r>
      <w:proofErr w:type="spellStart"/>
      <w:r>
        <w:rPr>
          <w:rFonts w:cs="Arial"/>
          <w:color w:val="000000" w:themeColor="text1"/>
          <w:szCs w:val="24"/>
        </w:rPr>
        <w:t>Mazumder</w:t>
      </w:r>
      <w:proofErr w:type="spellEnd"/>
      <w:r>
        <w:rPr>
          <w:rFonts w:cs="Arial"/>
          <w:color w:val="000000" w:themeColor="text1"/>
          <w:szCs w:val="24"/>
        </w:rPr>
        <w:br/>
        <w:t xml:space="preserve">Assistant professor </w:t>
      </w:r>
      <w:r>
        <w:rPr>
          <w:rFonts w:cs="Arial"/>
          <w:color w:val="000000" w:themeColor="text1"/>
          <w:szCs w:val="24"/>
        </w:rPr>
        <w:br/>
        <w:t>School of Business and Economics</w:t>
      </w:r>
      <w:r>
        <w:rPr>
          <w:rFonts w:cs="Arial"/>
          <w:color w:val="000000" w:themeColor="text1"/>
          <w:szCs w:val="24"/>
        </w:rPr>
        <w:br/>
        <w:t>United International University</w:t>
      </w:r>
    </w:p>
    <w:p w:rsidR="00831BE9" w:rsidRDefault="00831BE9">
      <w:pPr>
        <w:jc w:val="center"/>
        <w:rPr>
          <w:rFonts w:cs="Arial"/>
          <w:szCs w:val="24"/>
        </w:rPr>
      </w:pPr>
    </w:p>
    <w:p w:rsidR="00831BE9" w:rsidRDefault="00831BE9">
      <w:pPr>
        <w:jc w:val="center"/>
        <w:rPr>
          <w:rFonts w:cs="Arial"/>
          <w:szCs w:val="24"/>
        </w:rPr>
      </w:pPr>
    </w:p>
    <w:p w:rsidR="00831BE9" w:rsidRDefault="00CC4D20">
      <w:pPr>
        <w:autoSpaceDE w:val="0"/>
        <w:autoSpaceDN w:val="0"/>
        <w:adjustRightInd w:val="0"/>
        <w:jc w:val="center"/>
        <w:rPr>
          <w:rFonts w:cs="Arial"/>
          <w:b/>
          <w:bCs/>
          <w:szCs w:val="24"/>
        </w:rPr>
      </w:pPr>
      <w:r>
        <w:rPr>
          <w:rFonts w:cs="Arial"/>
          <w:b/>
          <w:bCs/>
          <w:szCs w:val="24"/>
        </w:rPr>
        <w:t>Submitted By</w:t>
      </w:r>
    </w:p>
    <w:p w:rsidR="00831BE9" w:rsidRDefault="00CC4D20">
      <w:pPr>
        <w:autoSpaceDE w:val="0"/>
        <w:autoSpaceDN w:val="0"/>
        <w:adjustRightInd w:val="0"/>
        <w:jc w:val="center"/>
        <w:rPr>
          <w:rFonts w:cs="Arial"/>
          <w:b/>
          <w:bCs/>
          <w:szCs w:val="24"/>
        </w:rPr>
      </w:pPr>
      <w:proofErr w:type="spellStart"/>
      <w:r>
        <w:rPr>
          <w:rFonts w:cs="Arial"/>
          <w:bCs/>
          <w:szCs w:val="24"/>
        </w:rPr>
        <w:t>Dipa</w:t>
      </w:r>
      <w:proofErr w:type="spellEnd"/>
      <w:r>
        <w:rPr>
          <w:rFonts w:cs="Arial"/>
          <w:bCs/>
          <w:szCs w:val="24"/>
        </w:rPr>
        <w:t xml:space="preserve"> Rani </w:t>
      </w:r>
      <w:proofErr w:type="spellStart"/>
      <w:r>
        <w:rPr>
          <w:rFonts w:cs="Arial"/>
          <w:bCs/>
          <w:szCs w:val="24"/>
        </w:rPr>
        <w:t>Saha</w:t>
      </w:r>
      <w:proofErr w:type="spellEnd"/>
      <w:r>
        <w:rPr>
          <w:rFonts w:cs="Arial"/>
          <w:color w:val="000000"/>
          <w:szCs w:val="24"/>
        </w:rPr>
        <w:br/>
        <w:t>ID- 111 161220</w:t>
      </w:r>
      <w:r>
        <w:rPr>
          <w:rFonts w:cs="Arial"/>
          <w:color w:val="000000"/>
          <w:szCs w:val="24"/>
        </w:rPr>
        <w:br/>
        <w:t>BBA Program</w:t>
      </w:r>
      <w:r>
        <w:rPr>
          <w:rFonts w:cs="Arial"/>
          <w:color w:val="000000"/>
          <w:szCs w:val="24"/>
        </w:rPr>
        <w:br/>
      </w:r>
      <w:r>
        <w:rPr>
          <w:rFonts w:cs="Arial"/>
          <w:color w:val="000000"/>
          <w:szCs w:val="24"/>
        </w:rPr>
        <w:t>United International University</w:t>
      </w:r>
    </w:p>
    <w:p w:rsidR="00831BE9" w:rsidRDefault="00831BE9">
      <w:pPr>
        <w:tabs>
          <w:tab w:val="left" w:pos="3015"/>
        </w:tabs>
        <w:autoSpaceDE w:val="0"/>
        <w:autoSpaceDN w:val="0"/>
        <w:adjustRightInd w:val="0"/>
        <w:jc w:val="center"/>
        <w:rPr>
          <w:rFonts w:cs="Arial"/>
          <w:color w:val="000000"/>
          <w:szCs w:val="24"/>
        </w:rPr>
      </w:pPr>
    </w:p>
    <w:p w:rsidR="00831BE9" w:rsidRDefault="00831BE9">
      <w:pPr>
        <w:tabs>
          <w:tab w:val="left" w:pos="3015"/>
        </w:tabs>
        <w:autoSpaceDE w:val="0"/>
        <w:autoSpaceDN w:val="0"/>
        <w:adjustRightInd w:val="0"/>
        <w:jc w:val="center"/>
        <w:rPr>
          <w:rFonts w:cs="Arial"/>
          <w:color w:val="000000"/>
          <w:szCs w:val="24"/>
        </w:rPr>
      </w:pPr>
    </w:p>
    <w:p w:rsidR="00831BE9" w:rsidRDefault="00CC4D20">
      <w:pPr>
        <w:tabs>
          <w:tab w:val="left" w:pos="3015"/>
        </w:tabs>
        <w:autoSpaceDE w:val="0"/>
        <w:autoSpaceDN w:val="0"/>
        <w:adjustRightInd w:val="0"/>
        <w:jc w:val="center"/>
        <w:rPr>
          <w:rFonts w:cs="Arial"/>
          <w:color w:val="000000"/>
          <w:szCs w:val="24"/>
        </w:rPr>
      </w:pPr>
      <w:r>
        <w:rPr>
          <w:rFonts w:cs="Arial"/>
          <w:color w:val="000000"/>
          <w:szCs w:val="24"/>
        </w:rPr>
        <w:t>Date of submission: 21/12/2020</w:t>
      </w:r>
    </w:p>
    <w:p w:rsidR="00831BE9" w:rsidRDefault="00831BE9">
      <w:pPr>
        <w:tabs>
          <w:tab w:val="left" w:pos="3015"/>
        </w:tabs>
        <w:autoSpaceDE w:val="0"/>
        <w:autoSpaceDN w:val="0"/>
        <w:adjustRightInd w:val="0"/>
        <w:jc w:val="center"/>
        <w:rPr>
          <w:rFonts w:cs="Arial"/>
          <w:color w:val="000000"/>
          <w:szCs w:val="24"/>
        </w:rPr>
      </w:pPr>
    </w:p>
    <w:p w:rsidR="00831BE9" w:rsidRDefault="00831BE9">
      <w:pPr>
        <w:tabs>
          <w:tab w:val="left" w:pos="3015"/>
        </w:tabs>
        <w:autoSpaceDE w:val="0"/>
        <w:autoSpaceDN w:val="0"/>
        <w:adjustRightInd w:val="0"/>
        <w:jc w:val="center"/>
        <w:rPr>
          <w:rFonts w:cs="Arial"/>
          <w:color w:val="000000"/>
          <w:szCs w:val="24"/>
        </w:rPr>
      </w:pPr>
    </w:p>
    <w:p w:rsidR="00831BE9" w:rsidRDefault="00831BE9">
      <w:pPr>
        <w:tabs>
          <w:tab w:val="left" w:pos="3015"/>
        </w:tabs>
        <w:autoSpaceDE w:val="0"/>
        <w:autoSpaceDN w:val="0"/>
        <w:adjustRightInd w:val="0"/>
        <w:jc w:val="center"/>
        <w:rPr>
          <w:rFonts w:cs="Arial"/>
          <w:color w:val="000000"/>
          <w:szCs w:val="24"/>
        </w:rPr>
      </w:pPr>
    </w:p>
    <w:p w:rsidR="00831BE9" w:rsidRDefault="00831BE9">
      <w:pPr>
        <w:tabs>
          <w:tab w:val="left" w:pos="3015"/>
        </w:tabs>
        <w:autoSpaceDE w:val="0"/>
        <w:autoSpaceDN w:val="0"/>
        <w:adjustRightInd w:val="0"/>
        <w:jc w:val="center"/>
        <w:rPr>
          <w:rFonts w:cs="Arial"/>
          <w:color w:val="000000"/>
          <w:szCs w:val="24"/>
        </w:rPr>
        <w:sectPr w:rsidR="00831BE9">
          <w:footerReference w:type="default" r:id="rId10"/>
          <w:pgSz w:w="12240" w:h="15840"/>
          <w:pgMar w:top="1440" w:right="1440" w:bottom="1440" w:left="1440" w:header="720" w:footer="720" w:gutter="0"/>
          <w:cols w:space="720"/>
          <w:titlePg/>
          <w:docGrid w:linePitch="360"/>
        </w:sectPr>
      </w:pPr>
    </w:p>
    <w:p w:rsidR="00831BE9" w:rsidRDefault="00CC4D20">
      <w:pPr>
        <w:pStyle w:val="Heading1"/>
        <w:numPr>
          <w:ilvl w:val="0"/>
          <w:numId w:val="0"/>
        </w:numPr>
        <w:spacing w:line="360" w:lineRule="auto"/>
        <w:ind w:left="432"/>
        <w:jc w:val="center"/>
        <w:rPr>
          <w:rFonts w:ascii="Times New Roman" w:hAnsi="Times New Roman" w:cs="Times New Roman"/>
          <w:color w:val="44546A" w:themeColor="text2"/>
        </w:rPr>
      </w:pPr>
      <w:bookmarkStart w:id="1" w:name="_Toc59461234"/>
      <w:bookmarkStart w:id="2" w:name="_Toc503301128"/>
      <w:r>
        <w:rPr>
          <w:rFonts w:ascii="Times New Roman" w:hAnsi="Times New Roman" w:cs="Times New Roman"/>
          <w:color w:val="44546A" w:themeColor="text2"/>
        </w:rPr>
        <w:lastRenderedPageBreak/>
        <w:t>Letter of Transmittal</w:t>
      </w:r>
      <w:bookmarkEnd w:id="1"/>
      <w:bookmarkEnd w:id="2"/>
    </w:p>
    <w:p w:rsidR="00831BE9" w:rsidRDefault="00CC4D20">
      <w:pPr>
        <w:spacing w:line="360" w:lineRule="auto"/>
        <w:rPr>
          <w:rFonts w:ascii="Times New Roman" w:hAnsi="Times New Roman" w:cs="Times New Roman"/>
          <w:b/>
          <w:color w:val="323E4F" w:themeColor="text2" w:themeShade="BF"/>
          <w:szCs w:val="24"/>
          <w:u w:val="thick"/>
        </w:rPr>
      </w:pPr>
      <w:r>
        <w:rPr>
          <w:rFonts w:ascii="Times New Roman" w:hAnsi="Times New Roman" w:cs="Times New Roman"/>
          <w:szCs w:val="24"/>
        </w:rPr>
        <w:t xml:space="preserve"> </w:t>
      </w:r>
    </w:p>
    <w:p w:rsidR="00831BE9" w:rsidRDefault="00CC4D20">
      <w:pPr>
        <w:rPr>
          <w:rFonts w:cs="Arial"/>
          <w:color w:val="000000" w:themeColor="text1"/>
          <w:szCs w:val="24"/>
        </w:rPr>
      </w:pPr>
      <w:r>
        <w:rPr>
          <w:rFonts w:cs="Arial"/>
          <w:color w:val="000000" w:themeColor="text1"/>
          <w:szCs w:val="24"/>
        </w:rPr>
        <w:t xml:space="preserve">Mr. </w:t>
      </w:r>
      <w:proofErr w:type="spellStart"/>
      <w:r>
        <w:rPr>
          <w:rFonts w:cs="Arial"/>
          <w:color w:val="000000" w:themeColor="text1"/>
          <w:szCs w:val="24"/>
        </w:rPr>
        <w:t>Rana</w:t>
      </w:r>
      <w:proofErr w:type="spellEnd"/>
      <w:r>
        <w:rPr>
          <w:rFonts w:cs="Arial"/>
          <w:color w:val="000000" w:themeColor="text1"/>
          <w:szCs w:val="24"/>
        </w:rPr>
        <w:t xml:space="preserve"> </w:t>
      </w:r>
      <w:proofErr w:type="spellStart"/>
      <w:r>
        <w:rPr>
          <w:rFonts w:cs="Arial"/>
          <w:color w:val="000000" w:themeColor="text1"/>
          <w:szCs w:val="24"/>
        </w:rPr>
        <w:t>Mazumder</w:t>
      </w:r>
      <w:proofErr w:type="spellEnd"/>
    </w:p>
    <w:p w:rsidR="00831BE9" w:rsidRDefault="00CC4D20">
      <w:pPr>
        <w:rPr>
          <w:rFonts w:cs="Arial"/>
          <w:color w:val="000000" w:themeColor="text1"/>
          <w:szCs w:val="24"/>
        </w:rPr>
      </w:pPr>
      <w:r>
        <w:rPr>
          <w:rFonts w:cs="Arial"/>
          <w:color w:val="000000" w:themeColor="text1"/>
          <w:szCs w:val="24"/>
        </w:rPr>
        <w:br/>
        <w:t xml:space="preserve">Assistant professor </w:t>
      </w:r>
    </w:p>
    <w:p w:rsidR="00831BE9" w:rsidRDefault="00CC4D20">
      <w:pPr>
        <w:rPr>
          <w:rFonts w:cs="Arial"/>
          <w:color w:val="000000" w:themeColor="text1"/>
          <w:szCs w:val="24"/>
        </w:rPr>
      </w:pPr>
      <w:r>
        <w:rPr>
          <w:rFonts w:cs="Arial"/>
          <w:color w:val="000000" w:themeColor="text1"/>
          <w:szCs w:val="24"/>
        </w:rPr>
        <w:br/>
        <w:t xml:space="preserve">School </w:t>
      </w:r>
      <w:r>
        <w:rPr>
          <w:rFonts w:cs="Arial"/>
          <w:color w:val="000000" w:themeColor="text1"/>
          <w:szCs w:val="24"/>
        </w:rPr>
        <w:t>of Business and Economics</w:t>
      </w:r>
    </w:p>
    <w:p w:rsidR="00831BE9" w:rsidRDefault="00CC4D20">
      <w:pPr>
        <w:rPr>
          <w:rFonts w:cs="Arial"/>
          <w:color w:val="000000" w:themeColor="text1"/>
          <w:szCs w:val="24"/>
        </w:rPr>
      </w:pPr>
      <w:r>
        <w:rPr>
          <w:rFonts w:cs="Arial"/>
          <w:color w:val="000000" w:themeColor="text1"/>
          <w:szCs w:val="24"/>
        </w:rPr>
        <w:br/>
        <w:t>United International University</w:t>
      </w:r>
    </w:p>
    <w:p w:rsidR="00831BE9" w:rsidRDefault="00831BE9">
      <w:pPr>
        <w:spacing w:line="360" w:lineRule="auto"/>
        <w:rPr>
          <w:rFonts w:ascii="Times New Roman" w:hAnsi="Times New Roman" w:cs="Times New Roman"/>
          <w:szCs w:val="24"/>
        </w:rPr>
      </w:pPr>
    </w:p>
    <w:p w:rsidR="00831BE9" w:rsidRDefault="00CC4D20">
      <w:pPr>
        <w:spacing w:line="360" w:lineRule="auto"/>
        <w:ind w:left="900" w:hanging="900"/>
        <w:rPr>
          <w:rFonts w:ascii="Times New Roman" w:hAnsi="Times New Roman" w:cs="Times New Roman"/>
          <w:b/>
          <w:szCs w:val="24"/>
        </w:rPr>
      </w:pPr>
      <w:r>
        <w:rPr>
          <w:rFonts w:ascii="Times New Roman" w:hAnsi="Times New Roman" w:cs="Times New Roman"/>
          <w:b/>
          <w:szCs w:val="24"/>
        </w:rPr>
        <w:t>Subject: Submission of project on “Credit risk management of commercial banks in Bangladesh.</w:t>
      </w:r>
    </w:p>
    <w:p w:rsidR="00831BE9" w:rsidRDefault="00CC4D20">
      <w:pPr>
        <w:spacing w:line="360" w:lineRule="auto"/>
        <w:rPr>
          <w:rFonts w:ascii="Times New Roman" w:hAnsi="Times New Roman" w:cs="Times New Roman"/>
          <w:szCs w:val="24"/>
        </w:rPr>
      </w:pPr>
      <w:r>
        <w:rPr>
          <w:rFonts w:ascii="Times New Roman" w:hAnsi="Times New Roman" w:cs="Times New Roman"/>
          <w:szCs w:val="24"/>
        </w:rPr>
        <w:t>Dear Sir,</w:t>
      </w:r>
    </w:p>
    <w:p w:rsidR="00831BE9" w:rsidRDefault="00CC4D20">
      <w:pPr>
        <w:spacing w:line="360" w:lineRule="auto"/>
        <w:rPr>
          <w:rFonts w:ascii="Times New Roman" w:hAnsi="Times New Roman" w:cs="Times New Roman"/>
          <w:szCs w:val="24"/>
        </w:rPr>
      </w:pPr>
      <w:r>
        <w:rPr>
          <w:rFonts w:ascii="Times New Roman" w:hAnsi="Times New Roman" w:cs="Times New Roman"/>
          <w:szCs w:val="24"/>
        </w:rPr>
        <w:t xml:space="preserve">I have the honor to state that I have prepared this project on </w:t>
      </w:r>
      <w:r>
        <w:rPr>
          <w:rFonts w:ascii="Times New Roman" w:hAnsi="Times New Roman" w:cs="Times New Roman"/>
          <w:b/>
          <w:szCs w:val="24"/>
        </w:rPr>
        <w:t xml:space="preserve">“Credit Risk Management of Commercial Banks in Bangladesh”. </w:t>
      </w:r>
      <w:r>
        <w:rPr>
          <w:rFonts w:ascii="Times New Roman" w:hAnsi="Times New Roman" w:cs="Times New Roman"/>
          <w:szCs w:val="24"/>
        </w:rPr>
        <w:t xml:space="preserve">I would like to convey my gratitude towards you for your immense support. This project is prepared on the basis of my findings. So, I request you to receive my project. I have tried my level best </w:t>
      </w:r>
      <w:r>
        <w:rPr>
          <w:rFonts w:ascii="Times New Roman" w:hAnsi="Times New Roman" w:cs="Times New Roman"/>
          <w:szCs w:val="24"/>
        </w:rPr>
        <w:t>to put careful effort for the preparation of this report. I tried to put all the necessary elements included in this paper. It is a great pleasure for me for writing this report and also great experience for me. You have always given your valuable advice f</w:t>
      </w:r>
      <w:r>
        <w:rPr>
          <w:rFonts w:ascii="Times New Roman" w:hAnsi="Times New Roman" w:cs="Times New Roman"/>
          <w:szCs w:val="24"/>
        </w:rPr>
        <w:t>or improving my report.</w:t>
      </w:r>
    </w:p>
    <w:p w:rsidR="00831BE9" w:rsidRDefault="00CC4D20">
      <w:pPr>
        <w:spacing w:line="360" w:lineRule="auto"/>
        <w:rPr>
          <w:rFonts w:ascii="Times New Roman" w:hAnsi="Times New Roman" w:cs="Times New Roman"/>
          <w:szCs w:val="24"/>
        </w:rPr>
      </w:pPr>
      <w:r>
        <w:rPr>
          <w:rFonts w:ascii="Times New Roman" w:hAnsi="Times New Roman" w:cs="Times New Roman"/>
          <w:szCs w:val="24"/>
        </w:rPr>
        <w:t>I sincerely expect that you would be kind enough to accept my report for evaluation and oblige thereby.</w:t>
      </w:r>
    </w:p>
    <w:p w:rsidR="00831BE9" w:rsidRDefault="00CC4D20">
      <w:pPr>
        <w:spacing w:after="0" w:line="360" w:lineRule="auto"/>
        <w:rPr>
          <w:rFonts w:ascii="Times New Roman" w:eastAsia="Times New Roman" w:hAnsi="Times New Roman" w:cs="Times New Roman"/>
          <w:szCs w:val="24"/>
        </w:rPr>
      </w:pPr>
      <w:r>
        <w:rPr>
          <w:rFonts w:ascii="Times New Roman" w:eastAsia="Times New Roman" w:hAnsi="Times New Roman" w:cs="Times New Roman"/>
          <w:szCs w:val="24"/>
        </w:rPr>
        <w:t>Sincerely yours,</w:t>
      </w:r>
    </w:p>
    <w:p w:rsidR="00831BE9" w:rsidRDefault="00CC4D20">
      <w:pPr>
        <w:spacing w:line="36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Dipa</w:t>
      </w:r>
      <w:proofErr w:type="spellEnd"/>
      <w:r>
        <w:rPr>
          <w:rFonts w:ascii="Times New Roman" w:eastAsia="Times New Roman" w:hAnsi="Times New Roman" w:cs="Times New Roman"/>
          <w:szCs w:val="24"/>
        </w:rPr>
        <w:t xml:space="preserve"> Rani </w:t>
      </w:r>
      <w:proofErr w:type="spellStart"/>
      <w:r>
        <w:rPr>
          <w:rFonts w:ascii="Times New Roman" w:eastAsia="Times New Roman" w:hAnsi="Times New Roman" w:cs="Times New Roman"/>
          <w:szCs w:val="24"/>
        </w:rPr>
        <w:t>Saha</w:t>
      </w:r>
      <w:proofErr w:type="spellEnd"/>
      <w:r>
        <w:rPr>
          <w:rFonts w:ascii="Times New Roman" w:eastAsia="Times New Roman" w:hAnsi="Times New Roman" w:cs="Times New Roman"/>
          <w:szCs w:val="24"/>
        </w:rPr>
        <w:t>,</w:t>
      </w:r>
    </w:p>
    <w:p w:rsidR="00831BE9" w:rsidRDefault="00CC4D20">
      <w:pPr>
        <w:spacing w:line="360" w:lineRule="auto"/>
        <w:rPr>
          <w:rFonts w:ascii="Times New Roman" w:hAnsi="Times New Roman" w:cs="Times New Roman"/>
          <w:szCs w:val="24"/>
        </w:rPr>
      </w:pPr>
      <w:r>
        <w:rPr>
          <w:rFonts w:ascii="Times New Roman" w:hAnsi="Times New Roman" w:cs="Times New Roman"/>
          <w:szCs w:val="24"/>
        </w:rPr>
        <w:t>ID: 111161220, SOBE</w:t>
      </w:r>
    </w:p>
    <w:p w:rsidR="00831BE9" w:rsidRDefault="00CC4D20">
      <w:pPr>
        <w:spacing w:line="360" w:lineRule="auto"/>
        <w:rPr>
          <w:rFonts w:ascii="Times New Roman" w:hAnsi="Times New Roman" w:cs="Times New Roman"/>
          <w:szCs w:val="24"/>
        </w:rPr>
      </w:pPr>
      <w:r>
        <w:rPr>
          <w:rFonts w:ascii="Times New Roman" w:hAnsi="Times New Roman" w:cs="Times New Roman"/>
          <w:szCs w:val="24"/>
        </w:rPr>
        <w:t>BBA, United International University</w:t>
      </w:r>
    </w:p>
    <w:p w:rsidR="00831BE9" w:rsidRDefault="00831BE9">
      <w:pPr>
        <w:tabs>
          <w:tab w:val="left" w:pos="3015"/>
        </w:tabs>
        <w:autoSpaceDE w:val="0"/>
        <w:autoSpaceDN w:val="0"/>
        <w:adjustRightInd w:val="0"/>
        <w:jc w:val="center"/>
        <w:rPr>
          <w:rFonts w:cs="Arial"/>
          <w:color w:val="000000"/>
          <w:szCs w:val="24"/>
        </w:rPr>
      </w:pPr>
    </w:p>
    <w:p w:rsidR="00831BE9" w:rsidRDefault="00CC4D20">
      <w:pPr>
        <w:pStyle w:val="Heading1"/>
        <w:numPr>
          <w:ilvl w:val="0"/>
          <w:numId w:val="0"/>
        </w:numPr>
      </w:pPr>
      <w:bookmarkStart w:id="3" w:name="_Toc59461235"/>
      <w:r>
        <w:lastRenderedPageBreak/>
        <w:t>Acknowledgement</w:t>
      </w:r>
      <w:bookmarkEnd w:id="3"/>
    </w:p>
    <w:p w:rsidR="00831BE9" w:rsidRDefault="00831BE9">
      <w:pPr>
        <w:jc w:val="center"/>
        <w:rPr>
          <w:rFonts w:cs="Arial"/>
          <w:b/>
          <w:bCs/>
          <w:szCs w:val="24"/>
        </w:rPr>
      </w:pPr>
    </w:p>
    <w:p w:rsidR="00831BE9" w:rsidRDefault="00CC4D20">
      <w:pPr>
        <w:spacing w:line="276" w:lineRule="auto"/>
        <w:jc w:val="left"/>
        <w:rPr>
          <w:rFonts w:cs="Arial"/>
          <w:color w:val="000000" w:themeColor="text1"/>
          <w:szCs w:val="24"/>
        </w:rPr>
      </w:pPr>
      <w:r>
        <w:rPr>
          <w:rFonts w:cs="Arial"/>
          <w:szCs w:val="24"/>
        </w:rPr>
        <w:t xml:space="preserve">Toward the start of </w:t>
      </w:r>
      <w:r>
        <w:rPr>
          <w:rFonts w:cs="Arial"/>
          <w:szCs w:val="24"/>
        </w:rPr>
        <w:t>the report</w:t>
      </w:r>
      <w:r>
        <w:rPr>
          <w:rFonts w:cs="Arial"/>
          <w:color w:val="000000" w:themeColor="text1"/>
          <w:szCs w:val="24"/>
        </w:rPr>
        <w:t xml:space="preserve">, I would like to show my gratitude to almighty God who has given me the capability to complete this report successfully &amp; my honorable supervisor ”Mr. </w:t>
      </w:r>
      <w:proofErr w:type="spellStart"/>
      <w:r>
        <w:rPr>
          <w:rFonts w:cs="Arial"/>
          <w:color w:val="000000" w:themeColor="text1"/>
          <w:szCs w:val="24"/>
        </w:rPr>
        <w:t>Rana</w:t>
      </w:r>
      <w:proofErr w:type="spellEnd"/>
      <w:r>
        <w:rPr>
          <w:rFonts w:cs="Arial"/>
          <w:color w:val="000000" w:themeColor="text1"/>
          <w:szCs w:val="24"/>
        </w:rPr>
        <w:t xml:space="preserve"> </w:t>
      </w:r>
      <w:proofErr w:type="spellStart"/>
      <w:r>
        <w:rPr>
          <w:rFonts w:cs="Arial"/>
          <w:color w:val="000000" w:themeColor="text1"/>
          <w:szCs w:val="24"/>
        </w:rPr>
        <w:t>Mazumder</w:t>
      </w:r>
      <w:proofErr w:type="spellEnd"/>
      <w:r>
        <w:rPr>
          <w:rFonts w:cs="Arial"/>
          <w:color w:val="000000" w:themeColor="text1"/>
          <w:szCs w:val="24"/>
        </w:rPr>
        <w:t>”, Assistant Professor, School of Business and Economics,</w:t>
      </w:r>
      <w:r>
        <w:rPr>
          <w:rFonts w:cs="Arial"/>
          <w:color w:val="000000"/>
          <w:szCs w:val="24"/>
        </w:rPr>
        <w:t xml:space="preserve"> United International Un</w:t>
      </w:r>
      <w:r>
        <w:rPr>
          <w:rFonts w:cs="Arial"/>
          <w:color w:val="000000"/>
          <w:szCs w:val="24"/>
        </w:rPr>
        <w:t xml:space="preserve">iversity” </w:t>
      </w:r>
      <w:r>
        <w:rPr>
          <w:rFonts w:cs="Arial"/>
          <w:color w:val="000000" w:themeColor="text1"/>
          <w:szCs w:val="24"/>
        </w:rPr>
        <w:t>to help in this report named “Credit risk management of commercial banks in Bangladesh”.</w:t>
      </w:r>
    </w:p>
    <w:p w:rsidR="00831BE9" w:rsidRDefault="00CC4D20">
      <w:pPr>
        <w:tabs>
          <w:tab w:val="left" w:pos="3678"/>
        </w:tabs>
        <w:spacing w:line="276" w:lineRule="auto"/>
        <w:rPr>
          <w:rFonts w:cs="Arial"/>
          <w:color w:val="FF0000"/>
          <w:szCs w:val="24"/>
        </w:rPr>
      </w:pPr>
      <w:r>
        <w:rPr>
          <w:rFonts w:cs="Arial"/>
          <w:color w:val="FF0000"/>
          <w:szCs w:val="24"/>
        </w:rPr>
        <w:tab/>
      </w:r>
    </w:p>
    <w:p w:rsidR="00831BE9" w:rsidRDefault="00CC4D20">
      <w:pPr>
        <w:spacing w:line="276" w:lineRule="auto"/>
        <w:rPr>
          <w:rFonts w:cs="Arial"/>
          <w:color w:val="000000" w:themeColor="text1"/>
          <w:szCs w:val="24"/>
        </w:rPr>
      </w:pPr>
      <w:r>
        <w:rPr>
          <w:rFonts w:cs="Arial"/>
          <w:color w:val="000000" w:themeColor="text1"/>
          <w:szCs w:val="24"/>
        </w:rPr>
        <w:t>His appropriate direction, supervision helped me to set up this report. He likewise causes me a great deal of by giving data and additionally supports me and likewise prompts me for this report. And likewise, some companion encourages me to gather data. Un</w:t>
      </w:r>
      <w:r>
        <w:rPr>
          <w:rFonts w:cs="Arial"/>
          <w:color w:val="000000" w:themeColor="text1"/>
          <w:szCs w:val="24"/>
        </w:rPr>
        <w:t xml:space="preserve">dertaking work includes diligent work, which relates network to broad investigation, counseling mastery, leading meetings and examining voluminous information. I demonstrate my warm respectability to the general population who helped me and urge me to set </w:t>
      </w:r>
      <w:r>
        <w:rPr>
          <w:rFonts w:cs="Arial"/>
          <w:color w:val="000000" w:themeColor="text1"/>
          <w:szCs w:val="24"/>
        </w:rPr>
        <w:t xml:space="preserve">up this task report. </w:t>
      </w:r>
    </w:p>
    <w:p w:rsidR="00831BE9" w:rsidRDefault="00831BE9">
      <w:pPr>
        <w:tabs>
          <w:tab w:val="left" w:pos="3015"/>
        </w:tabs>
        <w:autoSpaceDE w:val="0"/>
        <w:autoSpaceDN w:val="0"/>
        <w:adjustRightInd w:val="0"/>
        <w:jc w:val="center"/>
        <w:rPr>
          <w:rFonts w:cs="Arial"/>
          <w:color w:val="000000"/>
          <w:szCs w:val="24"/>
        </w:rPr>
      </w:pPr>
    </w:p>
    <w:p w:rsidR="00831BE9" w:rsidRDefault="00CC4D20">
      <w:pPr>
        <w:rPr>
          <w:rFonts w:cs="Arial"/>
          <w:color w:val="000000"/>
          <w:szCs w:val="24"/>
        </w:rPr>
      </w:pPr>
      <w:r>
        <w:rPr>
          <w:rFonts w:cs="Arial"/>
          <w:color w:val="000000"/>
          <w:szCs w:val="24"/>
        </w:rPr>
        <w:br w:type="page"/>
      </w:r>
    </w:p>
    <w:p w:rsidR="00831BE9" w:rsidRDefault="00CC4D20">
      <w:pPr>
        <w:pStyle w:val="Heading1"/>
        <w:numPr>
          <w:ilvl w:val="0"/>
          <w:numId w:val="0"/>
        </w:numPr>
      </w:pPr>
      <w:bookmarkStart w:id="4" w:name="_Toc59461236"/>
      <w:r>
        <w:lastRenderedPageBreak/>
        <w:t>Executive Summary</w:t>
      </w:r>
      <w:bookmarkEnd w:id="4"/>
    </w:p>
    <w:p w:rsidR="00831BE9" w:rsidRDefault="00831BE9">
      <w:pPr>
        <w:tabs>
          <w:tab w:val="left" w:pos="3015"/>
        </w:tabs>
        <w:autoSpaceDE w:val="0"/>
        <w:autoSpaceDN w:val="0"/>
        <w:adjustRightInd w:val="0"/>
        <w:rPr>
          <w:rFonts w:cs="Arial"/>
          <w:b/>
          <w:color w:val="000000"/>
          <w:szCs w:val="24"/>
        </w:rPr>
      </w:pPr>
    </w:p>
    <w:p w:rsidR="00831BE9" w:rsidRDefault="00CC4D20">
      <w:pPr>
        <w:tabs>
          <w:tab w:val="left" w:pos="3015"/>
        </w:tabs>
        <w:autoSpaceDE w:val="0"/>
        <w:autoSpaceDN w:val="0"/>
        <w:adjustRightInd w:val="0"/>
        <w:rPr>
          <w:rFonts w:cs="Arial"/>
          <w:color w:val="000000"/>
          <w:szCs w:val="24"/>
        </w:rPr>
      </w:pPr>
      <w:r>
        <w:rPr>
          <w:rFonts w:cs="Arial"/>
          <w:color w:val="000000"/>
          <w:szCs w:val="24"/>
        </w:rPr>
        <w:t xml:space="preserve">This paper is about how private commercial banks manages their credit risk management in Bangladesh. For conducting this research, I have taken 25 commercial banks in our country. </w:t>
      </w:r>
      <w:r>
        <w:rPr>
          <w:rFonts w:cs="Arial"/>
          <w:szCs w:val="24"/>
        </w:rPr>
        <w:t>This paper is all about credit r</w:t>
      </w:r>
      <w:r>
        <w:rPr>
          <w:rFonts w:cs="Arial"/>
          <w:szCs w:val="24"/>
        </w:rPr>
        <w:t xml:space="preserve">isk management of commercial banks over 2018 to 2019. </w:t>
      </w:r>
      <w:r>
        <w:rPr>
          <w:rFonts w:cs="Arial"/>
          <w:color w:val="000000"/>
          <w:szCs w:val="24"/>
        </w:rPr>
        <w:t>I have collected secondary data for this research paper. I have tried my best to comprehensive overview about Credit Risk Management (CRM). My research has been described about the performance of commer</w:t>
      </w:r>
      <w:r>
        <w:rPr>
          <w:rFonts w:cs="Arial"/>
          <w:color w:val="000000"/>
          <w:szCs w:val="24"/>
        </w:rPr>
        <w:t xml:space="preserve">cial banks. </w:t>
      </w:r>
    </w:p>
    <w:p w:rsidR="00831BE9" w:rsidRDefault="00831BE9">
      <w:pPr>
        <w:tabs>
          <w:tab w:val="left" w:pos="3015"/>
        </w:tabs>
        <w:autoSpaceDE w:val="0"/>
        <w:autoSpaceDN w:val="0"/>
        <w:adjustRightInd w:val="0"/>
        <w:rPr>
          <w:rFonts w:cs="Arial"/>
          <w:color w:val="000000"/>
          <w:szCs w:val="24"/>
        </w:rPr>
      </w:pPr>
    </w:p>
    <w:p w:rsidR="00831BE9" w:rsidRDefault="00CC4D20">
      <w:pPr>
        <w:tabs>
          <w:tab w:val="left" w:pos="3015"/>
        </w:tabs>
        <w:autoSpaceDE w:val="0"/>
        <w:autoSpaceDN w:val="0"/>
        <w:adjustRightInd w:val="0"/>
        <w:rPr>
          <w:rFonts w:cs="Arial"/>
          <w:color w:val="000000"/>
          <w:szCs w:val="24"/>
        </w:rPr>
      </w:pPr>
      <w:r>
        <w:rPr>
          <w:rFonts w:cs="Arial"/>
          <w:color w:val="000000"/>
          <w:szCs w:val="24"/>
        </w:rPr>
        <w:t>My report has been segmented into five chapter. The first chapter, I discussed about credit risk management, background, objectives of the project, methodology of the project and limitation. In second chapter, I have discussed about the liter</w:t>
      </w:r>
      <w:r>
        <w:rPr>
          <w:rFonts w:cs="Arial"/>
          <w:color w:val="000000"/>
          <w:szCs w:val="24"/>
        </w:rPr>
        <w:t xml:space="preserve">ature review. In third chapter I have talked about tools for credit risk management and policy guidelines of credit risk management. In fourth chapter, I have analyzed the data. I have analyzed 25 commercial banks in our country. The impact of credit risk </w:t>
      </w:r>
      <w:r>
        <w:rPr>
          <w:rFonts w:cs="Arial"/>
          <w:color w:val="000000"/>
          <w:szCs w:val="24"/>
        </w:rPr>
        <w:t xml:space="preserve">management on financial performance of bank has been analyzed by me. </w:t>
      </w:r>
    </w:p>
    <w:p w:rsidR="00831BE9" w:rsidRDefault="00831BE9">
      <w:pPr>
        <w:tabs>
          <w:tab w:val="left" w:pos="3015"/>
        </w:tabs>
        <w:autoSpaceDE w:val="0"/>
        <w:autoSpaceDN w:val="0"/>
        <w:adjustRightInd w:val="0"/>
        <w:rPr>
          <w:rFonts w:cs="Arial"/>
          <w:color w:val="000000"/>
          <w:szCs w:val="24"/>
        </w:rPr>
      </w:pPr>
    </w:p>
    <w:p w:rsidR="00831BE9" w:rsidRDefault="00CC4D20">
      <w:pPr>
        <w:tabs>
          <w:tab w:val="left" w:pos="3015"/>
        </w:tabs>
        <w:autoSpaceDE w:val="0"/>
        <w:autoSpaceDN w:val="0"/>
        <w:adjustRightInd w:val="0"/>
        <w:rPr>
          <w:rFonts w:cs="Arial"/>
          <w:color w:val="000000"/>
          <w:szCs w:val="24"/>
        </w:rPr>
      </w:pPr>
      <w:r>
        <w:rPr>
          <w:rFonts w:cs="Arial"/>
          <w:color w:val="000000"/>
          <w:szCs w:val="24"/>
        </w:rPr>
        <w:t>All those kinds of things I have analyzed for my research paper then I have got some findings. Then I have talked about recommendations. In the last part I have included references. Thi</w:t>
      </w:r>
      <w:r>
        <w:rPr>
          <w:rFonts w:cs="Arial"/>
          <w:color w:val="000000"/>
          <w:szCs w:val="24"/>
        </w:rPr>
        <w:t>s study is the idea of the credit risk management of commercial bank in Bangladesh.</w:t>
      </w:r>
    </w:p>
    <w:p w:rsidR="00831BE9" w:rsidRDefault="00831BE9"/>
    <w:p w:rsidR="00831BE9" w:rsidRDefault="00CC4D20">
      <w:r>
        <w:br w:type="page"/>
      </w:r>
    </w:p>
    <w:p w:rsidR="00831BE9" w:rsidRDefault="00831BE9">
      <w:pPr>
        <w:pStyle w:val="TOC1"/>
        <w:tabs>
          <w:tab w:val="right" w:leader="dot" w:pos="9350"/>
        </w:tabs>
      </w:pPr>
    </w:p>
    <w:sdt>
      <w:sdtPr>
        <w:rPr>
          <w:rFonts w:ascii="Arial" w:eastAsiaTheme="minorHAnsi" w:hAnsi="Arial" w:cstheme="minorBidi"/>
          <w:color w:val="auto"/>
          <w:sz w:val="24"/>
          <w:szCs w:val="22"/>
        </w:rPr>
        <w:id w:val="487519721"/>
        <w:docPartObj>
          <w:docPartGallery w:val="Table of Contents"/>
          <w:docPartUnique/>
        </w:docPartObj>
      </w:sdtPr>
      <w:sdtEndPr>
        <w:rPr>
          <w:b/>
          <w:bCs/>
        </w:rPr>
      </w:sdtEndPr>
      <w:sdtContent>
        <w:p w:rsidR="00831BE9" w:rsidRDefault="00CC4D20">
          <w:pPr>
            <w:pStyle w:val="TOCHeading1"/>
          </w:pPr>
          <w:r>
            <w:t>Contents</w:t>
          </w:r>
        </w:p>
        <w:p w:rsidR="00831BE9" w:rsidRDefault="00CC4D20">
          <w:pPr>
            <w:pStyle w:val="TOC1"/>
            <w:tabs>
              <w:tab w:val="right" w:leader="dot" w:pos="9350"/>
            </w:tabs>
            <w:rPr>
              <w:rFonts w:asciiTheme="minorHAnsi" w:eastAsiaTheme="minorEastAsia" w:hAnsiTheme="minorHAnsi"/>
              <w:sz w:val="22"/>
            </w:rPr>
          </w:pPr>
          <w:r>
            <w:fldChar w:fldCharType="begin"/>
          </w:r>
          <w:r>
            <w:instrText xml:space="preserve"> TOC \o "1-3" \h \z \u </w:instrText>
          </w:r>
          <w:r>
            <w:fldChar w:fldCharType="separate"/>
          </w:r>
          <w:hyperlink w:anchor="_Toc59461234" w:history="1">
            <w:r>
              <w:rPr>
                <w:rStyle w:val="Hyperlink"/>
                <w:rFonts w:ascii="Times New Roman" w:hAnsi="Times New Roman" w:cs="Times New Roman"/>
              </w:rPr>
              <w:t>Letter of Transmittal</w:t>
            </w:r>
            <w:r>
              <w:tab/>
            </w:r>
            <w:r>
              <w:fldChar w:fldCharType="begin"/>
            </w:r>
            <w:r>
              <w:instrText xml:space="preserve"> PAGEREF _Toc59461234 \h </w:instrText>
            </w:r>
            <w:r>
              <w:fldChar w:fldCharType="separate"/>
            </w:r>
            <w:r>
              <w:t>I</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35" w:history="1">
            <w:r>
              <w:rPr>
                <w:rStyle w:val="Hyperlink"/>
              </w:rPr>
              <w:t>Acknowledgement</w:t>
            </w:r>
            <w:r>
              <w:tab/>
            </w:r>
            <w:r>
              <w:fldChar w:fldCharType="begin"/>
            </w:r>
            <w:r>
              <w:instrText xml:space="preserve"> PAGEREF _Toc59461235 \h </w:instrText>
            </w:r>
            <w:r>
              <w:fldChar w:fldCharType="separate"/>
            </w:r>
            <w:r>
              <w:t>II</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36" w:history="1">
            <w:r>
              <w:rPr>
                <w:rStyle w:val="Hyperlink"/>
              </w:rPr>
              <w:t>Executive Summary</w:t>
            </w:r>
            <w:r>
              <w:tab/>
            </w:r>
            <w:r>
              <w:fldChar w:fldCharType="begin"/>
            </w:r>
            <w:r>
              <w:instrText xml:space="preserve"> PAGEREF _Toc59461236 \h </w:instrText>
            </w:r>
            <w:r>
              <w:fldChar w:fldCharType="separate"/>
            </w:r>
            <w:r>
              <w:t>III</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37" w:history="1">
            <w:r>
              <w:rPr>
                <w:rStyle w:val="Hyperlink"/>
              </w:rPr>
              <w:t>1 Introduction</w:t>
            </w:r>
            <w:r>
              <w:tab/>
            </w:r>
            <w:r>
              <w:fldChar w:fldCharType="begin"/>
            </w:r>
            <w:r>
              <w:instrText xml:space="preserve"> PAGEREF _Toc59461237 \h </w:instrText>
            </w:r>
            <w:r>
              <w:fldChar w:fldCharType="separate"/>
            </w:r>
            <w:r>
              <w:t>1</w:t>
            </w:r>
            <w:r>
              <w:fldChar w:fldCharType="end"/>
            </w:r>
          </w:hyperlink>
        </w:p>
        <w:p w:rsidR="00831BE9" w:rsidRDefault="00CC4D20">
          <w:pPr>
            <w:pStyle w:val="TOC2"/>
            <w:tabs>
              <w:tab w:val="left" w:pos="880"/>
              <w:tab w:val="right" w:leader="dot" w:pos="9350"/>
            </w:tabs>
            <w:rPr>
              <w:rFonts w:asciiTheme="minorHAnsi" w:eastAsiaTheme="minorEastAsia" w:hAnsiTheme="minorHAnsi"/>
              <w:sz w:val="22"/>
            </w:rPr>
          </w:pPr>
          <w:hyperlink w:anchor="_Toc59461238" w:history="1">
            <w:r>
              <w:rPr>
                <w:rStyle w:val="Hyperlink"/>
              </w:rPr>
              <w:t>1.1</w:t>
            </w:r>
            <w:r>
              <w:rPr>
                <w:rFonts w:asciiTheme="minorHAnsi" w:eastAsiaTheme="minorEastAsia" w:hAnsiTheme="minorHAnsi"/>
                <w:sz w:val="22"/>
              </w:rPr>
              <w:tab/>
            </w:r>
            <w:r>
              <w:rPr>
                <w:rStyle w:val="Hyperlink"/>
              </w:rPr>
              <w:t>Introduction to Credit Risk:</w:t>
            </w:r>
            <w:r>
              <w:tab/>
            </w:r>
            <w:r>
              <w:fldChar w:fldCharType="begin"/>
            </w:r>
            <w:r>
              <w:instrText xml:space="preserve"> PAGEREF _Toc59461238 \h </w:instrText>
            </w:r>
            <w:r>
              <w:fldChar w:fldCharType="separate"/>
            </w:r>
            <w:r>
              <w:t>1</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39" w:history="1">
            <w:r>
              <w:rPr>
                <w:rStyle w:val="Hyperlink"/>
              </w:rPr>
              <w:t>1.2 Objectives of Project:</w:t>
            </w:r>
            <w:r>
              <w:tab/>
            </w:r>
            <w:r>
              <w:fldChar w:fldCharType="begin"/>
            </w:r>
            <w:r>
              <w:instrText xml:space="preserve"> PAGEREF _Toc59461239 \h </w:instrText>
            </w:r>
            <w:r>
              <w:fldChar w:fldCharType="separate"/>
            </w:r>
            <w:r>
              <w:t>2</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40" w:history="1">
            <w:r>
              <w:rPr>
                <w:rStyle w:val="Hyperlink"/>
              </w:rPr>
              <w:t>1.3 Meth</w:t>
            </w:r>
            <w:r>
              <w:rPr>
                <w:rStyle w:val="Hyperlink"/>
              </w:rPr>
              <w:t>odology of the study:</w:t>
            </w:r>
            <w:r>
              <w:tab/>
            </w:r>
            <w:r>
              <w:fldChar w:fldCharType="begin"/>
            </w:r>
            <w:r>
              <w:instrText xml:space="preserve"> PAGEREF _Toc59461240 \h </w:instrText>
            </w:r>
            <w:r>
              <w:fldChar w:fldCharType="separate"/>
            </w:r>
            <w:r>
              <w:t>3</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41" w:history="1">
            <w:r>
              <w:rPr>
                <w:rStyle w:val="Hyperlink"/>
              </w:rPr>
              <w:t>1.4 Limitation:</w:t>
            </w:r>
            <w:r>
              <w:tab/>
            </w:r>
            <w:r>
              <w:fldChar w:fldCharType="begin"/>
            </w:r>
            <w:r>
              <w:instrText xml:space="preserve"> PAGEREF _Toc59461241 \h </w:instrText>
            </w:r>
            <w:r>
              <w:fldChar w:fldCharType="separate"/>
            </w:r>
            <w:r>
              <w:t>3</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42" w:history="1">
            <w:r>
              <w:rPr>
                <w:rStyle w:val="Hyperlink"/>
              </w:rPr>
              <w:t>2. Literature Review</w:t>
            </w:r>
            <w:r>
              <w:tab/>
            </w:r>
            <w:r>
              <w:fldChar w:fldCharType="begin"/>
            </w:r>
            <w:r>
              <w:instrText xml:space="preserve"> PAGEREF _Toc59461242 \h </w:instrText>
            </w:r>
            <w:r>
              <w:fldChar w:fldCharType="separate"/>
            </w:r>
            <w:r>
              <w:t>4</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43" w:history="1">
            <w:r>
              <w:rPr>
                <w:rStyle w:val="Hyperlink"/>
              </w:rPr>
              <w:t>3.1 Tools for Credit Risk Management</w:t>
            </w:r>
            <w:r>
              <w:tab/>
            </w:r>
            <w:r>
              <w:fldChar w:fldCharType="begin"/>
            </w:r>
            <w:r>
              <w:instrText xml:space="preserve"> PAGEREF _Toc59461243 \h </w:instrText>
            </w:r>
            <w:r>
              <w:fldChar w:fldCharType="separate"/>
            </w:r>
            <w:r>
              <w:t>7</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44" w:history="1">
            <w:r>
              <w:rPr>
                <w:rStyle w:val="Hyperlink"/>
              </w:rPr>
              <w:t>3.2Policy guidelines on Credit Risk Management:</w:t>
            </w:r>
            <w:r>
              <w:tab/>
            </w:r>
            <w:r>
              <w:fldChar w:fldCharType="begin"/>
            </w:r>
            <w:r>
              <w:instrText xml:space="preserve"> PAGEREF _Toc59461244 \h </w:instrText>
            </w:r>
            <w:r>
              <w:fldChar w:fldCharType="separate"/>
            </w:r>
            <w:r>
              <w:t>8</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45" w:history="1">
            <w:r>
              <w:rPr>
                <w:rStyle w:val="Hyperlink"/>
              </w:rPr>
              <w:t>4.0 Analysis &amp; Findings</w:t>
            </w:r>
            <w:r>
              <w:tab/>
            </w:r>
            <w:r>
              <w:fldChar w:fldCharType="begin"/>
            </w:r>
            <w:r>
              <w:instrText xml:space="preserve"> PAGEREF _Toc59461245 \h </w:instrText>
            </w:r>
            <w:r>
              <w:fldChar w:fldCharType="separate"/>
            </w:r>
            <w:r>
              <w:t>9</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46" w:history="1">
            <w:r>
              <w:rPr>
                <w:rStyle w:val="Hyperlink"/>
              </w:rPr>
              <w:t>4.1 Analysis:</w:t>
            </w:r>
            <w:r>
              <w:tab/>
            </w:r>
            <w:r>
              <w:fldChar w:fldCharType="begin"/>
            </w:r>
            <w:r>
              <w:instrText xml:space="preserve"> PAGEREF _Toc59461246 \h </w:instrText>
            </w:r>
            <w:r>
              <w:fldChar w:fldCharType="separate"/>
            </w:r>
            <w:r>
              <w:t>9</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47" w:history="1">
            <w:r>
              <w:rPr>
                <w:rStyle w:val="Hyperlink"/>
              </w:rPr>
              <w:t>4.2 Findings</w:t>
            </w:r>
            <w:r>
              <w:tab/>
            </w:r>
            <w:r>
              <w:fldChar w:fldCharType="begin"/>
            </w:r>
            <w:r>
              <w:instrText xml:space="preserve"> PAGEREF _Toc59461247 \h </w:instrText>
            </w:r>
            <w:r>
              <w:fldChar w:fldCharType="separate"/>
            </w:r>
            <w:r>
              <w:t>52</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48" w:history="1">
            <w:r>
              <w:rPr>
                <w:rStyle w:val="Hyperlink"/>
              </w:rPr>
              <w:t>5.0 Recommendations &amp; Conclusion to the study</w:t>
            </w:r>
            <w:r>
              <w:tab/>
            </w:r>
            <w:r>
              <w:fldChar w:fldCharType="begin"/>
            </w:r>
            <w:r>
              <w:instrText xml:space="preserve"> PAGEREF _Toc59461248 </w:instrText>
            </w:r>
            <w:r>
              <w:instrText xml:space="preserve">\h </w:instrText>
            </w:r>
            <w:r>
              <w:fldChar w:fldCharType="separate"/>
            </w:r>
            <w:r>
              <w:t>53</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49" w:history="1">
            <w:r>
              <w:rPr>
                <w:rStyle w:val="Hyperlink"/>
              </w:rPr>
              <w:t>5.1 Recommendations</w:t>
            </w:r>
            <w:r>
              <w:tab/>
            </w:r>
            <w:r>
              <w:fldChar w:fldCharType="begin"/>
            </w:r>
            <w:r>
              <w:instrText xml:space="preserve"> PAGEREF _Toc59461249 \h </w:instrText>
            </w:r>
            <w:r>
              <w:fldChar w:fldCharType="separate"/>
            </w:r>
            <w:r>
              <w:t>53</w:t>
            </w:r>
            <w:r>
              <w:fldChar w:fldCharType="end"/>
            </w:r>
          </w:hyperlink>
        </w:p>
        <w:p w:rsidR="00831BE9" w:rsidRDefault="00CC4D20">
          <w:pPr>
            <w:pStyle w:val="TOC2"/>
            <w:tabs>
              <w:tab w:val="right" w:leader="dot" w:pos="9350"/>
            </w:tabs>
            <w:rPr>
              <w:rFonts w:asciiTheme="minorHAnsi" w:eastAsiaTheme="minorEastAsia" w:hAnsiTheme="minorHAnsi"/>
              <w:sz w:val="22"/>
            </w:rPr>
          </w:pPr>
          <w:hyperlink w:anchor="_Toc59461250" w:history="1">
            <w:r>
              <w:rPr>
                <w:rStyle w:val="Hyperlink"/>
              </w:rPr>
              <w:t>5.2 Co</w:t>
            </w:r>
            <w:r>
              <w:rPr>
                <w:rStyle w:val="Hyperlink"/>
              </w:rPr>
              <w:t>nclusion</w:t>
            </w:r>
            <w:r>
              <w:tab/>
            </w:r>
            <w:r>
              <w:fldChar w:fldCharType="begin"/>
            </w:r>
            <w:r>
              <w:instrText xml:space="preserve"> PAGEREF _Toc59461250 \h </w:instrText>
            </w:r>
            <w:r>
              <w:fldChar w:fldCharType="separate"/>
            </w:r>
            <w:r>
              <w:t>54</w:t>
            </w:r>
            <w:r>
              <w:fldChar w:fldCharType="end"/>
            </w:r>
          </w:hyperlink>
        </w:p>
        <w:p w:rsidR="00831BE9" w:rsidRDefault="00CC4D20">
          <w:pPr>
            <w:pStyle w:val="TOC1"/>
            <w:tabs>
              <w:tab w:val="right" w:leader="dot" w:pos="9350"/>
            </w:tabs>
            <w:rPr>
              <w:rFonts w:asciiTheme="minorHAnsi" w:eastAsiaTheme="minorEastAsia" w:hAnsiTheme="minorHAnsi"/>
              <w:sz w:val="22"/>
            </w:rPr>
          </w:pPr>
          <w:hyperlink w:anchor="_Toc59461251" w:history="1">
            <w:r>
              <w:rPr>
                <w:rStyle w:val="Hyperlink"/>
              </w:rPr>
              <w:t>6.0 Reference</w:t>
            </w:r>
            <w:r>
              <w:tab/>
            </w:r>
            <w:r>
              <w:fldChar w:fldCharType="begin"/>
            </w:r>
            <w:r>
              <w:instrText xml:space="preserve"> PAGEREF _Toc59461251 \h </w:instrText>
            </w:r>
            <w:r>
              <w:fldChar w:fldCharType="separate"/>
            </w:r>
            <w:r>
              <w:t>55</w:t>
            </w:r>
            <w:r>
              <w:fldChar w:fldCharType="end"/>
            </w:r>
          </w:hyperlink>
        </w:p>
        <w:p w:rsidR="00831BE9" w:rsidRDefault="00CC4D20">
          <w:pPr>
            <w:rPr>
              <w:b/>
              <w:bCs/>
            </w:rPr>
          </w:pPr>
          <w:r>
            <w:rPr>
              <w:b/>
              <w:bCs/>
            </w:rPr>
            <w:fldChar w:fldCharType="end"/>
          </w:r>
        </w:p>
      </w:sdtContent>
    </w:sdt>
    <w:p w:rsidR="00831BE9" w:rsidRDefault="00831BE9"/>
    <w:p w:rsidR="00831BE9" w:rsidRDefault="00831BE9"/>
    <w:p w:rsidR="00831BE9" w:rsidRDefault="00831BE9"/>
    <w:p w:rsidR="00831BE9" w:rsidRDefault="00831BE9"/>
    <w:p w:rsidR="00831BE9" w:rsidRDefault="00831BE9"/>
    <w:p w:rsidR="00831BE9" w:rsidRDefault="00831BE9"/>
    <w:p w:rsidR="00831BE9" w:rsidRDefault="00831BE9"/>
    <w:p w:rsidR="00831BE9" w:rsidRDefault="00831BE9"/>
    <w:p w:rsidR="00831BE9" w:rsidRDefault="00831BE9"/>
    <w:p w:rsidR="00831BE9" w:rsidRDefault="00831BE9"/>
    <w:p w:rsidR="00831BE9" w:rsidRDefault="00831BE9">
      <w:pPr>
        <w:sectPr w:rsidR="00831BE9">
          <w:headerReference w:type="default" r:id="rId11"/>
          <w:pgSz w:w="12240" w:h="15840"/>
          <w:pgMar w:top="1440" w:right="1440" w:bottom="1440" w:left="1440" w:header="720" w:footer="720" w:gutter="0"/>
          <w:pgNumType w:fmt="upperRoman" w:start="1"/>
          <w:cols w:space="720"/>
          <w:docGrid w:linePitch="360"/>
        </w:sectPr>
      </w:pPr>
    </w:p>
    <w:p w:rsidR="00831BE9" w:rsidRDefault="00CC4D20">
      <w:pPr>
        <w:pStyle w:val="Heading1"/>
        <w:numPr>
          <w:ilvl w:val="0"/>
          <w:numId w:val="0"/>
        </w:numPr>
        <w:ind w:left="720"/>
        <w:jc w:val="center"/>
      </w:pPr>
      <w:bookmarkStart w:id="5" w:name="_Toc59461237"/>
      <w:r>
        <w:lastRenderedPageBreak/>
        <w:t>1 Introduction</w:t>
      </w:r>
      <w:bookmarkEnd w:id="5"/>
      <w:r>
        <w:t xml:space="preserve"> </w:t>
      </w:r>
    </w:p>
    <w:p w:rsidR="00831BE9" w:rsidRDefault="00CC4D20">
      <w:pPr>
        <w:pStyle w:val="ListParagraph"/>
        <w:tabs>
          <w:tab w:val="left" w:pos="3722"/>
        </w:tabs>
        <w:autoSpaceDE w:val="0"/>
        <w:autoSpaceDN w:val="0"/>
        <w:adjustRightInd w:val="0"/>
        <w:spacing w:line="360" w:lineRule="auto"/>
        <w:ind w:left="360"/>
        <w:rPr>
          <w:rFonts w:cs="Arial"/>
          <w:szCs w:val="24"/>
        </w:rPr>
      </w:pPr>
      <w:r>
        <w:rPr>
          <w:rFonts w:cs="Arial"/>
          <w:szCs w:val="24"/>
        </w:rPr>
        <w:tab/>
      </w:r>
    </w:p>
    <w:p w:rsidR="00831BE9" w:rsidRDefault="00CC4D20">
      <w:pPr>
        <w:pStyle w:val="Heading2"/>
        <w:numPr>
          <w:ilvl w:val="1"/>
          <w:numId w:val="2"/>
        </w:numPr>
      </w:pPr>
      <w:bookmarkStart w:id="6" w:name="_Toc59461238"/>
      <w:r>
        <w:t>Introduction to Credit Risk:</w:t>
      </w:r>
      <w:bookmarkEnd w:id="6"/>
    </w:p>
    <w:p w:rsidR="00831BE9" w:rsidRDefault="00CC4D20">
      <w:r>
        <w:t xml:space="preserve"> </w:t>
      </w:r>
    </w:p>
    <w:p w:rsidR="00831BE9" w:rsidRDefault="00CC4D20">
      <w:pPr>
        <w:pStyle w:val="ListParagraph"/>
        <w:autoSpaceDE w:val="0"/>
        <w:autoSpaceDN w:val="0"/>
        <w:adjustRightInd w:val="0"/>
        <w:spacing w:line="360" w:lineRule="auto"/>
        <w:ind w:left="360"/>
        <w:rPr>
          <w:rFonts w:cs="Arial"/>
          <w:szCs w:val="24"/>
        </w:rPr>
      </w:pPr>
      <w:r>
        <w:rPr>
          <w:rFonts w:cs="Arial"/>
          <w:szCs w:val="24"/>
        </w:rPr>
        <w:t xml:space="preserve">The most important sector of any economy is bank. It plays a vital role for any economy. An economy depends on the greater extent of development of banking sector. Day by day it is </w:t>
      </w:r>
      <w:r>
        <w:rPr>
          <w:rFonts w:cs="Arial"/>
          <w:szCs w:val="24"/>
        </w:rPr>
        <w:t>increasing. The role of banking sector has been changed because of expanding of banking sector. Now it is more complicated. Now a day’s loan is given by banks as a form of important capital that is called credit risk. Credit risk is the main headache of an</w:t>
      </w:r>
      <w:r>
        <w:rPr>
          <w:rFonts w:cs="Arial"/>
          <w:szCs w:val="24"/>
        </w:rPr>
        <w:t>y banks and its management also.</w:t>
      </w:r>
    </w:p>
    <w:p w:rsidR="00831BE9" w:rsidRDefault="00831BE9">
      <w:pPr>
        <w:pStyle w:val="ListParagraph"/>
        <w:autoSpaceDE w:val="0"/>
        <w:autoSpaceDN w:val="0"/>
        <w:adjustRightInd w:val="0"/>
        <w:spacing w:line="360" w:lineRule="auto"/>
        <w:ind w:left="360"/>
        <w:rPr>
          <w:rFonts w:cs="Arial"/>
          <w:szCs w:val="24"/>
        </w:rPr>
      </w:pPr>
    </w:p>
    <w:p w:rsidR="00831BE9" w:rsidRDefault="00CC4D20">
      <w:pPr>
        <w:pStyle w:val="ListParagraph"/>
        <w:autoSpaceDE w:val="0"/>
        <w:autoSpaceDN w:val="0"/>
        <w:adjustRightInd w:val="0"/>
        <w:spacing w:line="360" w:lineRule="auto"/>
        <w:ind w:left="360"/>
        <w:rPr>
          <w:rFonts w:cs="Arial"/>
          <w:szCs w:val="24"/>
        </w:rPr>
      </w:pPr>
      <w:r>
        <w:rPr>
          <w:rFonts w:cs="Arial"/>
          <w:szCs w:val="24"/>
        </w:rPr>
        <w:t>The most important department in every bank is credit department because high risk is over there. Every bank tries to balance between risk and return. Risk means the chances of loss something and ambiguity. To reduce the r</w:t>
      </w:r>
      <w:r>
        <w:rPr>
          <w:rFonts w:cs="Arial"/>
          <w:szCs w:val="24"/>
        </w:rPr>
        <w:t>isk the bank center follows some procedure or framework for dealing with the risk that is called credit balance administration process.</w:t>
      </w:r>
    </w:p>
    <w:p w:rsidR="00831BE9" w:rsidRDefault="00CC4D20">
      <w:pPr>
        <w:pStyle w:val="ListParagraph"/>
        <w:autoSpaceDE w:val="0"/>
        <w:autoSpaceDN w:val="0"/>
        <w:adjustRightInd w:val="0"/>
        <w:spacing w:line="360" w:lineRule="auto"/>
        <w:ind w:left="360"/>
        <w:rPr>
          <w:rFonts w:cs="Arial"/>
          <w:szCs w:val="24"/>
        </w:rPr>
      </w:pPr>
      <w:r>
        <w:rPr>
          <w:rFonts w:cs="Arial"/>
          <w:szCs w:val="24"/>
        </w:rPr>
        <w:t>By value enhancement firms can reduce risk management. There are three sources that can increase by value enhancement.</w:t>
      </w:r>
    </w:p>
    <w:p w:rsidR="00831BE9" w:rsidRDefault="00CC4D20">
      <w:pPr>
        <w:pStyle w:val="ListParagraph"/>
        <w:numPr>
          <w:ilvl w:val="0"/>
          <w:numId w:val="3"/>
        </w:numPr>
        <w:autoSpaceDE w:val="0"/>
        <w:autoSpaceDN w:val="0"/>
        <w:adjustRightInd w:val="0"/>
        <w:spacing w:line="360" w:lineRule="auto"/>
        <w:rPr>
          <w:rFonts w:cs="Arial"/>
          <w:szCs w:val="24"/>
        </w:rPr>
      </w:pPr>
      <w:r>
        <w:rPr>
          <w:rFonts w:cs="Arial"/>
          <w:szCs w:val="24"/>
        </w:rPr>
        <w:t>B</w:t>
      </w:r>
      <w:r>
        <w:rPr>
          <w:rFonts w:cs="Arial"/>
          <w:szCs w:val="24"/>
        </w:rPr>
        <w:t>y decreasing the cost of financial losses</w:t>
      </w:r>
    </w:p>
    <w:p w:rsidR="00831BE9" w:rsidRDefault="00CC4D20">
      <w:pPr>
        <w:pStyle w:val="ListParagraph"/>
        <w:numPr>
          <w:ilvl w:val="0"/>
          <w:numId w:val="3"/>
        </w:numPr>
        <w:autoSpaceDE w:val="0"/>
        <w:autoSpaceDN w:val="0"/>
        <w:adjustRightInd w:val="0"/>
        <w:spacing w:line="360" w:lineRule="auto"/>
        <w:rPr>
          <w:rFonts w:cs="Arial"/>
          <w:szCs w:val="24"/>
        </w:rPr>
      </w:pPr>
      <w:r>
        <w:rPr>
          <w:rFonts w:cs="Arial"/>
          <w:szCs w:val="24"/>
        </w:rPr>
        <w:t>By reducing taxes</w:t>
      </w:r>
    </w:p>
    <w:p w:rsidR="00831BE9" w:rsidRDefault="00CC4D20">
      <w:pPr>
        <w:pStyle w:val="ListParagraph"/>
        <w:numPr>
          <w:ilvl w:val="0"/>
          <w:numId w:val="3"/>
        </w:numPr>
        <w:autoSpaceDE w:val="0"/>
        <w:autoSpaceDN w:val="0"/>
        <w:adjustRightInd w:val="0"/>
        <w:spacing w:line="360" w:lineRule="auto"/>
        <w:rPr>
          <w:rFonts w:cs="Arial"/>
          <w:szCs w:val="24"/>
        </w:rPr>
      </w:pPr>
      <w:r>
        <w:rPr>
          <w:rFonts w:cs="Arial"/>
          <w:szCs w:val="24"/>
        </w:rPr>
        <w:t>By keeping positive NPV project</w:t>
      </w:r>
    </w:p>
    <w:p w:rsidR="00831BE9" w:rsidRDefault="00CC4D20">
      <w:pPr>
        <w:autoSpaceDE w:val="0"/>
        <w:autoSpaceDN w:val="0"/>
        <w:adjustRightInd w:val="0"/>
        <w:spacing w:line="360" w:lineRule="auto"/>
        <w:rPr>
          <w:rFonts w:cs="Arial"/>
          <w:szCs w:val="24"/>
        </w:rPr>
      </w:pPr>
      <w:r>
        <w:rPr>
          <w:rFonts w:cs="Arial"/>
          <w:szCs w:val="24"/>
        </w:rPr>
        <w:t xml:space="preserve">     Commercial banks have some functions for extending credit. For economic growth there should be proper financing. For proper financing lending is more important</w:t>
      </w:r>
      <w:r>
        <w:rPr>
          <w:rFonts w:cs="Arial"/>
          <w:szCs w:val="24"/>
        </w:rPr>
        <w:t xml:space="preserve"> for banks. By lending money to people, they can generate more profit through interest.</w:t>
      </w:r>
    </w:p>
    <w:p w:rsidR="00831BE9" w:rsidRDefault="00CC4D20">
      <w:pPr>
        <w:autoSpaceDE w:val="0"/>
        <w:autoSpaceDN w:val="0"/>
        <w:adjustRightInd w:val="0"/>
        <w:spacing w:line="360" w:lineRule="auto"/>
        <w:rPr>
          <w:rFonts w:cs="Arial"/>
          <w:szCs w:val="24"/>
        </w:rPr>
      </w:pPr>
      <w:r>
        <w:rPr>
          <w:rFonts w:cs="Arial"/>
          <w:szCs w:val="24"/>
        </w:rPr>
        <w:t>The proper risk management is important for any banks to stay in the long run in the market. Those banks can only stay and survive in the market who has efficient credi</w:t>
      </w:r>
      <w:r>
        <w:rPr>
          <w:rFonts w:cs="Arial"/>
          <w:szCs w:val="24"/>
        </w:rPr>
        <w:t>t risk management.</w:t>
      </w:r>
    </w:p>
    <w:p w:rsidR="00831BE9" w:rsidRDefault="00CC4D20">
      <w:pPr>
        <w:autoSpaceDE w:val="0"/>
        <w:autoSpaceDN w:val="0"/>
        <w:adjustRightInd w:val="0"/>
        <w:spacing w:line="360" w:lineRule="auto"/>
        <w:rPr>
          <w:rFonts w:cs="Arial"/>
          <w:szCs w:val="24"/>
        </w:rPr>
      </w:pPr>
      <w:r>
        <w:rPr>
          <w:rFonts w:cs="Arial"/>
          <w:szCs w:val="24"/>
        </w:rPr>
        <w:lastRenderedPageBreak/>
        <w:t xml:space="preserve">      There are 56 banks in Bangladesh among them four are state owned commercial   bank, financial institutions are four, private commercial banks are 39 and 9 are foreign commercial banks.</w:t>
      </w:r>
    </w:p>
    <w:p w:rsidR="00831BE9" w:rsidRDefault="00831BE9">
      <w:pPr>
        <w:autoSpaceDE w:val="0"/>
        <w:autoSpaceDN w:val="0"/>
        <w:adjustRightInd w:val="0"/>
        <w:spacing w:line="360" w:lineRule="auto"/>
        <w:rPr>
          <w:rFonts w:cs="Arial"/>
          <w:szCs w:val="24"/>
        </w:rPr>
      </w:pPr>
    </w:p>
    <w:p w:rsidR="00831BE9" w:rsidRDefault="00CC4D20">
      <w:pPr>
        <w:autoSpaceDE w:val="0"/>
        <w:autoSpaceDN w:val="0"/>
        <w:adjustRightInd w:val="0"/>
        <w:spacing w:line="360" w:lineRule="auto"/>
        <w:rPr>
          <w:rFonts w:cs="Arial"/>
          <w:szCs w:val="24"/>
        </w:rPr>
      </w:pPr>
      <w:r>
        <w:rPr>
          <w:rFonts w:cs="Arial"/>
          <w:szCs w:val="24"/>
        </w:rPr>
        <w:t xml:space="preserve">      The risk is always beard in banking sec</w:t>
      </w:r>
      <w:r>
        <w:rPr>
          <w:rFonts w:cs="Arial"/>
          <w:szCs w:val="24"/>
        </w:rPr>
        <w:t xml:space="preserve">tor by bankers. There are some objectives. If      bankers follow this objective, they can manage their risk. There are core risks management guidelines are there to obtain the objectives. There are five guidelines there that are issued by Bangladesh Bank </w:t>
      </w:r>
      <w:r>
        <w:rPr>
          <w:rFonts w:cs="Arial"/>
          <w:szCs w:val="24"/>
        </w:rPr>
        <w:t>(BB).</w:t>
      </w:r>
    </w:p>
    <w:p w:rsidR="00831BE9" w:rsidRDefault="00831BE9">
      <w:pPr>
        <w:autoSpaceDE w:val="0"/>
        <w:autoSpaceDN w:val="0"/>
        <w:adjustRightInd w:val="0"/>
        <w:spacing w:line="360" w:lineRule="auto"/>
        <w:rPr>
          <w:rFonts w:cs="Arial"/>
          <w:szCs w:val="24"/>
        </w:rPr>
      </w:pPr>
    </w:p>
    <w:p w:rsidR="00831BE9" w:rsidRDefault="00CC4D20">
      <w:pPr>
        <w:pStyle w:val="ListParagraph"/>
        <w:numPr>
          <w:ilvl w:val="0"/>
          <w:numId w:val="4"/>
        </w:numPr>
        <w:autoSpaceDE w:val="0"/>
        <w:autoSpaceDN w:val="0"/>
        <w:adjustRightInd w:val="0"/>
        <w:spacing w:line="360" w:lineRule="auto"/>
        <w:rPr>
          <w:rFonts w:cs="Arial"/>
          <w:szCs w:val="24"/>
        </w:rPr>
      </w:pPr>
      <w:r>
        <w:rPr>
          <w:rFonts w:cs="Arial"/>
          <w:szCs w:val="24"/>
        </w:rPr>
        <w:t>Credit Risk</w:t>
      </w:r>
    </w:p>
    <w:p w:rsidR="00831BE9" w:rsidRDefault="00CC4D20">
      <w:pPr>
        <w:pStyle w:val="ListParagraph"/>
        <w:numPr>
          <w:ilvl w:val="0"/>
          <w:numId w:val="4"/>
        </w:numPr>
        <w:autoSpaceDE w:val="0"/>
        <w:autoSpaceDN w:val="0"/>
        <w:adjustRightInd w:val="0"/>
        <w:spacing w:line="360" w:lineRule="auto"/>
        <w:rPr>
          <w:rFonts w:cs="Arial"/>
          <w:szCs w:val="24"/>
        </w:rPr>
      </w:pPr>
      <w:r>
        <w:rPr>
          <w:rFonts w:cs="Arial"/>
          <w:szCs w:val="24"/>
        </w:rPr>
        <w:t>Asset and liability/ Balance Sheet Risks</w:t>
      </w:r>
    </w:p>
    <w:p w:rsidR="00831BE9" w:rsidRDefault="00CC4D20">
      <w:pPr>
        <w:pStyle w:val="ListParagraph"/>
        <w:numPr>
          <w:ilvl w:val="0"/>
          <w:numId w:val="4"/>
        </w:numPr>
        <w:autoSpaceDE w:val="0"/>
        <w:autoSpaceDN w:val="0"/>
        <w:adjustRightInd w:val="0"/>
        <w:spacing w:line="360" w:lineRule="auto"/>
        <w:rPr>
          <w:rFonts w:cs="Arial"/>
          <w:szCs w:val="24"/>
        </w:rPr>
      </w:pPr>
      <w:r>
        <w:rPr>
          <w:rFonts w:cs="Arial"/>
          <w:szCs w:val="24"/>
        </w:rPr>
        <w:t>Internal Control&amp; Compliance Risks</w:t>
      </w:r>
    </w:p>
    <w:p w:rsidR="00831BE9" w:rsidRDefault="00CC4D20">
      <w:pPr>
        <w:pStyle w:val="ListParagraph"/>
        <w:numPr>
          <w:ilvl w:val="0"/>
          <w:numId w:val="4"/>
        </w:numPr>
        <w:autoSpaceDE w:val="0"/>
        <w:autoSpaceDN w:val="0"/>
        <w:adjustRightInd w:val="0"/>
        <w:spacing w:line="360" w:lineRule="auto"/>
        <w:rPr>
          <w:rFonts w:cs="Arial"/>
          <w:szCs w:val="24"/>
        </w:rPr>
      </w:pPr>
      <w:r>
        <w:rPr>
          <w:rFonts w:cs="Arial"/>
          <w:szCs w:val="24"/>
        </w:rPr>
        <w:t>Money Laundering Risks</w:t>
      </w:r>
    </w:p>
    <w:p w:rsidR="00831BE9" w:rsidRDefault="00CC4D20">
      <w:pPr>
        <w:pStyle w:val="ListParagraph"/>
        <w:numPr>
          <w:ilvl w:val="0"/>
          <w:numId w:val="4"/>
        </w:numPr>
        <w:autoSpaceDE w:val="0"/>
        <w:autoSpaceDN w:val="0"/>
        <w:adjustRightInd w:val="0"/>
        <w:spacing w:line="360" w:lineRule="auto"/>
        <w:rPr>
          <w:rFonts w:cs="Arial"/>
          <w:szCs w:val="24"/>
        </w:rPr>
      </w:pPr>
      <w:r>
        <w:rPr>
          <w:rFonts w:cs="Arial"/>
          <w:szCs w:val="24"/>
        </w:rPr>
        <w:t>Foreign Exchange Risks</w:t>
      </w:r>
    </w:p>
    <w:p w:rsidR="00831BE9" w:rsidRDefault="00831BE9">
      <w:pPr>
        <w:autoSpaceDE w:val="0"/>
        <w:autoSpaceDN w:val="0"/>
        <w:adjustRightInd w:val="0"/>
        <w:spacing w:line="360" w:lineRule="auto"/>
        <w:jc w:val="center"/>
        <w:rPr>
          <w:rFonts w:cs="Arial"/>
          <w:szCs w:val="24"/>
        </w:rPr>
      </w:pPr>
    </w:p>
    <w:p w:rsidR="00831BE9" w:rsidRDefault="00CC4D20">
      <w:pPr>
        <w:tabs>
          <w:tab w:val="left" w:pos="1309"/>
        </w:tabs>
        <w:autoSpaceDE w:val="0"/>
        <w:autoSpaceDN w:val="0"/>
        <w:adjustRightInd w:val="0"/>
        <w:spacing w:line="360" w:lineRule="auto"/>
        <w:rPr>
          <w:rFonts w:cs="Arial"/>
          <w:b/>
          <w:szCs w:val="24"/>
        </w:rPr>
      </w:pPr>
      <w:r>
        <w:rPr>
          <w:rFonts w:cs="Arial"/>
          <w:b/>
          <w:szCs w:val="24"/>
        </w:rPr>
        <w:tab/>
      </w:r>
    </w:p>
    <w:p w:rsidR="00831BE9" w:rsidRDefault="00CC4D20">
      <w:pPr>
        <w:pStyle w:val="Heading2"/>
      </w:pPr>
      <w:bookmarkStart w:id="7" w:name="_Toc59461239"/>
      <w:r>
        <w:t>1.2 Objectives of Project:</w:t>
      </w:r>
      <w:bookmarkEnd w:id="7"/>
    </w:p>
    <w:p w:rsidR="00831BE9" w:rsidRDefault="00CC4D20">
      <w:pPr>
        <w:spacing w:line="360" w:lineRule="auto"/>
        <w:rPr>
          <w:rFonts w:cs="Arial"/>
          <w:szCs w:val="24"/>
        </w:rPr>
      </w:pPr>
      <w:r>
        <w:rPr>
          <w:rFonts w:cs="Arial"/>
          <w:szCs w:val="24"/>
        </w:rPr>
        <w:t xml:space="preserve">The main objectives of this study are to identify how commercial banks are efficient </w:t>
      </w:r>
      <w:r>
        <w:rPr>
          <w:rFonts w:cs="Arial"/>
          <w:szCs w:val="24"/>
        </w:rPr>
        <w:t>in credit risk management. There are some other objectives are given below:</w:t>
      </w:r>
    </w:p>
    <w:p w:rsidR="00831BE9" w:rsidRDefault="00CC4D20">
      <w:pPr>
        <w:spacing w:line="360" w:lineRule="auto"/>
        <w:rPr>
          <w:rFonts w:cs="Arial"/>
          <w:szCs w:val="24"/>
        </w:rPr>
      </w:pPr>
      <w:r>
        <w:rPr>
          <w:rFonts w:cs="Arial"/>
          <w:szCs w:val="24"/>
        </w:rPr>
        <w:t>Broad Objective:</w:t>
      </w:r>
    </w:p>
    <w:p w:rsidR="00831BE9" w:rsidRDefault="00CC4D20">
      <w:pPr>
        <w:pStyle w:val="ListParagraph"/>
        <w:numPr>
          <w:ilvl w:val="0"/>
          <w:numId w:val="5"/>
        </w:numPr>
        <w:spacing w:line="360" w:lineRule="auto"/>
        <w:rPr>
          <w:rFonts w:cs="Arial"/>
          <w:szCs w:val="24"/>
        </w:rPr>
      </w:pPr>
      <w:r>
        <w:rPr>
          <w:rFonts w:cs="Arial"/>
          <w:szCs w:val="24"/>
        </w:rPr>
        <w:t>To get to know about the credit procedure and risk management</w:t>
      </w:r>
    </w:p>
    <w:p w:rsidR="00831BE9" w:rsidRDefault="00CC4D20">
      <w:pPr>
        <w:spacing w:line="360" w:lineRule="auto"/>
        <w:rPr>
          <w:rFonts w:cs="Arial"/>
          <w:szCs w:val="24"/>
        </w:rPr>
      </w:pPr>
      <w:r>
        <w:rPr>
          <w:rFonts w:cs="Arial"/>
          <w:szCs w:val="24"/>
        </w:rPr>
        <w:t>Specific Objective:</w:t>
      </w:r>
    </w:p>
    <w:p w:rsidR="00831BE9" w:rsidRDefault="00CC4D20">
      <w:pPr>
        <w:pStyle w:val="ListParagraph"/>
        <w:numPr>
          <w:ilvl w:val="0"/>
          <w:numId w:val="5"/>
        </w:numPr>
        <w:spacing w:line="360" w:lineRule="auto"/>
        <w:rPr>
          <w:rFonts w:cs="Arial"/>
          <w:szCs w:val="24"/>
        </w:rPr>
      </w:pPr>
      <w:r>
        <w:rPr>
          <w:rFonts w:cs="Arial"/>
          <w:szCs w:val="24"/>
        </w:rPr>
        <w:t xml:space="preserve">To know the credit risk faced by some banks </w:t>
      </w:r>
    </w:p>
    <w:p w:rsidR="00831BE9" w:rsidRDefault="00CC4D20">
      <w:pPr>
        <w:pStyle w:val="ListParagraph"/>
        <w:numPr>
          <w:ilvl w:val="0"/>
          <w:numId w:val="5"/>
        </w:numPr>
        <w:spacing w:line="360" w:lineRule="auto"/>
        <w:rPr>
          <w:rFonts w:cs="Arial"/>
          <w:szCs w:val="24"/>
        </w:rPr>
      </w:pPr>
      <w:r>
        <w:rPr>
          <w:rFonts w:cs="Arial"/>
          <w:szCs w:val="24"/>
        </w:rPr>
        <w:t>To evaluate the credit risk manageme</w:t>
      </w:r>
      <w:r>
        <w:rPr>
          <w:rFonts w:cs="Arial"/>
          <w:szCs w:val="24"/>
        </w:rPr>
        <w:t>nt of commercial banks</w:t>
      </w:r>
    </w:p>
    <w:p w:rsidR="00831BE9" w:rsidRDefault="00CC4D20">
      <w:pPr>
        <w:pStyle w:val="ListParagraph"/>
        <w:numPr>
          <w:ilvl w:val="0"/>
          <w:numId w:val="5"/>
        </w:numPr>
        <w:spacing w:line="360" w:lineRule="auto"/>
        <w:rPr>
          <w:rFonts w:cs="Arial"/>
          <w:szCs w:val="24"/>
        </w:rPr>
      </w:pPr>
      <w:r>
        <w:rPr>
          <w:rFonts w:cs="Arial"/>
          <w:szCs w:val="24"/>
        </w:rPr>
        <w:t>To show effectiveness of credit risk management of commercial banks</w:t>
      </w:r>
    </w:p>
    <w:p w:rsidR="00831BE9" w:rsidRDefault="00CC4D20">
      <w:pPr>
        <w:pStyle w:val="ListParagraph"/>
        <w:numPr>
          <w:ilvl w:val="0"/>
          <w:numId w:val="5"/>
        </w:numPr>
        <w:spacing w:line="360" w:lineRule="auto"/>
        <w:rPr>
          <w:rFonts w:cs="Arial"/>
          <w:szCs w:val="24"/>
        </w:rPr>
      </w:pPr>
      <w:r>
        <w:rPr>
          <w:rFonts w:cs="Arial"/>
          <w:szCs w:val="24"/>
        </w:rPr>
        <w:t>To concentrate on profitability of commercial banks</w:t>
      </w:r>
    </w:p>
    <w:p w:rsidR="00831BE9" w:rsidRDefault="00CC4D20">
      <w:pPr>
        <w:pStyle w:val="ListParagraph"/>
        <w:numPr>
          <w:ilvl w:val="0"/>
          <w:numId w:val="5"/>
        </w:numPr>
        <w:spacing w:line="360" w:lineRule="auto"/>
        <w:rPr>
          <w:rFonts w:cs="Arial"/>
          <w:szCs w:val="24"/>
        </w:rPr>
      </w:pPr>
      <w:r>
        <w:rPr>
          <w:rFonts w:cs="Arial"/>
          <w:szCs w:val="24"/>
        </w:rPr>
        <w:t>To distinguish the credit risk management of different types of commercial banks</w:t>
      </w:r>
    </w:p>
    <w:p w:rsidR="00831BE9" w:rsidRDefault="00CC4D20">
      <w:pPr>
        <w:pStyle w:val="ListParagraph"/>
        <w:numPr>
          <w:ilvl w:val="0"/>
          <w:numId w:val="5"/>
        </w:numPr>
        <w:spacing w:line="360" w:lineRule="auto"/>
        <w:rPr>
          <w:rFonts w:cs="Arial"/>
          <w:szCs w:val="24"/>
        </w:rPr>
      </w:pPr>
      <w:r>
        <w:rPr>
          <w:rFonts w:cs="Arial"/>
          <w:szCs w:val="24"/>
        </w:rPr>
        <w:lastRenderedPageBreak/>
        <w:t>To know what kind of process the</w:t>
      </w:r>
      <w:r>
        <w:rPr>
          <w:rFonts w:cs="Arial"/>
          <w:szCs w:val="24"/>
        </w:rPr>
        <w:t>y used to gather the loan from customers</w:t>
      </w:r>
    </w:p>
    <w:p w:rsidR="00831BE9" w:rsidRDefault="00CC4D20">
      <w:pPr>
        <w:pStyle w:val="ListParagraph"/>
        <w:numPr>
          <w:ilvl w:val="0"/>
          <w:numId w:val="5"/>
        </w:numPr>
        <w:spacing w:line="360" w:lineRule="auto"/>
        <w:rPr>
          <w:rFonts w:cs="Arial"/>
          <w:szCs w:val="24"/>
        </w:rPr>
      </w:pPr>
      <w:r>
        <w:rPr>
          <w:rFonts w:cs="Arial"/>
          <w:szCs w:val="24"/>
        </w:rPr>
        <w:t>To better understand how a bank categorized their loan policy according to guideline</w:t>
      </w:r>
    </w:p>
    <w:p w:rsidR="00831BE9" w:rsidRDefault="00CC4D20">
      <w:pPr>
        <w:pStyle w:val="ListParagraph"/>
        <w:numPr>
          <w:ilvl w:val="0"/>
          <w:numId w:val="5"/>
        </w:numPr>
        <w:spacing w:line="360" w:lineRule="auto"/>
        <w:rPr>
          <w:rFonts w:cs="Arial"/>
          <w:szCs w:val="24"/>
        </w:rPr>
      </w:pPr>
      <w:r>
        <w:rPr>
          <w:rFonts w:cs="Arial"/>
          <w:szCs w:val="24"/>
        </w:rPr>
        <w:t>What kind of policy they used for commercial banks that policy should be known?</w:t>
      </w:r>
    </w:p>
    <w:p w:rsidR="00831BE9" w:rsidRDefault="00CC4D20">
      <w:pPr>
        <w:pStyle w:val="ListParagraph"/>
        <w:numPr>
          <w:ilvl w:val="0"/>
          <w:numId w:val="5"/>
        </w:numPr>
        <w:spacing w:line="360" w:lineRule="auto"/>
        <w:rPr>
          <w:rFonts w:cs="Arial"/>
          <w:szCs w:val="24"/>
        </w:rPr>
      </w:pPr>
      <w:r>
        <w:rPr>
          <w:rFonts w:cs="Arial"/>
          <w:szCs w:val="24"/>
        </w:rPr>
        <w:t>Find out the challenges that are faced by commerci</w:t>
      </w:r>
      <w:r>
        <w:rPr>
          <w:rFonts w:cs="Arial"/>
          <w:szCs w:val="24"/>
        </w:rPr>
        <w:t>al banks and how to overcome this</w:t>
      </w:r>
    </w:p>
    <w:p w:rsidR="00831BE9" w:rsidRDefault="00CC4D20">
      <w:pPr>
        <w:pStyle w:val="ListParagraph"/>
        <w:numPr>
          <w:ilvl w:val="0"/>
          <w:numId w:val="5"/>
        </w:numPr>
        <w:spacing w:line="360" w:lineRule="auto"/>
        <w:rPr>
          <w:rFonts w:cs="Arial"/>
          <w:szCs w:val="24"/>
        </w:rPr>
      </w:pPr>
      <w:r>
        <w:rPr>
          <w:rFonts w:cs="Arial"/>
          <w:szCs w:val="24"/>
        </w:rPr>
        <w:t>To know how credit risk management impact bank’s profit</w:t>
      </w: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CC4D20">
      <w:pPr>
        <w:tabs>
          <w:tab w:val="left" w:pos="1421"/>
        </w:tabs>
        <w:spacing w:line="360" w:lineRule="auto"/>
        <w:rPr>
          <w:rFonts w:cs="Arial"/>
          <w:b/>
          <w:szCs w:val="24"/>
        </w:rPr>
      </w:pPr>
      <w:r>
        <w:rPr>
          <w:rFonts w:cs="Arial"/>
          <w:b/>
          <w:szCs w:val="24"/>
        </w:rPr>
        <w:tab/>
      </w:r>
    </w:p>
    <w:p w:rsidR="00831BE9" w:rsidRDefault="00CC4D20">
      <w:pPr>
        <w:pStyle w:val="Heading2"/>
      </w:pPr>
      <w:bookmarkStart w:id="8" w:name="_Toc59461240"/>
      <w:r>
        <w:t>1.3 Methodology of the study:</w:t>
      </w:r>
      <w:bookmarkEnd w:id="8"/>
    </w:p>
    <w:p w:rsidR="00831BE9" w:rsidRDefault="00CC4D20">
      <w:pPr>
        <w:spacing w:line="360" w:lineRule="auto"/>
        <w:rPr>
          <w:rFonts w:cs="Arial"/>
          <w:szCs w:val="24"/>
        </w:rPr>
      </w:pPr>
      <w:r>
        <w:rPr>
          <w:rFonts w:cs="Arial"/>
          <w:szCs w:val="24"/>
        </w:rPr>
        <w:t>Research Type:</w:t>
      </w:r>
    </w:p>
    <w:p w:rsidR="00831BE9" w:rsidRDefault="00CC4D20">
      <w:pPr>
        <w:spacing w:line="360" w:lineRule="auto"/>
        <w:rPr>
          <w:rFonts w:cs="Arial"/>
          <w:szCs w:val="24"/>
        </w:rPr>
      </w:pPr>
      <w:r>
        <w:rPr>
          <w:rFonts w:cs="Arial"/>
          <w:szCs w:val="24"/>
        </w:rPr>
        <w:t xml:space="preserve">As descriptive research is done in this research so analysis is required on the effective management of </w:t>
      </w:r>
      <w:proofErr w:type="gramStart"/>
      <w:r>
        <w:rPr>
          <w:rFonts w:cs="Arial"/>
          <w:szCs w:val="24"/>
        </w:rPr>
        <w:t>bank’s</w:t>
      </w:r>
      <w:proofErr w:type="gramEnd"/>
      <w:r>
        <w:rPr>
          <w:rFonts w:cs="Arial"/>
          <w:szCs w:val="24"/>
        </w:rPr>
        <w:t xml:space="preserve"> credit</w:t>
      </w:r>
      <w:r>
        <w:rPr>
          <w:rFonts w:cs="Arial"/>
          <w:szCs w:val="24"/>
        </w:rPr>
        <w:t xml:space="preserve"> risk and have to clear how banks profitability and sustainability is affected by credit risk management.</w:t>
      </w:r>
    </w:p>
    <w:p w:rsidR="00831BE9" w:rsidRDefault="00CC4D20">
      <w:pPr>
        <w:spacing w:line="360" w:lineRule="auto"/>
        <w:rPr>
          <w:rFonts w:cs="Arial"/>
          <w:szCs w:val="24"/>
        </w:rPr>
      </w:pPr>
      <w:r>
        <w:rPr>
          <w:rFonts w:cs="Arial"/>
          <w:szCs w:val="24"/>
        </w:rPr>
        <w:t>Types of Data:</w:t>
      </w:r>
    </w:p>
    <w:p w:rsidR="00831BE9" w:rsidRDefault="00CC4D20">
      <w:pPr>
        <w:spacing w:line="360" w:lineRule="auto"/>
        <w:rPr>
          <w:rFonts w:cs="Arial"/>
          <w:szCs w:val="24"/>
        </w:rPr>
      </w:pPr>
      <w:r>
        <w:rPr>
          <w:rFonts w:cs="Arial"/>
          <w:szCs w:val="24"/>
        </w:rPr>
        <w:t>Secondary Sources:</w:t>
      </w:r>
    </w:p>
    <w:p w:rsidR="00831BE9" w:rsidRDefault="00CC4D20">
      <w:pPr>
        <w:spacing w:line="360" w:lineRule="auto"/>
        <w:rPr>
          <w:rFonts w:cs="Arial"/>
          <w:szCs w:val="24"/>
        </w:rPr>
      </w:pPr>
      <w:r>
        <w:rPr>
          <w:rFonts w:cs="Arial"/>
          <w:szCs w:val="24"/>
        </w:rPr>
        <w:t>I have actually used secondary data. That means I have collected data from-</w:t>
      </w:r>
    </w:p>
    <w:p w:rsidR="00831BE9" w:rsidRDefault="00CC4D20">
      <w:pPr>
        <w:pStyle w:val="ListParagraph"/>
        <w:numPr>
          <w:ilvl w:val="0"/>
          <w:numId w:val="6"/>
        </w:numPr>
        <w:spacing w:line="360" w:lineRule="auto"/>
        <w:rPr>
          <w:rFonts w:cs="Arial"/>
          <w:szCs w:val="24"/>
        </w:rPr>
      </w:pPr>
      <w:r>
        <w:rPr>
          <w:rFonts w:cs="Arial"/>
          <w:szCs w:val="24"/>
        </w:rPr>
        <w:t>Website,</w:t>
      </w:r>
    </w:p>
    <w:p w:rsidR="00831BE9" w:rsidRDefault="00CC4D20">
      <w:pPr>
        <w:pStyle w:val="ListParagraph"/>
        <w:numPr>
          <w:ilvl w:val="0"/>
          <w:numId w:val="6"/>
        </w:numPr>
        <w:spacing w:line="360" w:lineRule="auto"/>
        <w:rPr>
          <w:rFonts w:cs="Arial"/>
          <w:szCs w:val="24"/>
        </w:rPr>
      </w:pPr>
      <w:r>
        <w:rPr>
          <w:rFonts w:cs="Arial"/>
          <w:szCs w:val="24"/>
        </w:rPr>
        <w:t xml:space="preserve">Various types of annual report </w:t>
      </w:r>
      <w:r>
        <w:rPr>
          <w:rFonts w:cs="Arial"/>
          <w:szCs w:val="24"/>
        </w:rPr>
        <w:t xml:space="preserve">of various banks, </w:t>
      </w:r>
    </w:p>
    <w:p w:rsidR="00831BE9" w:rsidRDefault="00CC4D20">
      <w:pPr>
        <w:pStyle w:val="ListParagraph"/>
        <w:numPr>
          <w:ilvl w:val="0"/>
          <w:numId w:val="6"/>
        </w:numPr>
        <w:spacing w:line="360" w:lineRule="auto"/>
        <w:rPr>
          <w:rFonts w:cs="Arial"/>
          <w:szCs w:val="24"/>
        </w:rPr>
      </w:pPr>
      <w:r>
        <w:rPr>
          <w:rFonts w:cs="Arial"/>
          <w:szCs w:val="24"/>
        </w:rPr>
        <w:t xml:space="preserve">Some article and </w:t>
      </w:r>
    </w:p>
    <w:p w:rsidR="00831BE9" w:rsidRDefault="00CC4D20">
      <w:pPr>
        <w:pStyle w:val="ListParagraph"/>
        <w:numPr>
          <w:ilvl w:val="0"/>
          <w:numId w:val="6"/>
        </w:numPr>
        <w:spacing w:line="360" w:lineRule="auto"/>
        <w:rPr>
          <w:rFonts w:cs="Arial"/>
          <w:szCs w:val="24"/>
        </w:rPr>
      </w:pPr>
      <w:r>
        <w:rPr>
          <w:rFonts w:cs="Arial"/>
          <w:szCs w:val="24"/>
        </w:rPr>
        <w:t>Research paper.</w:t>
      </w:r>
    </w:p>
    <w:p w:rsidR="00831BE9" w:rsidRDefault="00CC4D20">
      <w:pPr>
        <w:pStyle w:val="Heading2"/>
      </w:pPr>
      <w:bookmarkStart w:id="9" w:name="_Toc59461241"/>
      <w:r>
        <w:t>1.4 Limitation:</w:t>
      </w:r>
      <w:bookmarkEnd w:id="9"/>
    </w:p>
    <w:p w:rsidR="00831BE9" w:rsidRDefault="00CC4D20">
      <w:pPr>
        <w:spacing w:line="360" w:lineRule="auto"/>
        <w:rPr>
          <w:rFonts w:cs="Arial"/>
          <w:szCs w:val="24"/>
        </w:rPr>
      </w:pPr>
      <w:r>
        <w:rPr>
          <w:rFonts w:cs="Arial"/>
          <w:szCs w:val="24"/>
        </w:rPr>
        <w:t xml:space="preserve">I have prepared my project in 2020. So, in this pandemic situation I can’t go outside and can’t collect the data from primary sources. That is the first limitation. The second one is all </w:t>
      </w:r>
      <w:r>
        <w:rPr>
          <w:rFonts w:cs="Arial"/>
          <w:szCs w:val="24"/>
        </w:rPr>
        <w:t xml:space="preserve">the information in website is scattered. So, to find any information is very difficult. For that reason, I have also checked foreign research paper and their format also. The third </w:t>
      </w:r>
      <w:r>
        <w:rPr>
          <w:rFonts w:cs="Arial"/>
          <w:szCs w:val="24"/>
        </w:rPr>
        <w:lastRenderedPageBreak/>
        <w:t xml:space="preserve">one is that I have no knowledge and experience about research. There is no </w:t>
      </w:r>
      <w:r>
        <w:rPr>
          <w:rFonts w:cs="Arial"/>
          <w:szCs w:val="24"/>
        </w:rPr>
        <w:t>available latest data information.</w:t>
      </w:r>
    </w:p>
    <w:p w:rsidR="00831BE9" w:rsidRDefault="00CC4D20">
      <w:pPr>
        <w:pStyle w:val="Heading1"/>
        <w:numPr>
          <w:ilvl w:val="0"/>
          <w:numId w:val="0"/>
        </w:numPr>
        <w:jc w:val="center"/>
      </w:pPr>
      <w:bookmarkStart w:id="10" w:name="_Toc59461242"/>
      <w:r>
        <w:t>2. Literature Review</w:t>
      </w:r>
      <w:bookmarkEnd w:id="10"/>
    </w:p>
    <w:p w:rsidR="00831BE9" w:rsidRDefault="00831BE9">
      <w:pPr>
        <w:spacing w:line="360" w:lineRule="auto"/>
        <w:rPr>
          <w:rFonts w:cs="Arial"/>
          <w:szCs w:val="24"/>
        </w:rPr>
      </w:pPr>
    </w:p>
    <w:p w:rsidR="00831BE9" w:rsidRDefault="00CC4D20">
      <w:pPr>
        <w:spacing w:line="360" w:lineRule="auto"/>
        <w:rPr>
          <w:rFonts w:cs="Arial"/>
          <w:szCs w:val="24"/>
        </w:rPr>
      </w:pPr>
      <w:r>
        <w:rPr>
          <w:rFonts w:cs="Arial"/>
          <w:szCs w:val="24"/>
        </w:rPr>
        <w:t>Commercial banks always face some threats that is called loan risk which affects the durability of banks. When some certain commitments aren’t being fulfilled by creditors that’s time risk arises. Th</w:t>
      </w:r>
      <w:r>
        <w:rPr>
          <w:rFonts w:cs="Arial"/>
          <w:szCs w:val="24"/>
        </w:rPr>
        <w:t>e main problem of banks is improper management of credit risk</w:t>
      </w:r>
    </w:p>
    <w:p w:rsidR="00831BE9" w:rsidRDefault="00CC4D20">
      <w:pPr>
        <w:spacing w:line="360" w:lineRule="auto"/>
        <w:rPr>
          <w:rFonts w:cs="Arial"/>
          <w:szCs w:val="24"/>
        </w:rPr>
      </w:pPr>
      <w:proofErr w:type="spellStart"/>
      <w:r>
        <w:rPr>
          <w:rFonts w:cs="Arial"/>
          <w:szCs w:val="24"/>
        </w:rPr>
        <w:t>Lalon</w:t>
      </w:r>
      <w:proofErr w:type="spellEnd"/>
      <w:r>
        <w:rPr>
          <w:rFonts w:cs="Arial"/>
          <w:szCs w:val="24"/>
        </w:rPr>
        <w:t xml:space="preserve"> and </w:t>
      </w:r>
      <w:proofErr w:type="spellStart"/>
      <w:r>
        <w:rPr>
          <w:rFonts w:cs="Arial"/>
          <w:szCs w:val="24"/>
        </w:rPr>
        <w:t>Morshada</w:t>
      </w:r>
      <w:proofErr w:type="spellEnd"/>
      <w:r>
        <w:rPr>
          <w:rFonts w:cs="Arial"/>
          <w:szCs w:val="24"/>
        </w:rPr>
        <w:t xml:space="preserve"> (2020) suggested that there are some several credit risks factors how they affected the profitability of commercial banks. They have accepted some different kinds of test such</w:t>
      </w:r>
      <w:r>
        <w:rPr>
          <w:rFonts w:cs="Arial"/>
          <w:szCs w:val="24"/>
        </w:rPr>
        <w:t xml:space="preserve"> as model specification test and cross-sectional dependence test. </w:t>
      </w:r>
    </w:p>
    <w:p w:rsidR="00831BE9" w:rsidRDefault="00CC4D20">
      <w:pPr>
        <w:spacing w:line="360" w:lineRule="auto"/>
        <w:rPr>
          <w:rFonts w:cs="Arial"/>
          <w:szCs w:val="24"/>
        </w:rPr>
      </w:pPr>
      <w:r>
        <w:rPr>
          <w:rFonts w:cs="Arial"/>
          <w:szCs w:val="24"/>
        </w:rPr>
        <w:t xml:space="preserve">According to the research by </w:t>
      </w:r>
      <w:proofErr w:type="spellStart"/>
      <w:r>
        <w:rPr>
          <w:rFonts w:cs="Arial"/>
          <w:szCs w:val="24"/>
        </w:rPr>
        <w:t>Md</w:t>
      </w:r>
      <w:proofErr w:type="spellEnd"/>
      <w:r>
        <w:rPr>
          <w:rFonts w:cs="Arial"/>
          <w:szCs w:val="24"/>
        </w:rPr>
        <w:t xml:space="preserve"> </w:t>
      </w:r>
      <w:proofErr w:type="spellStart"/>
      <w:r>
        <w:rPr>
          <w:rFonts w:cs="Arial"/>
          <w:szCs w:val="24"/>
        </w:rPr>
        <w:t>Ataur</w:t>
      </w:r>
      <w:proofErr w:type="spellEnd"/>
      <w:r>
        <w:rPr>
          <w:rFonts w:cs="Arial"/>
          <w:szCs w:val="24"/>
        </w:rPr>
        <w:t xml:space="preserve"> Rahman and Md. </w:t>
      </w:r>
      <w:proofErr w:type="spellStart"/>
      <w:r>
        <w:rPr>
          <w:rFonts w:cs="Arial"/>
          <w:szCs w:val="24"/>
        </w:rPr>
        <w:t>Asaduzzaman</w:t>
      </w:r>
      <w:proofErr w:type="spellEnd"/>
      <w:r>
        <w:rPr>
          <w:rFonts w:cs="Arial"/>
          <w:szCs w:val="24"/>
        </w:rPr>
        <w:t xml:space="preserve"> (2017), they had tried to show commercial banks how to maintain some standard financial ratio for the loans of commercial ba</w:t>
      </w:r>
      <w:r>
        <w:rPr>
          <w:rFonts w:cs="Arial"/>
          <w:szCs w:val="24"/>
        </w:rPr>
        <w:t>nks.</w:t>
      </w:r>
    </w:p>
    <w:p w:rsidR="00831BE9" w:rsidRDefault="00CC4D20">
      <w:pPr>
        <w:spacing w:line="360" w:lineRule="auto"/>
        <w:rPr>
          <w:rFonts w:cs="Arial"/>
          <w:szCs w:val="24"/>
        </w:rPr>
      </w:pPr>
      <w:proofErr w:type="spellStart"/>
      <w:r>
        <w:rPr>
          <w:rFonts w:cs="Arial"/>
          <w:szCs w:val="24"/>
        </w:rPr>
        <w:t>Raad</w:t>
      </w:r>
      <w:proofErr w:type="spellEnd"/>
      <w:r>
        <w:rPr>
          <w:rFonts w:cs="Arial"/>
          <w:szCs w:val="24"/>
        </w:rPr>
        <w:t xml:space="preserve"> </w:t>
      </w:r>
      <w:proofErr w:type="spellStart"/>
      <w:r>
        <w:rPr>
          <w:rFonts w:cs="Arial"/>
          <w:szCs w:val="24"/>
        </w:rPr>
        <w:t>Mozib</w:t>
      </w:r>
      <w:proofErr w:type="spellEnd"/>
      <w:r>
        <w:rPr>
          <w:rFonts w:cs="Arial"/>
          <w:szCs w:val="24"/>
        </w:rPr>
        <w:t xml:space="preserve"> </w:t>
      </w:r>
      <w:proofErr w:type="spellStart"/>
      <w:r>
        <w:rPr>
          <w:rFonts w:cs="Arial"/>
          <w:szCs w:val="24"/>
        </w:rPr>
        <w:t>Lalon</w:t>
      </w:r>
      <w:proofErr w:type="spellEnd"/>
      <w:r>
        <w:rPr>
          <w:rFonts w:cs="Arial"/>
          <w:szCs w:val="24"/>
        </w:rPr>
        <w:t xml:space="preserve"> (2015) suggested that how commercial banks of Bangladesh is being increased in profitability and durability because of Credit risk management practices. The impact of credit risk management on financial performance of bank is analyzed</w:t>
      </w:r>
      <w:r>
        <w:rPr>
          <w:rFonts w:cs="Arial"/>
          <w:szCs w:val="24"/>
        </w:rPr>
        <w:t xml:space="preserve"> by </w:t>
      </w:r>
      <w:proofErr w:type="spellStart"/>
      <w:r>
        <w:rPr>
          <w:rFonts w:cs="Arial"/>
          <w:szCs w:val="24"/>
        </w:rPr>
        <w:t>Raad</w:t>
      </w:r>
      <w:proofErr w:type="spellEnd"/>
      <w:r>
        <w:rPr>
          <w:rFonts w:cs="Arial"/>
          <w:szCs w:val="24"/>
        </w:rPr>
        <w:t xml:space="preserve"> </w:t>
      </w:r>
      <w:proofErr w:type="spellStart"/>
      <w:r>
        <w:rPr>
          <w:rFonts w:cs="Arial"/>
          <w:szCs w:val="24"/>
        </w:rPr>
        <w:t>Mozib</w:t>
      </w:r>
      <w:proofErr w:type="spellEnd"/>
      <w:r>
        <w:rPr>
          <w:rFonts w:cs="Arial"/>
          <w:szCs w:val="24"/>
        </w:rPr>
        <w:t xml:space="preserve"> </w:t>
      </w:r>
      <w:proofErr w:type="spellStart"/>
      <w:r>
        <w:rPr>
          <w:rFonts w:cs="Arial"/>
          <w:szCs w:val="24"/>
        </w:rPr>
        <w:t>Lalon</w:t>
      </w:r>
      <w:proofErr w:type="spellEnd"/>
      <w:r>
        <w:rPr>
          <w:rFonts w:cs="Arial"/>
          <w:szCs w:val="24"/>
        </w:rPr>
        <w:t>.</w:t>
      </w:r>
    </w:p>
    <w:p w:rsidR="00831BE9" w:rsidRDefault="00CC4D20">
      <w:pPr>
        <w:spacing w:line="360" w:lineRule="auto"/>
        <w:rPr>
          <w:rFonts w:cs="Arial"/>
          <w:szCs w:val="24"/>
        </w:rPr>
      </w:pPr>
      <w:r>
        <w:rPr>
          <w:rFonts w:cs="Arial"/>
          <w:szCs w:val="24"/>
        </w:rPr>
        <w:t xml:space="preserve">According to Abu </w:t>
      </w:r>
      <w:proofErr w:type="spellStart"/>
      <w:r>
        <w:rPr>
          <w:rFonts w:cs="Arial"/>
          <w:szCs w:val="24"/>
        </w:rPr>
        <w:t>Hanifa</w:t>
      </w:r>
      <w:proofErr w:type="spellEnd"/>
      <w:r>
        <w:rPr>
          <w:rFonts w:cs="Arial"/>
          <w:szCs w:val="24"/>
        </w:rPr>
        <w:t xml:space="preserve"> Md. Norman, </w:t>
      </w:r>
      <w:proofErr w:type="spellStart"/>
      <w:r>
        <w:rPr>
          <w:rFonts w:cs="Arial"/>
          <w:szCs w:val="24"/>
        </w:rPr>
        <w:t>Sajeda</w:t>
      </w:r>
      <w:proofErr w:type="spellEnd"/>
      <w:r>
        <w:rPr>
          <w:rFonts w:cs="Arial"/>
          <w:szCs w:val="24"/>
        </w:rPr>
        <w:t xml:space="preserve"> </w:t>
      </w:r>
      <w:proofErr w:type="spellStart"/>
      <w:r>
        <w:rPr>
          <w:rFonts w:cs="Arial"/>
          <w:szCs w:val="24"/>
        </w:rPr>
        <w:t>Pervin</w:t>
      </w:r>
      <w:proofErr w:type="spellEnd"/>
      <w:r>
        <w:rPr>
          <w:rFonts w:cs="Arial"/>
          <w:szCs w:val="24"/>
        </w:rPr>
        <w:t xml:space="preserve">, Mustafa </w:t>
      </w:r>
      <w:proofErr w:type="spellStart"/>
      <w:r>
        <w:rPr>
          <w:rFonts w:cs="Arial"/>
          <w:szCs w:val="24"/>
        </w:rPr>
        <w:t>Manir</w:t>
      </w:r>
      <w:proofErr w:type="spellEnd"/>
      <w:r>
        <w:rPr>
          <w:rFonts w:cs="Arial"/>
          <w:szCs w:val="24"/>
        </w:rPr>
        <w:t xml:space="preserve"> Chowdhury and </w:t>
      </w:r>
      <w:proofErr w:type="spellStart"/>
      <w:r>
        <w:rPr>
          <w:rFonts w:cs="Arial"/>
          <w:szCs w:val="24"/>
        </w:rPr>
        <w:t>Hasanul</w:t>
      </w:r>
      <w:proofErr w:type="spellEnd"/>
      <w:r>
        <w:rPr>
          <w:rFonts w:cs="Arial"/>
          <w:szCs w:val="24"/>
        </w:rPr>
        <w:t xml:space="preserve"> </w:t>
      </w:r>
      <w:proofErr w:type="spellStart"/>
      <w:r>
        <w:rPr>
          <w:rFonts w:cs="Arial"/>
          <w:szCs w:val="24"/>
        </w:rPr>
        <w:t>Banna</w:t>
      </w:r>
      <w:proofErr w:type="spellEnd"/>
      <w:r>
        <w:rPr>
          <w:rFonts w:cs="Arial"/>
          <w:szCs w:val="24"/>
        </w:rPr>
        <w:t xml:space="preserve"> (2015), they actually wanted to find out how banking sector of Bangladesh is affected by credit risk on profitability of banks. From 18 comme</w:t>
      </w:r>
      <w:r>
        <w:rPr>
          <w:rFonts w:cs="Arial"/>
          <w:szCs w:val="24"/>
        </w:rPr>
        <w:t>rcial banks from 2003 to 2013 they had used 172 observations for this study.</w:t>
      </w:r>
    </w:p>
    <w:p w:rsidR="00831BE9" w:rsidRDefault="00CC4D20">
      <w:pPr>
        <w:spacing w:line="360" w:lineRule="auto"/>
        <w:rPr>
          <w:rFonts w:cs="Arial"/>
          <w:szCs w:val="24"/>
        </w:rPr>
      </w:pPr>
      <w:r>
        <w:rPr>
          <w:rFonts w:cs="Arial"/>
          <w:szCs w:val="24"/>
        </w:rPr>
        <w:t xml:space="preserve">Sufi </w:t>
      </w:r>
      <w:proofErr w:type="spellStart"/>
      <w:r>
        <w:rPr>
          <w:rFonts w:cs="Arial"/>
          <w:szCs w:val="24"/>
        </w:rPr>
        <w:t>Faizan</w:t>
      </w:r>
      <w:proofErr w:type="spellEnd"/>
      <w:r>
        <w:rPr>
          <w:rFonts w:cs="Arial"/>
          <w:szCs w:val="24"/>
        </w:rPr>
        <w:t xml:space="preserve"> Ahmad and </w:t>
      </w:r>
      <w:proofErr w:type="spellStart"/>
      <w:r>
        <w:rPr>
          <w:rFonts w:cs="Arial"/>
          <w:szCs w:val="24"/>
        </w:rPr>
        <w:t>Qaisar</w:t>
      </w:r>
      <w:proofErr w:type="spellEnd"/>
      <w:r>
        <w:rPr>
          <w:rFonts w:cs="Arial"/>
          <w:szCs w:val="24"/>
        </w:rPr>
        <w:t xml:space="preserve"> Ali Malik (2015) suggested that the main purpose of this study is to know how credit risk management influence on loan performance. From the credit ri</w:t>
      </w:r>
      <w:r>
        <w:rPr>
          <w:rFonts w:cs="Arial"/>
          <w:szCs w:val="24"/>
        </w:rPr>
        <w:t>sk management staff, they have collected the data. This research is more important for management because they had focused on credit risk management.</w:t>
      </w:r>
    </w:p>
    <w:p w:rsidR="00831BE9" w:rsidRDefault="00CC4D20">
      <w:pPr>
        <w:spacing w:line="360" w:lineRule="auto"/>
        <w:rPr>
          <w:rFonts w:cs="Arial"/>
          <w:szCs w:val="24"/>
        </w:rPr>
      </w:pPr>
      <w:r>
        <w:rPr>
          <w:rFonts w:cs="Arial"/>
          <w:szCs w:val="24"/>
        </w:rPr>
        <w:lastRenderedPageBreak/>
        <w:t xml:space="preserve">According to Million </w:t>
      </w:r>
      <w:proofErr w:type="spellStart"/>
      <w:r>
        <w:rPr>
          <w:rFonts w:cs="Arial"/>
          <w:szCs w:val="24"/>
        </w:rPr>
        <w:t>Gizaw</w:t>
      </w:r>
      <w:proofErr w:type="spellEnd"/>
      <w:r>
        <w:rPr>
          <w:rFonts w:cs="Arial"/>
          <w:szCs w:val="24"/>
        </w:rPr>
        <w:t xml:space="preserve">, </w:t>
      </w:r>
      <w:proofErr w:type="spellStart"/>
      <w:r>
        <w:rPr>
          <w:rFonts w:cs="Arial"/>
          <w:szCs w:val="24"/>
        </w:rPr>
        <w:t>Matewos</w:t>
      </w:r>
      <w:proofErr w:type="spellEnd"/>
      <w:r>
        <w:rPr>
          <w:rFonts w:cs="Arial"/>
          <w:szCs w:val="24"/>
        </w:rPr>
        <w:t xml:space="preserve"> </w:t>
      </w:r>
      <w:proofErr w:type="spellStart"/>
      <w:r>
        <w:rPr>
          <w:rFonts w:cs="Arial"/>
          <w:szCs w:val="24"/>
        </w:rPr>
        <w:t>Kebede</w:t>
      </w:r>
      <w:proofErr w:type="spellEnd"/>
      <w:r>
        <w:rPr>
          <w:rFonts w:cs="Arial"/>
          <w:szCs w:val="24"/>
        </w:rPr>
        <w:t xml:space="preserve"> and </w:t>
      </w:r>
      <w:proofErr w:type="spellStart"/>
      <w:r>
        <w:rPr>
          <w:rFonts w:cs="Arial"/>
          <w:szCs w:val="24"/>
        </w:rPr>
        <w:t>Sujata</w:t>
      </w:r>
      <w:proofErr w:type="spellEnd"/>
      <w:r>
        <w:rPr>
          <w:rFonts w:cs="Arial"/>
          <w:szCs w:val="24"/>
        </w:rPr>
        <w:t xml:space="preserve"> </w:t>
      </w:r>
      <w:proofErr w:type="spellStart"/>
      <w:r>
        <w:rPr>
          <w:rFonts w:cs="Arial"/>
          <w:szCs w:val="24"/>
        </w:rPr>
        <w:t>Selvaraj</w:t>
      </w:r>
      <w:proofErr w:type="spellEnd"/>
      <w:r>
        <w:rPr>
          <w:rFonts w:cs="Arial"/>
          <w:szCs w:val="24"/>
        </w:rPr>
        <w:t xml:space="preserve"> (2015), the main motive of this study is to</w:t>
      </w:r>
      <w:r>
        <w:rPr>
          <w:rFonts w:cs="Arial"/>
          <w:szCs w:val="24"/>
        </w:rPr>
        <w:t xml:space="preserve"> identify how credit risk impact on </w:t>
      </w:r>
      <w:proofErr w:type="spellStart"/>
      <w:r>
        <w:rPr>
          <w:rFonts w:cs="Arial"/>
          <w:szCs w:val="24"/>
        </w:rPr>
        <w:t>profitibality</w:t>
      </w:r>
      <w:proofErr w:type="spellEnd"/>
      <w:r>
        <w:rPr>
          <w:rFonts w:cs="Arial"/>
          <w:szCs w:val="24"/>
        </w:rPr>
        <w:t xml:space="preserve"> of commercial banks in Ethiopia. They have used secondary data like they have collected the data from annual report.</w:t>
      </w:r>
    </w:p>
    <w:p w:rsidR="00831BE9" w:rsidRDefault="00CC4D20">
      <w:pPr>
        <w:spacing w:line="360" w:lineRule="auto"/>
        <w:rPr>
          <w:rFonts w:cs="Arial"/>
          <w:szCs w:val="24"/>
        </w:rPr>
      </w:pPr>
      <w:proofErr w:type="spellStart"/>
      <w:r>
        <w:rPr>
          <w:rFonts w:cs="Arial"/>
          <w:szCs w:val="24"/>
        </w:rPr>
        <w:t>Konovalova</w:t>
      </w:r>
      <w:proofErr w:type="spellEnd"/>
      <w:r>
        <w:rPr>
          <w:rFonts w:cs="Arial"/>
          <w:szCs w:val="24"/>
        </w:rPr>
        <w:t xml:space="preserve"> N, </w:t>
      </w:r>
      <w:proofErr w:type="spellStart"/>
      <w:r>
        <w:rPr>
          <w:rFonts w:cs="Arial"/>
          <w:szCs w:val="24"/>
        </w:rPr>
        <w:t>Kristovska</w:t>
      </w:r>
      <w:proofErr w:type="spellEnd"/>
      <w:r>
        <w:rPr>
          <w:rFonts w:cs="Arial"/>
          <w:szCs w:val="24"/>
        </w:rPr>
        <w:t xml:space="preserve"> and </w:t>
      </w:r>
      <w:proofErr w:type="spellStart"/>
      <w:r>
        <w:rPr>
          <w:rFonts w:cs="Arial"/>
          <w:szCs w:val="24"/>
        </w:rPr>
        <w:t>Kudinska</w:t>
      </w:r>
      <w:proofErr w:type="spellEnd"/>
      <w:r>
        <w:rPr>
          <w:rFonts w:cs="Arial"/>
          <w:szCs w:val="24"/>
        </w:rPr>
        <w:t xml:space="preserve"> M (2016) represented that there are several group o</w:t>
      </w:r>
      <w:r>
        <w:rPr>
          <w:rFonts w:cs="Arial"/>
          <w:szCs w:val="24"/>
        </w:rPr>
        <w:t>f retail clients. They face different kinds of risk. The main propose of this study is to identify how to minimize the credit risk and how to enhance the management of banking risks.</w:t>
      </w:r>
    </w:p>
    <w:p w:rsidR="00831BE9" w:rsidRDefault="00CC4D20">
      <w:pPr>
        <w:spacing w:line="360" w:lineRule="auto"/>
        <w:rPr>
          <w:rFonts w:cs="Arial"/>
          <w:szCs w:val="24"/>
        </w:rPr>
      </w:pPr>
      <w:r>
        <w:rPr>
          <w:rFonts w:cs="Arial"/>
          <w:szCs w:val="24"/>
        </w:rPr>
        <w:t xml:space="preserve">Ravi Prakash Sharma </w:t>
      </w:r>
      <w:proofErr w:type="spellStart"/>
      <w:r>
        <w:rPr>
          <w:rFonts w:cs="Arial"/>
          <w:szCs w:val="24"/>
        </w:rPr>
        <w:t>Poudel</w:t>
      </w:r>
      <w:proofErr w:type="spellEnd"/>
      <w:r>
        <w:rPr>
          <w:rFonts w:cs="Arial"/>
          <w:szCs w:val="24"/>
        </w:rPr>
        <w:t xml:space="preserve"> (2012) examined that In Nepal they tried to fi</w:t>
      </w:r>
      <w:r>
        <w:rPr>
          <w:rFonts w:cs="Arial"/>
          <w:szCs w:val="24"/>
        </w:rPr>
        <w:t>nd out different parameters to identify credit risk management of the financial performance of banks. This study showed the financial performance of banks have been opposite impact in parameters.</w:t>
      </w:r>
    </w:p>
    <w:p w:rsidR="00831BE9" w:rsidRDefault="00CC4D20">
      <w:pPr>
        <w:spacing w:line="360" w:lineRule="auto"/>
        <w:rPr>
          <w:rFonts w:cs="Arial"/>
          <w:szCs w:val="24"/>
        </w:rPr>
      </w:pPr>
      <w:r>
        <w:rPr>
          <w:rFonts w:cs="Arial"/>
          <w:szCs w:val="24"/>
        </w:rPr>
        <w:t xml:space="preserve">According to the research by Ali </w:t>
      </w:r>
      <w:proofErr w:type="spellStart"/>
      <w:r>
        <w:rPr>
          <w:rFonts w:cs="Arial"/>
          <w:szCs w:val="24"/>
        </w:rPr>
        <w:t>Sulieman</w:t>
      </w:r>
      <w:proofErr w:type="spellEnd"/>
      <w:r>
        <w:rPr>
          <w:rFonts w:cs="Arial"/>
          <w:szCs w:val="24"/>
        </w:rPr>
        <w:t xml:space="preserve"> </w:t>
      </w:r>
      <w:proofErr w:type="spellStart"/>
      <w:r>
        <w:rPr>
          <w:rFonts w:cs="Arial"/>
          <w:szCs w:val="24"/>
        </w:rPr>
        <w:t>Alshatti</w:t>
      </w:r>
      <w:proofErr w:type="spellEnd"/>
      <w:r>
        <w:rPr>
          <w:rFonts w:cs="Arial"/>
          <w:szCs w:val="24"/>
        </w:rPr>
        <w:t xml:space="preserve"> (Jordan) </w:t>
      </w:r>
      <w:r>
        <w:rPr>
          <w:rFonts w:cs="Arial"/>
          <w:szCs w:val="24"/>
        </w:rPr>
        <w:t>(2015), they tried to find out how the financial function of Jordanian commercial banks are affected by credit risk management. The researcher concludes that they have to improve their credit risk management for earning more profit.</w:t>
      </w:r>
    </w:p>
    <w:p w:rsidR="00831BE9" w:rsidRDefault="00CC4D20">
      <w:pPr>
        <w:spacing w:line="360" w:lineRule="auto"/>
        <w:rPr>
          <w:rFonts w:cs="Arial"/>
          <w:szCs w:val="24"/>
        </w:rPr>
      </w:pPr>
      <w:proofErr w:type="spellStart"/>
      <w:r>
        <w:rPr>
          <w:rFonts w:cs="Arial"/>
          <w:szCs w:val="24"/>
        </w:rPr>
        <w:t>Isah</w:t>
      </w:r>
      <w:proofErr w:type="spellEnd"/>
      <w:r>
        <w:rPr>
          <w:rFonts w:cs="Arial"/>
          <w:szCs w:val="24"/>
        </w:rPr>
        <w:t xml:space="preserve"> </w:t>
      </w:r>
      <w:proofErr w:type="spellStart"/>
      <w:r>
        <w:rPr>
          <w:rFonts w:cs="Arial"/>
          <w:szCs w:val="24"/>
        </w:rPr>
        <w:t>Serwadda</w:t>
      </w:r>
      <w:proofErr w:type="spellEnd"/>
      <w:r>
        <w:rPr>
          <w:rFonts w:cs="Arial"/>
          <w:szCs w:val="24"/>
        </w:rPr>
        <w:t xml:space="preserve"> (2018) an</w:t>
      </w:r>
      <w:r>
        <w:rPr>
          <w:rFonts w:cs="Arial"/>
          <w:szCs w:val="24"/>
        </w:rPr>
        <w:t xml:space="preserve">alyzed that how the financial performance of commercial banks in Uganda is affected by credit risk. This research find that credit risk affects the commercial banks of Uganda. After researching this research, the researcher finds out the bank sector needs </w:t>
      </w:r>
      <w:r>
        <w:rPr>
          <w:rFonts w:cs="Arial"/>
          <w:szCs w:val="24"/>
        </w:rPr>
        <w:t>to improve their credit risk management techniques. Their credit policy needs to be well designed and have to follow all important conditions.</w:t>
      </w:r>
    </w:p>
    <w:p w:rsidR="00831BE9" w:rsidRDefault="00CC4D20">
      <w:pPr>
        <w:spacing w:line="360" w:lineRule="auto"/>
        <w:rPr>
          <w:rFonts w:cs="Arial"/>
          <w:szCs w:val="24"/>
        </w:rPr>
      </w:pPr>
      <w:proofErr w:type="spellStart"/>
      <w:r>
        <w:rPr>
          <w:rFonts w:cs="Arial"/>
          <w:szCs w:val="24"/>
        </w:rPr>
        <w:t>Ara</w:t>
      </w:r>
      <w:proofErr w:type="spellEnd"/>
      <w:r>
        <w:rPr>
          <w:rFonts w:cs="Arial"/>
          <w:szCs w:val="24"/>
        </w:rPr>
        <w:t xml:space="preserve"> </w:t>
      </w:r>
      <w:proofErr w:type="spellStart"/>
      <w:r>
        <w:rPr>
          <w:rFonts w:cs="Arial"/>
          <w:szCs w:val="24"/>
        </w:rPr>
        <w:t>Hosna</w:t>
      </w:r>
      <w:proofErr w:type="spellEnd"/>
      <w:r>
        <w:rPr>
          <w:rFonts w:cs="Arial"/>
          <w:szCs w:val="24"/>
        </w:rPr>
        <w:t xml:space="preserve">, </w:t>
      </w:r>
      <w:proofErr w:type="spellStart"/>
      <w:r>
        <w:rPr>
          <w:rFonts w:cs="Arial"/>
          <w:szCs w:val="24"/>
        </w:rPr>
        <w:t>Bakaeva</w:t>
      </w:r>
      <w:proofErr w:type="spellEnd"/>
      <w:r>
        <w:rPr>
          <w:rFonts w:cs="Arial"/>
          <w:szCs w:val="24"/>
        </w:rPr>
        <w:t xml:space="preserve"> </w:t>
      </w:r>
      <w:proofErr w:type="spellStart"/>
      <w:r>
        <w:rPr>
          <w:rFonts w:cs="Arial"/>
          <w:szCs w:val="24"/>
        </w:rPr>
        <w:t>Manzura</w:t>
      </w:r>
      <w:proofErr w:type="spellEnd"/>
      <w:r>
        <w:rPr>
          <w:rFonts w:cs="Arial"/>
          <w:szCs w:val="24"/>
        </w:rPr>
        <w:t xml:space="preserve"> and Sun </w:t>
      </w:r>
      <w:proofErr w:type="spellStart"/>
      <w:r>
        <w:rPr>
          <w:rFonts w:cs="Arial"/>
          <w:szCs w:val="24"/>
        </w:rPr>
        <w:t>Juanjuan</w:t>
      </w:r>
      <w:proofErr w:type="spellEnd"/>
      <w:r>
        <w:rPr>
          <w:rFonts w:cs="Arial"/>
          <w:szCs w:val="24"/>
        </w:rPr>
        <w:t xml:space="preserve"> (2009) investigated on profitability of banks that are affected by </w:t>
      </w:r>
      <w:r>
        <w:rPr>
          <w:rFonts w:cs="Arial"/>
          <w:szCs w:val="24"/>
        </w:rPr>
        <w:t>credit risk management. They have used four commercial banks in Sweden. They also tried to find out the relationship between credit risk management and profitability.</w:t>
      </w:r>
    </w:p>
    <w:p w:rsidR="00831BE9" w:rsidRDefault="00CC4D20">
      <w:pPr>
        <w:spacing w:line="360" w:lineRule="auto"/>
        <w:rPr>
          <w:rFonts w:cs="Arial"/>
          <w:szCs w:val="24"/>
        </w:rPr>
      </w:pPr>
      <w:proofErr w:type="spellStart"/>
      <w:r>
        <w:rPr>
          <w:rFonts w:cs="Arial"/>
          <w:szCs w:val="24"/>
        </w:rPr>
        <w:t>Baklouti</w:t>
      </w:r>
      <w:proofErr w:type="spellEnd"/>
      <w:r>
        <w:rPr>
          <w:rFonts w:cs="Arial"/>
          <w:szCs w:val="24"/>
        </w:rPr>
        <w:t xml:space="preserve"> </w:t>
      </w:r>
      <w:proofErr w:type="spellStart"/>
      <w:r>
        <w:rPr>
          <w:rFonts w:cs="Arial"/>
          <w:szCs w:val="24"/>
        </w:rPr>
        <w:t>Jbtissem</w:t>
      </w:r>
      <w:proofErr w:type="spellEnd"/>
      <w:r>
        <w:rPr>
          <w:rFonts w:cs="Arial"/>
          <w:szCs w:val="24"/>
        </w:rPr>
        <w:t xml:space="preserve"> and </w:t>
      </w:r>
      <w:proofErr w:type="spellStart"/>
      <w:r>
        <w:rPr>
          <w:rFonts w:cs="Arial"/>
          <w:szCs w:val="24"/>
        </w:rPr>
        <w:t>Abdelfettah</w:t>
      </w:r>
      <w:proofErr w:type="spellEnd"/>
      <w:r>
        <w:rPr>
          <w:rFonts w:cs="Arial"/>
          <w:szCs w:val="24"/>
        </w:rPr>
        <w:t xml:space="preserve"> </w:t>
      </w:r>
      <w:proofErr w:type="spellStart"/>
      <w:r>
        <w:rPr>
          <w:rFonts w:cs="Arial"/>
          <w:szCs w:val="24"/>
        </w:rPr>
        <w:t>Bouri</w:t>
      </w:r>
      <w:proofErr w:type="spellEnd"/>
      <w:r>
        <w:rPr>
          <w:rFonts w:cs="Arial"/>
          <w:szCs w:val="24"/>
        </w:rPr>
        <w:t xml:space="preserve"> (2013) suggested that the main motive of this stu</w:t>
      </w:r>
      <w:r>
        <w:rPr>
          <w:rFonts w:cs="Arial"/>
          <w:szCs w:val="24"/>
        </w:rPr>
        <w:t>dy is to identify how to improve credit risk management on microfinance institutions. Their main focus depends on statistical forecasting methods.</w:t>
      </w:r>
    </w:p>
    <w:p w:rsidR="00831BE9" w:rsidRDefault="00CC4D20">
      <w:pPr>
        <w:spacing w:line="360" w:lineRule="auto"/>
        <w:rPr>
          <w:rFonts w:cs="Arial"/>
          <w:szCs w:val="24"/>
        </w:rPr>
      </w:pPr>
      <w:r>
        <w:rPr>
          <w:rFonts w:cs="Arial"/>
          <w:szCs w:val="24"/>
        </w:rPr>
        <w:lastRenderedPageBreak/>
        <w:t xml:space="preserve">According to Nabila </w:t>
      </w:r>
      <w:proofErr w:type="spellStart"/>
      <w:r>
        <w:rPr>
          <w:rFonts w:cs="Arial"/>
          <w:szCs w:val="24"/>
        </w:rPr>
        <w:t>Zribi</w:t>
      </w:r>
      <w:proofErr w:type="spellEnd"/>
      <w:r>
        <w:rPr>
          <w:rFonts w:cs="Arial"/>
          <w:szCs w:val="24"/>
        </w:rPr>
        <w:t xml:space="preserve"> and </w:t>
      </w:r>
      <w:proofErr w:type="spellStart"/>
      <w:r>
        <w:rPr>
          <w:rFonts w:cs="Arial"/>
          <w:szCs w:val="24"/>
        </w:rPr>
        <w:t>Younes</w:t>
      </w:r>
      <w:proofErr w:type="spellEnd"/>
      <w:r>
        <w:rPr>
          <w:rFonts w:cs="Arial"/>
          <w:szCs w:val="24"/>
        </w:rPr>
        <w:t xml:space="preserve"> </w:t>
      </w:r>
      <w:proofErr w:type="spellStart"/>
      <w:r>
        <w:rPr>
          <w:rFonts w:cs="Arial"/>
          <w:szCs w:val="24"/>
        </w:rPr>
        <w:t>Boujelbene</w:t>
      </w:r>
      <w:proofErr w:type="spellEnd"/>
      <w:r>
        <w:rPr>
          <w:rFonts w:cs="Arial"/>
          <w:szCs w:val="24"/>
        </w:rPr>
        <w:t xml:space="preserve"> (2011), they tried to find out the credit risk of bank in Tun</w:t>
      </w:r>
      <w:r>
        <w:rPr>
          <w:rFonts w:cs="Arial"/>
          <w:szCs w:val="24"/>
        </w:rPr>
        <w:t>isia. In Tunisia their main focus on determining- profitability, capital and property structure. They had taken 10 banks as their sample.</w:t>
      </w: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szCs w:val="24"/>
        </w:rPr>
      </w:pPr>
    </w:p>
    <w:p w:rsidR="00831BE9" w:rsidRDefault="00831BE9">
      <w:pPr>
        <w:spacing w:line="360" w:lineRule="auto"/>
        <w:rPr>
          <w:rFonts w:cs="Arial"/>
          <w:b/>
          <w:sz w:val="28"/>
          <w:szCs w:val="28"/>
        </w:rPr>
      </w:pPr>
    </w:p>
    <w:p w:rsidR="00831BE9" w:rsidRDefault="00CC4D20">
      <w:pPr>
        <w:pStyle w:val="Heading1"/>
        <w:numPr>
          <w:ilvl w:val="0"/>
          <w:numId w:val="0"/>
        </w:numPr>
        <w:jc w:val="center"/>
      </w:pPr>
      <w:bookmarkStart w:id="11" w:name="_Toc59461243"/>
      <w:r>
        <w:lastRenderedPageBreak/>
        <w:t>3.1 Tools for Credit Risk Management</w:t>
      </w:r>
      <w:bookmarkEnd w:id="11"/>
    </w:p>
    <w:p w:rsidR="00831BE9" w:rsidRDefault="00831BE9">
      <w:pPr>
        <w:spacing w:line="360" w:lineRule="auto"/>
        <w:rPr>
          <w:rFonts w:cs="Arial"/>
          <w:b/>
          <w:sz w:val="28"/>
          <w:szCs w:val="28"/>
        </w:rPr>
      </w:pPr>
    </w:p>
    <w:p w:rsidR="00831BE9" w:rsidRDefault="00CC4D20">
      <w:pPr>
        <w:spacing w:line="360" w:lineRule="auto"/>
        <w:rPr>
          <w:rFonts w:cs="Arial"/>
          <w:szCs w:val="24"/>
        </w:rPr>
      </w:pPr>
      <w:r>
        <w:rPr>
          <w:rFonts w:cs="Arial"/>
          <w:szCs w:val="24"/>
        </w:rPr>
        <w:t>If banker can effectively credit risk management, their prof</w:t>
      </w:r>
      <w:r>
        <w:rPr>
          <w:rFonts w:cs="Arial"/>
          <w:szCs w:val="24"/>
        </w:rPr>
        <w:t>itability and growth will be increased. The banker requires some tools for effective credit risk management so that they can mitigate or control the risk in a productive way. These tools are given below:</w:t>
      </w:r>
    </w:p>
    <w:p w:rsidR="00831BE9" w:rsidRDefault="00CC4D20">
      <w:pPr>
        <w:pStyle w:val="ListParagraph"/>
        <w:numPr>
          <w:ilvl w:val="0"/>
          <w:numId w:val="7"/>
        </w:numPr>
        <w:spacing w:line="360" w:lineRule="auto"/>
        <w:rPr>
          <w:rFonts w:cs="Arial"/>
          <w:b/>
          <w:szCs w:val="24"/>
        </w:rPr>
      </w:pPr>
      <w:r>
        <w:rPr>
          <w:rFonts w:cs="Arial"/>
          <w:b/>
          <w:szCs w:val="24"/>
        </w:rPr>
        <w:t xml:space="preserve">Security: </w:t>
      </w:r>
    </w:p>
    <w:p w:rsidR="00831BE9" w:rsidRDefault="00CC4D20">
      <w:pPr>
        <w:pStyle w:val="ListParagraph"/>
        <w:spacing w:line="360" w:lineRule="auto"/>
        <w:rPr>
          <w:rFonts w:cs="Arial"/>
          <w:szCs w:val="24"/>
        </w:rPr>
      </w:pPr>
      <w:r>
        <w:rPr>
          <w:rFonts w:cs="Arial"/>
          <w:szCs w:val="24"/>
        </w:rPr>
        <w:t xml:space="preserve"> Security is most important to take decision whether people will keep money or </w:t>
      </w:r>
    </w:p>
    <w:p w:rsidR="00831BE9" w:rsidRDefault="00CC4D20">
      <w:pPr>
        <w:pStyle w:val="ListParagraph"/>
        <w:spacing w:line="360" w:lineRule="auto"/>
        <w:rPr>
          <w:rFonts w:cs="Arial"/>
          <w:szCs w:val="24"/>
        </w:rPr>
      </w:pPr>
      <w:proofErr w:type="gramStart"/>
      <w:r>
        <w:rPr>
          <w:rFonts w:cs="Arial"/>
          <w:szCs w:val="24"/>
        </w:rPr>
        <w:t>not</w:t>
      </w:r>
      <w:proofErr w:type="gramEnd"/>
      <w:r>
        <w:rPr>
          <w:rFonts w:cs="Arial"/>
          <w:szCs w:val="24"/>
        </w:rPr>
        <w:t xml:space="preserve">. Now the greater tendency of people is loans rather than securities. Security can be different from area to area. By depending of their nature, security is classified into </w:t>
      </w:r>
      <w:r>
        <w:rPr>
          <w:rFonts w:cs="Arial"/>
          <w:szCs w:val="24"/>
        </w:rPr>
        <w:t>two categories-</w:t>
      </w:r>
    </w:p>
    <w:p w:rsidR="00831BE9" w:rsidRDefault="00CC4D20">
      <w:pPr>
        <w:pStyle w:val="ListParagraph"/>
        <w:numPr>
          <w:ilvl w:val="0"/>
          <w:numId w:val="8"/>
        </w:numPr>
        <w:spacing w:line="360" w:lineRule="auto"/>
        <w:rPr>
          <w:rFonts w:cs="Arial"/>
          <w:szCs w:val="24"/>
        </w:rPr>
      </w:pPr>
      <w:r>
        <w:rPr>
          <w:rFonts w:cs="Arial"/>
          <w:szCs w:val="24"/>
        </w:rPr>
        <w:t>Primary Security: Primary security is the security that the borrower offers the lender for covering the loan. It actually mentions assets that is collected by banks.</w:t>
      </w:r>
    </w:p>
    <w:p w:rsidR="00831BE9" w:rsidRDefault="00CC4D20">
      <w:pPr>
        <w:pStyle w:val="ListParagraph"/>
        <w:numPr>
          <w:ilvl w:val="0"/>
          <w:numId w:val="8"/>
        </w:numPr>
        <w:spacing w:line="360" w:lineRule="auto"/>
        <w:rPr>
          <w:rFonts w:cs="Arial"/>
          <w:szCs w:val="24"/>
        </w:rPr>
      </w:pPr>
      <w:r>
        <w:rPr>
          <w:rFonts w:cs="Arial"/>
          <w:szCs w:val="24"/>
        </w:rPr>
        <w:t>Collateral Security: Collateral Security is the security that comes when p</w:t>
      </w:r>
      <w:r>
        <w:rPr>
          <w:rFonts w:cs="Arial"/>
          <w:szCs w:val="24"/>
        </w:rPr>
        <w:t>rimary security is inadequate. It is an extra security that the banks keep for covering the loan that borrower provide.</w:t>
      </w:r>
    </w:p>
    <w:p w:rsidR="00831BE9" w:rsidRDefault="00831BE9">
      <w:pPr>
        <w:pStyle w:val="ListParagraph"/>
        <w:spacing w:line="360" w:lineRule="auto"/>
        <w:ind w:left="1440"/>
        <w:rPr>
          <w:rFonts w:cs="Arial"/>
          <w:szCs w:val="24"/>
        </w:rPr>
      </w:pPr>
    </w:p>
    <w:p w:rsidR="00831BE9" w:rsidRDefault="00CC4D20">
      <w:pPr>
        <w:pStyle w:val="ListParagraph"/>
        <w:numPr>
          <w:ilvl w:val="0"/>
          <w:numId w:val="7"/>
        </w:numPr>
        <w:spacing w:line="360" w:lineRule="auto"/>
        <w:rPr>
          <w:rFonts w:cs="Arial"/>
          <w:b/>
          <w:szCs w:val="24"/>
        </w:rPr>
      </w:pPr>
      <w:r>
        <w:rPr>
          <w:rFonts w:cs="Arial"/>
          <w:b/>
          <w:szCs w:val="24"/>
        </w:rPr>
        <w:t>Margin:</w:t>
      </w:r>
    </w:p>
    <w:p w:rsidR="00831BE9" w:rsidRDefault="00CC4D20">
      <w:pPr>
        <w:pStyle w:val="ListParagraph"/>
        <w:spacing w:line="360" w:lineRule="auto"/>
        <w:rPr>
          <w:rFonts w:cs="Arial"/>
          <w:szCs w:val="24"/>
        </w:rPr>
      </w:pPr>
      <w:r>
        <w:rPr>
          <w:rFonts w:cs="Arial"/>
          <w:szCs w:val="24"/>
        </w:rPr>
        <w:t xml:space="preserve"> Margin means cover up the deficit. The borrower contributes the portion of money. Based on nature and security and ability of </w:t>
      </w:r>
      <w:r>
        <w:rPr>
          <w:rFonts w:cs="Arial"/>
          <w:szCs w:val="24"/>
        </w:rPr>
        <w:t>the customer, margin is fixed up. Bangladesh Bank also attributed the margin.</w:t>
      </w:r>
    </w:p>
    <w:p w:rsidR="00831BE9" w:rsidRDefault="00CC4D20">
      <w:pPr>
        <w:pStyle w:val="ListParagraph"/>
        <w:numPr>
          <w:ilvl w:val="0"/>
          <w:numId w:val="7"/>
        </w:numPr>
        <w:spacing w:line="360" w:lineRule="auto"/>
        <w:rPr>
          <w:rFonts w:cs="Arial"/>
          <w:b/>
          <w:szCs w:val="24"/>
        </w:rPr>
      </w:pPr>
      <w:r>
        <w:rPr>
          <w:rFonts w:cs="Arial"/>
          <w:b/>
          <w:szCs w:val="24"/>
        </w:rPr>
        <w:t>Charge:</w:t>
      </w:r>
    </w:p>
    <w:p w:rsidR="00831BE9" w:rsidRDefault="00CC4D20">
      <w:pPr>
        <w:pStyle w:val="ListParagraph"/>
        <w:spacing w:line="360" w:lineRule="auto"/>
        <w:rPr>
          <w:rFonts w:cs="Arial"/>
          <w:szCs w:val="24"/>
        </w:rPr>
      </w:pPr>
      <w:r>
        <w:rPr>
          <w:rFonts w:cs="Arial"/>
          <w:szCs w:val="24"/>
        </w:rPr>
        <w:t>If banker set extra charge, they will be secured the position. There are some ways to secure legally by charging.</w:t>
      </w:r>
    </w:p>
    <w:p w:rsidR="00831BE9" w:rsidRDefault="00CC4D20">
      <w:pPr>
        <w:pStyle w:val="ListParagraph"/>
        <w:numPr>
          <w:ilvl w:val="0"/>
          <w:numId w:val="7"/>
        </w:numPr>
        <w:spacing w:line="360" w:lineRule="auto"/>
        <w:rPr>
          <w:rFonts w:cs="Arial"/>
          <w:b/>
          <w:szCs w:val="24"/>
        </w:rPr>
      </w:pPr>
      <w:r>
        <w:rPr>
          <w:rFonts w:cs="Arial"/>
          <w:b/>
          <w:szCs w:val="24"/>
        </w:rPr>
        <w:t>Documentation:</w:t>
      </w:r>
    </w:p>
    <w:p w:rsidR="00831BE9" w:rsidRDefault="00CC4D20">
      <w:pPr>
        <w:pStyle w:val="ListParagraph"/>
        <w:spacing w:line="360" w:lineRule="auto"/>
        <w:rPr>
          <w:rFonts w:cs="Arial"/>
          <w:szCs w:val="24"/>
        </w:rPr>
      </w:pPr>
      <w:r>
        <w:rPr>
          <w:rFonts w:cs="Arial"/>
          <w:szCs w:val="24"/>
        </w:rPr>
        <w:t>The banker and borrower are established s</w:t>
      </w:r>
      <w:r>
        <w:rPr>
          <w:rFonts w:cs="Arial"/>
          <w:szCs w:val="24"/>
        </w:rPr>
        <w:t>ecure relationship through documentation. Documentation is essential for banks because it confirms the bank’s character.</w:t>
      </w:r>
    </w:p>
    <w:p w:rsidR="00831BE9" w:rsidRDefault="00CC4D20">
      <w:pPr>
        <w:pStyle w:val="ListParagraph"/>
        <w:numPr>
          <w:ilvl w:val="0"/>
          <w:numId w:val="7"/>
        </w:numPr>
        <w:spacing w:line="360" w:lineRule="auto"/>
        <w:rPr>
          <w:rFonts w:cs="Arial"/>
          <w:b/>
          <w:szCs w:val="24"/>
        </w:rPr>
      </w:pPr>
      <w:r>
        <w:rPr>
          <w:rFonts w:cs="Arial"/>
          <w:b/>
          <w:szCs w:val="24"/>
        </w:rPr>
        <w:t>Credit Disbursement:</w:t>
      </w:r>
    </w:p>
    <w:p w:rsidR="00831BE9" w:rsidRDefault="00CC4D20">
      <w:pPr>
        <w:pStyle w:val="ListParagraph"/>
        <w:spacing w:line="360" w:lineRule="auto"/>
        <w:rPr>
          <w:rFonts w:cs="Arial"/>
          <w:szCs w:val="24"/>
        </w:rPr>
      </w:pPr>
      <w:r>
        <w:rPr>
          <w:rFonts w:cs="Arial"/>
          <w:szCs w:val="24"/>
        </w:rPr>
        <w:lastRenderedPageBreak/>
        <w:t>After completing the loan documentation, the loan is provided by the officer to the borrower. It is provided in th</w:t>
      </w:r>
      <w:r>
        <w:rPr>
          <w:rFonts w:cs="Arial"/>
          <w:szCs w:val="24"/>
        </w:rPr>
        <w:t xml:space="preserve">e account of the borrower. Then they check whether the terms and condition are met or not. </w:t>
      </w:r>
    </w:p>
    <w:p w:rsidR="00831BE9" w:rsidRDefault="00831BE9">
      <w:pPr>
        <w:spacing w:line="360" w:lineRule="auto"/>
        <w:rPr>
          <w:rFonts w:cs="Arial"/>
          <w:szCs w:val="24"/>
        </w:rPr>
      </w:pPr>
    </w:p>
    <w:p w:rsidR="00831BE9" w:rsidRDefault="00831BE9">
      <w:pPr>
        <w:spacing w:line="360" w:lineRule="auto"/>
        <w:rPr>
          <w:rFonts w:cs="Arial"/>
          <w:b/>
          <w:sz w:val="28"/>
          <w:szCs w:val="28"/>
        </w:rPr>
      </w:pPr>
    </w:p>
    <w:p w:rsidR="00831BE9" w:rsidRDefault="00CC4D20">
      <w:pPr>
        <w:pStyle w:val="Heading2"/>
      </w:pPr>
      <w:bookmarkStart w:id="12" w:name="_Toc59461244"/>
      <w:r>
        <w:t>3.2Policy guidelines on Credit Risk Management:</w:t>
      </w:r>
      <w:bookmarkEnd w:id="12"/>
    </w:p>
    <w:p w:rsidR="00831BE9" w:rsidRDefault="00831BE9">
      <w:pPr>
        <w:pStyle w:val="ListParagraph"/>
        <w:spacing w:line="360" w:lineRule="auto"/>
        <w:rPr>
          <w:rFonts w:cs="Arial"/>
          <w:szCs w:val="24"/>
        </w:rPr>
      </w:pPr>
    </w:p>
    <w:p w:rsidR="00831BE9" w:rsidRDefault="00CC4D20">
      <w:pPr>
        <w:pStyle w:val="ListParagraph"/>
        <w:spacing w:line="360" w:lineRule="auto"/>
        <w:rPr>
          <w:rFonts w:cs="Arial"/>
          <w:szCs w:val="24"/>
        </w:rPr>
      </w:pPr>
      <w:r>
        <w:rPr>
          <w:rFonts w:cs="Arial"/>
          <w:szCs w:val="24"/>
        </w:rPr>
        <w:t xml:space="preserve">The credit administration set some structure to follow for credit risk management. They structure the credit </w:t>
      </w:r>
      <w:r>
        <w:rPr>
          <w:rFonts w:cs="Arial"/>
          <w:szCs w:val="24"/>
        </w:rPr>
        <w:t>policy in a given way:</w:t>
      </w:r>
    </w:p>
    <w:p w:rsidR="00831BE9" w:rsidRDefault="00831BE9">
      <w:pPr>
        <w:pStyle w:val="ListParagraph"/>
        <w:spacing w:line="360" w:lineRule="auto"/>
        <w:rPr>
          <w:rFonts w:cs="Arial"/>
          <w:szCs w:val="24"/>
        </w:rPr>
      </w:pPr>
    </w:p>
    <w:p w:rsidR="00831BE9" w:rsidRDefault="00831BE9">
      <w:pPr>
        <w:pStyle w:val="ListParagraph"/>
        <w:spacing w:line="360" w:lineRule="auto"/>
        <w:rPr>
          <w:rFonts w:cs="Arial"/>
          <w:szCs w:val="24"/>
        </w:rPr>
      </w:pPr>
    </w:p>
    <w:p w:rsidR="00831BE9" w:rsidRDefault="00CC4D20">
      <w:pPr>
        <w:pStyle w:val="ListParagraph"/>
        <w:spacing w:line="360" w:lineRule="auto"/>
        <w:rPr>
          <w:rFonts w:cs="Arial"/>
          <w:szCs w:val="24"/>
        </w:rPr>
      </w:pPr>
      <w:r>
        <w:rPr>
          <w:rFonts w:cs="Arial"/>
          <w:szCs w:val="24"/>
        </w:rPr>
        <w:t>.</w:t>
      </w:r>
      <w:r>
        <w:rPr>
          <w:rFonts w:cs="Arial"/>
          <w:noProof/>
          <w:szCs w:val="24"/>
        </w:rPr>
        <w:drawing>
          <wp:inline distT="0" distB="0" distL="0" distR="0">
            <wp:extent cx="5078095" cy="287909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31BE9" w:rsidRDefault="00CC4D20">
      <w:pPr>
        <w:rPr>
          <w:rFonts w:cs="Arial"/>
          <w:szCs w:val="24"/>
        </w:rPr>
      </w:pPr>
      <w:r>
        <w:rPr>
          <w:rFonts w:cs="Arial"/>
          <w:szCs w:val="24"/>
        </w:rPr>
        <w:br w:type="page"/>
      </w:r>
    </w:p>
    <w:p w:rsidR="00831BE9" w:rsidRDefault="00CC4D20">
      <w:pPr>
        <w:pStyle w:val="Heading1"/>
        <w:numPr>
          <w:ilvl w:val="0"/>
          <w:numId w:val="0"/>
        </w:numPr>
        <w:tabs>
          <w:tab w:val="left" w:pos="525"/>
          <w:tab w:val="center" w:pos="4680"/>
        </w:tabs>
        <w:jc w:val="left"/>
      </w:pPr>
      <w:r>
        <w:lastRenderedPageBreak/>
        <w:tab/>
      </w:r>
      <w:r>
        <w:tab/>
      </w:r>
      <w:bookmarkStart w:id="13" w:name="_Toc59461245"/>
      <w:r>
        <w:t>4.0 Analysis &amp; Findings</w:t>
      </w:r>
      <w:bookmarkEnd w:id="13"/>
    </w:p>
    <w:p w:rsidR="00831BE9" w:rsidRDefault="00CC4D20">
      <w:pPr>
        <w:pStyle w:val="Heading2"/>
      </w:pPr>
      <w:bookmarkStart w:id="14" w:name="_Toc59461246"/>
      <w:r>
        <w:t>4.1 Analysis:</w:t>
      </w:r>
      <w:bookmarkEnd w:id="14"/>
    </w:p>
    <w:p w:rsidR="00831BE9" w:rsidRDefault="00CC4D20">
      <w:r>
        <w:t>For analyzing the data I have taken 25 selected commercial banks. That is given below with return on asset, return on equity, equity capital ratio &amp; debt to equity ratio:</w:t>
      </w:r>
    </w:p>
    <w:p w:rsidR="00831BE9" w:rsidRDefault="00CC4D20">
      <w:pPr>
        <w:pStyle w:val="ListParagraph"/>
        <w:rPr>
          <w:rFonts w:cs="Arial"/>
        </w:rPr>
      </w:pPr>
      <w:proofErr w:type="gramStart"/>
      <w:r>
        <w:rPr>
          <w:rFonts w:cs="Arial"/>
        </w:rPr>
        <w:t>1.AB</w:t>
      </w:r>
      <w:proofErr w:type="gramEnd"/>
      <w:r>
        <w:rPr>
          <w:rFonts w:cs="Arial"/>
        </w:rPr>
        <w:t xml:space="preserve"> Bank:</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0.0057%</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0.0459%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322525971620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365568670314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18323578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167741264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0.0808%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0.7344%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18323578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167741264</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22650481875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22840481523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0.0702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0.0624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22650481875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22840481523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322525971620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365568670314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0.8067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0.6488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18272449759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14820039741</w:t>
            </w:r>
          </w:p>
        </w:tc>
      </w:tr>
      <w:tr w:rsidR="00831BE9" w:rsidTr="00831BE9">
        <w:trPr>
          <w:trHeight w:val="377"/>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22650481875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22840481523</w:t>
            </w:r>
          </w:p>
        </w:tc>
      </w:tr>
    </w:tbl>
    <w:p w:rsidR="00831BE9" w:rsidRDefault="00831BE9">
      <w:pPr>
        <w:rPr>
          <w:sz w:val="32"/>
        </w:rPr>
      </w:pPr>
    </w:p>
    <w:p w:rsidR="00831BE9" w:rsidRDefault="00CC4D20">
      <w:pPr>
        <w:tabs>
          <w:tab w:val="left" w:pos="7978"/>
        </w:tabs>
      </w:pPr>
      <w:r>
        <w:rPr>
          <w:rFonts w:cs="Arial"/>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289560</wp:posOffset>
            </wp:positionV>
            <wp:extent cx="2866390" cy="2483485"/>
            <wp:effectExtent l="0" t="0" r="10160" b="1206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tab/>
      </w:r>
    </w:p>
    <w:p w:rsidR="00831BE9" w:rsidRDefault="00CC4D20">
      <w:pPr>
        <w:tabs>
          <w:tab w:val="left" w:pos="7978"/>
        </w:tabs>
        <w:jc w:val="right"/>
      </w:pPr>
      <w:r>
        <w:rPr>
          <w:rFonts w:cs="Arial"/>
          <w:noProof/>
          <w:szCs w:val="24"/>
        </w:rPr>
        <w:drawing>
          <wp:inline distT="0" distB="0" distL="0" distR="0">
            <wp:extent cx="2767330" cy="2508250"/>
            <wp:effectExtent l="0" t="0" r="13970" b="63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color w:val="5B9BD5" w:themeColor="accent5"/>
          <w:szCs w:val="24"/>
        </w:rPr>
      </w:pPr>
      <w:r>
        <w:rPr>
          <w:rFonts w:cs="Arial"/>
          <w:b/>
          <w:szCs w:val="24"/>
        </w:rPr>
        <w:t>Interpretation:</w:t>
      </w:r>
      <w:r>
        <w:rPr>
          <w:rFonts w:cs="Arial"/>
          <w:szCs w:val="24"/>
        </w:rPr>
        <w:t xml:space="preserve"> Higher ROA indicates that more asset efficiency. When company has higher ROA that means the company is doing well. Giving less investment, company is </w:t>
      </w:r>
      <w:r>
        <w:rPr>
          <w:rFonts w:cs="Arial"/>
          <w:szCs w:val="24"/>
        </w:rPr>
        <w:lastRenderedPageBreak/>
        <w:t xml:space="preserve">earning more money. So, we can see the return on asset of AB bank is gradually raising. Here, the ROA of </w:t>
      </w:r>
      <w:r>
        <w:rPr>
          <w:rFonts w:cs="Arial"/>
          <w:szCs w:val="24"/>
        </w:rPr>
        <w:t>AB bank is slowly raising from 0.0057% to 0.0459% from 2018 to 2019. Over 5% of ROA is good for bank. That means bank has positive ROA but needs to improve.</w:t>
      </w:r>
    </w:p>
    <w:p w:rsidR="00831BE9" w:rsidRDefault="00CC4D20">
      <w:pPr>
        <w:rPr>
          <w:rFonts w:cs="Arial"/>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xml:space="preserve"> The return on equity (ROE) indicates that people will invest in the bank or not. We can see the return on equity has been raising but little bit. In the year of 2019 of return on equity is raising compared to </w:t>
      </w:r>
      <w:proofErr w:type="gramStart"/>
      <w:r>
        <w:rPr>
          <w:rFonts w:cs="Arial"/>
          <w:szCs w:val="24"/>
        </w:rPr>
        <w:t>2018.</w:t>
      </w:r>
      <w:proofErr w:type="gramEnd"/>
      <w:r>
        <w:rPr>
          <w:rFonts w:cs="Arial"/>
          <w:szCs w:val="24"/>
        </w:rPr>
        <w:t xml:space="preserve"> The percentage is from 0.0809%to 0.7844%</w:t>
      </w:r>
      <w:r>
        <w:rPr>
          <w:rFonts w:cs="Arial"/>
          <w:szCs w:val="24"/>
        </w:rPr>
        <w:t>. Generally, 10% is good for banks. AB bank’s ROE is low but positive.  So, I can say management should effectively uses equity to generate profit.</w:t>
      </w:r>
    </w:p>
    <w:p w:rsidR="00831BE9" w:rsidRDefault="00CC4D20">
      <w:pPr>
        <w:rPr>
          <w:rFonts w:cs="Arial"/>
          <w:szCs w:val="24"/>
        </w:rPr>
      </w:pPr>
      <w:r>
        <w:rPr>
          <w:rFonts w:cs="Arial"/>
          <w:noProof/>
          <w:szCs w:val="24"/>
        </w:rPr>
        <w:drawing>
          <wp:anchor distT="0" distB="0" distL="114300" distR="114300" simplePos="0" relativeHeight="251662336" behindDoc="0" locked="0" layoutInCell="1" allowOverlap="1">
            <wp:simplePos x="0" y="0"/>
            <wp:positionH relativeFrom="margin">
              <wp:align>left</wp:align>
            </wp:positionH>
            <wp:positionV relativeFrom="paragraph">
              <wp:posOffset>296545</wp:posOffset>
            </wp:positionV>
            <wp:extent cx="2952750" cy="2520315"/>
            <wp:effectExtent l="0" t="0" r="0" b="13335"/>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831BE9" w:rsidRDefault="00CC4D20">
      <w:pPr>
        <w:jc w:val="right"/>
        <w:rPr>
          <w:rFonts w:cs="Arial"/>
          <w:szCs w:val="24"/>
        </w:rPr>
      </w:pPr>
      <w:r>
        <w:rPr>
          <w:rFonts w:cs="Arial"/>
          <w:noProof/>
          <w:szCs w:val="24"/>
        </w:rPr>
        <w:drawing>
          <wp:inline distT="0" distB="0" distL="0" distR="0">
            <wp:extent cx="2718435" cy="2508250"/>
            <wp:effectExtent l="0" t="0" r="5715" b="635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cs="Arial"/>
          <w:b/>
          <w:color w:val="44546A" w:themeColor="text2"/>
          <w:szCs w:val="24"/>
        </w:rPr>
        <w:tab/>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rPr>
          <w:rFonts w:cs="Arial"/>
          <w:szCs w:val="24"/>
        </w:rPr>
      </w:pPr>
      <w:r>
        <w:rPr>
          <w:rFonts w:cs="Arial"/>
          <w:b/>
          <w:szCs w:val="24"/>
        </w:rPr>
        <w:t>Interpretation:</w:t>
      </w:r>
      <w:r>
        <w:rPr>
          <w:rFonts w:cs="Arial"/>
          <w:szCs w:val="24"/>
        </w:rPr>
        <w:t xml:space="preserve"> Equity Capital Ratio indicates that how banks control the debts a</w:t>
      </w:r>
      <w:r>
        <w:rPr>
          <w:rFonts w:cs="Arial"/>
          <w:szCs w:val="24"/>
        </w:rPr>
        <w:t>nd asset. Below 0.50 it indicates that leveraged bank. From 2019 to 2018 the ratio is 0.0625 to 0.0702. That means more assets are funded by investors rather than debt.</w:t>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b/>
          <w:szCs w:val="24"/>
        </w:rPr>
      </w:pPr>
      <w:r>
        <w:rPr>
          <w:rFonts w:cs="Arial"/>
          <w:b/>
          <w:szCs w:val="24"/>
        </w:rPr>
        <w:t>Interpretation:</w:t>
      </w:r>
      <w:r>
        <w:rPr>
          <w:rFonts w:cs="Arial"/>
          <w:szCs w:val="24"/>
        </w:rPr>
        <w:t xml:space="preserve"> Debt to Equity ratio should always be less than 1</w:t>
      </w:r>
      <w:r>
        <w:rPr>
          <w:rFonts w:cs="Arial"/>
          <w:szCs w:val="24"/>
        </w:rPr>
        <w:t>. Because that’s time bank stays comfortable position. In tougher times banks can survive with low debt to equity ratio. So, I find AB bank’s debt to equity ratio is low. So, company’s position is good.</w:t>
      </w:r>
    </w:p>
    <w:p w:rsidR="00831BE9" w:rsidRDefault="00CC4D20">
      <w:pPr>
        <w:pStyle w:val="ListParagraph"/>
        <w:numPr>
          <w:ilvl w:val="0"/>
          <w:numId w:val="9"/>
        </w:numPr>
        <w:rPr>
          <w:rFonts w:cs="Arial"/>
          <w:szCs w:val="24"/>
        </w:rPr>
      </w:pPr>
      <w:r>
        <w:rPr>
          <w:rFonts w:cs="Arial"/>
          <w:szCs w:val="24"/>
        </w:rPr>
        <w:t>City Bank:</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w:t>
            </w:r>
            <w:r>
              <w:rPr>
                <w:rFonts w:cs="Arial"/>
              </w:rPr>
              <w:t>et (%)</w:t>
            </w:r>
          </w:p>
        </w:tc>
        <w:tc>
          <w:tcPr>
            <w:tcW w:w="1830" w:type="pct"/>
          </w:tcPr>
          <w:p w:rsidR="00831BE9" w:rsidRDefault="00CC4D20">
            <w:pPr>
              <w:spacing w:after="0"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0.6213%</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0.6968%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4423088059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3838030641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155155989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165516833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lastRenderedPageBreak/>
              <w:t>Return on Equity (%)</w:t>
            </w:r>
          </w:p>
        </w:tc>
        <w:tc>
          <w:tcPr>
            <w:tcW w:w="1830" w:type="pct"/>
            <w:tcBorders>
              <w:top w:val="double" w:sz="4" w:space="0" w:color="auto"/>
            </w:tcBorders>
          </w:tcPr>
          <w:p w:rsidR="00831BE9" w:rsidRDefault="00CC4D20">
            <w:pPr>
              <w:spacing w:after="0"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8.2601%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9.7249%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b/>
              </w:rPr>
            </w:pPr>
            <w:r>
              <w:rPr>
                <w:rFonts w:cs="Arial"/>
              </w:rPr>
              <w:t>155155989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165516833</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3631684402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275933938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0.0111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0.0081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3631684402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275933938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4423088059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3838030641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2.4231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3.183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831BE9">
            <w:pPr>
              <w:spacing w:after="0"/>
              <w:cnfStyle w:val="000000000000" w:firstRow="0" w:lastRow="0" w:firstColumn="0" w:lastColumn="0" w:oddVBand="0" w:evenVBand="0" w:oddHBand="0" w:evenHBand="0" w:firstRowFirstColumn="0" w:firstRowLastColumn="0" w:lastRowFirstColumn="0" w:lastRowLastColumn="0"/>
              <w:rPr>
                <w:rFonts w:cs="Arial"/>
              </w:rPr>
            </w:pPr>
          </w:p>
        </w:tc>
        <w:tc>
          <w:tcPr>
            <w:tcW w:w="1830" w:type="pct"/>
            <w:tcBorders>
              <w:bottom w:val="single" w:sz="4" w:space="0" w:color="999999" w:themeColor="text1" w:themeTint="66"/>
            </w:tcBorders>
          </w:tcPr>
          <w:p w:rsidR="00831BE9" w:rsidRDefault="00831BE9">
            <w:pPr>
              <w:spacing w:after="0"/>
              <w:cnfStyle w:val="000000000000" w:firstRow="0" w:lastRow="0" w:firstColumn="0" w:lastColumn="0" w:oddVBand="0" w:evenVBand="0" w:oddHBand="0" w:evenHBand="0" w:firstRowFirstColumn="0" w:firstRowLastColumn="0" w:lastRowFirstColumn="0" w:lastRowLastColumn="0"/>
              <w:rPr>
                <w:rFonts w:cs="Arial"/>
              </w:rPr>
            </w:pP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3631684402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275933938</w:t>
            </w:r>
          </w:p>
        </w:tc>
      </w:tr>
    </w:tbl>
    <w:p w:rsidR="00831BE9" w:rsidRDefault="00CC4D20">
      <w:pPr>
        <w:pStyle w:val="ListParagraph"/>
        <w:tabs>
          <w:tab w:val="left" w:pos="2705"/>
        </w:tabs>
        <w:spacing w:line="360" w:lineRule="auto"/>
        <w:ind w:left="1080"/>
        <w:rPr>
          <w:rFonts w:cs="Arial"/>
          <w:szCs w:val="24"/>
        </w:rPr>
      </w:pPr>
      <w:r>
        <w:rPr>
          <w:rFonts w:cs="Arial"/>
          <w:noProof/>
          <w:szCs w:val="24"/>
        </w:rPr>
        <w:drawing>
          <wp:anchor distT="0" distB="0" distL="114300" distR="114300" simplePos="0" relativeHeight="251663360" behindDoc="0" locked="0" layoutInCell="1" allowOverlap="1">
            <wp:simplePos x="0" y="0"/>
            <wp:positionH relativeFrom="margin">
              <wp:align>left</wp:align>
            </wp:positionH>
            <wp:positionV relativeFrom="paragraph">
              <wp:posOffset>262255</wp:posOffset>
            </wp:positionV>
            <wp:extent cx="2804795" cy="2236470"/>
            <wp:effectExtent l="0" t="0" r="14605" b="11430"/>
            <wp:wrapSquare wrapText="bothSides"/>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cs="Arial"/>
          <w:szCs w:val="24"/>
        </w:rPr>
        <w:tab/>
      </w:r>
    </w:p>
    <w:p w:rsidR="00831BE9" w:rsidRDefault="00CC4D20">
      <w:pPr>
        <w:pStyle w:val="ListParagraph"/>
        <w:ind w:left="1080"/>
        <w:jc w:val="right"/>
        <w:rPr>
          <w:rFonts w:cs="Arial"/>
          <w:szCs w:val="24"/>
        </w:rPr>
      </w:pPr>
      <w:r>
        <w:rPr>
          <w:rFonts w:cs="Arial"/>
          <w:noProof/>
          <w:szCs w:val="24"/>
        </w:rPr>
        <w:drawing>
          <wp:inline distT="0" distB="0" distL="0" distR="0">
            <wp:extent cx="2971800" cy="2236470"/>
            <wp:effectExtent l="0" t="0" r="0" b="11430"/>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cs="Arial"/>
          <w:szCs w:val="24"/>
        </w:rPr>
        <w:br w:type="textWrapping" w:clear="all"/>
      </w:r>
    </w:p>
    <w:p w:rsidR="00831BE9" w:rsidRDefault="00CC4D20">
      <w:pPr>
        <w:spacing w:line="360" w:lineRule="auto"/>
        <w:rPr>
          <w:rFonts w:cs="Arial"/>
          <w:b/>
          <w:color w:val="4472C4" w:themeColor="accent1"/>
          <w:szCs w:val="24"/>
        </w:rPr>
      </w:pPr>
      <w:r>
        <w:rPr>
          <w:rFonts w:cs="Arial"/>
          <w:b/>
          <w:color w:val="5B9BD5" w:themeColor="accent5"/>
          <w:szCs w:val="24"/>
        </w:rPr>
        <w:t>Return on Assets (ROA) (%)</w:t>
      </w:r>
      <w:r>
        <w:rPr>
          <w:rFonts w:cs="Arial"/>
          <w:b/>
          <w:color w:val="4472C4" w:themeColor="accent1"/>
          <w:szCs w:val="24"/>
        </w:rPr>
        <w:t>:</w:t>
      </w:r>
    </w:p>
    <w:p w:rsidR="00831BE9" w:rsidRDefault="00CC4D20">
      <w:pPr>
        <w:rPr>
          <w:rFonts w:cs="Arial"/>
          <w:szCs w:val="24"/>
        </w:rPr>
      </w:pPr>
      <w:r>
        <w:rPr>
          <w:rFonts w:cs="Arial"/>
          <w:b/>
          <w:szCs w:val="24"/>
        </w:rPr>
        <w:t>Interpretation:</w:t>
      </w:r>
      <w:r>
        <w:rPr>
          <w:rFonts w:cs="Arial"/>
          <w:szCs w:val="24"/>
        </w:rPr>
        <w:t xml:space="preserve"> The return on asset is over 1% is regarded as good for bank. So, we can see the return on asset of City bank is gradually raising. Here, the ROA of City Bank is slowly raising from 0.6213% to 0.6968% from 2018 to 2019.That means City bank has positive ret</w:t>
      </w:r>
      <w:r>
        <w:rPr>
          <w:rFonts w:cs="Arial"/>
          <w:szCs w:val="24"/>
        </w:rPr>
        <w:t>urn on asset. But the ratio should be increased.</w:t>
      </w:r>
    </w:p>
    <w:p w:rsidR="00831BE9" w:rsidRDefault="00CC4D20">
      <w:pPr>
        <w:rPr>
          <w:rFonts w:cs="Arial"/>
          <w:b/>
          <w:color w:val="4472C4" w:themeColor="accent1"/>
          <w:szCs w:val="24"/>
        </w:rPr>
      </w:pPr>
      <w:r>
        <w:rPr>
          <w:rFonts w:cs="Arial"/>
          <w:b/>
          <w:color w:val="5B9BD5" w:themeColor="accent5"/>
          <w:szCs w:val="24"/>
        </w:rPr>
        <w:t>Return on Equity (ROE</w:t>
      </w:r>
      <w:r>
        <w:rPr>
          <w:rFonts w:cs="Arial"/>
          <w:b/>
          <w:color w:val="4472C4" w:themeColor="accent1"/>
          <w:szCs w:val="24"/>
        </w:rPr>
        <w:t>)</w:t>
      </w:r>
      <w:r>
        <w:rPr>
          <w:rFonts w:cs="Arial"/>
          <w:b/>
          <w:color w:val="5B9BD5" w:themeColor="accent5"/>
          <w:szCs w:val="24"/>
        </w:rPr>
        <w:t xml:space="preserve"> (%):</w:t>
      </w:r>
    </w:p>
    <w:p w:rsidR="00831BE9" w:rsidRDefault="00CC4D20">
      <w:pPr>
        <w:rPr>
          <w:rFonts w:cs="Arial"/>
          <w:szCs w:val="24"/>
        </w:rPr>
      </w:pPr>
      <w:r>
        <w:rPr>
          <w:rFonts w:cs="Arial"/>
          <w:b/>
          <w:szCs w:val="24"/>
        </w:rPr>
        <w:t>Interpretation:</w:t>
      </w:r>
      <w:r>
        <w:rPr>
          <w:rFonts w:cs="Arial"/>
          <w:szCs w:val="24"/>
        </w:rPr>
        <w:t xml:space="preserve"> We can see the return on equity has been raising. In the year of 2019 of return on equity is raising compared to </w:t>
      </w:r>
      <w:proofErr w:type="gramStart"/>
      <w:r>
        <w:rPr>
          <w:rFonts w:cs="Arial"/>
          <w:szCs w:val="24"/>
        </w:rPr>
        <w:t>2018.</w:t>
      </w:r>
      <w:proofErr w:type="gramEnd"/>
      <w:r>
        <w:rPr>
          <w:rFonts w:cs="Arial"/>
          <w:szCs w:val="24"/>
        </w:rPr>
        <w:t xml:space="preserve"> The percentage is from 8.2601%to 9.7249%. Ge</w:t>
      </w:r>
      <w:r>
        <w:rPr>
          <w:rFonts w:cs="Arial"/>
          <w:szCs w:val="24"/>
        </w:rPr>
        <w:t xml:space="preserve">nerally, 10% is good for banks. City bank’s ROE is good </w:t>
      </w:r>
      <w:proofErr w:type="gramStart"/>
      <w:r>
        <w:rPr>
          <w:rFonts w:cs="Arial"/>
          <w:szCs w:val="24"/>
        </w:rPr>
        <w:t>If</w:t>
      </w:r>
      <w:proofErr w:type="gramEnd"/>
      <w:r>
        <w:rPr>
          <w:rFonts w:cs="Arial"/>
          <w:szCs w:val="24"/>
        </w:rPr>
        <w:t xml:space="preserve"> they increase little bit it will be best for City Bank. So, I can say management effectively uses equity to generate money.</w:t>
      </w:r>
    </w:p>
    <w:p w:rsidR="00831BE9" w:rsidRDefault="00CC4D20">
      <w:pPr>
        <w:jc w:val="center"/>
        <w:rPr>
          <w:rFonts w:cs="Arial"/>
          <w:szCs w:val="24"/>
        </w:rPr>
      </w:pPr>
      <w:r>
        <w:rPr>
          <w:rFonts w:cs="Arial"/>
          <w:noProof/>
          <w:szCs w:val="24"/>
        </w:rPr>
        <w:lastRenderedPageBreak/>
        <w:drawing>
          <wp:anchor distT="0" distB="0" distL="114300" distR="114300" simplePos="0" relativeHeight="251664384" behindDoc="0" locked="0" layoutInCell="1" allowOverlap="1">
            <wp:simplePos x="0" y="0"/>
            <wp:positionH relativeFrom="margin">
              <wp:align>left</wp:align>
            </wp:positionH>
            <wp:positionV relativeFrom="paragraph">
              <wp:posOffset>287655</wp:posOffset>
            </wp:positionV>
            <wp:extent cx="2887345" cy="2552700"/>
            <wp:effectExtent l="0" t="0" r="8255" b="0"/>
            <wp:wrapSquare wrapText="bothSides"/>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831BE9" w:rsidRDefault="00CC4D20">
      <w:pPr>
        <w:rPr>
          <w:rFonts w:cs="Arial"/>
          <w:b/>
          <w:color w:val="5B9BD5" w:themeColor="accent5"/>
          <w:szCs w:val="24"/>
        </w:rPr>
      </w:pPr>
      <w:r>
        <w:rPr>
          <w:rFonts w:cs="Arial"/>
          <w:noProof/>
          <w:szCs w:val="24"/>
        </w:rPr>
        <w:drawing>
          <wp:inline distT="0" distB="0" distL="0" distR="0">
            <wp:extent cx="2854960" cy="2463800"/>
            <wp:effectExtent l="0" t="0" r="2540" b="12700"/>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cs="Arial"/>
          <w:szCs w:val="24"/>
        </w:rPr>
        <w:br w:type="textWrapping" w:clear="all"/>
      </w:r>
    </w:p>
    <w:p w:rsidR="00831BE9" w:rsidRDefault="00CC4D20">
      <w:pPr>
        <w:rPr>
          <w:rFonts w:cs="Arial"/>
          <w:szCs w:val="24"/>
        </w:rPr>
      </w:pPr>
      <w:r>
        <w:rPr>
          <w:rFonts w:cs="Arial"/>
          <w:b/>
          <w:color w:val="5B9BD5" w:themeColor="accent5"/>
          <w:szCs w:val="24"/>
        </w:rPr>
        <w:t xml:space="preserve"> Equity Capital Ratio</w:t>
      </w:r>
      <w:r>
        <w:rPr>
          <w:rFonts w:cs="Arial"/>
          <w:szCs w:val="24"/>
        </w:rPr>
        <w:t>:</w:t>
      </w:r>
    </w:p>
    <w:p w:rsidR="00831BE9" w:rsidRDefault="00CC4D20">
      <w:pPr>
        <w:rPr>
          <w:rFonts w:cs="Arial"/>
          <w:szCs w:val="24"/>
        </w:rPr>
      </w:pPr>
      <w:r>
        <w:rPr>
          <w:rFonts w:cs="Arial"/>
          <w:b/>
          <w:szCs w:val="24"/>
        </w:rPr>
        <w:t>Interpretation</w:t>
      </w:r>
      <w:r>
        <w:rPr>
          <w:rFonts w:cs="Arial"/>
          <w:szCs w:val="24"/>
        </w:rPr>
        <w:t>: Equity Capital Ratio shows th</w:t>
      </w:r>
      <w:r>
        <w:rPr>
          <w:rFonts w:cs="Arial"/>
          <w:szCs w:val="24"/>
        </w:rPr>
        <w:t>at how banks control the debts and asset. Below 0.50 it indicates that leveraged bank. From 2019 to 2018 the ratio is 0.0717 to 0.0752. The equity ratio is low. It will be difficult for city bank to take loan because the equity ratio low. That means more a</w:t>
      </w:r>
      <w:r>
        <w:rPr>
          <w:rFonts w:cs="Arial"/>
          <w:szCs w:val="24"/>
        </w:rPr>
        <w:t>ssets are funded by investors rather than debt</w:t>
      </w:r>
    </w:p>
    <w:p w:rsidR="00831BE9" w:rsidRDefault="00CC4D20">
      <w:pPr>
        <w:rPr>
          <w:rFonts w:cs="Arial"/>
          <w:szCs w:val="24"/>
        </w:rPr>
      </w:pPr>
      <w:r>
        <w:rPr>
          <w:rFonts w:cs="Arial"/>
          <w:b/>
          <w:color w:val="5B9BD5" w:themeColor="accent5"/>
          <w:szCs w:val="24"/>
        </w:rPr>
        <w:t>Debt to Equity Ratio:</w:t>
      </w:r>
    </w:p>
    <w:p w:rsidR="00831BE9" w:rsidRDefault="00CC4D20">
      <w:pPr>
        <w:rPr>
          <w:rFonts w:cs="Arial"/>
          <w:b/>
          <w:szCs w:val="24"/>
        </w:rPr>
      </w:pPr>
      <w:r>
        <w:rPr>
          <w:rFonts w:cs="Arial"/>
          <w:b/>
          <w:szCs w:val="24"/>
        </w:rPr>
        <w:t>Interpretation:</w:t>
      </w:r>
      <w:r>
        <w:rPr>
          <w:rFonts w:cs="Arial"/>
          <w:szCs w:val="24"/>
        </w:rPr>
        <w:t xml:space="preserve"> Debt to Equity ratio should always be less than 1. Because that’s time bank stays comfortable position. So, I can say their debt to equity ratio is lower than 1. In toughe</w:t>
      </w:r>
      <w:r>
        <w:rPr>
          <w:rFonts w:cs="Arial"/>
          <w:szCs w:val="24"/>
        </w:rPr>
        <w:t>r times City bank can survive with low debt to equity ratio. So, City bank’s position is good.</w:t>
      </w:r>
    </w:p>
    <w:p w:rsidR="00831BE9" w:rsidRDefault="00CC4D20">
      <w:pPr>
        <w:pStyle w:val="ListParagraph"/>
        <w:numPr>
          <w:ilvl w:val="0"/>
          <w:numId w:val="9"/>
        </w:numPr>
      </w:pPr>
      <w:r>
        <w:t>Bank Asia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pStyle w:val="ListParagraph"/>
              <w:spacing w:after="0"/>
              <w:ind w:left="797"/>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0.7375%</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0.5542%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307291400556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353800373697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2266276987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1960811140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9.7097%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7.9240%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2266276987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1960811140</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23340133826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24745117918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0.0759</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0.0699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23340133826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24745117918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307291400556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353800373697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1.3418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1.3894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31318674113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34382128495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23340133826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24745117918</w:t>
            </w:r>
          </w:p>
        </w:tc>
      </w:tr>
    </w:tbl>
    <w:p w:rsidR="00831BE9" w:rsidRDefault="00CC4D20">
      <w:pPr>
        <w:pStyle w:val="ListParagraph"/>
        <w:ind w:left="960"/>
        <w:rPr>
          <w:rFonts w:cs="Arial"/>
          <w:szCs w:val="24"/>
        </w:rPr>
      </w:pPr>
      <w:r>
        <w:rPr>
          <w:sz w:val="32"/>
        </w:rPr>
        <w:lastRenderedPageBreak/>
        <w:tab/>
      </w:r>
    </w:p>
    <w:p w:rsidR="00831BE9" w:rsidRDefault="00CC4D20">
      <w:pPr>
        <w:pStyle w:val="ListParagraph"/>
        <w:tabs>
          <w:tab w:val="center" w:pos="5220"/>
        </w:tabs>
        <w:ind w:left="1080"/>
        <w:rPr>
          <w:rFonts w:cs="Arial"/>
          <w:szCs w:val="24"/>
        </w:rPr>
      </w:pPr>
      <w:r>
        <w:rPr>
          <w:rFonts w:cs="Arial"/>
          <w:noProof/>
          <w:szCs w:val="24"/>
        </w:rPr>
        <w:drawing>
          <wp:anchor distT="0" distB="0" distL="114300" distR="114300" simplePos="0" relativeHeight="251665408" behindDoc="0" locked="0" layoutInCell="1" allowOverlap="1">
            <wp:simplePos x="0" y="0"/>
            <wp:positionH relativeFrom="column">
              <wp:posOffset>0</wp:posOffset>
            </wp:positionH>
            <wp:positionV relativeFrom="paragraph">
              <wp:posOffset>288290</wp:posOffset>
            </wp:positionV>
            <wp:extent cx="3063875" cy="2566670"/>
            <wp:effectExtent l="0" t="0" r="3175" b="5080"/>
            <wp:wrapSquare wrapText="bothSides"/>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rFonts w:cs="Arial"/>
          <w:szCs w:val="24"/>
        </w:rPr>
        <w:tab/>
      </w:r>
    </w:p>
    <w:p w:rsidR="00831BE9" w:rsidRDefault="00CC4D20">
      <w:pPr>
        <w:jc w:val="right"/>
      </w:pPr>
      <w:r>
        <w:rPr>
          <w:rFonts w:cs="Arial"/>
          <w:noProof/>
          <w:szCs w:val="24"/>
        </w:rPr>
        <w:drawing>
          <wp:inline distT="0" distB="0" distL="0" distR="0">
            <wp:extent cx="2743200" cy="2566670"/>
            <wp:effectExtent l="0" t="0" r="0" b="508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31BE9" w:rsidRDefault="00CC4D20">
      <w:pPr>
        <w:rPr>
          <w:rFonts w:cs="Arial"/>
          <w:b/>
          <w:color w:val="5B9BD5" w:themeColor="accent5"/>
          <w:szCs w:val="24"/>
        </w:rPr>
      </w:pPr>
      <w:r>
        <w:rPr>
          <w:rFonts w:cs="Arial"/>
          <w:b/>
          <w:color w:val="5B9BD5" w:themeColor="accent5"/>
          <w:szCs w:val="24"/>
        </w:rPr>
        <w:t>Return on Assets (ROA) (%):</w:t>
      </w:r>
    </w:p>
    <w:p w:rsidR="00831BE9" w:rsidRDefault="00CC4D20">
      <w:pPr>
        <w:rPr>
          <w:rFonts w:cs="Arial"/>
          <w:szCs w:val="24"/>
        </w:rPr>
      </w:pPr>
      <w:r>
        <w:rPr>
          <w:rFonts w:cs="Arial"/>
          <w:b/>
          <w:szCs w:val="24"/>
        </w:rPr>
        <w:t>Interpretation:</w:t>
      </w:r>
      <w:r>
        <w:rPr>
          <w:rFonts w:cs="Arial"/>
          <w:szCs w:val="24"/>
        </w:rPr>
        <w:t xml:space="preserve"> The return on asset is over 1% is regarded as good. So, I can see the return on asset of Bank Asia is reducing. Here, the ROA of Bank Asia is reducing from 0.7375% to 0.5542% from 2018 to 2019.That means Bank Asia’s profit is reducing day by day. So, Bank</w:t>
      </w:r>
      <w:r>
        <w:rPr>
          <w:rFonts w:cs="Arial"/>
          <w:szCs w:val="24"/>
        </w:rPr>
        <w:t xml:space="preserve"> Asia’s position is not good.</w:t>
      </w:r>
    </w:p>
    <w:p w:rsidR="00831BE9" w:rsidRDefault="00CC4D20">
      <w:pPr>
        <w:rPr>
          <w:rFonts w:cs="Arial"/>
          <w:szCs w:val="24"/>
        </w:rPr>
      </w:pPr>
      <w:r>
        <w:rPr>
          <w:rFonts w:cs="Arial"/>
          <w:b/>
          <w:color w:val="5B9BD5" w:themeColor="accent5"/>
          <w:szCs w:val="24"/>
        </w:rPr>
        <w:t>Return on Equity (ROE) (%</w:t>
      </w:r>
      <w:r>
        <w:rPr>
          <w:rFonts w:cs="Arial"/>
          <w:szCs w:val="24"/>
        </w:rPr>
        <w:t>):</w:t>
      </w:r>
    </w:p>
    <w:p w:rsidR="00831BE9" w:rsidRDefault="00CC4D20">
      <w:pPr>
        <w:rPr>
          <w:rFonts w:cs="Arial"/>
          <w:szCs w:val="24"/>
        </w:rPr>
      </w:pPr>
      <w:r>
        <w:rPr>
          <w:rFonts w:cs="Arial"/>
          <w:b/>
          <w:szCs w:val="24"/>
        </w:rPr>
        <w:t>Interpretation:</w:t>
      </w:r>
      <w:r>
        <w:rPr>
          <w:rFonts w:cs="Arial"/>
          <w:szCs w:val="24"/>
        </w:rPr>
        <w:t xml:space="preserve"> I can see the return on equity has been reducing. In the year of 2019 of return on equity is reducing compared to </w:t>
      </w:r>
      <w:proofErr w:type="gramStart"/>
      <w:r>
        <w:rPr>
          <w:rFonts w:cs="Arial"/>
          <w:szCs w:val="24"/>
        </w:rPr>
        <w:t>2018.</w:t>
      </w:r>
      <w:proofErr w:type="gramEnd"/>
      <w:r>
        <w:rPr>
          <w:rFonts w:cs="Arial"/>
          <w:szCs w:val="24"/>
        </w:rPr>
        <w:t xml:space="preserve"> The percentage is from 9.7098%to 7.9240%. Generally, 10% is good for banks.  But Bank Asia’s ROE is not good enough. It is decreasing. </w:t>
      </w:r>
      <w:r>
        <w:rPr>
          <w:rFonts w:cs="Arial"/>
          <w:szCs w:val="24"/>
        </w:rPr>
        <w:t>That means they are failed to generate profit through equity.</w:t>
      </w:r>
    </w:p>
    <w:p w:rsidR="00831BE9" w:rsidRDefault="00831BE9">
      <w:pPr>
        <w:rPr>
          <w:rFonts w:cs="Arial"/>
          <w:szCs w:val="24"/>
        </w:rPr>
      </w:pPr>
    </w:p>
    <w:p w:rsidR="00831BE9" w:rsidRDefault="00CC4D20">
      <w:pPr>
        <w:tabs>
          <w:tab w:val="left" w:pos="7200"/>
        </w:tabs>
        <w:rPr>
          <w:rFonts w:cs="Arial"/>
          <w:szCs w:val="24"/>
        </w:rPr>
      </w:pPr>
      <w:r>
        <w:rPr>
          <w:rFonts w:cs="Arial"/>
          <w:szCs w:val="24"/>
        </w:rPr>
        <w:tab/>
      </w:r>
    </w:p>
    <w:p w:rsidR="00831BE9" w:rsidRDefault="00CC4D20">
      <w:pPr>
        <w:ind w:firstLine="720"/>
        <w:jc w:val="right"/>
        <w:rPr>
          <w:rFonts w:cs="Arial"/>
          <w:szCs w:val="24"/>
        </w:rPr>
      </w:pPr>
      <w:r>
        <w:rPr>
          <w:rFonts w:cs="Arial"/>
          <w:noProof/>
          <w:szCs w:val="24"/>
        </w:rPr>
        <w:lastRenderedPageBreak/>
        <w:drawing>
          <wp:inline distT="0" distB="0" distL="0" distR="0">
            <wp:extent cx="2578100" cy="2578100"/>
            <wp:effectExtent l="0" t="0" r="12700" b="1270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cs="Arial"/>
          <w:noProof/>
          <w:szCs w:val="24"/>
        </w:rPr>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2781300" cy="2552700"/>
            <wp:effectExtent l="0" t="0" r="0" b="0"/>
            <wp:wrapSquare wrapText="bothSides"/>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Pr>
          <w:rFonts w:cs="Arial"/>
          <w:szCs w:val="24"/>
        </w:rPr>
        <w:br w:type="textWrapping" w:clear="all"/>
      </w:r>
    </w:p>
    <w:p w:rsidR="00831BE9" w:rsidRDefault="00CC4D20">
      <w:pPr>
        <w:rPr>
          <w:rFonts w:cs="Arial"/>
          <w:szCs w:val="24"/>
        </w:rPr>
      </w:pPr>
      <w:r>
        <w:rPr>
          <w:rFonts w:cs="Arial"/>
          <w:b/>
          <w:szCs w:val="24"/>
        </w:rPr>
        <w:t xml:space="preserve"> </w:t>
      </w:r>
      <w:r>
        <w:rPr>
          <w:rFonts w:cs="Arial"/>
          <w:b/>
          <w:color w:val="5B9BD5" w:themeColor="accent5"/>
          <w:szCs w:val="24"/>
        </w:rPr>
        <w:t>Equity Capital Ratio:</w:t>
      </w:r>
    </w:p>
    <w:p w:rsidR="00831BE9" w:rsidRDefault="00CC4D20">
      <w:pPr>
        <w:rPr>
          <w:rFonts w:cs="Arial"/>
          <w:szCs w:val="24"/>
        </w:rPr>
      </w:pPr>
      <w:r>
        <w:rPr>
          <w:rFonts w:cs="Arial"/>
          <w:b/>
          <w:szCs w:val="24"/>
        </w:rPr>
        <w:t>Interpretation:</w:t>
      </w:r>
      <w:r>
        <w:rPr>
          <w:rFonts w:cs="Arial"/>
          <w:szCs w:val="24"/>
        </w:rPr>
        <w:t xml:space="preserve"> Equity Capital Ratio shows that how banks control the debts and        asset. Below 0.50 it indicates that leveraged bank. From 2019 to 2018 the rat</w:t>
      </w:r>
      <w:r>
        <w:rPr>
          <w:rFonts w:cs="Arial"/>
          <w:szCs w:val="24"/>
        </w:rPr>
        <w:t>io is 0.0699 to 0.0760. The equity ratio is low. It will be difficult for city Bank Asia to take loan because the equity ratio low. That means more assets are funded by investors rather than debt.</w:t>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szCs w:val="24"/>
        </w:rPr>
        <w:t xml:space="preserve"> </w:t>
      </w:r>
      <w:r>
        <w:rPr>
          <w:rFonts w:cs="Arial"/>
          <w:b/>
          <w:szCs w:val="24"/>
        </w:rPr>
        <w:t>Interpretation:</w:t>
      </w:r>
      <w:r>
        <w:rPr>
          <w:rFonts w:cs="Arial"/>
          <w:szCs w:val="24"/>
        </w:rPr>
        <w:t xml:space="preserve"> Debt to Equity ratio</w:t>
      </w:r>
      <w:r>
        <w:rPr>
          <w:rFonts w:cs="Arial"/>
          <w:szCs w:val="24"/>
        </w:rPr>
        <w:t xml:space="preserve"> should always be less than 1. Because that’s time bank stays comfortable position. So, I can see the debt to equity ratio of Bank Asia is higher than 1. So, most of the amount comes from taking loan and the ratio is also increasing from 2018 to 2019 from </w:t>
      </w:r>
      <w:r>
        <w:rPr>
          <w:rFonts w:cs="Arial"/>
          <w:szCs w:val="24"/>
        </w:rPr>
        <w:t>1.3418 to 1. 3895</w:t>
      </w:r>
      <w:proofErr w:type="gramStart"/>
      <w:r>
        <w:rPr>
          <w:rFonts w:cs="Arial"/>
          <w:szCs w:val="24"/>
        </w:rPr>
        <w:t>.It</w:t>
      </w:r>
      <w:proofErr w:type="gramEnd"/>
      <w:r>
        <w:rPr>
          <w:rFonts w:cs="Arial"/>
          <w:szCs w:val="24"/>
        </w:rPr>
        <w:t xml:space="preserve"> will be difficult for Bank Asia to survive in tougher times. So, Bank Asia’s position isn’t good.</w:t>
      </w:r>
    </w:p>
    <w:p w:rsidR="00831BE9" w:rsidRDefault="00CC4D20">
      <w:pPr>
        <w:pStyle w:val="ListParagraph"/>
        <w:numPr>
          <w:ilvl w:val="0"/>
          <w:numId w:val="9"/>
        </w:numPr>
      </w:pPr>
      <w:r>
        <w:t>United Commercial Bank:</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0.5881%</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0.6204%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402749098793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446760121547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 xml:space="preserve">Profit </w:t>
            </w:r>
            <w:r>
              <w:rPr>
                <w:rFonts w:cs="Arial"/>
                <w:b w:val="0"/>
              </w:rPr>
              <w:t>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2368947434</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2772040725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7.922%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8.455%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2368947434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2772040725</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29900251891</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32783019810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0.0742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0.0733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29900251891</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32783019810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402749098793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446760121547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1.4947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1.2479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44694259182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40911325756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29900251891</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32783019810</w:t>
            </w:r>
          </w:p>
        </w:tc>
      </w:tr>
    </w:tbl>
    <w:p w:rsidR="00831BE9" w:rsidRDefault="00CC4D20">
      <w:pPr>
        <w:tabs>
          <w:tab w:val="left" w:pos="5723"/>
        </w:tabs>
        <w:rPr>
          <w:rFonts w:cs="Arial"/>
          <w:szCs w:val="24"/>
        </w:rPr>
      </w:pPr>
      <w:r>
        <w:rPr>
          <w:rFonts w:cs="Arial"/>
          <w:szCs w:val="24"/>
        </w:rPr>
        <w:lastRenderedPageBreak/>
        <w:tab/>
      </w:r>
    </w:p>
    <w:p w:rsidR="00831BE9" w:rsidRDefault="00831BE9">
      <w:pPr>
        <w:rPr>
          <w:rFonts w:cs="Arial"/>
          <w:szCs w:val="24"/>
        </w:rPr>
      </w:pPr>
    </w:p>
    <w:p w:rsidR="00831BE9" w:rsidRDefault="00CC4D20">
      <w:pPr>
        <w:rPr>
          <w:rFonts w:cs="Arial"/>
          <w:szCs w:val="24"/>
        </w:rPr>
      </w:pPr>
      <w:r>
        <w:rPr>
          <w:rFonts w:cs="Arial"/>
          <w:noProof/>
          <w:szCs w:val="24"/>
        </w:rPr>
        <w:drawing>
          <wp:anchor distT="0" distB="0" distL="114300" distR="114300" simplePos="0" relativeHeight="251667456" behindDoc="0" locked="0" layoutInCell="1" allowOverlap="1">
            <wp:simplePos x="0" y="0"/>
            <wp:positionH relativeFrom="column">
              <wp:posOffset>101600</wp:posOffset>
            </wp:positionH>
            <wp:positionV relativeFrom="paragraph">
              <wp:posOffset>6350</wp:posOffset>
            </wp:positionV>
            <wp:extent cx="2692400" cy="2374900"/>
            <wp:effectExtent l="0" t="0" r="12700" b="635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Pr>
          <w:rFonts w:cs="Arial"/>
          <w:noProof/>
          <w:szCs w:val="24"/>
        </w:rPr>
        <w:drawing>
          <wp:inline distT="0" distB="0" distL="0" distR="0">
            <wp:extent cx="2984500" cy="2387600"/>
            <wp:effectExtent l="0" t="0" r="6350" b="127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31BE9" w:rsidRDefault="00CC4D20">
      <w:pPr>
        <w:tabs>
          <w:tab w:val="left" w:pos="2100"/>
        </w:tabs>
        <w:rPr>
          <w:rFonts w:cs="Arial"/>
          <w:szCs w:val="24"/>
        </w:rPr>
      </w:pPr>
      <w:r>
        <w:rPr>
          <w:rFonts w:cs="Arial"/>
          <w:szCs w:val="24"/>
        </w:rPr>
        <w:tab/>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The return on asset is over 1% is regarded as good. So, I can see the return on asset of United Commercial Bank is increasing. Here, the ROA of United Commercial Bank is raising from 0.5882% to 0.6205% from 2018 to 2019 but the increasing amount is low bu</w:t>
      </w:r>
      <w:r>
        <w:rPr>
          <w:rFonts w:cs="Arial"/>
          <w:szCs w:val="24"/>
        </w:rPr>
        <w:t>t positive return on asset of United Commercial Bank.</w:t>
      </w:r>
      <w:r>
        <w:rPr>
          <w:rFonts w:cs="Arial"/>
          <w:szCs w:val="24"/>
        </w:rPr>
        <w:tab/>
      </w: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szCs w:val="24"/>
        </w:rPr>
        <w:t xml:space="preserve">Interpretation: I can see the return on equity has been raising. In the year of 2019 of return on equity is raising compared to </w:t>
      </w:r>
      <w:proofErr w:type="gramStart"/>
      <w:r>
        <w:rPr>
          <w:rFonts w:cs="Arial"/>
          <w:szCs w:val="24"/>
        </w:rPr>
        <w:t>2018.</w:t>
      </w:r>
      <w:proofErr w:type="gramEnd"/>
      <w:r>
        <w:rPr>
          <w:rFonts w:cs="Arial"/>
          <w:szCs w:val="24"/>
        </w:rPr>
        <w:t xml:space="preserve"> The percentage is from 7.9228%to 8.4557</w:t>
      </w:r>
      <w:r>
        <w:rPr>
          <w:rFonts w:cs="Arial"/>
          <w:szCs w:val="24"/>
        </w:rPr>
        <w:t>% from 2018 to 2019. So United Commercial Bank’s return on equity is good. That means they are generating their profit from equity.</w:t>
      </w:r>
    </w:p>
    <w:p w:rsidR="00831BE9" w:rsidRDefault="00CC4D20">
      <w:pPr>
        <w:tabs>
          <w:tab w:val="center" w:pos="4680"/>
        </w:tabs>
        <w:rPr>
          <w:rFonts w:cs="Arial"/>
          <w:szCs w:val="24"/>
        </w:rPr>
      </w:pPr>
      <w:r>
        <w:rPr>
          <w:rFonts w:cs="Arial"/>
          <w:szCs w:val="24"/>
        </w:rPr>
        <w:lastRenderedPageBreak/>
        <w:t xml:space="preserve"> </w:t>
      </w:r>
      <w:r>
        <w:rPr>
          <w:rFonts w:cs="Arial"/>
          <w:noProof/>
          <w:szCs w:val="24"/>
        </w:rPr>
        <w:drawing>
          <wp:inline distT="0" distB="0" distL="0" distR="0">
            <wp:extent cx="2633980" cy="2794000"/>
            <wp:effectExtent l="0" t="0" r="13970" b="635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rFonts w:cs="Arial"/>
          <w:szCs w:val="24"/>
        </w:rPr>
        <w:tab/>
      </w:r>
      <w:r>
        <w:rPr>
          <w:rFonts w:cs="Arial"/>
          <w:noProof/>
          <w:szCs w:val="24"/>
        </w:rPr>
        <w:drawing>
          <wp:inline distT="0" distB="0" distL="0" distR="0">
            <wp:extent cx="3213100" cy="2743200"/>
            <wp:effectExtent l="0" t="0" r="635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rPr>
          <w:rFonts w:cs="Arial"/>
          <w:szCs w:val="24"/>
        </w:rPr>
      </w:pPr>
      <w:r>
        <w:rPr>
          <w:rFonts w:cs="Arial"/>
          <w:b/>
          <w:szCs w:val="24"/>
        </w:rPr>
        <w:t xml:space="preserve">Interpretation: </w:t>
      </w:r>
      <w:r>
        <w:rPr>
          <w:rFonts w:cs="Arial"/>
          <w:szCs w:val="24"/>
        </w:rPr>
        <w:t>I can see the equity ratio of united Commercial Bank is 0.0742 to 0.0734.  The eq</w:t>
      </w:r>
      <w:r>
        <w:rPr>
          <w:rFonts w:cs="Arial"/>
          <w:szCs w:val="24"/>
        </w:rPr>
        <w:t xml:space="preserve">uity ratio is low. It will be risky for creditors to invest in the bank. The equity ratio is low. </w:t>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t>Interpretation:</w:t>
      </w:r>
      <w:r>
        <w:rPr>
          <w:rFonts w:cs="Arial"/>
          <w:szCs w:val="24"/>
        </w:rPr>
        <w:t xml:space="preserve"> I can see the debt to equity ratio of United Commercial Bank is higher than 1. So, most of the amount comes from taking</w:t>
      </w:r>
      <w:r>
        <w:rPr>
          <w:rFonts w:cs="Arial"/>
          <w:szCs w:val="24"/>
        </w:rPr>
        <w:t xml:space="preserve"> loan but the ratio is also decreasing from 2018 to 2019.</w:t>
      </w:r>
    </w:p>
    <w:p w:rsidR="00831BE9" w:rsidRDefault="00CC4D20">
      <w:pPr>
        <w:pStyle w:val="ListParagraph"/>
        <w:numPr>
          <w:ilvl w:val="0"/>
          <w:numId w:val="9"/>
        </w:numPr>
      </w:pPr>
      <w:r>
        <w:t>BRAC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1.7587%</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1.534%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315416675274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367920356197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5547303999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5645802388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17.5337%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14.992%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5547303999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5645802388</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31637951839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37658130242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0.1003</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0.1023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31637951839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37658130242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315416675274</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367920356197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0.7256</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0.6081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 xml:space="preserve">Total </w:t>
            </w:r>
            <w:r>
              <w:rPr>
                <w:rFonts w:cs="Arial"/>
                <w:b w:val="0"/>
              </w:rPr>
              <w:t>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22958478616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22901981186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31637951839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37658130242</w:t>
            </w:r>
          </w:p>
        </w:tc>
      </w:tr>
    </w:tbl>
    <w:p w:rsidR="00831BE9" w:rsidRDefault="00CC4D20">
      <w:pPr>
        <w:tabs>
          <w:tab w:val="left" w:pos="1721"/>
        </w:tabs>
        <w:rPr>
          <w:rFonts w:cs="Arial"/>
          <w:szCs w:val="24"/>
        </w:rPr>
      </w:pPr>
      <w:r>
        <w:rPr>
          <w:rFonts w:cs="Arial"/>
          <w:szCs w:val="24"/>
        </w:rPr>
        <w:tab/>
      </w:r>
    </w:p>
    <w:p w:rsidR="00831BE9" w:rsidRDefault="00CC4D20">
      <w:pPr>
        <w:tabs>
          <w:tab w:val="left" w:pos="2684"/>
        </w:tabs>
        <w:rPr>
          <w:rFonts w:cs="Arial"/>
          <w:szCs w:val="24"/>
        </w:rPr>
      </w:pPr>
      <w:r>
        <w:rPr>
          <w:rFonts w:cs="Arial"/>
          <w:noProof/>
          <w:szCs w:val="24"/>
        </w:rPr>
        <w:lastRenderedPageBreak/>
        <w:drawing>
          <wp:anchor distT="0" distB="0" distL="114300" distR="114300" simplePos="0" relativeHeight="251668480" behindDoc="0" locked="0" layoutInCell="1" allowOverlap="1">
            <wp:simplePos x="0" y="0"/>
            <wp:positionH relativeFrom="margin">
              <wp:align>left</wp:align>
            </wp:positionH>
            <wp:positionV relativeFrom="paragraph">
              <wp:posOffset>12700</wp:posOffset>
            </wp:positionV>
            <wp:extent cx="2832100" cy="2590800"/>
            <wp:effectExtent l="0" t="0" r="6350"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Pr>
          <w:rFonts w:cs="Arial"/>
          <w:noProof/>
          <w:szCs w:val="24"/>
        </w:rPr>
        <w:drawing>
          <wp:inline distT="0" distB="0" distL="0" distR="0">
            <wp:extent cx="2959100" cy="2641600"/>
            <wp:effectExtent l="0" t="0" r="12700" b="635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Fonts w:cs="Arial"/>
          <w:szCs w:val="24"/>
        </w:rPr>
        <w:br w:type="textWrapping" w:clear="all"/>
      </w:r>
      <w:r>
        <w:rPr>
          <w:rFonts w:cs="Arial"/>
          <w:b/>
          <w:color w:val="5B9BD5" w:themeColor="accent5"/>
          <w:szCs w:val="24"/>
        </w:rPr>
        <w:t xml:space="preserve">Return on Asset (ROA) (%): </w:t>
      </w:r>
    </w:p>
    <w:p w:rsidR="00831BE9" w:rsidRDefault="00CC4D20">
      <w:pPr>
        <w:tabs>
          <w:tab w:val="left" w:pos="2684"/>
        </w:tabs>
        <w:rPr>
          <w:rFonts w:cs="Arial"/>
          <w:szCs w:val="24"/>
        </w:rPr>
      </w:pPr>
      <w:r>
        <w:rPr>
          <w:rFonts w:cs="Arial"/>
          <w:b/>
          <w:szCs w:val="24"/>
        </w:rPr>
        <w:t>Interpretation:</w:t>
      </w:r>
      <w:r>
        <w:rPr>
          <w:rFonts w:cs="Arial"/>
          <w:szCs w:val="24"/>
        </w:rPr>
        <w:t xml:space="preserve"> I can see the return on asset BRAC Bank is reducing. Here, the ROA of BRAC Bank is reducing from 1.7587% to 1.5345% from 2018 to 2019.That means BRAC Bank’s profit is reducing from asset. But the position of BRAC Bank is not bad.</w:t>
      </w:r>
    </w:p>
    <w:p w:rsidR="00831BE9" w:rsidRDefault="00CC4D20">
      <w:pPr>
        <w:tabs>
          <w:tab w:val="left" w:pos="2684"/>
        </w:tabs>
        <w:rPr>
          <w:rFonts w:cs="Arial"/>
          <w:b/>
          <w:color w:val="5B9BD5" w:themeColor="accent5"/>
          <w:szCs w:val="24"/>
        </w:rPr>
      </w:pPr>
      <w:r>
        <w:rPr>
          <w:rFonts w:cs="Arial"/>
          <w:b/>
          <w:color w:val="5B9BD5" w:themeColor="accent5"/>
          <w:szCs w:val="24"/>
        </w:rPr>
        <w:t>Return on Equity (ROE) (%</w:t>
      </w:r>
      <w:r>
        <w:rPr>
          <w:rFonts w:cs="Arial"/>
          <w:b/>
          <w:color w:val="5B9BD5" w:themeColor="accent5"/>
          <w:szCs w:val="24"/>
        </w:rPr>
        <w:t>):</w:t>
      </w:r>
    </w:p>
    <w:p w:rsidR="00831BE9" w:rsidRDefault="00CC4D20">
      <w:pPr>
        <w:rPr>
          <w:rFonts w:cs="Arial"/>
          <w:szCs w:val="24"/>
        </w:rPr>
      </w:pPr>
      <w:r>
        <w:rPr>
          <w:rFonts w:cs="Arial"/>
          <w:b/>
          <w:szCs w:val="24"/>
        </w:rPr>
        <w:t>Interpretation:</w:t>
      </w:r>
      <w:r>
        <w:rPr>
          <w:rFonts w:cs="Arial"/>
          <w:szCs w:val="24"/>
        </w:rPr>
        <w:t xml:space="preserve"> The return on equity ratio is good but the percentage is reducing. So, I can most of the profit generated through equity. In 2018 the rate is high compared to 2019. </w:t>
      </w:r>
    </w:p>
    <w:p w:rsidR="00831BE9" w:rsidRDefault="00CC4D20">
      <w:pPr>
        <w:tabs>
          <w:tab w:val="left" w:pos="7331"/>
        </w:tabs>
        <w:rPr>
          <w:rFonts w:cs="Arial"/>
          <w:szCs w:val="24"/>
        </w:rPr>
      </w:pPr>
      <w:r>
        <w:rPr>
          <w:rFonts w:cs="Arial"/>
          <w:noProof/>
          <w:szCs w:val="24"/>
        </w:rPr>
        <w:drawing>
          <wp:anchor distT="0" distB="0" distL="114300" distR="114300" simplePos="0" relativeHeight="251669504" behindDoc="0" locked="0" layoutInCell="1" allowOverlap="1">
            <wp:simplePos x="0" y="0"/>
            <wp:positionH relativeFrom="margin">
              <wp:posOffset>-9525</wp:posOffset>
            </wp:positionH>
            <wp:positionV relativeFrom="paragraph">
              <wp:posOffset>245110</wp:posOffset>
            </wp:positionV>
            <wp:extent cx="2692400" cy="1943100"/>
            <wp:effectExtent l="0" t="0" r="12700" b="0"/>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Pr>
          <w:rFonts w:cs="Arial"/>
          <w:szCs w:val="24"/>
        </w:rPr>
        <w:tab/>
      </w:r>
    </w:p>
    <w:p w:rsidR="00831BE9" w:rsidRDefault="00CC4D20">
      <w:pPr>
        <w:tabs>
          <w:tab w:val="left" w:pos="2684"/>
        </w:tabs>
        <w:rPr>
          <w:rFonts w:cs="Arial"/>
          <w:szCs w:val="24"/>
        </w:rPr>
      </w:pPr>
      <w:r>
        <w:rPr>
          <w:noProof/>
        </w:rPr>
        <w:drawing>
          <wp:inline distT="0" distB="0" distL="0" distR="0">
            <wp:extent cx="2786380" cy="1876425"/>
            <wp:effectExtent l="0" t="0" r="1397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31BE9" w:rsidRDefault="00CC4D20">
      <w:pPr>
        <w:tabs>
          <w:tab w:val="left" w:pos="2684"/>
        </w:tabs>
        <w:rPr>
          <w:rFonts w:cs="Arial"/>
          <w:b/>
          <w:color w:val="5B9BD5" w:themeColor="accent5"/>
          <w:szCs w:val="24"/>
        </w:rPr>
      </w:pPr>
      <w:r>
        <w:rPr>
          <w:rFonts w:cs="Arial"/>
          <w:b/>
          <w:color w:val="5B9BD5" w:themeColor="accent5"/>
          <w:szCs w:val="24"/>
        </w:rPr>
        <w:t>Equity Capital Ratio:</w:t>
      </w:r>
    </w:p>
    <w:p w:rsidR="00831BE9" w:rsidRDefault="00CC4D20">
      <w:pPr>
        <w:tabs>
          <w:tab w:val="left" w:pos="2684"/>
        </w:tabs>
        <w:rPr>
          <w:rFonts w:cs="Arial"/>
          <w:b/>
          <w:color w:val="5B9BD5" w:themeColor="accent5"/>
          <w:szCs w:val="24"/>
        </w:rPr>
      </w:pPr>
      <w:r>
        <w:rPr>
          <w:rFonts w:cs="Arial"/>
          <w:b/>
          <w:szCs w:val="24"/>
        </w:rPr>
        <w:t>Interpretation:</w:t>
      </w:r>
      <w:r>
        <w:rPr>
          <w:rFonts w:cs="Arial"/>
          <w:szCs w:val="24"/>
        </w:rPr>
        <w:t xml:space="preserve"> The equity capital ratio of </w:t>
      </w:r>
      <w:r>
        <w:rPr>
          <w:rFonts w:cs="Arial"/>
          <w:szCs w:val="24"/>
        </w:rPr>
        <w:t>BRAC Bank is 0.1024 to 0. 1003. The equity ratio is low. That means it will be risky for creditors because lower ratio indicates that have to pay more interest.</w:t>
      </w:r>
    </w:p>
    <w:p w:rsidR="00831BE9" w:rsidRDefault="00CC4D20">
      <w:pPr>
        <w:tabs>
          <w:tab w:val="left" w:pos="2684"/>
        </w:tabs>
        <w:rPr>
          <w:rFonts w:cs="Arial"/>
          <w:szCs w:val="24"/>
        </w:rPr>
      </w:pPr>
      <w:r>
        <w:rPr>
          <w:rFonts w:cs="Arial"/>
          <w:b/>
          <w:color w:val="5B9BD5" w:themeColor="accent5"/>
          <w:szCs w:val="24"/>
        </w:rPr>
        <w:t>Debt to Equity Ratio:</w:t>
      </w:r>
    </w:p>
    <w:p w:rsidR="00831BE9" w:rsidRDefault="00CC4D20">
      <w:pPr>
        <w:tabs>
          <w:tab w:val="left" w:pos="2684"/>
        </w:tabs>
        <w:rPr>
          <w:rFonts w:cs="Arial"/>
          <w:b/>
          <w:color w:val="5B9BD5" w:themeColor="accent5"/>
          <w:szCs w:val="24"/>
        </w:rPr>
      </w:pPr>
      <w:r>
        <w:rPr>
          <w:rFonts w:cs="Arial"/>
          <w:b/>
          <w:szCs w:val="24"/>
        </w:rPr>
        <w:lastRenderedPageBreak/>
        <w:t>Interpretation:</w:t>
      </w:r>
      <w:r>
        <w:rPr>
          <w:rFonts w:cs="Arial"/>
          <w:szCs w:val="24"/>
        </w:rPr>
        <w:t xml:space="preserve"> I can see debt to equity ratio is less than 1. So, BRAC B</w:t>
      </w:r>
      <w:r>
        <w:rPr>
          <w:rFonts w:cs="Arial"/>
          <w:szCs w:val="24"/>
        </w:rPr>
        <w:t>ank stays in a comfortable position. So, most of the amount comes from shareholder’s equity and the ratio is 0.7257 to 0. 6082. So BRAC Bank’s position is good.</w:t>
      </w:r>
    </w:p>
    <w:p w:rsidR="00831BE9" w:rsidRDefault="00CC4D20">
      <w:pPr>
        <w:pStyle w:val="ListParagraph"/>
        <w:numPr>
          <w:ilvl w:val="0"/>
          <w:numId w:val="9"/>
        </w:numPr>
      </w:pPr>
      <w:r>
        <w:t>Dhaka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0.4960%</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0.5513%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 xml:space="preserve">Total </w:t>
            </w:r>
            <w:r>
              <w:rPr>
                <w:rFonts w:cs="Arial"/>
                <w:b w:val="0"/>
              </w:rPr>
              <w:t>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273976117345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285009391699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1359130376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1571362018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8.1796%</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9.1302%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1359130376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1571362018</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16615976094</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17210614636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0.0606</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0.0603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16615976094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17210614636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273976117345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285009391699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1.605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1.610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26680184769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27725127384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16615976094</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17210614636</w:t>
            </w:r>
          </w:p>
        </w:tc>
      </w:tr>
    </w:tbl>
    <w:p w:rsidR="00831BE9" w:rsidRDefault="00831BE9">
      <w:pPr>
        <w:tabs>
          <w:tab w:val="left" w:pos="2684"/>
        </w:tabs>
        <w:rPr>
          <w:rFonts w:cs="Arial"/>
          <w:szCs w:val="24"/>
        </w:rPr>
      </w:pPr>
    </w:p>
    <w:p w:rsidR="00831BE9" w:rsidRDefault="00CC4D20">
      <w:pPr>
        <w:tabs>
          <w:tab w:val="left" w:pos="1226"/>
        </w:tabs>
        <w:rPr>
          <w:rFonts w:cs="Arial"/>
          <w:szCs w:val="24"/>
        </w:rPr>
      </w:pPr>
      <w:r>
        <w:rPr>
          <w:rFonts w:cs="Arial"/>
          <w:noProof/>
          <w:szCs w:val="24"/>
        </w:rPr>
        <w:drawing>
          <wp:anchor distT="0" distB="0" distL="114300" distR="114300" simplePos="0" relativeHeight="251670528" behindDoc="0" locked="0" layoutInCell="1" allowOverlap="1">
            <wp:simplePos x="0" y="0"/>
            <wp:positionH relativeFrom="margin">
              <wp:align>left</wp:align>
            </wp:positionH>
            <wp:positionV relativeFrom="paragraph">
              <wp:posOffset>4445</wp:posOffset>
            </wp:positionV>
            <wp:extent cx="2895600" cy="1927860"/>
            <wp:effectExtent l="0" t="0" r="0" b="1524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Pr>
          <w:rFonts w:cs="Arial"/>
          <w:noProof/>
          <w:szCs w:val="24"/>
        </w:rPr>
        <w:drawing>
          <wp:inline distT="0" distB="0" distL="0" distR="0">
            <wp:extent cx="2895600" cy="1855470"/>
            <wp:effectExtent l="0" t="0" r="0" b="1143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31BE9" w:rsidRDefault="00CC4D20">
      <w:pPr>
        <w:tabs>
          <w:tab w:val="left" w:pos="1226"/>
        </w:tabs>
        <w:rPr>
          <w:rFonts w:cs="Arial"/>
          <w:b/>
          <w:color w:val="5B9BD5" w:themeColor="accent5"/>
          <w:szCs w:val="24"/>
        </w:rPr>
      </w:pPr>
      <w:r>
        <w:rPr>
          <w:rFonts w:cs="Arial"/>
          <w:b/>
          <w:color w:val="5B9BD5" w:themeColor="accent5"/>
          <w:szCs w:val="24"/>
        </w:rPr>
        <w:t>Return on Asset (ROA) (%):</w:t>
      </w:r>
    </w:p>
    <w:p w:rsidR="00831BE9" w:rsidRDefault="00CC4D20">
      <w:pPr>
        <w:tabs>
          <w:tab w:val="left" w:pos="2684"/>
        </w:tabs>
        <w:rPr>
          <w:rFonts w:cs="Arial"/>
          <w:szCs w:val="24"/>
        </w:rPr>
      </w:pPr>
      <w:r>
        <w:rPr>
          <w:rFonts w:cs="Arial"/>
          <w:b/>
          <w:szCs w:val="24"/>
        </w:rPr>
        <w:t>Interpretation:</w:t>
      </w:r>
      <w:r>
        <w:rPr>
          <w:rFonts w:cs="Arial"/>
          <w:szCs w:val="24"/>
        </w:rPr>
        <w:t xml:space="preserve"> I can see the return on Dhaka Bank is raising. Here, the ROA of Dhaka Bank is raising from 0.4961% to 0.5513% from 2018 to 2019.That means Dhaka Bank’s profit is raising from asset but needs to improve.</w:t>
      </w:r>
    </w:p>
    <w:p w:rsidR="00831BE9" w:rsidRDefault="00CC4D20">
      <w:pPr>
        <w:tabs>
          <w:tab w:val="left" w:pos="1226"/>
        </w:tabs>
        <w:rPr>
          <w:rFonts w:cs="Arial"/>
          <w:b/>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b/>
          <w:color w:val="5B9BD5" w:themeColor="accent5"/>
          <w:szCs w:val="24"/>
        </w:rPr>
        <w:t>Interpretation:</w:t>
      </w:r>
      <w:r>
        <w:rPr>
          <w:rFonts w:cs="Arial"/>
          <w:color w:val="5B9BD5" w:themeColor="accent5"/>
          <w:szCs w:val="24"/>
        </w:rPr>
        <w:t xml:space="preserve"> </w:t>
      </w:r>
      <w:r>
        <w:rPr>
          <w:rFonts w:cs="Arial"/>
          <w:szCs w:val="24"/>
        </w:rPr>
        <w:t>I can se</w:t>
      </w:r>
      <w:r>
        <w:rPr>
          <w:rFonts w:cs="Arial"/>
          <w:szCs w:val="24"/>
        </w:rPr>
        <w:t xml:space="preserve">e the return on equity has been raising. In the year of 2019 of return on equity is raising compared to </w:t>
      </w:r>
      <w:proofErr w:type="gramStart"/>
      <w:r>
        <w:rPr>
          <w:rFonts w:cs="Arial"/>
          <w:szCs w:val="24"/>
        </w:rPr>
        <w:t>2018.</w:t>
      </w:r>
      <w:proofErr w:type="gramEnd"/>
      <w:r>
        <w:rPr>
          <w:rFonts w:cs="Arial"/>
          <w:szCs w:val="24"/>
        </w:rPr>
        <w:t xml:space="preserve"> The percentage is from 8.1797%to 9.1302% from 2018 to 2019. </w:t>
      </w:r>
    </w:p>
    <w:p w:rsidR="00831BE9" w:rsidRDefault="00CC4D20">
      <w:pPr>
        <w:tabs>
          <w:tab w:val="left" w:pos="1226"/>
        </w:tabs>
        <w:rPr>
          <w:rFonts w:cs="Arial"/>
          <w:szCs w:val="24"/>
        </w:rPr>
      </w:pPr>
      <w:r>
        <w:rPr>
          <w:rFonts w:cs="Arial"/>
          <w:noProof/>
          <w:szCs w:val="24"/>
        </w:rPr>
        <w:lastRenderedPageBreak/>
        <w:drawing>
          <wp:anchor distT="0" distB="0" distL="114300" distR="114300" simplePos="0" relativeHeight="251671552" behindDoc="0" locked="0" layoutInCell="1" allowOverlap="1">
            <wp:simplePos x="0" y="0"/>
            <wp:positionH relativeFrom="margin">
              <wp:align>left</wp:align>
            </wp:positionH>
            <wp:positionV relativeFrom="paragraph">
              <wp:posOffset>289560</wp:posOffset>
            </wp:positionV>
            <wp:extent cx="2950845" cy="1765300"/>
            <wp:effectExtent l="0" t="0" r="1905" b="6350"/>
            <wp:wrapSquare wrapText="bothSides"/>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Pr>
          <w:rFonts w:cs="Arial"/>
          <w:noProof/>
          <w:szCs w:val="24"/>
        </w:rPr>
        <w:drawing>
          <wp:anchor distT="0" distB="0" distL="114300" distR="114300" simplePos="0" relativeHeight="251687936" behindDoc="0" locked="0" layoutInCell="1" allowOverlap="1">
            <wp:simplePos x="0" y="0"/>
            <wp:positionH relativeFrom="margin">
              <wp:align>right</wp:align>
            </wp:positionH>
            <wp:positionV relativeFrom="paragraph">
              <wp:posOffset>301625</wp:posOffset>
            </wp:positionV>
            <wp:extent cx="2894965" cy="1774190"/>
            <wp:effectExtent l="0" t="0" r="635" b="16510"/>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831BE9" w:rsidRDefault="00831BE9">
      <w:pPr>
        <w:tabs>
          <w:tab w:val="left" w:pos="1226"/>
        </w:tabs>
        <w:rPr>
          <w:rFonts w:cs="Arial"/>
          <w:szCs w:val="24"/>
        </w:rPr>
      </w:pPr>
    </w:p>
    <w:p w:rsidR="00831BE9" w:rsidRDefault="00CC4D20">
      <w:pPr>
        <w:tabs>
          <w:tab w:val="left" w:pos="1226"/>
        </w:tabs>
        <w:rPr>
          <w:rFonts w:cs="Arial"/>
          <w:szCs w:val="24"/>
        </w:rPr>
      </w:pPr>
      <w:r>
        <w:rPr>
          <w:rFonts w:cs="Arial"/>
          <w:b/>
          <w:color w:val="5B9BD5" w:themeColor="accent5"/>
          <w:szCs w:val="24"/>
        </w:rPr>
        <w:t>Equity Capital Ratio:</w:t>
      </w:r>
    </w:p>
    <w:p w:rsidR="00831BE9" w:rsidRDefault="00CC4D20">
      <w:pPr>
        <w:rPr>
          <w:rFonts w:cs="Arial"/>
          <w:szCs w:val="24"/>
        </w:rPr>
      </w:pPr>
      <w:r>
        <w:rPr>
          <w:rFonts w:cs="Arial"/>
          <w:b/>
          <w:szCs w:val="24"/>
        </w:rPr>
        <w:t>Interpretation:</w:t>
      </w:r>
      <w:r>
        <w:rPr>
          <w:rFonts w:cs="Arial"/>
          <w:szCs w:val="24"/>
        </w:rPr>
        <w:t xml:space="preserve"> Equity Capital Ratio measures how banks con</w:t>
      </w:r>
      <w:r>
        <w:rPr>
          <w:rFonts w:cs="Arial"/>
          <w:szCs w:val="24"/>
        </w:rPr>
        <w:t xml:space="preserve">trol the debts and        asset. The equity capital ratio is almost same for 2018 &amp; 2019.The equity ratio is low. It will be difficult for creditors because the equity ratio low. </w:t>
      </w:r>
    </w:p>
    <w:p w:rsidR="00831BE9" w:rsidRDefault="00CC4D20">
      <w:pPr>
        <w:rPr>
          <w:rFonts w:cs="Arial"/>
          <w:szCs w:val="24"/>
        </w:rPr>
      </w:pPr>
      <w:r>
        <w:rPr>
          <w:rFonts w:cs="Arial"/>
          <w:b/>
          <w:color w:val="5B9BD5" w:themeColor="accent5"/>
          <w:szCs w:val="24"/>
        </w:rPr>
        <w:t>Debt to Equity Ratio:</w:t>
      </w:r>
    </w:p>
    <w:p w:rsidR="00831BE9" w:rsidRDefault="00CC4D20">
      <w:pPr>
        <w:tabs>
          <w:tab w:val="left" w:pos="2684"/>
        </w:tabs>
        <w:rPr>
          <w:rFonts w:cs="Arial"/>
          <w:b/>
          <w:color w:val="5B9BD5" w:themeColor="accent5"/>
          <w:szCs w:val="24"/>
        </w:rPr>
      </w:pPr>
      <w:r>
        <w:rPr>
          <w:rFonts w:cs="Arial"/>
          <w:b/>
          <w:szCs w:val="24"/>
        </w:rPr>
        <w:t>Interpretation:</w:t>
      </w:r>
      <w:r>
        <w:rPr>
          <w:rFonts w:cs="Arial"/>
          <w:szCs w:val="24"/>
        </w:rPr>
        <w:t xml:space="preserve"> I can see debt to equity ratio is more</w:t>
      </w:r>
      <w:r>
        <w:rPr>
          <w:rFonts w:cs="Arial"/>
          <w:szCs w:val="24"/>
        </w:rPr>
        <w:t xml:space="preserve"> than 1. So, Dhaka Bank is not in a comfortable position. So, most of the amount comes from creditors and the ratio is 1.6057 to 1.6109. So, Dhaka Bank’s position is not good.</w:t>
      </w:r>
    </w:p>
    <w:p w:rsidR="00831BE9" w:rsidRDefault="00CC4D20">
      <w:pPr>
        <w:pStyle w:val="ListParagraph"/>
        <w:tabs>
          <w:tab w:val="left" w:pos="2684"/>
        </w:tabs>
        <w:ind w:left="960"/>
        <w:rPr>
          <w:rFonts w:cs="Arial"/>
          <w:szCs w:val="24"/>
        </w:rPr>
      </w:pPr>
      <w:r>
        <w:rPr>
          <w:rFonts w:cs="Arial"/>
          <w:szCs w:val="24"/>
        </w:rPr>
        <w:t>7. Mutual Trust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0.7133%</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0.4935%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221827582120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256056000222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1582400985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1263706056</w:t>
            </w:r>
          </w:p>
        </w:tc>
      </w:tr>
      <w:tr w:rsidR="00831BE9" w:rsidTr="00831BE9">
        <w:trPr>
          <w:trHeight w:val="78"/>
        </w:trPr>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12.1432%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7.9373%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1582400985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1263706056</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13031148493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15920972270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0.05897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0.0621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13031148493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15920972270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221827582120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256056000222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1.5072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1.3630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19640823048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21701177487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13031148493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15920972270</w:t>
            </w:r>
          </w:p>
        </w:tc>
      </w:tr>
    </w:tbl>
    <w:p w:rsidR="00831BE9" w:rsidRDefault="00CC4D20">
      <w:pPr>
        <w:pStyle w:val="ListParagraph"/>
        <w:tabs>
          <w:tab w:val="left" w:pos="2684"/>
        </w:tabs>
        <w:ind w:left="1080"/>
        <w:rPr>
          <w:rFonts w:cs="Arial"/>
          <w:szCs w:val="24"/>
        </w:rPr>
      </w:pPr>
      <w:r>
        <w:rPr>
          <w:rFonts w:cs="Arial"/>
          <w:noProof/>
          <w:szCs w:val="24"/>
        </w:rPr>
        <w:lastRenderedPageBreak/>
        <w:drawing>
          <wp:anchor distT="0" distB="0" distL="114300" distR="114300" simplePos="0" relativeHeight="251672576" behindDoc="0" locked="0" layoutInCell="1" allowOverlap="1">
            <wp:simplePos x="0" y="0"/>
            <wp:positionH relativeFrom="margin">
              <wp:align>left</wp:align>
            </wp:positionH>
            <wp:positionV relativeFrom="paragraph">
              <wp:posOffset>294005</wp:posOffset>
            </wp:positionV>
            <wp:extent cx="2870200" cy="1864995"/>
            <wp:effectExtent l="0" t="0" r="6350" b="1905"/>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831BE9" w:rsidRDefault="00CC4D20">
      <w:r>
        <w:rPr>
          <w:rFonts w:cs="Arial"/>
          <w:noProof/>
          <w:szCs w:val="24"/>
        </w:rPr>
        <w:drawing>
          <wp:inline distT="0" distB="0" distL="0" distR="0">
            <wp:extent cx="2819400" cy="1791970"/>
            <wp:effectExtent l="0" t="0" r="0" b="1778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31BE9" w:rsidRDefault="00CC4D20">
      <w:pPr>
        <w:tabs>
          <w:tab w:val="left" w:pos="2684"/>
        </w:tabs>
        <w:rPr>
          <w:rFonts w:cs="Arial"/>
          <w:szCs w:val="24"/>
        </w:rPr>
      </w:pPr>
      <w:r>
        <w:rPr>
          <w:rFonts w:cs="Arial"/>
          <w:b/>
          <w:color w:val="5B9BD5" w:themeColor="accent5"/>
          <w:szCs w:val="24"/>
        </w:rPr>
        <w:t>Return on Asset (ROA) (%):</w:t>
      </w:r>
    </w:p>
    <w:p w:rsidR="00831BE9" w:rsidRDefault="00CC4D20">
      <w:pPr>
        <w:tabs>
          <w:tab w:val="left" w:pos="2684"/>
        </w:tabs>
        <w:rPr>
          <w:rFonts w:cs="Arial"/>
          <w:szCs w:val="24"/>
        </w:rPr>
      </w:pPr>
      <w:r>
        <w:rPr>
          <w:rFonts w:cs="Arial"/>
          <w:b/>
          <w:szCs w:val="24"/>
        </w:rPr>
        <w:t>Interpretation:</w:t>
      </w:r>
      <w:r>
        <w:rPr>
          <w:rFonts w:cs="Arial"/>
          <w:szCs w:val="24"/>
        </w:rPr>
        <w:t xml:space="preserve"> I can see the return on asset of Mutual Trust Bank is reducing.  Here, the ROA of Mutual Trust Bank is reducing from 0.7133% to 0.4935% from 2018 to 2019.That means Mutual Trust Bank’s profit is reducing from asset but needs to improve. They can’t effecti</w:t>
      </w:r>
      <w:r>
        <w:rPr>
          <w:rFonts w:cs="Arial"/>
          <w:szCs w:val="24"/>
        </w:rPr>
        <w:t>vely use asset to generate profit.</w:t>
      </w:r>
    </w:p>
    <w:p w:rsidR="00831BE9" w:rsidRDefault="00CC4D20">
      <w:pPr>
        <w:tabs>
          <w:tab w:val="left" w:pos="2684"/>
        </w:tabs>
        <w:rPr>
          <w:rFonts w:cs="Arial"/>
          <w:b/>
          <w:color w:val="5B9BD5" w:themeColor="accent5"/>
          <w:szCs w:val="24"/>
        </w:rPr>
      </w:pPr>
      <w:r>
        <w:rPr>
          <w:rFonts w:cs="Arial"/>
          <w:b/>
          <w:color w:val="5B9BD5" w:themeColor="accent5"/>
          <w:szCs w:val="24"/>
        </w:rPr>
        <w:t>Return on Equity (ROE) (%):</w:t>
      </w:r>
    </w:p>
    <w:p w:rsidR="00831BE9" w:rsidRDefault="00CC4D20">
      <w:pPr>
        <w:tabs>
          <w:tab w:val="left" w:pos="2684"/>
        </w:tabs>
        <w:rPr>
          <w:rFonts w:cs="Arial"/>
          <w:szCs w:val="24"/>
        </w:rPr>
      </w:pPr>
      <w:r>
        <w:rPr>
          <w:rFonts w:cs="Arial"/>
          <w:b/>
          <w:szCs w:val="24"/>
        </w:rPr>
        <w:t>Interpretation:</w:t>
      </w:r>
      <w:r>
        <w:rPr>
          <w:rFonts w:cs="Arial"/>
          <w:szCs w:val="24"/>
        </w:rPr>
        <w:t xml:space="preserve"> I can see the return on equity has been raising. In the year of 2019 of return on equity is raising compared to </w:t>
      </w:r>
      <w:proofErr w:type="gramStart"/>
      <w:r>
        <w:rPr>
          <w:rFonts w:cs="Arial"/>
          <w:szCs w:val="24"/>
        </w:rPr>
        <w:t>2018.</w:t>
      </w:r>
      <w:proofErr w:type="gramEnd"/>
      <w:r>
        <w:rPr>
          <w:rFonts w:cs="Arial"/>
          <w:szCs w:val="24"/>
        </w:rPr>
        <w:t xml:space="preserve"> The percentage is from 8.1797%to 9.1302% from 2018 to 2019.</w:t>
      </w:r>
      <w:r>
        <w:rPr>
          <w:rFonts w:cs="Arial"/>
          <w:szCs w:val="24"/>
        </w:rPr>
        <w:t xml:space="preserve"> But 15%-20% ROE is good for bank.</w:t>
      </w:r>
    </w:p>
    <w:p w:rsidR="00831BE9" w:rsidRDefault="00CC4D20">
      <w:pPr>
        <w:tabs>
          <w:tab w:val="left" w:pos="2684"/>
          <w:tab w:val="left" w:pos="3140"/>
        </w:tabs>
        <w:rPr>
          <w:rFonts w:cs="Arial"/>
          <w:szCs w:val="24"/>
        </w:rPr>
      </w:pPr>
      <w:r>
        <w:rPr>
          <w:rFonts w:cs="Arial"/>
          <w:szCs w:val="24"/>
        </w:rPr>
        <w:tab/>
      </w:r>
      <w:r>
        <w:rPr>
          <w:rFonts w:cs="Arial"/>
          <w:szCs w:val="24"/>
        </w:rPr>
        <w:tab/>
      </w:r>
    </w:p>
    <w:p w:rsidR="00831BE9" w:rsidRDefault="00CC4D20">
      <w:pPr>
        <w:tabs>
          <w:tab w:val="left" w:pos="6639"/>
        </w:tabs>
        <w:rPr>
          <w:rFonts w:cs="Arial"/>
          <w:szCs w:val="24"/>
        </w:rPr>
      </w:pPr>
      <w:r>
        <w:rPr>
          <w:rFonts w:cs="Arial"/>
          <w:noProof/>
          <w:szCs w:val="24"/>
        </w:rPr>
        <w:drawing>
          <wp:anchor distT="0" distB="0" distL="114300" distR="114300" simplePos="0" relativeHeight="251685888" behindDoc="0" locked="0" layoutInCell="1" allowOverlap="1">
            <wp:simplePos x="0" y="0"/>
            <wp:positionH relativeFrom="margin">
              <wp:posOffset>2933065</wp:posOffset>
            </wp:positionH>
            <wp:positionV relativeFrom="paragraph">
              <wp:posOffset>292100</wp:posOffset>
            </wp:positionV>
            <wp:extent cx="3009900" cy="1964055"/>
            <wp:effectExtent l="0" t="0" r="0" b="17145"/>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Pr>
          <w:rFonts w:cs="Arial"/>
          <w:noProof/>
          <w:szCs w:val="24"/>
        </w:rPr>
        <w:drawing>
          <wp:anchor distT="0" distB="0" distL="114300" distR="114300" simplePos="0" relativeHeight="251686912" behindDoc="0" locked="0" layoutInCell="1" allowOverlap="1">
            <wp:simplePos x="0" y="0"/>
            <wp:positionH relativeFrom="margin">
              <wp:align>left</wp:align>
            </wp:positionH>
            <wp:positionV relativeFrom="paragraph">
              <wp:posOffset>292100</wp:posOffset>
            </wp:positionV>
            <wp:extent cx="2705100" cy="1946275"/>
            <wp:effectExtent l="0" t="0" r="0" b="15875"/>
            <wp:wrapSquare wrapText="bothSides"/>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Pr>
          <w:rFonts w:cs="Arial"/>
          <w:szCs w:val="24"/>
        </w:rPr>
        <w:tab/>
      </w:r>
    </w:p>
    <w:p w:rsidR="00831BE9" w:rsidRDefault="00CC4D20">
      <w:pPr>
        <w:tabs>
          <w:tab w:val="left" w:pos="2684"/>
        </w:tabs>
        <w:rPr>
          <w:rFonts w:cs="Arial"/>
          <w:b/>
          <w:color w:val="5B9BD5" w:themeColor="accent5"/>
          <w:szCs w:val="24"/>
        </w:rPr>
      </w:pPr>
      <w:r>
        <w:rPr>
          <w:rFonts w:cs="Arial"/>
          <w:b/>
          <w:color w:val="5B9BD5" w:themeColor="accent5"/>
          <w:szCs w:val="24"/>
        </w:rPr>
        <w:br w:type="textWrapping" w:clear="all"/>
      </w:r>
      <w:r>
        <w:rPr>
          <w:rFonts w:cs="Arial"/>
          <w:b/>
          <w:color w:val="5B9BD5" w:themeColor="accent5"/>
          <w:szCs w:val="24"/>
        </w:rPr>
        <w:t>Equity Capital Ratio:</w:t>
      </w:r>
    </w:p>
    <w:p w:rsidR="00831BE9" w:rsidRDefault="00CC4D20">
      <w:pPr>
        <w:tabs>
          <w:tab w:val="left" w:pos="2684"/>
        </w:tabs>
        <w:rPr>
          <w:rFonts w:cs="Arial"/>
          <w:b/>
          <w:color w:val="5B9BD5" w:themeColor="accent5"/>
          <w:szCs w:val="24"/>
        </w:rPr>
      </w:pPr>
      <w:r>
        <w:rPr>
          <w:rFonts w:cs="Arial"/>
          <w:b/>
          <w:szCs w:val="24"/>
        </w:rPr>
        <w:t>Interpretation:</w:t>
      </w:r>
      <w:r>
        <w:rPr>
          <w:rFonts w:cs="Arial"/>
          <w:szCs w:val="24"/>
        </w:rPr>
        <w:t xml:space="preserve"> I can see the equity capital ratio is so low. That means most of the fund is coming from creditors. From 2018 equity capital ratio is little bit changed in the year of 2019.</w:t>
      </w:r>
    </w:p>
    <w:p w:rsidR="00831BE9" w:rsidRDefault="00CC4D20">
      <w:pPr>
        <w:tabs>
          <w:tab w:val="left" w:pos="2684"/>
        </w:tabs>
        <w:rPr>
          <w:rFonts w:cs="Arial"/>
          <w:b/>
          <w:color w:val="5B9BD5" w:themeColor="accent5"/>
          <w:szCs w:val="24"/>
        </w:rPr>
      </w:pPr>
      <w:r>
        <w:rPr>
          <w:rFonts w:cs="Arial"/>
          <w:b/>
          <w:color w:val="5B9BD5" w:themeColor="accent5"/>
          <w:szCs w:val="24"/>
        </w:rPr>
        <w:t>Debt to Equity Ratio:</w:t>
      </w:r>
    </w:p>
    <w:p w:rsidR="00831BE9" w:rsidRDefault="00CC4D20">
      <w:pPr>
        <w:tabs>
          <w:tab w:val="left" w:pos="2684"/>
        </w:tabs>
        <w:rPr>
          <w:rFonts w:cs="Arial"/>
          <w:b/>
          <w:color w:val="5B9BD5" w:themeColor="accent5"/>
          <w:szCs w:val="24"/>
        </w:rPr>
      </w:pPr>
      <w:r>
        <w:rPr>
          <w:rFonts w:cs="Arial"/>
          <w:b/>
          <w:szCs w:val="24"/>
        </w:rPr>
        <w:lastRenderedPageBreak/>
        <w:t>Interpretation:</w:t>
      </w:r>
      <w:r>
        <w:rPr>
          <w:rFonts w:cs="Arial"/>
          <w:szCs w:val="24"/>
        </w:rPr>
        <w:t xml:space="preserve"> I can see debt to equity ratio is more than 1. So Mutual Trust Bank stays in a typical position. So, most of the fund comes from debt and the ratio is 1.5072 to 1. 3631. But from 2018 debt to equity ratio is little bit</w:t>
      </w:r>
      <w:r>
        <w:rPr>
          <w:rFonts w:cs="Arial"/>
          <w:szCs w:val="24"/>
        </w:rPr>
        <w:t xml:space="preserve"> changed in the year of 2019.</w:t>
      </w:r>
    </w:p>
    <w:p w:rsidR="00831BE9" w:rsidRDefault="00CC4D20">
      <w:pPr>
        <w:pStyle w:val="ListParagraph"/>
        <w:tabs>
          <w:tab w:val="left" w:pos="2684"/>
        </w:tabs>
        <w:ind w:left="960"/>
        <w:rPr>
          <w:rFonts w:cs="Arial"/>
          <w:szCs w:val="24"/>
        </w:rPr>
      </w:pPr>
      <w:r>
        <w:rPr>
          <w:rFonts w:cs="Arial"/>
          <w:szCs w:val="24"/>
        </w:rPr>
        <w:t>8. IFIC Bank Limited:</w:t>
      </w:r>
    </w:p>
    <w:p w:rsidR="00831BE9" w:rsidRDefault="00831BE9">
      <w:pPr>
        <w:pStyle w:val="ListParagraph"/>
        <w:tabs>
          <w:tab w:val="left" w:pos="2684"/>
        </w:tabs>
        <w:ind w:left="1080"/>
        <w:rPr>
          <w:rFonts w:cs="Arial"/>
          <w:szCs w:val="24"/>
        </w:rPr>
      </w:pP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1.21421%</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0.4964%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283073282387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316950343190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1570234267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2443732947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2.188%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0.8994%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1570234267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2443732947</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22116234218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24596979455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0.5547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0.5519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22116234218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24596979455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283073282387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316950343190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3.9875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3.2566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9969432278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8215860335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22116234218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24596979455</w:t>
            </w:r>
          </w:p>
        </w:tc>
      </w:tr>
    </w:tbl>
    <w:p w:rsidR="00831BE9" w:rsidRDefault="00831BE9">
      <w:pPr>
        <w:rPr>
          <w:rFonts w:cs="Arial"/>
          <w:szCs w:val="24"/>
        </w:rPr>
      </w:pPr>
    </w:p>
    <w:p w:rsidR="00831BE9" w:rsidRDefault="00CC4D20">
      <w:pPr>
        <w:tabs>
          <w:tab w:val="left" w:pos="2684"/>
        </w:tabs>
        <w:rPr>
          <w:rFonts w:cs="Arial"/>
          <w:szCs w:val="24"/>
        </w:rPr>
      </w:pPr>
      <w:r>
        <w:rPr>
          <w:rFonts w:cs="Arial"/>
          <w:noProof/>
          <w:szCs w:val="24"/>
        </w:rPr>
        <w:drawing>
          <wp:anchor distT="0" distB="0" distL="114300" distR="114300" simplePos="0" relativeHeight="251673600" behindDoc="0" locked="0" layoutInCell="1" allowOverlap="1">
            <wp:simplePos x="0" y="0"/>
            <wp:positionH relativeFrom="margin">
              <wp:align>left</wp:align>
            </wp:positionH>
            <wp:positionV relativeFrom="paragraph">
              <wp:posOffset>17145</wp:posOffset>
            </wp:positionV>
            <wp:extent cx="2407920" cy="1692910"/>
            <wp:effectExtent l="0" t="0" r="11430" b="254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Pr>
          <w:rFonts w:cs="Arial"/>
          <w:noProof/>
          <w:szCs w:val="24"/>
        </w:rPr>
        <w:drawing>
          <wp:inline distT="0" distB="0" distL="0" distR="0">
            <wp:extent cx="2870200" cy="1710690"/>
            <wp:effectExtent l="0" t="0" r="6350"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rFonts w:cs="Arial"/>
          <w:szCs w:val="24"/>
        </w:rPr>
        <w:br w:type="textWrapping" w:clear="all"/>
      </w:r>
      <w:r>
        <w:rPr>
          <w:rFonts w:cs="Arial"/>
          <w:b/>
          <w:color w:val="5B9BD5" w:themeColor="accent5"/>
          <w:szCs w:val="24"/>
        </w:rPr>
        <w:t xml:space="preserve">Return on Asset (ROA) (%): </w:t>
      </w:r>
    </w:p>
    <w:p w:rsidR="00831BE9" w:rsidRDefault="00CC4D20">
      <w:pPr>
        <w:tabs>
          <w:tab w:val="left" w:pos="2684"/>
        </w:tabs>
        <w:rPr>
          <w:rFonts w:cs="Arial"/>
          <w:szCs w:val="24"/>
        </w:rPr>
      </w:pPr>
      <w:r>
        <w:rPr>
          <w:rFonts w:cs="Arial"/>
          <w:b/>
          <w:szCs w:val="24"/>
        </w:rPr>
        <w:t>Interpretation</w:t>
      </w:r>
      <w:r>
        <w:rPr>
          <w:rFonts w:cs="Arial"/>
          <w:szCs w:val="24"/>
        </w:rPr>
        <w:t xml:space="preserve">: I can see the return on asset of IFIC Bank is reducing.  Here, the ROA of IFIC Bank is reducing from 1.2142% to 0.4965% from 2018 to 2019.That means </w:t>
      </w:r>
      <w:r>
        <w:rPr>
          <w:rFonts w:cs="Arial"/>
          <w:szCs w:val="24"/>
        </w:rPr>
        <w:t>Dhaka Bank’s profit is decreasing from asset. In the year of 2018 IFIC Bank utilize their asset effectively.</w:t>
      </w:r>
    </w:p>
    <w:p w:rsidR="00831BE9" w:rsidRDefault="00CC4D20">
      <w:pPr>
        <w:tabs>
          <w:tab w:val="left" w:pos="2684"/>
        </w:tabs>
        <w:rPr>
          <w:rFonts w:cs="Arial"/>
          <w:b/>
          <w:color w:val="5B9BD5" w:themeColor="accent5"/>
          <w:szCs w:val="24"/>
        </w:rPr>
      </w:pPr>
      <w:r>
        <w:rPr>
          <w:rFonts w:cs="Arial"/>
          <w:b/>
          <w:color w:val="5B9BD5" w:themeColor="accent5"/>
          <w:szCs w:val="24"/>
        </w:rPr>
        <w:t>Return on Equity (ROE) (%):</w:t>
      </w:r>
    </w:p>
    <w:p w:rsidR="00831BE9" w:rsidRDefault="00CC4D20">
      <w:pPr>
        <w:tabs>
          <w:tab w:val="left" w:pos="2684"/>
        </w:tabs>
        <w:rPr>
          <w:rFonts w:cs="Arial"/>
          <w:szCs w:val="24"/>
        </w:rPr>
      </w:pPr>
      <w:r>
        <w:rPr>
          <w:rFonts w:cs="Arial"/>
          <w:b/>
          <w:szCs w:val="24"/>
        </w:rPr>
        <w:t>Interpretation</w:t>
      </w:r>
      <w:r>
        <w:rPr>
          <w:rFonts w:cs="Arial"/>
          <w:szCs w:val="24"/>
        </w:rPr>
        <w:t>: I can see the return on equity of IFIC Bank is also reducing. In the year of 2019 of return on equity i</w:t>
      </w:r>
      <w:r>
        <w:rPr>
          <w:rFonts w:cs="Arial"/>
          <w:szCs w:val="24"/>
        </w:rPr>
        <w:t xml:space="preserve">s reducing compared to </w:t>
      </w:r>
      <w:proofErr w:type="gramStart"/>
      <w:r>
        <w:rPr>
          <w:rFonts w:cs="Arial"/>
          <w:szCs w:val="24"/>
        </w:rPr>
        <w:t>2018.</w:t>
      </w:r>
      <w:proofErr w:type="gramEnd"/>
      <w:r>
        <w:rPr>
          <w:rFonts w:cs="Arial"/>
          <w:szCs w:val="24"/>
        </w:rPr>
        <w:t xml:space="preserve"> The percentage is from 2.1887%to 0.8994% from 2018 to 2019. Income from equity is very much reducing in 2019.</w:t>
      </w:r>
    </w:p>
    <w:p w:rsidR="00831BE9" w:rsidRDefault="00831BE9">
      <w:pPr>
        <w:tabs>
          <w:tab w:val="left" w:pos="2684"/>
        </w:tabs>
        <w:rPr>
          <w:rFonts w:cs="Arial"/>
          <w:szCs w:val="24"/>
        </w:rPr>
      </w:pPr>
    </w:p>
    <w:p w:rsidR="00831BE9" w:rsidRDefault="00831BE9">
      <w:pPr>
        <w:tabs>
          <w:tab w:val="left" w:pos="2684"/>
        </w:tabs>
        <w:rPr>
          <w:rFonts w:cs="Arial"/>
          <w:szCs w:val="24"/>
        </w:rPr>
      </w:pPr>
    </w:p>
    <w:p w:rsidR="00831BE9" w:rsidRDefault="00CC4D20">
      <w:pPr>
        <w:tabs>
          <w:tab w:val="left" w:pos="2684"/>
        </w:tabs>
        <w:rPr>
          <w:rFonts w:cs="Arial"/>
          <w:szCs w:val="24"/>
        </w:rPr>
      </w:pPr>
      <w:r>
        <w:rPr>
          <w:rFonts w:cs="Arial"/>
          <w:noProof/>
          <w:szCs w:val="24"/>
        </w:rPr>
        <w:drawing>
          <wp:anchor distT="0" distB="0" distL="114300" distR="114300" simplePos="0" relativeHeight="251674624" behindDoc="0" locked="0" layoutInCell="1" allowOverlap="1">
            <wp:simplePos x="0" y="0"/>
            <wp:positionH relativeFrom="margin">
              <wp:align>left</wp:align>
            </wp:positionH>
            <wp:positionV relativeFrom="paragraph">
              <wp:posOffset>20320</wp:posOffset>
            </wp:positionV>
            <wp:extent cx="2921000" cy="2000250"/>
            <wp:effectExtent l="0" t="0" r="12700" b="0"/>
            <wp:wrapSquare wrapText="bothSides"/>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Pr>
          <w:rFonts w:cs="Arial"/>
          <w:noProof/>
          <w:szCs w:val="24"/>
        </w:rPr>
        <w:drawing>
          <wp:inline distT="0" distB="0" distL="0" distR="0">
            <wp:extent cx="2667000" cy="1991360"/>
            <wp:effectExtent l="0" t="0" r="0" b="889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31BE9" w:rsidRDefault="00CC4D20">
      <w:pPr>
        <w:tabs>
          <w:tab w:val="left" w:pos="760"/>
          <w:tab w:val="left" w:pos="5928"/>
        </w:tabs>
        <w:rPr>
          <w:rFonts w:cs="Arial"/>
          <w:b/>
          <w:szCs w:val="24"/>
        </w:rPr>
      </w:pPr>
      <w:r>
        <w:rPr>
          <w:rFonts w:cs="Arial"/>
          <w:b/>
          <w:color w:val="5B9BD5" w:themeColor="accent5"/>
          <w:szCs w:val="24"/>
        </w:rPr>
        <w:t>Equity Capital Ratio:</w:t>
      </w:r>
      <w:r>
        <w:rPr>
          <w:rFonts w:cs="Arial"/>
          <w:b/>
          <w:szCs w:val="24"/>
        </w:rPr>
        <w:tab/>
      </w:r>
    </w:p>
    <w:p w:rsidR="00831BE9" w:rsidRDefault="00CC4D20">
      <w:pPr>
        <w:tabs>
          <w:tab w:val="left" w:pos="2684"/>
        </w:tabs>
        <w:rPr>
          <w:rFonts w:cs="Arial"/>
          <w:szCs w:val="24"/>
        </w:rPr>
      </w:pPr>
      <w:r>
        <w:rPr>
          <w:rFonts w:cs="Arial"/>
          <w:b/>
          <w:szCs w:val="24"/>
        </w:rPr>
        <w:t>Interpretation</w:t>
      </w:r>
      <w:r>
        <w:rPr>
          <w:rFonts w:cs="Arial"/>
          <w:szCs w:val="24"/>
        </w:rPr>
        <w:t>: Here, we can see the equity ratio is more than .50. That means have to pa</w:t>
      </w:r>
      <w:r>
        <w:rPr>
          <w:rFonts w:cs="Arial"/>
          <w:szCs w:val="24"/>
        </w:rPr>
        <w:t>y less financing cost. In the future it will be less risky. It shows the strength of the bank.</w:t>
      </w:r>
    </w:p>
    <w:p w:rsidR="00831BE9" w:rsidRDefault="00CC4D20">
      <w:pPr>
        <w:tabs>
          <w:tab w:val="left" w:pos="2684"/>
        </w:tabs>
        <w:rPr>
          <w:rFonts w:cs="Arial"/>
          <w:b/>
          <w:color w:val="5B9BD5" w:themeColor="accent5"/>
          <w:szCs w:val="24"/>
        </w:rPr>
      </w:pPr>
      <w:r>
        <w:rPr>
          <w:rFonts w:cs="Arial"/>
          <w:b/>
          <w:color w:val="5B9BD5" w:themeColor="accent5"/>
          <w:szCs w:val="24"/>
        </w:rPr>
        <w:t>Debt to Equity Ratio:</w:t>
      </w:r>
    </w:p>
    <w:p w:rsidR="00831BE9" w:rsidRDefault="00CC4D20">
      <w:pPr>
        <w:tabs>
          <w:tab w:val="left" w:pos="2684"/>
        </w:tabs>
        <w:rPr>
          <w:rFonts w:cs="Arial"/>
          <w:szCs w:val="24"/>
        </w:rPr>
      </w:pPr>
      <w:r>
        <w:rPr>
          <w:rFonts w:cs="Arial"/>
          <w:b/>
          <w:szCs w:val="24"/>
        </w:rPr>
        <w:t>Interpretation</w:t>
      </w:r>
      <w:r>
        <w:rPr>
          <w:rFonts w:cs="Arial"/>
          <w:szCs w:val="24"/>
        </w:rPr>
        <w:t xml:space="preserve">: For any bank Debt to equity ratio is less than 1 is considered good. Here, Debt to equity ratio is very much high. I think </w:t>
      </w:r>
      <w:r>
        <w:rPr>
          <w:rFonts w:cs="Arial"/>
          <w:szCs w:val="24"/>
        </w:rPr>
        <w:t>their market position is not good. Most of the fund is coming from debtors.</w:t>
      </w:r>
    </w:p>
    <w:p w:rsidR="00831BE9" w:rsidRDefault="00831BE9">
      <w:pPr>
        <w:tabs>
          <w:tab w:val="left" w:pos="2684"/>
        </w:tabs>
        <w:rPr>
          <w:rFonts w:cs="Arial"/>
          <w:szCs w:val="24"/>
        </w:rPr>
      </w:pPr>
    </w:p>
    <w:p w:rsidR="00831BE9" w:rsidRDefault="00CC4D20">
      <w:pPr>
        <w:pStyle w:val="ListParagraph"/>
        <w:tabs>
          <w:tab w:val="left" w:pos="2684"/>
        </w:tabs>
        <w:ind w:left="960"/>
        <w:rPr>
          <w:rFonts w:cs="Arial"/>
          <w:szCs w:val="24"/>
        </w:rPr>
      </w:pPr>
      <w:r>
        <w:rPr>
          <w:rFonts w:cs="Arial"/>
          <w:szCs w:val="24"/>
        </w:rPr>
        <w:t>9. One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0.5236%</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0.5572%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266049714933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297873959835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1393036145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1659847018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 xml:space="preserve">Return on </w:t>
            </w:r>
            <w:r>
              <w:rPr>
                <w:rFonts w:cs="Arial"/>
              </w:rPr>
              <w:t>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9.6793%</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10.3401%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1393036145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1659847018</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14391805580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16052477785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0.05409</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0.05389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14391805580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16052477785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266049714933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297873959835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2.0777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1.8236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29902343604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29274274579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14391805580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16052477785</w:t>
            </w:r>
          </w:p>
        </w:tc>
      </w:tr>
    </w:tbl>
    <w:p w:rsidR="00831BE9" w:rsidRDefault="00CC4D20">
      <w:pPr>
        <w:tabs>
          <w:tab w:val="left" w:pos="3591"/>
        </w:tabs>
        <w:rPr>
          <w:rFonts w:cs="Arial"/>
          <w:szCs w:val="24"/>
        </w:rPr>
      </w:pPr>
      <w:r>
        <w:rPr>
          <w:rFonts w:cs="Arial"/>
          <w:noProof/>
          <w:szCs w:val="24"/>
        </w:rPr>
        <w:lastRenderedPageBreak/>
        <w:drawing>
          <wp:anchor distT="0" distB="0" distL="114300" distR="114300" simplePos="0" relativeHeight="251675648" behindDoc="0" locked="0" layoutInCell="1" allowOverlap="1">
            <wp:simplePos x="0" y="0"/>
            <wp:positionH relativeFrom="margin">
              <wp:align>left</wp:align>
            </wp:positionH>
            <wp:positionV relativeFrom="paragraph">
              <wp:posOffset>288925</wp:posOffset>
            </wp:positionV>
            <wp:extent cx="2743200" cy="1697990"/>
            <wp:effectExtent l="0" t="0" r="0" b="1651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Pr>
          <w:rFonts w:cs="Arial"/>
          <w:szCs w:val="24"/>
        </w:rPr>
        <w:tab/>
      </w:r>
    </w:p>
    <w:p w:rsidR="00831BE9" w:rsidRDefault="00CC4D20">
      <w:pPr>
        <w:spacing w:line="360" w:lineRule="auto"/>
        <w:rPr>
          <w:rFonts w:cs="Arial"/>
          <w:b/>
          <w:szCs w:val="24"/>
        </w:rPr>
      </w:pPr>
      <w:r>
        <w:rPr>
          <w:rFonts w:cs="Arial"/>
          <w:noProof/>
          <w:szCs w:val="24"/>
        </w:rPr>
        <w:drawing>
          <wp:inline distT="0" distB="0" distL="0" distR="0">
            <wp:extent cx="2819400" cy="1647190"/>
            <wp:effectExtent l="0" t="0" r="0" b="1016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Pr>
          <w:rFonts w:cs="Arial"/>
          <w:szCs w:val="24"/>
        </w:rPr>
        <w:br w:type="textWrapping" w:clear="all"/>
      </w:r>
      <w:r>
        <w:rPr>
          <w:rFonts w:cs="Arial"/>
          <w:b/>
          <w:color w:val="5B9BD5" w:themeColor="accent5"/>
          <w:szCs w:val="24"/>
        </w:rPr>
        <w:t>Return on Assets (ROA) (%)</w:t>
      </w:r>
    </w:p>
    <w:p w:rsidR="00831BE9" w:rsidRDefault="00CC4D20">
      <w:pPr>
        <w:spacing w:line="360" w:lineRule="auto"/>
        <w:rPr>
          <w:rFonts w:cs="Arial"/>
          <w:b/>
          <w:szCs w:val="24"/>
        </w:rPr>
      </w:pPr>
      <w:r>
        <w:rPr>
          <w:rFonts w:cs="Arial"/>
          <w:b/>
          <w:szCs w:val="24"/>
        </w:rPr>
        <w:t>Interpretation:</w:t>
      </w:r>
      <w:r>
        <w:rPr>
          <w:rFonts w:cs="Arial"/>
          <w:szCs w:val="24"/>
        </w:rPr>
        <w:t xml:space="preserve"> I find One Bank’s profit is raising from 2018 to 2019 but they couldn’t utilize their asset properly. The return on asset (ROA) ratio is 0.5236 &amp; 0.5572.</w:t>
      </w:r>
    </w:p>
    <w:p w:rsidR="00831BE9" w:rsidRDefault="00CC4D20">
      <w:pPr>
        <w:tabs>
          <w:tab w:val="left" w:pos="2684"/>
        </w:tabs>
        <w:rPr>
          <w:rFonts w:cs="Arial"/>
          <w:b/>
          <w:color w:val="5B9BD5" w:themeColor="accent5"/>
          <w:szCs w:val="24"/>
        </w:rPr>
      </w:pPr>
      <w:r>
        <w:rPr>
          <w:rFonts w:cs="Arial"/>
          <w:b/>
          <w:color w:val="5B9BD5" w:themeColor="accent5"/>
          <w:szCs w:val="24"/>
        </w:rPr>
        <w:t>Return on Equity (ROE) (%):</w:t>
      </w:r>
    </w:p>
    <w:p w:rsidR="00831BE9" w:rsidRDefault="00CC4D20">
      <w:pPr>
        <w:tabs>
          <w:tab w:val="left" w:pos="2684"/>
        </w:tabs>
        <w:rPr>
          <w:rFonts w:cs="Arial"/>
          <w:szCs w:val="24"/>
        </w:rPr>
      </w:pPr>
      <w:r>
        <w:rPr>
          <w:rFonts w:cs="Arial"/>
          <w:b/>
          <w:szCs w:val="24"/>
        </w:rPr>
        <w:t xml:space="preserve">Interpretation:  </w:t>
      </w:r>
      <w:r>
        <w:rPr>
          <w:rFonts w:cs="Arial"/>
          <w:szCs w:val="24"/>
        </w:rPr>
        <w:t>The</w:t>
      </w:r>
      <w:r>
        <w:rPr>
          <w:rFonts w:cs="Arial"/>
          <w:b/>
          <w:szCs w:val="24"/>
        </w:rPr>
        <w:t xml:space="preserve"> </w:t>
      </w:r>
      <w:r>
        <w:rPr>
          <w:rFonts w:cs="Arial"/>
          <w:szCs w:val="24"/>
        </w:rPr>
        <w:t xml:space="preserve">return on equity is raising in </w:t>
      </w:r>
      <w:proofErr w:type="gramStart"/>
      <w:r>
        <w:rPr>
          <w:rFonts w:cs="Arial"/>
          <w:szCs w:val="24"/>
        </w:rPr>
        <w:t>One</w:t>
      </w:r>
      <w:proofErr w:type="gramEnd"/>
      <w:r>
        <w:rPr>
          <w:rFonts w:cs="Arial"/>
          <w:szCs w:val="24"/>
        </w:rPr>
        <w:t xml:space="preserve"> bank. That means </w:t>
      </w:r>
      <w:r>
        <w:rPr>
          <w:rFonts w:cs="Arial"/>
          <w:szCs w:val="24"/>
        </w:rPr>
        <w:t>they effectively generate their equity. So, their income from equity is in good position.</w:t>
      </w:r>
    </w:p>
    <w:p w:rsidR="00831BE9" w:rsidRDefault="00CC4D20">
      <w:pPr>
        <w:tabs>
          <w:tab w:val="left" w:pos="5180"/>
        </w:tabs>
        <w:rPr>
          <w:rFonts w:cs="Arial"/>
          <w:szCs w:val="24"/>
        </w:rPr>
      </w:pPr>
      <w:r>
        <w:rPr>
          <w:rFonts w:cs="Arial"/>
          <w:noProof/>
          <w:szCs w:val="24"/>
        </w:rPr>
        <w:drawing>
          <wp:anchor distT="0" distB="0" distL="114300" distR="114300" simplePos="0" relativeHeight="251688960" behindDoc="0" locked="0" layoutInCell="1" allowOverlap="1">
            <wp:simplePos x="0" y="0"/>
            <wp:positionH relativeFrom="margin">
              <wp:align>left</wp:align>
            </wp:positionH>
            <wp:positionV relativeFrom="paragraph">
              <wp:posOffset>283845</wp:posOffset>
            </wp:positionV>
            <wp:extent cx="2882900" cy="1602105"/>
            <wp:effectExtent l="0" t="0" r="12700" b="17145"/>
            <wp:wrapSquare wrapText="bothSides"/>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Pr>
          <w:rFonts w:cs="Arial"/>
          <w:szCs w:val="24"/>
        </w:rPr>
        <w:tab/>
      </w:r>
    </w:p>
    <w:p w:rsidR="00831BE9" w:rsidRDefault="00CC4D20">
      <w:pPr>
        <w:tabs>
          <w:tab w:val="left" w:pos="2684"/>
        </w:tabs>
        <w:jc w:val="right"/>
        <w:rPr>
          <w:rFonts w:cs="Arial"/>
          <w:szCs w:val="24"/>
        </w:rPr>
      </w:pPr>
      <w:r>
        <w:rPr>
          <w:rFonts w:cs="Arial"/>
          <w:noProof/>
          <w:szCs w:val="24"/>
        </w:rPr>
        <w:drawing>
          <wp:inline distT="0" distB="0" distL="0" distR="0">
            <wp:extent cx="2806700" cy="1529715"/>
            <wp:effectExtent l="0" t="0" r="12700" b="13335"/>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rFonts w:cs="Arial"/>
          <w:szCs w:val="24"/>
        </w:rPr>
        <w:br w:type="textWrapping" w:clear="all"/>
      </w:r>
    </w:p>
    <w:p w:rsidR="00831BE9" w:rsidRDefault="00CC4D20">
      <w:pPr>
        <w:tabs>
          <w:tab w:val="left" w:pos="2684"/>
        </w:tabs>
        <w:rPr>
          <w:rFonts w:cs="Arial"/>
          <w:szCs w:val="24"/>
        </w:rPr>
      </w:pPr>
      <w:r>
        <w:rPr>
          <w:rFonts w:cs="Arial"/>
          <w:b/>
          <w:color w:val="5B9BD5" w:themeColor="accent5"/>
          <w:szCs w:val="24"/>
        </w:rPr>
        <w:t>Equity Capital Ratio:</w:t>
      </w:r>
    </w:p>
    <w:p w:rsidR="00831BE9" w:rsidRDefault="00CC4D20">
      <w:pPr>
        <w:rPr>
          <w:rFonts w:cs="Arial"/>
          <w:szCs w:val="24"/>
        </w:rPr>
      </w:pPr>
      <w:r>
        <w:rPr>
          <w:rFonts w:cs="Arial"/>
          <w:szCs w:val="24"/>
        </w:rPr>
        <w:t>Interpretation:</w:t>
      </w:r>
      <w:r>
        <w:rPr>
          <w:rFonts w:cs="Arial"/>
          <w:b/>
          <w:szCs w:val="24"/>
        </w:rPr>
        <w:t xml:space="preserve"> </w:t>
      </w:r>
      <w:r>
        <w:rPr>
          <w:rFonts w:cs="Arial"/>
          <w:szCs w:val="24"/>
        </w:rPr>
        <w:t>I can see the equity ratio of One Bank is 0.0539 to 0.0541. The equity ratio is low. It will be risky for creditors to inv</w:t>
      </w:r>
      <w:r>
        <w:rPr>
          <w:rFonts w:cs="Arial"/>
          <w:szCs w:val="24"/>
        </w:rPr>
        <w:t>est in the bank because the equity ratio is low.</w:t>
      </w:r>
    </w:p>
    <w:p w:rsidR="00831BE9" w:rsidRDefault="00CC4D20">
      <w:pPr>
        <w:tabs>
          <w:tab w:val="left" w:pos="2684"/>
        </w:tabs>
        <w:rPr>
          <w:rFonts w:cs="Arial"/>
          <w:b/>
          <w:color w:val="5B9BD5" w:themeColor="accent5"/>
          <w:szCs w:val="24"/>
        </w:rPr>
      </w:pPr>
      <w:r>
        <w:rPr>
          <w:rFonts w:cs="Arial"/>
          <w:b/>
          <w:color w:val="5B9BD5" w:themeColor="accent5"/>
          <w:szCs w:val="24"/>
        </w:rPr>
        <w:t>Debt to Equity Ratio:</w:t>
      </w:r>
    </w:p>
    <w:p w:rsidR="00831BE9" w:rsidRDefault="00CC4D20">
      <w:pPr>
        <w:tabs>
          <w:tab w:val="left" w:pos="2684"/>
        </w:tabs>
        <w:rPr>
          <w:rFonts w:cs="Arial"/>
          <w:szCs w:val="24"/>
        </w:rPr>
      </w:pPr>
      <w:r>
        <w:rPr>
          <w:rFonts w:cs="Arial"/>
          <w:szCs w:val="24"/>
        </w:rPr>
        <w:t>Interpretation: I can see Debt to Equity ratio is very much raising in One Bank. One Bank uses more debt that’s why Return on Equity is high.</w:t>
      </w:r>
      <w:r>
        <w:rPr>
          <w:rFonts w:cs="Arial"/>
          <w:szCs w:val="24"/>
        </w:rPr>
        <w:tab/>
      </w:r>
    </w:p>
    <w:p w:rsidR="00831BE9" w:rsidRDefault="00CC4D20">
      <w:pPr>
        <w:pStyle w:val="ListParagraph"/>
        <w:tabs>
          <w:tab w:val="left" w:pos="2684"/>
        </w:tabs>
        <w:ind w:left="960"/>
        <w:rPr>
          <w:rFonts w:cs="Arial"/>
          <w:szCs w:val="24"/>
        </w:rPr>
      </w:pPr>
      <w:r>
        <w:rPr>
          <w:rFonts w:cs="Arial"/>
          <w:szCs w:val="24"/>
        </w:rPr>
        <w:t>10</w:t>
      </w:r>
      <w:proofErr w:type="gramStart"/>
      <w:r>
        <w:rPr>
          <w:rFonts w:cs="Arial"/>
          <w:szCs w:val="24"/>
        </w:rPr>
        <w:t>.Prime</w:t>
      </w:r>
      <w:proofErr w:type="gramEnd"/>
      <w:r>
        <w:rPr>
          <w:rFonts w:cs="Arial"/>
          <w:szCs w:val="24"/>
        </w:rPr>
        <w:t xml:space="preserve"> Bank Limited:        </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tabs>
                <w:tab w:val="left" w:pos="1320"/>
              </w:tabs>
              <w:spacing w:after="0"/>
              <w:rPr>
                <w:rFonts w:cs="Arial"/>
                <w:b w:val="0"/>
                <w:bCs w:val="0"/>
              </w:rPr>
            </w:pPr>
            <w:r>
              <w:rPr>
                <w:rFonts w:cs="Arial"/>
              </w:rPr>
              <w:t>Details</w:t>
            </w:r>
            <w:r>
              <w:rPr>
                <w:rFonts w:cs="Arial"/>
              </w:rPr>
              <w:tab/>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0.7444%</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0.6214%</w:t>
            </w:r>
          </w:p>
        </w:tc>
      </w:tr>
      <w:tr w:rsidR="00831BE9" w:rsidTr="00831BE9">
        <w:trPr>
          <w:trHeight w:val="323"/>
        </w:trPr>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lastRenderedPageBreak/>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293900728300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322416918614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2187802036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2003805377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8.3564%</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7.4826%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2187802036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2003805377</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26180899210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26779508846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0.0890</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0.0830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26180899210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26779508846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293900728300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322416918614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1.2965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1.3643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33944516693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36536574764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26180899210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26779508846</w:t>
            </w:r>
          </w:p>
        </w:tc>
      </w:tr>
    </w:tbl>
    <w:p w:rsidR="00831BE9" w:rsidRDefault="00CC4D20">
      <w:pPr>
        <w:tabs>
          <w:tab w:val="left" w:pos="2684"/>
        </w:tabs>
        <w:rPr>
          <w:rFonts w:cs="Arial"/>
          <w:szCs w:val="24"/>
        </w:rPr>
      </w:pPr>
      <w:r>
        <w:rPr>
          <w:rFonts w:cs="Arial"/>
          <w:szCs w:val="24"/>
        </w:rPr>
        <w:t xml:space="preserve">  </w:t>
      </w:r>
    </w:p>
    <w:p w:rsidR="00831BE9" w:rsidRDefault="00CC4D20">
      <w:pPr>
        <w:rPr>
          <w:rFonts w:cs="Arial"/>
          <w:szCs w:val="24"/>
        </w:rPr>
      </w:pPr>
      <w:r>
        <w:rPr>
          <w:rFonts w:cs="Arial"/>
          <w:noProof/>
          <w:szCs w:val="24"/>
        </w:rPr>
        <w:drawing>
          <wp:anchor distT="0" distB="0" distL="114300" distR="114300" simplePos="0" relativeHeight="251676672" behindDoc="0" locked="0" layoutInCell="1" allowOverlap="1">
            <wp:simplePos x="0" y="0"/>
            <wp:positionH relativeFrom="margin">
              <wp:align>left</wp:align>
            </wp:positionH>
            <wp:positionV relativeFrom="paragraph">
              <wp:posOffset>5715</wp:posOffset>
            </wp:positionV>
            <wp:extent cx="2933700" cy="1737995"/>
            <wp:effectExtent l="0" t="0" r="0" b="14605"/>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rPr>
          <w:rFonts w:cs="Arial"/>
          <w:noProof/>
          <w:szCs w:val="24"/>
        </w:rPr>
        <w:drawing>
          <wp:inline distT="0" distB="0" distL="0" distR="0">
            <wp:extent cx="2857500" cy="1746885"/>
            <wp:effectExtent l="0" t="0" r="0" b="5715"/>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31BE9" w:rsidRDefault="00CC4D20">
      <w:pPr>
        <w:tabs>
          <w:tab w:val="left" w:pos="2684"/>
        </w:tabs>
        <w:rPr>
          <w:rFonts w:cs="Arial"/>
          <w:szCs w:val="24"/>
        </w:rPr>
      </w:pPr>
      <w:r>
        <w:rPr>
          <w:rFonts w:cs="Arial"/>
          <w:b/>
          <w:color w:val="5B9BD5" w:themeColor="accent5"/>
          <w:szCs w:val="24"/>
        </w:rPr>
        <w:t xml:space="preserve">Return on </w:t>
      </w:r>
      <w:r>
        <w:rPr>
          <w:rFonts w:cs="Arial"/>
          <w:b/>
          <w:color w:val="5B9BD5" w:themeColor="accent5"/>
          <w:szCs w:val="24"/>
        </w:rPr>
        <w:t>Assets (ROA) (%)</w:t>
      </w:r>
    </w:p>
    <w:p w:rsidR="00831BE9" w:rsidRDefault="00CC4D20">
      <w:pPr>
        <w:tabs>
          <w:tab w:val="left" w:pos="2684"/>
        </w:tabs>
        <w:rPr>
          <w:rFonts w:cs="Arial"/>
          <w:szCs w:val="24"/>
        </w:rPr>
      </w:pPr>
      <w:r>
        <w:rPr>
          <w:rFonts w:cs="Arial"/>
          <w:b/>
          <w:szCs w:val="24"/>
        </w:rPr>
        <w:t>Interpretation</w:t>
      </w:r>
      <w:r>
        <w:rPr>
          <w:rFonts w:cs="Arial"/>
          <w:szCs w:val="24"/>
        </w:rPr>
        <w:t xml:space="preserve">: The return on asset ratio of Prime Bank is not good. The ratio also reducing from 2018 to 2019. They couldn’t utilize their asset to generate profit. </w:t>
      </w:r>
    </w:p>
    <w:p w:rsidR="00831BE9" w:rsidRDefault="00CC4D20">
      <w:pPr>
        <w:tabs>
          <w:tab w:val="left" w:pos="2684"/>
        </w:tabs>
        <w:rPr>
          <w:rFonts w:cs="Arial"/>
          <w:szCs w:val="24"/>
        </w:rPr>
      </w:pPr>
      <w:r>
        <w:rPr>
          <w:rFonts w:cs="Arial"/>
          <w:b/>
          <w:color w:val="5B9BD5" w:themeColor="accent5"/>
          <w:szCs w:val="24"/>
        </w:rPr>
        <w:t>Return on Equity (ROE) (%):</w:t>
      </w:r>
    </w:p>
    <w:p w:rsidR="00831BE9" w:rsidRDefault="00CC4D20">
      <w:pPr>
        <w:tabs>
          <w:tab w:val="left" w:pos="2684"/>
        </w:tabs>
        <w:rPr>
          <w:rFonts w:cs="Arial"/>
          <w:szCs w:val="24"/>
        </w:rPr>
      </w:pPr>
      <w:r>
        <w:rPr>
          <w:rFonts w:cs="Arial"/>
          <w:b/>
          <w:szCs w:val="24"/>
        </w:rPr>
        <w:t>Interpretation</w:t>
      </w:r>
      <w:r>
        <w:rPr>
          <w:rFonts w:cs="Arial"/>
          <w:szCs w:val="24"/>
        </w:rPr>
        <w:t>: I can see the return on equi</w:t>
      </w:r>
      <w:r>
        <w:rPr>
          <w:rFonts w:cs="Arial"/>
          <w:szCs w:val="24"/>
        </w:rPr>
        <w:t xml:space="preserve">ty of Prime Bank is also reducing. In the year of 2019 of return on equity is reducing compared to </w:t>
      </w:r>
      <w:proofErr w:type="gramStart"/>
      <w:r>
        <w:rPr>
          <w:rFonts w:cs="Arial"/>
          <w:szCs w:val="24"/>
        </w:rPr>
        <w:t>2018.</w:t>
      </w:r>
      <w:proofErr w:type="gramEnd"/>
      <w:r>
        <w:rPr>
          <w:rFonts w:cs="Arial"/>
          <w:szCs w:val="24"/>
        </w:rPr>
        <w:t xml:space="preserve"> The percentage is from 8.3565%to 7.4826% from 2018 to 2019. Income from equity is reducing in 2019.</w:t>
      </w:r>
    </w:p>
    <w:p w:rsidR="00831BE9" w:rsidRDefault="00CC4D20">
      <w:pPr>
        <w:tabs>
          <w:tab w:val="center" w:pos="4680"/>
        </w:tabs>
        <w:rPr>
          <w:rFonts w:cs="Arial"/>
          <w:szCs w:val="24"/>
        </w:rPr>
      </w:pPr>
      <w:r>
        <w:rPr>
          <w:rFonts w:cs="Arial"/>
          <w:noProof/>
          <w:szCs w:val="24"/>
        </w:rPr>
        <w:drawing>
          <wp:anchor distT="0" distB="0" distL="114300" distR="114300" simplePos="0" relativeHeight="251677696" behindDoc="0" locked="0" layoutInCell="1" allowOverlap="1">
            <wp:simplePos x="0" y="0"/>
            <wp:positionH relativeFrom="margin">
              <wp:posOffset>126365</wp:posOffset>
            </wp:positionH>
            <wp:positionV relativeFrom="paragraph">
              <wp:posOffset>283845</wp:posOffset>
            </wp:positionV>
            <wp:extent cx="2724785" cy="1656715"/>
            <wp:effectExtent l="0" t="0" r="18415" b="635"/>
            <wp:wrapSquare wrapText="bothSides"/>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r>
        <w:rPr>
          <w:rFonts w:cs="Arial"/>
          <w:szCs w:val="24"/>
        </w:rPr>
        <w:tab/>
      </w:r>
    </w:p>
    <w:p w:rsidR="00831BE9" w:rsidRDefault="00CC4D20">
      <w:pPr>
        <w:rPr>
          <w:rFonts w:cs="Arial"/>
          <w:b/>
          <w:color w:val="5B9BD5" w:themeColor="accent5"/>
          <w:szCs w:val="24"/>
        </w:rPr>
      </w:pPr>
      <w:r>
        <w:rPr>
          <w:rFonts w:cs="Arial"/>
          <w:noProof/>
          <w:szCs w:val="24"/>
        </w:rPr>
        <w:drawing>
          <wp:inline distT="0" distB="0" distL="0" distR="0">
            <wp:extent cx="2692400" cy="1674495"/>
            <wp:effectExtent l="0" t="0" r="12700" b="190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rFonts w:cs="Arial"/>
          <w:szCs w:val="24"/>
        </w:rPr>
        <w:br w:type="textWrapping" w:clear="all"/>
      </w:r>
      <w:r>
        <w:rPr>
          <w:rFonts w:cs="Arial"/>
          <w:b/>
          <w:color w:val="5B9BD5" w:themeColor="accent5"/>
          <w:szCs w:val="24"/>
        </w:rPr>
        <w:t>Equity Capital Ratio:</w:t>
      </w:r>
    </w:p>
    <w:p w:rsidR="00831BE9" w:rsidRDefault="00CC4D20">
      <w:pPr>
        <w:rPr>
          <w:rFonts w:cs="Arial"/>
          <w:szCs w:val="24"/>
        </w:rPr>
      </w:pPr>
      <w:r>
        <w:rPr>
          <w:rFonts w:cs="Arial"/>
          <w:b/>
          <w:szCs w:val="24"/>
        </w:rPr>
        <w:lastRenderedPageBreak/>
        <w:t xml:space="preserve">Interpretation: </w:t>
      </w:r>
      <w:r>
        <w:rPr>
          <w:rFonts w:cs="Arial"/>
          <w:szCs w:val="24"/>
        </w:rPr>
        <w:t xml:space="preserve">I can see the equity ratio of Prime Bank is 0.0831 to 0.0891.  The equity ratio is lower than 0.50. So, it will be risky for creditors to invest in the bank. The equity ratio is low. </w:t>
      </w:r>
      <w:r>
        <w:rPr>
          <w:rFonts w:cs="Arial"/>
          <w:b/>
          <w:color w:val="5B9BD5" w:themeColor="accent5"/>
          <w:szCs w:val="24"/>
        </w:rPr>
        <w:tab/>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tabs>
          <w:tab w:val="left" w:pos="2684"/>
        </w:tabs>
        <w:rPr>
          <w:rFonts w:cs="Arial"/>
          <w:szCs w:val="24"/>
        </w:rPr>
      </w:pPr>
      <w:r>
        <w:rPr>
          <w:rFonts w:cs="Arial"/>
          <w:b/>
          <w:szCs w:val="24"/>
        </w:rPr>
        <w:t xml:space="preserve">Interpretation: </w:t>
      </w:r>
      <w:r>
        <w:rPr>
          <w:rFonts w:cs="Arial"/>
          <w:szCs w:val="24"/>
        </w:rPr>
        <w:t>I can see Debt to Equity ratio of</w:t>
      </w:r>
      <w:r>
        <w:rPr>
          <w:rFonts w:cs="Arial"/>
          <w:szCs w:val="24"/>
        </w:rPr>
        <w:t xml:space="preserve"> Prime Bank is very much raising. Prime Bank uses more debt that’s why the ratio is high. The ratio is raising day by day</w:t>
      </w:r>
    </w:p>
    <w:p w:rsidR="00831BE9" w:rsidRDefault="00CC4D20">
      <w:pPr>
        <w:ind w:left="960"/>
        <w:rPr>
          <w:rFonts w:cs="Arial"/>
          <w:szCs w:val="24"/>
        </w:rPr>
      </w:pPr>
      <w:r>
        <w:rPr>
          <w:rFonts w:cs="Arial"/>
          <w:szCs w:val="24"/>
        </w:rPr>
        <w:t>11. South-East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tabs>
                <w:tab w:val="left" w:pos="1230"/>
              </w:tabs>
              <w:spacing w:after="0"/>
              <w:rPr>
                <w:rFonts w:cs="Arial"/>
                <w:b w:val="0"/>
                <w:bCs w:val="0"/>
              </w:rPr>
            </w:pPr>
            <w:r>
              <w:rPr>
                <w:rFonts w:cs="Arial"/>
              </w:rPr>
              <w:t>Details</w:t>
            </w:r>
            <w:r>
              <w:rPr>
                <w:rFonts w:cs="Arial"/>
              </w:rPr>
              <w:tab/>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0.6443%</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0.59678%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381094921027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422430591050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2455767824</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2520786210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8.7545%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8.2869%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2455767824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2520786210</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28051339079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30418837815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0.07326</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0.07420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28051339079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30418837815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 xml:space="preserve">Total </w:t>
            </w:r>
            <w:r>
              <w:rPr>
                <w:rFonts w:cs="Arial"/>
                <w:b w:val="0"/>
              </w:rPr>
              <w:t>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381094921027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422430591050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0.8184</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0.7857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22957491516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23901399879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28051339079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30418837815</w:t>
            </w:r>
          </w:p>
        </w:tc>
      </w:tr>
    </w:tbl>
    <w:p w:rsidR="00831BE9" w:rsidRDefault="00CC4D20">
      <w:pPr>
        <w:pStyle w:val="ListParagraph"/>
        <w:tabs>
          <w:tab w:val="left" w:pos="7160"/>
          <w:tab w:val="right" w:pos="9360"/>
        </w:tabs>
        <w:ind w:left="1080"/>
        <w:rPr>
          <w:rFonts w:cs="Arial"/>
          <w:szCs w:val="24"/>
        </w:rPr>
      </w:pPr>
      <w:r>
        <w:rPr>
          <w:rFonts w:cs="Arial"/>
          <w:szCs w:val="24"/>
        </w:rPr>
        <w:tab/>
      </w:r>
      <w:r>
        <w:rPr>
          <w:rFonts w:cs="Arial"/>
          <w:szCs w:val="24"/>
        </w:rPr>
        <w:tab/>
        <w:t xml:space="preserve">      </w:t>
      </w:r>
    </w:p>
    <w:p w:rsidR="00831BE9" w:rsidRDefault="00CC4D20">
      <w:pPr>
        <w:jc w:val="right"/>
        <w:rPr>
          <w:rFonts w:cs="Arial"/>
          <w:szCs w:val="24"/>
        </w:rPr>
      </w:pPr>
      <w:r>
        <w:rPr>
          <w:rFonts w:cs="Arial"/>
          <w:noProof/>
          <w:szCs w:val="24"/>
        </w:rPr>
        <w:drawing>
          <wp:anchor distT="0" distB="0" distL="114300" distR="114300" simplePos="0" relativeHeight="251678720" behindDoc="0" locked="0" layoutInCell="1" allowOverlap="1">
            <wp:simplePos x="0" y="0"/>
            <wp:positionH relativeFrom="margin">
              <wp:posOffset>286385</wp:posOffset>
            </wp:positionH>
            <wp:positionV relativeFrom="paragraph">
              <wp:posOffset>0</wp:posOffset>
            </wp:positionV>
            <wp:extent cx="2679700" cy="2073910"/>
            <wp:effectExtent l="0" t="0" r="6350" b="254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r>
        <w:rPr>
          <w:rFonts w:cs="Arial"/>
          <w:noProof/>
          <w:szCs w:val="24"/>
        </w:rPr>
        <w:drawing>
          <wp:inline distT="0" distB="0" distL="0" distR="0">
            <wp:extent cx="2705100" cy="2073910"/>
            <wp:effectExtent l="0" t="0" r="0" b="25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tabs>
          <w:tab w:val="left" w:pos="2684"/>
        </w:tabs>
        <w:rPr>
          <w:rFonts w:cs="Arial"/>
          <w:szCs w:val="24"/>
        </w:rPr>
      </w:pPr>
      <w:r>
        <w:rPr>
          <w:rFonts w:cs="Arial"/>
          <w:b/>
          <w:szCs w:val="24"/>
        </w:rPr>
        <w:t>Interpretation:</w:t>
      </w:r>
      <w:r>
        <w:rPr>
          <w:rFonts w:cs="Arial"/>
          <w:szCs w:val="24"/>
        </w:rPr>
        <w:t xml:space="preserve">  The return on asset ratio of South-East Bank is not good. The ratio is also reducing from 2018 to 2019. They couldn’t utilize their asset to generate profit. </w:t>
      </w:r>
    </w:p>
    <w:p w:rsidR="00831BE9" w:rsidRDefault="00CC4D20">
      <w:pPr>
        <w:rPr>
          <w:rFonts w:cs="Arial"/>
          <w:b/>
          <w:color w:val="5B9BD5" w:themeColor="accent5"/>
          <w:szCs w:val="24"/>
        </w:rPr>
      </w:pPr>
      <w:r>
        <w:rPr>
          <w:rFonts w:cs="Arial"/>
          <w:b/>
          <w:color w:val="5B9BD5" w:themeColor="accent5"/>
          <w:szCs w:val="24"/>
        </w:rPr>
        <w:t>Return on Equity (ROE) (%):</w:t>
      </w:r>
      <w:r>
        <w:rPr>
          <w:rFonts w:cs="Arial"/>
          <w:b/>
          <w:szCs w:val="24"/>
        </w:rPr>
        <w:tab/>
      </w:r>
    </w:p>
    <w:p w:rsidR="00831BE9" w:rsidRDefault="00CC4D20">
      <w:pPr>
        <w:rPr>
          <w:rFonts w:cs="Arial"/>
          <w:szCs w:val="24"/>
        </w:rPr>
      </w:pPr>
      <w:r>
        <w:rPr>
          <w:rFonts w:cs="Arial"/>
          <w:b/>
          <w:szCs w:val="24"/>
        </w:rPr>
        <w:lastRenderedPageBreak/>
        <w:t xml:space="preserve">Interpretation: </w:t>
      </w:r>
      <w:r>
        <w:rPr>
          <w:rFonts w:cs="Arial"/>
          <w:szCs w:val="24"/>
        </w:rPr>
        <w:t xml:space="preserve">The return on Equity ratio is not bad in 2018 but </w:t>
      </w:r>
      <w:r>
        <w:rPr>
          <w:rFonts w:cs="Arial"/>
          <w:szCs w:val="24"/>
        </w:rPr>
        <w:t>in 2019 the ratio reducing. So, they couldn’t utilize their asset properly to generate profit.</w:t>
      </w:r>
    </w:p>
    <w:p w:rsidR="00831BE9" w:rsidRDefault="00831BE9">
      <w:pPr>
        <w:rPr>
          <w:rFonts w:cs="Arial"/>
          <w:szCs w:val="24"/>
        </w:rPr>
      </w:pPr>
    </w:p>
    <w:p w:rsidR="00831BE9" w:rsidRDefault="00CC4D20">
      <w:pPr>
        <w:tabs>
          <w:tab w:val="left" w:pos="8180"/>
        </w:tabs>
        <w:rPr>
          <w:rFonts w:cs="Arial"/>
          <w:szCs w:val="24"/>
        </w:rPr>
      </w:pPr>
      <w:r>
        <w:rPr>
          <w:rFonts w:cs="Arial"/>
          <w:szCs w:val="24"/>
        </w:rPr>
        <w:tab/>
      </w:r>
    </w:p>
    <w:p w:rsidR="00831BE9" w:rsidRDefault="00CC4D20">
      <w:pPr>
        <w:rPr>
          <w:rFonts w:cs="Arial"/>
          <w:szCs w:val="24"/>
        </w:rPr>
      </w:pPr>
      <w:r>
        <w:rPr>
          <w:rFonts w:cs="Arial"/>
          <w:noProof/>
          <w:szCs w:val="24"/>
        </w:rPr>
        <w:drawing>
          <wp:anchor distT="0" distB="0" distL="114300" distR="114300" simplePos="0" relativeHeight="251679744" behindDoc="0" locked="0" layoutInCell="1" allowOverlap="1">
            <wp:simplePos x="0" y="0"/>
            <wp:positionH relativeFrom="margin">
              <wp:align>left</wp:align>
            </wp:positionH>
            <wp:positionV relativeFrom="paragraph">
              <wp:align>top</wp:align>
            </wp:positionV>
            <wp:extent cx="2806700" cy="1855470"/>
            <wp:effectExtent l="0" t="0" r="12700" b="11430"/>
            <wp:wrapSquare wrapText="bothSides"/>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r>
        <w:rPr>
          <w:rFonts w:cs="Arial"/>
          <w:noProof/>
          <w:szCs w:val="24"/>
        </w:rPr>
        <w:drawing>
          <wp:inline distT="0" distB="0" distL="0" distR="0">
            <wp:extent cx="2895600" cy="18288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rFonts w:cs="Arial"/>
          <w:szCs w:val="24"/>
        </w:rPr>
        <w:br w:type="textWrapping" w:clear="all"/>
      </w:r>
      <w:r>
        <w:rPr>
          <w:rFonts w:cs="Arial"/>
          <w:b/>
          <w:color w:val="5B9BD5" w:themeColor="accent5"/>
          <w:szCs w:val="24"/>
        </w:rPr>
        <w:t>Equity Capital Ratio:</w:t>
      </w:r>
    </w:p>
    <w:p w:rsidR="00831BE9" w:rsidRDefault="00CC4D20">
      <w:pPr>
        <w:rPr>
          <w:rFonts w:cs="Arial"/>
          <w:szCs w:val="24"/>
        </w:rPr>
      </w:pPr>
      <w:r>
        <w:rPr>
          <w:rFonts w:cs="Arial"/>
          <w:b/>
          <w:szCs w:val="24"/>
        </w:rPr>
        <w:t xml:space="preserve">Interpretation: </w:t>
      </w:r>
      <w:r>
        <w:rPr>
          <w:rFonts w:cs="Arial"/>
          <w:szCs w:val="24"/>
        </w:rPr>
        <w:t>I can see the equity ratio of South-East Bank is 0.0720 to 0.0736.  The equity ratio is low. It will be risky for cre</w:t>
      </w:r>
      <w:r>
        <w:rPr>
          <w:rFonts w:cs="Arial"/>
          <w:szCs w:val="24"/>
        </w:rPr>
        <w:t xml:space="preserve">ditors to invest in the bank because the equity ratio is low. </w:t>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ind w:left="720"/>
        <w:rPr>
          <w:rFonts w:cs="Arial"/>
          <w:szCs w:val="24"/>
        </w:rPr>
      </w:pPr>
      <w:r>
        <w:rPr>
          <w:rFonts w:cs="Arial"/>
          <w:b/>
          <w:szCs w:val="24"/>
        </w:rPr>
        <w:t xml:space="preserve">Interpretation: </w:t>
      </w:r>
      <w:r>
        <w:rPr>
          <w:rFonts w:cs="Arial"/>
          <w:szCs w:val="24"/>
        </w:rPr>
        <w:t>The debt to equity ratio is less than 1. It is pretty much good for South-East Bank. That means most of the funding’s don’t come from debtors.</w:t>
      </w:r>
    </w:p>
    <w:p w:rsidR="00831BE9" w:rsidRDefault="00CC4D20">
      <w:pPr>
        <w:ind w:left="960"/>
        <w:rPr>
          <w:rFonts w:cs="Arial"/>
          <w:szCs w:val="24"/>
        </w:rPr>
      </w:pPr>
      <w:r>
        <w:rPr>
          <w:rFonts w:cs="Arial"/>
          <w:szCs w:val="24"/>
        </w:rPr>
        <w:t>12. Dutch Ba</w:t>
      </w:r>
      <w:r>
        <w:rPr>
          <w:rFonts w:cs="Arial"/>
          <w:szCs w:val="24"/>
        </w:rPr>
        <w:t>ngla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tabs>
                <w:tab w:val="left" w:pos="1275"/>
              </w:tabs>
              <w:spacing w:after="0"/>
              <w:rPr>
                <w:rFonts w:cs="Arial"/>
                <w:b w:val="0"/>
                <w:bCs w:val="0"/>
              </w:rPr>
            </w:pPr>
            <w:r>
              <w:rPr>
                <w:rFonts w:cs="Arial"/>
              </w:rPr>
              <w:t>Details</w:t>
            </w:r>
            <w:r>
              <w:rPr>
                <w:rFonts w:cs="Arial"/>
              </w:rPr>
              <w:tab/>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1.2126%</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1.1121%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346468790969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390362045800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4201424519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4341387760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18.1990%</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15.8194%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4201424519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4341387760</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 xml:space="preserve">Shareholders’ </w:t>
            </w:r>
            <w:r>
              <w:rPr>
                <w:rFonts w:cs="Arial"/>
                <w:b w:val="0"/>
              </w:rPr>
              <w:t>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23085970232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27443342651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0.0666</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0.0703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23085970232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27443342651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346468790969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390362045800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0.8750</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0.6894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20200735203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18919504632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23085970232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27443342651</w:t>
            </w:r>
          </w:p>
        </w:tc>
      </w:tr>
    </w:tbl>
    <w:p w:rsidR="00831BE9" w:rsidRDefault="00CC4D20">
      <w:pPr>
        <w:tabs>
          <w:tab w:val="left" w:pos="3960"/>
        </w:tabs>
        <w:rPr>
          <w:rFonts w:cs="Arial"/>
          <w:szCs w:val="24"/>
        </w:rPr>
      </w:pPr>
      <w:r>
        <w:rPr>
          <w:rFonts w:cs="Arial"/>
          <w:noProof/>
          <w:szCs w:val="24"/>
        </w:rPr>
        <w:lastRenderedPageBreak/>
        <w:drawing>
          <wp:anchor distT="0" distB="0" distL="114300" distR="114300" simplePos="0" relativeHeight="251680768" behindDoc="0" locked="0" layoutInCell="1" allowOverlap="1">
            <wp:simplePos x="0" y="0"/>
            <wp:positionH relativeFrom="margin">
              <wp:align>left</wp:align>
            </wp:positionH>
            <wp:positionV relativeFrom="paragraph">
              <wp:posOffset>289560</wp:posOffset>
            </wp:positionV>
            <wp:extent cx="2870200" cy="1774190"/>
            <wp:effectExtent l="0" t="0" r="6350" b="16510"/>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rsidR="00831BE9" w:rsidRDefault="00CC4D20">
      <w:pPr>
        <w:jc w:val="right"/>
        <w:rPr>
          <w:rFonts w:cs="Arial"/>
          <w:szCs w:val="24"/>
        </w:rPr>
      </w:pPr>
      <w:r>
        <w:rPr>
          <w:rFonts w:cs="Arial"/>
          <w:noProof/>
          <w:szCs w:val="24"/>
        </w:rPr>
        <w:drawing>
          <wp:inline distT="0" distB="0" distL="0" distR="0">
            <wp:extent cx="2862580" cy="1746885"/>
            <wp:effectExtent l="0" t="0" r="13970" b="5715"/>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31BE9" w:rsidRDefault="00CC4D20">
      <w:pPr>
        <w:rPr>
          <w:rFonts w:cs="Arial"/>
          <w:szCs w:val="24"/>
        </w:rPr>
      </w:pPr>
      <w:r>
        <w:rPr>
          <w:rFonts w:cs="Arial"/>
          <w:b/>
          <w:color w:val="5B9BD5" w:themeColor="accent5"/>
          <w:szCs w:val="24"/>
        </w:rPr>
        <w:t>Return on Asset (ROA) (%):</w:t>
      </w:r>
    </w:p>
    <w:p w:rsidR="00831BE9" w:rsidRDefault="00CC4D20">
      <w:pPr>
        <w:tabs>
          <w:tab w:val="left" w:pos="2340"/>
        </w:tabs>
        <w:rPr>
          <w:rFonts w:cs="Arial"/>
          <w:szCs w:val="24"/>
        </w:rPr>
      </w:pPr>
      <w:r>
        <w:rPr>
          <w:rFonts w:cs="Arial"/>
          <w:b/>
          <w:szCs w:val="24"/>
        </w:rPr>
        <w:t xml:space="preserve">Interpretation: </w:t>
      </w:r>
      <w:r>
        <w:rPr>
          <w:rFonts w:cs="Arial"/>
          <w:szCs w:val="24"/>
        </w:rPr>
        <w:t>I think return on asset of Dutch-Bangla Bank is good in 2018. They perfectively utilize their asset to generate profit in 2018.But the amount is reducing in the year of 2019. But it is</w:t>
      </w:r>
      <w:r>
        <w:rPr>
          <w:rFonts w:cs="Arial"/>
          <w:szCs w:val="24"/>
        </w:rPr>
        <w:t xml:space="preserve"> more than 1%. So, their position is good in the market.</w:t>
      </w:r>
      <w:r>
        <w:rPr>
          <w:rFonts w:cs="Arial"/>
          <w:b/>
          <w:szCs w:val="24"/>
        </w:rPr>
        <w:tab/>
      </w:r>
    </w:p>
    <w:p w:rsidR="00831BE9" w:rsidRDefault="00CC4D20">
      <w:pPr>
        <w:tabs>
          <w:tab w:val="left" w:pos="3535"/>
        </w:tabs>
        <w:rPr>
          <w:rFonts w:cs="Arial"/>
          <w:b/>
          <w:color w:val="5B9BD5" w:themeColor="accent5"/>
          <w:szCs w:val="24"/>
        </w:rPr>
      </w:pPr>
      <w:r>
        <w:rPr>
          <w:rFonts w:cs="Arial"/>
          <w:b/>
          <w:color w:val="5B9BD5" w:themeColor="accent5"/>
          <w:szCs w:val="24"/>
        </w:rPr>
        <w:t>Return on Equity (ROE) (%):</w:t>
      </w:r>
      <w:r>
        <w:rPr>
          <w:rFonts w:cs="Arial"/>
          <w:b/>
          <w:color w:val="5B9BD5" w:themeColor="accent5"/>
          <w:szCs w:val="24"/>
        </w:rPr>
        <w:tab/>
      </w:r>
    </w:p>
    <w:p w:rsidR="00831BE9" w:rsidRDefault="00CC4D20">
      <w:pPr>
        <w:rPr>
          <w:rFonts w:cs="Arial"/>
          <w:szCs w:val="24"/>
        </w:rPr>
      </w:pPr>
      <w:r>
        <w:rPr>
          <w:rFonts w:cs="Arial"/>
          <w:b/>
          <w:szCs w:val="24"/>
        </w:rPr>
        <w:t>Interpretation:</w:t>
      </w:r>
      <w:r>
        <w:rPr>
          <w:rFonts w:cs="Arial"/>
          <w:szCs w:val="24"/>
        </w:rPr>
        <w:t xml:space="preserve"> The return on equity ratio is good in both year but the ratio is reducing in the year of 2019. So, they utilize their equity effectively to generate prof</w:t>
      </w:r>
      <w:r>
        <w:rPr>
          <w:rFonts w:cs="Arial"/>
          <w:szCs w:val="24"/>
        </w:rPr>
        <w:t>it. So, the market position is good of Dutch-Bangla Bank.</w:t>
      </w:r>
    </w:p>
    <w:p w:rsidR="00831BE9" w:rsidRDefault="00CC4D20">
      <w:pPr>
        <w:tabs>
          <w:tab w:val="left" w:pos="5137"/>
        </w:tabs>
        <w:rPr>
          <w:rFonts w:cs="Arial"/>
          <w:szCs w:val="24"/>
        </w:rPr>
      </w:pPr>
      <w:r>
        <w:rPr>
          <w:rFonts w:cs="Arial"/>
          <w:noProof/>
          <w:szCs w:val="24"/>
        </w:rPr>
        <w:drawing>
          <wp:inline distT="0" distB="0" distL="0" distR="0">
            <wp:extent cx="2844800" cy="1855470"/>
            <wp:effectExtent l="0" t="0" r="12700" b="1143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rFonts w:cs="Arial"/>
          <w:b/>
          <w:noProof/>
          <w:color w:val="5B9BD5" w:themeColor="accent5"/>
          <w:szCs w:val="24"/>
        </w:rPr>
        <w:drawing>
          <wp:anchor distT="0" distB="0" distL="114300" distR="114300" simplePos="0" relativeHeight="251681792" behindDoc="0" locked="0" layoutInCell="1" allowOverlap="1">
            <wp:simplePos x="0" y="0"/>
            <wp:positionH relativeFrom="margin">
              <wp:align>left</wp:align>
            </wp:positionH>
            <wp:positionV relativeFrom="paragraph">
              <wp:posOffset>5080</wp:posOffset>
            </wp:positionV>
            <wp:extent cx="2857500" cy="1837690"/>
            <wp:effectExtent l="0" t="0" r="0" b="10160"/>
            <wp:wrapSquare wrapText="bothSides"/>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r>
        <w:rPr>
          <w:rFonts w:cs="Arial"/>
          <w:b/>
          <w:color w:val="5B9BD5" w:themeColor="accent5"/>
          <w:szCs w:val="24"/>
        </w:rPr>
        <w:t>Equity Capital Ratio:</w:t>
      </w:r>
    </w:p>
    <w:p w:rsidR="00831BE9" w:rsidRDefault="00CC4D20">
      <w:pPr>
        <w:rPr>
          <w:rFonts w:cs="Arial"/>
          <w:szCs w:val="24"/>
        </w:rPr>
      </w:pPr>
      <w:r>
        <w:rPr>
          <w:rFonts w:cs="Arial"/>
          <w:b/>
          <w:szCs w:val="24"/>
        </w:rPr>
        <w:t xml:space="preserve">Interpretation: </w:t>
      </w:r>
      <w:r>
        <w:rPr>
          <w:rFonts w:cs="Arial"/>
          <w:szCs w:val="24"/>
        </w:rPr>
        <w:t xml:space="preserve">I can see the equity ratio of Dutch- Bangla Bank is 0.0666 to 0.0703.  The equity ratio is low but raising from 2018 to 2019, </w:t>
      </w:r>
      <w:proofErr w:type="gramStart"/>
      <w:r>
        <w:rPr>
          <w:rFonts w:cs="Arial"/>
          <w:szCs w:val="24"/>
        </w:rPr>
        <w:t>It</w:t>
      </w:r>
      <w:proofErr w:type="gramEnd"/>
      <w:r>
        <w:rPr>
          <w:rFonts w:cs="Arial"/>
          <w:szCs w:val="24"/>
        </w:rPr>
        <w:t xml:space="preserve"> will be risky for creditors t</w:t>
      </w:r>
      <w:r>
        <w:rPr>
          <w:rFonts w:cs="Arial"/>
          <w:szCs w:val="24"/>
        </w:rPr>
        <w:t xml:space="preserve">o invest in the bank because the equity ratio is low. </w:t>
      </w:r>
    </w:p>
    <w:p w:rsidR="00831BE9" w:rsidRDefault="00831BE9">
      <w:pPr>
        <w:rPr>
          <w:rFonts w:cs="Arial"/>
          <w:szCs w:val="24"/>
        </w:rPr>
      </w:pPr>
    </w:p>
    <w:p w:rsidR="00831BE9" w:rsidRDefault="00CC4D20">
      <w:pPr>
        <w:tabs>
          <w:tab w:val="left" w:pos="1800"/>
        </w:tabs>
        <w:rPr>
          <w:rFonts w:cs="Arial"/>
          <w:b/>
          <w:color w:val="5B9BD5" w:themeColor="accent5"/>
          <w:szCs w:val="24"/>
        </w:rPr>
      </w:pPr>
      <w:r>
        <w:rPr>
          <w:rFonts w:cs="Arial"/>
          <w:b/>
          <w:color w:val="5B9BD5" w:themeColor="accent5"/>
          <w:szCs w:val="24"/>
        </w:rPr>
        <w:tab/>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t xml:space="preserve">Interpretation: </w:t>
      </w:r>
      <w:r>
        <w:rPr>
          <w:rFonts w:cs="Arial"/>
          <w:szCs w:val="24"/>
        </w:rPr>
        <w:t xml:space="preserve">The debt to equity ratio is less than 1 both of the year that means </w:t>
      </w:r>
      <w:proofErr w:type="gramStart"/>
      <w:r>
        <w:rPr>
          <w:rFonts w:cs="Arial"/>
          <w:szCs w:val="24"/>
        </w:rPr>
        <w:t>It</w:t>
      </w:r>
      <w:proofErr w:type="gramEnd"/>
      <w:r>
        <w:rPr>
          <w:rFonts w:cs="Arial"/>
          <w:szCs w:val="24"/>
        </w:rPr>
        <w:t xml:space="preserve"> is pretty much good for Dutch-Bangla Bank. That means most of the funding’s don’t come fr</w:t>
      </w:r>
      <w:r>
        <w:rPr>
          <w:rFonts w:cs="Arial"/>
          <w:szCs w:val="24"/>
        </w:rPr>
        <w:t>om debtors.</w:t>
      </w:r>
    </w:p>
    <w:p w:rsidR="00831BE9" w:rsidRDefault="00CC4D20">
      <w:pPr>
        <w:ind w:left="960"/>
        <w:rPr>
          <w:rFonts w:cs="Arial"/>
          <w:szCs w:val="24"/>
        </w:rPr>
      </w:pPr>
      <w:r>
        <w:rPr>
          <w:rFonts w:cs="Arial"/>
          <w:szCs w:val="24"/>
        </w:rPr>
        <w:lastRenderedPageBreak/>
        <w:t xml:space="preserve">13. Exim Bank Limited: </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0.6178%</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0.5625%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370997392585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431940838546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2292210338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2429899037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8.1455%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8.333%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2292210338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2429899037</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28140665195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29159313164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0.0758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0.0675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28140665195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29159313164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370997392585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431940838546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0.6532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0.5696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18383739831</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16610353506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 xml:space="preserve">Shareholders’ </w:t>
            </w:r>
            <w:r>
              <w:rPr>
                <w:rFonts w:cs="Arial"/>
                <w:b w:val="0"/>
              </w:rPr>
              <w:t>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28140665195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29159313164</w:t>
            </w:r>
          </w:p>
        </w:tc>
      </w:tr>
    </w:tbl>
    <w:p w:rsidR="00831BE9" w:rsidRDefault="00831BE9">
      <w:pPr>
        <w:rPr>
          <w:rFonts w:cs="Arial"/>
          <w:szCs w:val="24"/>
        </w:rPr>
      </w:pPr>
    </w:p>
    <w:p w:rsidR="00831BE9" w:rsidRDefault="00CC4D20">
      <w:pPr>
        <w:jc w:val="center"/>
        <w:rPr>
          <w:rFonts w:cs="Arial"/>
          <w:szCs w:val="24"/>
        </w:rPr>
      </w:pPr>
      <w:r>
        <w:rPr>
          <w:rFonts w:cs="Arial"/>
          <w:noProof/>
          <w:szCs w:val="24"/>
        </w:rPr>
        <w:drawing>
          <wp:anchor distT="0" distB="0" distL="114300" distR="114300" simplePos="0" relativeHeight="251689984" behindDoc="0" locked="0" layoutInCell="1" allowOverlap="1">
            <wp:simplePos x="0" y="0"/>
            <wp:positionH relativeFrom="margin">
              <wp:align>left</wp:align>
            </wp:positionH>
            <wp:positionV relativeFrom="paragraph">
              <wp:posOffset>10795</wp:posOffset>
            </wp:positionV>
            <wp:extent cx="2661285" cy="1842135"/>
            <wp:effectExtent l="0" t="0" r="5715" b="5715"/>
            <wp:wrapSquare wrapText="bothSides"/>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r>
        <w:rPr>
          <w:rFonts w:cs="Arial"/>
          <w:noProof/>
          <w:szCs w:val="24"/>
        </w:rPr>
        <w:drawing>
          <wp:inline distT="0" distB="0" distL="0" distR="0">
            <wp:extent cx="2661285" cy="1765300"/>
            <wp:effectExtent l="0" t="0" r="5715" b="635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 xml:space="preserve">Return on Asset (ROA) (%) </w:t>
      </w:r>
    </w:p>
    <w:p w:rsidR="00831BE9" w:rsidRDefault="00CC4D20">
      <w:pPr>
        <w:tabs>
          <w:tab w:val="left" w:pos="7387"/>
        </w:tabs>
        <w:rPr>
          <w:rFonts w:cs="Arial"/>
          <w:szCs w:val="24"/>
        </w:rPr>
      </w:pPr>
      <w:r>
        <w:rPr>
          <w:rFonts w:cs="Arial"/>
          <w:b/>
          <w:szCs w:val="24"/>
        </w:rPr>
        <w:t>Interpretation</w:t>
      </w:r>
      <w:r>
        <w:rPr>
          <w:rFonts w:cs="Arial"/>
          <w:szCs w:val="24"/>
        </w:rPr>
        <w:t xml:space="preserve">: I can see the return on asset of Exim Bank is not good both of the year. They don’t perfectively utilize their asset to generate profit both of the year and it is less than 1%. </w:t>
      </w:r>
      <w:r>
        <w:rPr>
          <w:rFonts w:cs="Arial"/>
          <w:szCs w:val="24"/>
        </w:rPr>
        <w:tab/>
      </w: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tabs>
          <w:tab w:val="left" w:pos="2684"/>
        </w:tabs>
        <w:rPr>
          <w:rFonts w:cs="Arial"/>
          <w:szCs w:val="24"/>
        </w:rPr>
      </w:pPr>
      <w:r>
        <w:rPr>
          <w:rFonts w:cs="Arial"/>
          <w:b/>
          <w:szCs w:val="24"/>
        </w:rPr>
        <w:t>Interpretation</w:t>
      </w:r>
      <w:r>
        <w:rPr>
          <w:rFonts w:cs="Arial"/>
          <w:szCs w:val="24"/>
        </w:rPr>
        <w:t>: The</w:t>
      </w:r>
      <w:r>
        <w:rPr>
          <w:rFonts w:cs="Arial"/>
          <w:b/>
          <w:szCs w:val="24"/>
        </w:rPr>
        <w:t xml:space="preserve"> </w:t>
      </w:r>
      <w:r>
        <w:rPr>
          <w:rFonts w:cs="Arial"/>
          <w:szCs w:val="24"/>
        </w:rPr>
        <w:t>return on equity is raising</w:t>
      </w:r>
      <w:r>
        <w:rPr>
          <w:rFonts w:cs="Arial"/>
          <w:szCs w:val="24"/>
        </w:rPr>
        <w:t xml:space="preserve"> in Exim bank. That means they effectively generate their equity. So, their income from equity is in good position.</w:t>
      </w:r>
    </w:p>
    <w:p w:rsidR="00831BE9" w:rsidRDefault="00CC4D20">
      <w:pPr>
        <w:rPr>
          <w:rFonts w:cs="Arial"/>
          <w:szCs w:val="24"/>
        </w:rPr>
      </w:pPr>
      <w:r>
        <w:rPr>
          <w:rFonts w:cs="Arial"/>
          <w:noProof/>
          <w:szCs w:val="24"/>
        </w:rPr>
        <w:lastRenderedPageBreak/>
        <w:drawing>
          <wp:anchor distT="0" distB="0" distL="114300" distR="114300" simplePos="0" relativeHeight="251682816" behindDoc="0" locked="0" layoutInCell="1" allowOverlap="1">
            <wp:simplePos x="0" y="0"/>
            <wp:positionH relativeFrom="margin">
              <wp:align>left</wp:align>
            </wp:positionH>
            <wp:positionV relativeFrom="paragraph">
              <wp:posOffset>289560</wp:posOffset>
            </wp:positionV>
            <wp:extent cx="2870200" cy="1846580"/>
            <wp:effectExtent l="0" t="0" r="6350" b="1270"/>
            <wp:wrapSquare wrapText="bothSides"/>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rsidR="00831BE9" w:rsidRDefault="00CC4D20">
      <w:pPr>
        <w:jc w:val="right"/>
        <w:rPr>
          <w:rFonts w:cs="Arial"/>
          <w:szCs w:val="24"/>
        </w:rPr>
      </w:pPr>
      <w:r>
        <w:rPr>
          <w:rFonts w:cs="Arial"/>
          <w:noProof/>
          <w:szCs w:val="24"/>
        </w:rPr>
        <w:drawing>
          <wp:inline distT="0" distB="0" distL="0" distR="0">
            <wp:extent cx="2870200" cy="1846580"/>
            <wp:effectExtent l="0" t="0" r="6350" b="127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rPr>
          <w:rFonts w:cs="Arial"/>
          <w:szCs w:val="24"/>
        </w:rPr>
      </w:pPr>
      <w:r>
        <w:rPr>
          <w:rFonts w:cs="Arial"/>
          <w:b/>
          <w:szCs w:val="24"/>
        </w:rPr>
        <w:t>Interpretation</w:t>
      </w:r>
      <w:r>
        <w:rPr>
          <w:rFonts w:cs="Arial"/>
          <w:szCs w:val="24"/>
        </w:rPr>
        <w:t>:</w:t>
      </w:r>
      <w:r>
        <w:rPr>
          <w:rFonts w:cs="Arial"/>
          <w:b/>
          <w:szCs w:val="24"/>
        </w:rPr>
        <w:t xml:space="preserve"> </w:t>
      </w:r>
      <w:r>
        <w:rPr>
          <w:rFonts w:cs="Arial"/>
          <w:szCs w:val="24"/>
        </w:rPr>
        <w:t xml:space="preserve">I can see the equity ratio of Exim Bank is 0.0759 to 0.0759.  The equity ratio is low and </w:t>
      </w:r>
      <w:r>
        <w:rPr>
          <w:rFonts w:cs="Arial"/>
          <w:szCs w:val="24"/>
        </w:rPr>
        <w:t xml:space="preserve">decreasing from 2018 to 2019, </w:t>
      </w:r>
      <w:proofErr w:type="gramStart"/>
      <w:r>
        <w:rPr>
          <w:rFonts w:cs="Arial"/>
          <w:szCs w:val="24"/>
        </w:rPr>
        <w:t>It</w:t>
      </w:r>
      <w:proofErr w:type="gramEnd"/>
      <w:r>
        <w:rPr>
          <w:rFonts w:cs="Arial"/>
          <w:szCs w:val="24"/>
        </w:rPr>
        <w:t xml:space="preserve"> will be riskier for creditors to invest in the bank because the equity ratio is low.</w:t>
      </w:r>
      <w:r>
        <w:rPr>
          <w:rFonts w:cs="Arial"/>
          <w:szCs w:val="24"/>
        </w:rPr>
        <w:tab/>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t>Interpretation</w:t>
      </w:r>
      <w:r>
        <w:rPr>
          <w:rFonts w:cs="Arial"/>
          <w:szCs w:val="24"/>
        </w:rPr>
        <w:t xml:space="preserve">: The debt to equity ratio is less than 1 both of the year that means </w:t>
      </w:r>
      <w:proofErr w:type="gramStart"/>
      <w:r>
        <w:rPr>
          <w:rFonts w:cs="Arial"/>
          <w:szCs w:val="24"/>
        </w:rPr>
        <w:t>It</w:t>
      </w:r>
      <w:proofErr w:type="gramEnd"/>
      <w:r>
        <w:rPr>
          <w:rFonts w:cs="Arial"/>
          <w:szCs w:val="24"/>
        </w:rPr>
        <w:t xml:space="preserve"> is pretty much good for Dutc</w:t>
      </w:r>
      <w:r>
        <w:rPr>
          <w:rFonts w:cs="Arial"/>
          <w:szCs w:val="24"/>
        </w:rPr>
        <w:t>h-Bangla Bank. That means most of the funding’s don’t come from debtors.</w:t>
      </w:r>
    </w:p>
    <w:p w:rsidR="00831BE9" w:rsidRDefault="00CC4D20">
      <w:pPr>
        <w:ind w:left="960"/>
        <w:rPr>
          <w:rFonts w:cs="Arial"/>
          <w:szCs w:val="24"/>
        </w:rPr>
      </w:pPr>
      <w:r>
        <w:rPr>
          <w:rFonts w:cs="Arial"/>
          <w:szCs w:val="24"/>
        </w:rPr>
        <w:t>14. Mercantile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1.0298%</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0.6876%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291385648610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316363468930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3000937116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2175496856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w:t>
            </w:r>
            <w:r>
              <w:rPr>
                <w:rFonts w:cs="Arial"/>
              </w:rPr>
              <w:t xml:space="preserve">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16.0619%</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10.4049%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3000937116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2175496856</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18683554627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20908294277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0.0641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0.0660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18683554627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20908294277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291385648610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316363468930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1.0747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0.9863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20080790157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20623045320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18683554627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20908294277</w:t>
            </w:r>
          </w:p>
        </w:tc>
      </w:tr>
    </w:tbl>
    <w:p w:rsidR="00831BE9" w:rsidRDefault="00831BE9"/>
    <w:p w:rsidR="00831BE9" w:rsidRDefault="00CC4D20">
      <w:pPr>
        <w:rPr>
          <w:rFonts w:cs="Arial"/>
          <w:szCs w:val="24"/>
        </w:rPr>
      </w:pPr>
      <w:r>
        <w:rPr>
          <w:noProof/>
        </w:rPr>
        <w:lastRenderedPageBreak/>
        <w:drawing>
          <wp:anchor distT="0" distB="0" distL="114300" distR="114300" simplePos="0" relativeHeight="251683840" behindDoc="0" locked="0" layoutInCell="1" allowOverlap="1">
            <wp:simplePos x="0" y="0"/>
            <wp:positionH relativeFrom="margin">
              <wp:align>left</wp:align>
            </wp:positionH>
            <wp:positionV relativeFrom="paragraph">
              <wp:posOffset>286385</wp:posOffset>
            </wp:positionV>
            <wp:extent cx="2946400" cy="2349500"/>
            <wp:effectExtent l="0" t="0" r="6350" b="12700"/>
            <wp:wrapSquare wrapText="bothSides"/>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r>
        <w:rPr>
          <w:rFonts w:cs="Arial"/>
          <w:szCs w:val="24"/>
        </w:rPr>
        <w:t xml:space="preserve">             </w:t>
      </w:r>
    </w:p>
    <w:p w:rsidR="00831BE9" w:rsidRDefault="00CC4D20">
      <w:pPr>
        <w:rPr>
          <w:rFonts w:cs="Arial"/>
          <w:szCs w:val="24"/>
        </w:rPr>
      </w:pPr>
      <w:r>
        <w:rPr>
          <w:rFonts w:cs="Arial"/>
          <w:noProof/>
          <w:szCs w:val="24"/>
        </w:rPr>
        <w:drawing>
          <wp:inline distT="0" distB="0" distL="0" distR="0">
            <wp:extent cx="2819400" cy="2327275"/>
            <wp:effectExtent l="0" t="0" r="0" b="1587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831BE9" w:rsidRDefault="00CC4D20">
      <w:pPr>
        <w:spacing w:before="240"/>
        <w:rPr>
          <w:rFonts w:cs="Arial"/>
          <w:szCs w:val="24"/>
        </w:rPr>
      </w:pPr>
      <w:r>
        <w:rPr>
          <w:rFonts w:cs="Arial"/>
          <w:b/>
          <w:color w:val="5B9BD5" w:themeColor="accent5"/>
          <w:szCs w:val="24"/>
        </w:rPr>
        <w:t>Return on Assets (ROA) (%)</w:t>
      </w:r>
      <w:r>
        <w:rPr>
          <w:rFonts w:cs="Arial"/>
          <w:szCs w:val="24"/>
        </w:rPr>
        <w:t xml:space="preserve">              </w:t>
      </w:r>
    </w:p>
    <w:p w:rsidR="00831BE9" w:rsidRDefault="00CC4D20">
      <w:pPr>
        <w:rPr>
          <w:rFonts w:cs="Arial"/>
          <w:szCs w:val="24"/>
        </w:rPr>
      </w:pPr>
      <w:r>
        <w:rPr>
          <w:rFonts w:cs="Arial"/>
          <w:b/>
          <w:szCs w:val="24"/>
        </w:rPr>
        <w:t xml:space="preserve">Interpretation: </w:t>
      </w:r>
      <w:r>
        <w:rPr>
          <w:rFonts w:cs="Arial"/>
          <w:szCs w:val="24"/>
        </w:rPr>
        <w:t xml:space="preserve">The return on asset ratio is pretty much good in 2018. But both of the year are </w:t>
      </w:r>
      <w:r>
        <w:rPr>
          <w:rFonts w:cs="Arial"/>
          <w:szCs w:val="24"/>
        </w:rPr>
        <w:t xml:space="preserve">positive ratio. Mercantile bank utilizes effectively their asset to generate profit in </w:t>
      </w:r>
      <w:proofErr w:type="gramStart"/>
      <w:r>
        <w:rPr>
          <w:rFonts w:cs="Arial"/>
          <w:szCs w:val="24"/>
        </w:rPr>
        <w:t>the of</w:t>
      </w:r>
      <w:proofErr w:type="gramEnd"/>
      <w:r>
        <w:rPr>
          <w:rFonts w:cs="Arial"/>
          <w:szCs w:val="24"/>
        </w:rPr>
        <w:t xml:space="preserve"> 2018.</w:t>
      </w: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b/>
          <w:szCs w:val="24"/>
        </w:rPr>
      </w:pPr>
      <w:r>
        <w:rPr>
          <w:rFonts w:cs="Arial"/>
          <w:b/>
          <w:szCs w:val="24"/>
        </w:rPr>
        <w:t xml:space="preserve">Interpretation: </w:t>
      </w:r>
      <w:r>
        <w:rPr>
          <w:rFonts w:cs="Arial"/>
          <w:szCs w:val="24"/>
        </w:rPr>
        <w:t>The return on equity ratio is good in both year but the ratio is reducing in the year of 2019. So, they utilize t</w:t>
      </w:r>
      <w:r>
        <w:rPr>
          <w:rFonts w:cs="Arial"/>
          <w:szCs w:val="24"/>
        </w:rPr>
        <w:t>heir equity effectively to generate profit. So, the market position is good of Mercantile Bank.</w:t>
      </w:r>
      <w:r>
        <w:rPr>
          <w:rFonts w:cs="Arial"/>
          <w:szCs w:val="24"/>
        </w:rPr>
        <w:tab/>
      </w:r>
    </w:p>
    <w:p w:rsidR="00831BE9" w:rsidRDefault="00CC4D20">
      <w:pPr>
        <w:tabs>
          <w:tab w:val="left" w:pos="320"/>
          <w:tab w:val="center" w:pos="2340"/>
        </w:tabs>
        <w:rPr>
          <w:rFonts w:cs="Arial"/>
          <w:szCs w:val="24"/>
        </w:rPr>
      </w:pPr>
      <w:r>
        <w:rPr>
          <w:rFonts w:cs="Arial"/>
          <w:noProof/>
          <w:szCs w:val="24"/>
        </w:rPr>
        <w:drawing>
          <wp:anchor distT="0" distB="0" distL="114300" distR="114300" simplePos="0" relativeHeight="251684864" behindDoc="0" locked="0" layoutInCell="1" allowOverlap="1">
            <wp:simplePos x="0" y="0"/>
            <wp:positionH relativeFrom="margin">
              <wp:align>left</wp:align>
            </wp:positionH>
            <wp:positionV relativeFrom="paragraph">
              <wp:align>top</wp:align>
            </wp:positionV>
            <wp:extent cx="2819400" cy="2451100"/>
            <wp:effectExtent l="0" t="0" r="0" b="6350"/>
            <wp:wrapSquare wrapText="bothSides"/>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r>
        <w:rPr>
          <w:rFonts w:cs="Arial"/>
          <w:noProof/>
          <w:szCs w:val="24"/>
        </w:rPr>
        <w:drawing>
          <wp:inline distT="0" distB="0" distL="0" distR="0">
            <wp:extent cx="2844800" cy="2451100"/>
            <wp:effectExtent l="0" t="0" r="12700" b="635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831BE9" w:rsidRDefault="00CC4D20">
      <w:pPr>
        <w:tabs>
          <w:tab w:val="left" w:pos="320"/>
          <w:tab w:val="center" w:pos="2340"/>
        </w:tabs>
        <w:rPr>
          <w:rFonts w:cs="Arial"/>
          <w:szCs w:val="24"/>
        </w:rPr>
      </w:pPr>
      <w:r>
        <w:rPr>
          <w:rFonts w:cs="Arial"/>
          <w:b/>
          <w:color w:val="5B9BD5" w:themeColor="accent5"/>
          <w:szCs w:val="24"/>
        </w:rPr>
        <w:t>Equity Capital Ratio</w:t>
      </w:r>
    </w:p>
    <w:p w:rsidR="00831BE9" w:rsidRDefault="00CC4D20">
      <w:pPr>
        <w:rPr>
          <w:rFonts w:cs="Arial"/>
          <w:szCs w:val="24"/>
        </w:rPr>
      </w:pPr>
      <w:r>
        <w:rPr>
          <w:rFonts w:cs="Arial"/>
          <w:b/>
          <w:szCs w:val="24"/>
        </w:rPr>
        <w:t xml:space="preserve">Interpretation: </w:t>
      </w:r>
      <w:r>
        <w:rPr>
          <w:rFonts w:cs="Arial"/>
          <w:szCs w:val="24"/>
        </w:rPr>
        <w:t>I can see the equity ratio of Mercantile Bank is 0.0641 to 0.0661.  The equity ratio is low and increasing from 2018 to</w:t>
      </w:r>
      <w:r>
        <w:rPr>
          <w:rFonts w:cs="Arial"/>
          <w:szCs w:val="24"/>
        </w:rPr>
        <w:t xml:space="preserve"> 2019 but </w:t>
      </w:r>
      <w:proofErr w:type="gramStart"/>
      <w:r>
        <w:rPr>
          <w:rFonts w:cs="Arial"/>
          <w:szCs w:val="24"/>
        </w:rPr>
        <w:t>It</w:t>
      </w:r>
      <w:proofErr w:type="gramEnd"/>
      <w:r>
        <w:rPr>
          <w:rFonts w:cs="Arial"/>
          <w:szCs w:val="24"/>
        </w:rPr>
        <w:t xml:space="preserve"> will be riskier for creditors to invest in the bank because the equity ratio is low.</w:t>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lastRenderedPageBreak/>
        <w:t xml:space="preserve">Interpretation: </w:t>
      </w:r>
      <w:r>
        <w:rPr>
          <w:rFonts w:cs="Arial"/>
          <w:szCs w:val="24"/>
        </w:rPr>
        <w:t>In the year of 2019 debt to equity ratio is good. It is less than 1. That means most of the funding comes from equity but</w:t>
      </w:r>
      <w:r>
        <w:rPr>
          <w:rFonts w:cs="Arial"/>
          <w:szCs w:val="24"/>
        </w:rPr>
        <w:t xml:space="preserve"> in the year of 2018, it was more than 1. So, Debt to Equity ratio reduces it is good for Mercantile Bank.</w:t>
      </w:r>
    </w:p>
    <w:p w:rsidR="00831BE9" w:rsidRDefault="00CC4D20">
      <w:pPr>
        <w:ind w:left="960"/>
        <w:rPr>
          <w:rFonts w:cs="Arial"/>
          <w:szCs w:val="24"/>
        </w:rPr>
      </w:pPr>
      <w:r>
        <w:rPr>
          <w:rFonts w:cs="Arial"/>
          <w:szCs w:val="24"/>
        </w:rPr>
        <w:t>15. Premier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tabs>
                <w:tab w:val="left" w:pos="1260"/>
              </w:tabs>
              <w:spacing w:after="0"/>
              <w:rPr>
                <w:rFonts w:cs="Arial"/>
                <w:b w:val="0"/>
                <w:bCs w:val="0"/>
              </w:rPr>
            </w:pPr>
            <w:r>
              <w:rPr>
                <w:rFonts w:cs="Arial"/>
              </w:rPr>
              <w:t>Details</w:t>
            </w:r>
            <w:r>
              <w:rPr>
                <w:rFonts w:cs="Arial"/>
              </w:rPr>
              <w:tab/>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1.0303%</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1.2745%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216133206899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261900494009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2226849326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3338162057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14.5738%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17.9428%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2226849326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3338162057</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15279797588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18604449117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0.07069</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0.07103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15279797588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18604449117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216133206899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261900494009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0.9642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0.7101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14732813833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13211794714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15279797588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18604449117</w:t>
            </w:r>
          </w:p>
        </w:tc>
      </w:tr>
    </w:tbl>
    <w:p w:rsidR="00831BE9" w:rsidRDefault="00831BE9">
      <w:pPr>
        <w:rPr>
          <w:rFonts w:cs="Arial"/>
          <w:szCs w:val="24"/>
        </w:rPr>
      </w:pPr>
    </w:p>
    <w:p w:rsidR="00831BE9" w:rsidRDefault="00CC4D20">
      <w:pPr>
        <w:jc w:val="right"/>
        <w:rPr>
          <w:rFonts w:cs="Arial"/>
          <w:b/>
          <w:color w:val="5B9BD5" w:themeColor="accent5"/>
          <w:szCs w:val="24"/>
        </w:rPr>
      </w:pPr>
      <w:r>
        <w:rPr>
          <w:rFonts w:cs="Arial"/>
          <w:noProof/>
          <w:szCs w:val="24"/>
        </w:rPr>
        <w:drawing>
          <wp:anchor distT="0" distB="0" distL="114300" distR="114300" simplePos="0" relativeHeight="251691008" behindDoc="0" locked="0" layoutInCell="1" allowOverlap="1">
            <wp:simplePos x="0" y="0"/>
            <wp:positionH relativeFrom="margin">
              <wp:align>left</wp:align>
            </wp:positionH>
            <wp:positionV relativeFrom="paragraph">
              <wp:align>top</wp:align>
            </wp:positionV>
            <wp:extent cx="2635885" cy="2517140"/>
            <wp:effectExtent l="0" t="0" r="12065" b="16510"/>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r>
        <w:rPr>
          <w:rFonts w:cs="Arial"/>
          <w:noProof/>
          <w:szCs w:val="24"/>
        </w:rPr>
        <w:drawing>
          <wp:inline distT="0" distB="0" distL="0" distR="0">
            <wp:extent cx="2790190" cy="2517140"/>
            <wp:effectExtent l="0" t="0" r="1016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831BE9" w:rsidRDefault="00CC4D20">
      <w:pPr>
        <w:rPr>
          <w:rFonts w:cs="Arial"/>
          <w:b/>
          <w:color w:val="5B9BD5" w:themeColor="accent5"/>
          <w:szCs w:val="24"/>
        </w:rPr>
      </w:pPr>
      <w:r>
        <w:rPr>
          <w:rFonts w:cs="Arial"/>
          <w:b/>
          <w:color w:val="5B9BD5" w:themeColor="accent5"/>
        </w:rPr>
        <w:t>Return on Asset (ROA) (%):</w:t>
      </w:r>
    </w:p>
    <w:p w:rsidR="00831BE9" w:rsidRDefault="00CC4D20">
      <w:pPr>
        <w:tabs>
          <w:tab w:val="left" w:pos="2684"/>
        </w:tabs>
        <w:rPr>
          <w:rFonts w:cs="Arial"/>
          <w:szCs w:val="24"/>
        </w:rPr>
      </w:pPr>
      <w:r>
        <w:rPr>
          <w:rFonts w:cs="Arial"/>
          <w:b/>
          <w:szCs w:val="24"/>
        </w:rPr>
        <w:t xml:space="preserve">Interpretation: </w:t>
      </w:r>
      <w:r>
        <w:rPr>
          <w:rFonts w:cs="Arial"/>
          <w:szCs w:val="24"/>
        </w:rPr>
        <w:t xml:space="preserve">I can see the return on asset Premier Bank is raising. Here, the ROA of </w:t>
      </w:r>
      <w:proofErr w:type="spellStart"/>
      <w:r>
        <w:rPr>
          <w:rFonts w:cs="Arial"/>
          <w:szCs w:val="24"/>
        </w:rPr>
        <w:t>Brac</w:t>
      </w:r>
      <w:proofErr w:type="spellEnd"/>
      <w:r>
        <w:rPr>
          <w:rFonts w:cs="Arial"/>
          <w:szCs w:val="24"/>
        </w:rPr>
        <w:t xml:space="preserve"> </w:t>
      </w:r>
      <w:r>
        <w:rPr>
          <w:rFonts w:cs="Arial"/>
          <w:szCs w:val="24"/>
        </w:rPr>
        <w:t>Bank is raising from 1.0303% to 1.2746% from 2018 to 2019.That means Bank Asia’s profit is raising from asset.  So, their management is good because they effectively use.</w:t>
      </w:r>
      <w:r>
        <w:rPr>
          <w:rFonts w:cs="Arial"/>
          <w:b/>
          <w:szCs w:val="24"/>
        </w:rPr>
        <w:tab/>
      </w: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b/>
          <w:szCs w:val="24"/>
        </w:rPr>
      </w:pPr>
      <w:r>
        <w:rPr>
          <w:rFonts w:cs="Arial"/>
          <w:b/>
          <w:szCs w:val="24"/>
        </w:rPr>
        <w:lastRenderedPageBreak/>
        <w:t xml:space="preserve"> Interpretation:  </w:t>
      </w:r>
      <w:r>
        <w:rPr>
          <w:rFonts w:cs="Arial"/>
          <w:szCs w:val="24"/>
        </w:rPr>
        <w:t>The</w:t>
      </w:r>
      <w:r>
        <w:rPr>
          <w:rFonts w:cs="Arial"/>
          <w:b/>
          <w:szCs w:val="24"/>
        </w:rPr>
        <w:t xml:space="preserve"> </w:t>
      </w:r>
      <w:r>
        <w:rPr>
          <w:rFonts w:cs="Arial"/>
          <w:szCs w:val="24"/>
        </w:rPr>
        <w:t>return on equity is raising in Pre</w:t>
      </w:r>
      <w:r>
        <w:rPr>
          <w:rFonts w:cs="Arial"/>
          <w:szCs w:val="24"/>
        </w:rPr>
        <w:t>mier Bank. That means they effectively generate their equity to generate profit. Their management knows how to utilize the equity.</w:t>
      </w:r>
    </w:p>
    <w:p w:rsidR="00831BE9" w:rsidRDefault="00CC4D20">
      <w:pPr>
        <w:jc w:val="right"/>
        <w:rPr>
          <w:rFonts w:cs="Arial"/>
          <w:b/>
          <w:color w:val="5B9BD5" w:themeColor="accent5"/>
          <w:szCs w:val="24"/>
        </w:rPr>
      </w:pPr>
      <w:r>
        <w:rPr>
          <w:rFonts w:cs="Arial"/>
          <w:noProof/>
          <w:szCs w:val="24"/>
        </w:rPr>
        <w:drawing>
          <wp:anchor distT="0" distB="0" distL="114300" distR="114300" simplePos="0" relativeHeight="251692032" behindDoc="0" locked="0" layoutInCell="1" allowOverlap="1">
            <wp:simplePos x="0" y="0"/>
            <wp:positionH relativeFrom="margin">
              <wp:align>left</wp:align>
            </wp:positionH>
            <wp:positionV relativeFrom="paragraph">
              <wp:align>top</wp:align>
            </wp:positionV>
            <wp:extent cx="2873375" cy="2623820"/>
            <wp:effectExtent l="0" t="0" r="3175" b="5080"/>
            <wp:wrapSquare wrapText="bothSides"/>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r>
        <w:rPr>
          <w:rFonts w:cs="Arial"/>
          <w:noProof/>
          <w:szCs w:val="24"/>
        </w:rPr>
        <w:drawing>
          <wp:inline distT="0" distB="0" distL="0" distR="0">
            <wp:extent cx="2814320" cy="2623820"/>
            <wp:effectExtent l="0" t="0" r="5080" b="508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rPr>
          <w:rFonts w:cs="Arial"/>
          <w:szCs w:val="24"/>
        </w:rPr>
      </w:pPr>
      <w:r>
        <w:rPr>
          <w:rFonts w:cs="Arial"/>
          <w:b/>
          <w:szCs w:val="24"/>
        </w:rPr>
        <w:t>Interpretation</w:t>
      </w:r>
      <w:r>
        <w:rPr>
          <w:rFonts w:cs="Arial"/>
          <w:szCs w:val="24"/>
        </w:rPr>
        <w:t>: The equity ratio of Prime Bank is 0.0707 to 0.0710.  The equity ratio is low and ra</w:t>
      </w:r>
      <w:r>
        <w:rPr>
          <w:rFonts w:cs="Arial"/>
          <w:szCs w:val="24"/>
        </w:rPr>
        <w:t>ising from 2018 to 2019. So, it will be riskier for creditors to invest in the bank because the equity ratio is low.</w:t>
      </w: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t>Interpretation</w:t>
      </w:r>
      <w:r>
        <w:rPr>
          <w:rFonts w:cs="Arial"/>
          <w:szCs w:val="24"/>
        </w:rPr>
        <w:t xml:space="preserve">: Debt to equity ratio is good for both of the year. It is less than 1. That means most of the funding </w:t>
      </w:r>
      <w:r>
        <w:rPr>
          <w:rFonts w:cs="Arial"/>
          <w:szCs w:val="24"/>
        </w:rPr>
        <w:t>comes from equity. So, Debt to Equity ratio is reducing it is good for Premier Bank.</w:t>
      </w:r>
    </w:p>
    <w:p w:rsidR="00831BE9" w:rsidRDefault="00CC4D20">
      <w:pPr>
        <w:ind w:left="960"/>
        <w:rPr>
          <w:rFonts w:cs="Arial"/>
          <w:szCs w:val="24"/>
        </w:rPr>
      </w:pPr>
      <w:r>
        <w:rPr>
          <w:rFonts w:cs="Arial"/>
          <w:szCs w:val="24"/>
        </w:rPr>
        <w:t>16. Trust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0.7289%</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0.6889%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259638370242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294892131508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1892582035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2031562601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14.6852%</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13.5984%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1892582035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2031562601</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12887607495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14939699085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0.0496</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0.0506</w:t>
            </w:r>
          </w:p>
        </w:tc>
      </w:tr>
      <w:tr w:rsidR="00831BE9" w:rsidTr="00831BE9">
        <w:trPr>
          <w:trHeight w:val="188"/>
        </w:trPr>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12887607495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14939699085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259638370242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294892131508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 xml:space="preserve">Debt to </w:t>
            </w:r>
            <w:r>
              <w:rPr>
                <w:rFonts w:cs="Arial"/>
              </w:rPr>
              <w:t>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1.6227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1.32363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20914946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19774708167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lastRenderedPageBreak/>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12887607495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14939699085</w:t>
            </w:r>
          </w:p>
        </w:tc>
      </w:tr>
    </w:tbl>
    <w:p w:rsidR="00831BE9" w:rsidRDefault="00CC4D20">
      <w:pPr>
        <w:tabs>
          <w:tab w:val="left" w:pos="3600"/>
        </w:tabs>
        <w:rPr>
          <w:rFonts w:cs="Arial"/>
          <w:szCs w:val="24"/>
        </w:rPr>
      </w:pPr>
      <w:r>
        <w:rPr>
          <w:rFonts w:cs="Arial"/>
          <w:szCs w:val="24"/>
        </w:rPr>
        <w:t xml:space="preserve">         </w:t>
      </w:r>
    </w:p>
    <w:p w:rsidR="00831BE9" w:rsidRDefault="00CC4D20">
      <w:pPr>
        <w:tabs>
          <w:tab w:val="left" w:pos="3600"/>
        </w:tabs>
        <w:jc w:val="right"/>
        <w:rPr>
          <w:rFonts w:cs="Arial"/>
          <w:szCs w:val="24"/>
        </w:rPr>
      </w:pPr>
      <w:r>
        <w:rPr>
          <w:rFonts w:cs="Arial"/>
          <w:noProof/>
          <w:szCs w:val="24"/>
        </w:rPr>
        <w:drawing>
          <wp:anchor distT="0" distB="0" distL="114300" distR="114300" simplePos="0" relativeHeight="251693056" behindDoc="0" locked="0" layoutInCell="1" allowOverlap="1">
            <wp:simplePos x="0" y="0"/>
            <wp:positionH relativeFrom="margin">
              <wp:align>left</wp:align>
            </wp:positionH>
            <wp:positionV relativeFrom="paragraph">
              <wp:align>top</wp:align>
            </wp:positionV>
            <wp:extent cx="2956560" cy="2552700"/>
            <wp:effectExtent l="0" t="0" r="15240" b="0"/>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Pr>
          <w:rFonts w:cs="Arial"/>
          <w:noProof/>
          <w:szCs w:val="24"/>
        </w:rPr>
        <w:drawing>
          <wp:inline distT="0" distB="0" distL="0" distR="0">
            <wp:extent cx="2814320" cy="2552700"/>
            <wp:effectExtent l="0" t="0" r="508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831BE9" w:rsidRDefault="00CC4D20">
      <w:pPr>
        <w:tabs>
          <w:tab w:val="left" w:pos="3600"/>
        </w:tabs>
        <w:rPr>
          <w:rFonts w:cs="Arial"/>
          <w:b/>
          <w:color w:val="5B9BD5" w:themeColor="accent5"/>
          <w:szCs w:val="24"/>
        </w:rPr>
      </w:pPr>
      <w:r>
        <w:rPr>
          <w:rFonts w:cs="Arial"/>
          <w:b/>
          <w:color w:val="5B9BD5" w:themeColor="accent5"/>
          <w:szCs w:val="24"/>
        </w:rPr>
        <w:t>Return on Asset (ROA) (%):</w:t>
      </w:r>
    </w:p>
    <w:p w:rsidR="00831BE9" w:rsidRDefault="00CC4D20">
      <w:pPr>
        <w:tabs>
          <w:tab w:val="left" w:pos="3600"/>
        </w:tabs>
        <w:rPr>
          <w:rFonts w:cs="Arial"/>
          <w:szCs w:val="24"/>
        </w:rPr>
      </w:pPr>
      <w:r>
        <w:rPr>
          <w:rFonts w:cs="Arial"/>
          <w:b/>
          <w:szCs w:val="24"/>
        </w:rPr>
        <w:t xml:space="preserve">Interpretation: </w:t>
      </w:r>
      <w:r>
        <w:rPr>
          <w:rFonts w:cs="Arial"/>
          <w:szCs w:val="24"/>
        </w:rPr>
        <w:t xml:space="preserve">The Return on Asset of Trust Bank is positive but whatever ratio in the year of 2018 it is </w:t>
      </w:r>
      <w:r>
        <w:rPr>
          <w:rFonts w:cs="Arial"/>
          <w:szCs w:val="24"/>
        </w:rPr>
        <w:t>good than 2019. In the year of 2019, it is reducing. So, Management don’t effectively their asset to generate profit.</w:t>
      </w:r>
    </w:p>
    <w:p w:rsidR="00831BE9" w:rsidRDefault="00CC4D20">
      <w:pPr>
        <w:tabs>
          <w:tab w:val="left" w:pos="3600"/>
        </w:tabs>
        <w:rPr>
          <w:rFonts w:cs="Arial"/>
          <w:b/>
          <w:color w:val="5B9BD5" w:themeColor="accent5"/>
          <w:szCs w:val="24"/>
        </w:rPr>
      </w:pPr>
      <w:r>
        <w:rPr>
          <w:rFonts w:cs="Arial"/>
          <w:b/>
          <w:color w:val="5B9BD5" w:themeColor="accent5"/>
          <w:szCs w:val="24"/>
        </w:rPr>
        <w:t>Return on Equity (ROE) (%):</w:t>
      </w:r>
    </w:p>
    <w:p w:rsidR="00831BE9" w:rsidRDefault="00CC4D20">
      <w:pPr>
        <w:tabs>
          <w:tab w:val="left" w:pos="3600"/>
        </w:tabs>
        <w:rPr>
          <w:rFonts w:cs="Arial"/>
          <w:szCs w:val="24"/>
        </w:rPr>
      </w:pPr>
      <w:r>
        <w:rPr>
          <w:rFonts w:cs="Arial"/>
          <w:b/>
          <w:szCs w:val="24"/>
        </w:rPr>
        <w:t>Interpretation:</w:t>
      </w:r>
      <w:r>
        <w:rPr>
          <w:rFonts w:cs="Arial"/>
          <w:szCs w:val="24"/>
        </w:rPr>
        <w:t xml:space="preserve"> The return on equity ratio is good in both year but the ratio is reducing in the year of 2019.</w:t>
      </w:r>
      <w:r>
        <w:rPr>
          <w:rFonts w:cs="Arial"/>
          <w:szCs w:val="24"/>
        </w:rPr>
        <w:t xml:space="preserve"> So, they utilize their equity effectively to generate profit. The ratio is 14.6852 &amp; 135984.</w:t>
      </w:r>
    </w:p>
    <w:p w:rsidR="00831BE9" w:rsidRDefault="00CC4D20">
      <w:pPr>
        <w:tabs>
          <w:tab w:val="left" w:pos="3600"/>
        </w:tabs>
        <w:rPr>
          <w:rFonts w:cs="Arial"/>
          <w:szCs w:val="24"/>
        </w:rPr>
      </w:pPr>
      <w:r>
        <w:rPr>
          <w:rFonts w:cs="Arial"/>
          <w:noProof/>
          <w:szCs w:val="24"/>
        </w:rPr>
        <w:drawing>
          <wp:anchor distT="0" distB="0" distL="114300" distR="114300" simplePos="0" relativeHeight="251694080" behindDoc="0" locked="0" layoutInCell="1" allowOverlap="1">
            <wp:simplePos x="0" y="0"/>
            <wp:positionH relativeFrom="margin">
              <wp:align>left</wp:align>
            </wp:positionH>
            <wp:positionV relativeFrom="paragraph">
              <wp:align>top</wp:align>
            </wp:positionV>
            <wp:extent cx="2885440" cy="2743200"/>
            <wp:effectExtent l="0" t="0" r="10160" b="0"/>
            <wp:wrapSquare wrapText="bothSides"/>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r>
        <w:rPr>
          <w:rFonts w:cs="Arial"/>
          <w:noProof/>
          <w:szCs w:val="24"/>
        </w:rPr>
        <w:drawing>
          <wp:inline distT="0" distB="0" distL="0" distR="0">
            <wp:extent cx="2754630" cy="2707005"/>
            <wp:effectExtent l="0" t="0" r="7620" b="1714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Pr>
          <w:rFonts w:cs="Arial"/>
          <w:szCs w:val="24"/>
        </w:rPr>
        <w:br w:type="textWrapping" w:clear="all"/>
      </w:r>
    </w:p>
    <w:p w:rsidR="00831BE9" w:rsidRDefault="00CC4D20">
      <w:pPr>
        <w:tabs>
          <w:tab w:val="left" w:pos="3600"/>
        </w:tabs>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szCs w:val="24"/>
        </w:rPr>
        <w:lastRenderedPageBreak/>
        <w:t xml:space="preserve">Interpretation: We can see the equity capital ratio positive both of the year but it is less than 0.50 that means low equity ratio. So, </w:t>
      </w:r>
      <w:r>
        <w:rPr>
          <w:rFonts w:cs="Arial"/>
          <w:szCs w:val="24"/>
        </w:rPr>
        <w:t>in future it will be risky for creditors because equity capital ratio is low.</w:t>
      </w:r>
    </w:p>
    <w:p w:rsidR="00831BE9" w:rsidRDefault="00CC4D20">
      <w:pPr>
        <w:tabs>
          <w:tab w:val="left" w:pos="3600"/>
        </w:tabs>
        <w:rPr>
          <w:rFonts w:cs="Arial"/>
          <w:b/>
          <w:color w:val="5B9BD5" w:themeColor="accent5"/>
          <w:szCs w:val="24"/>
        </w:rPr>
      </w:pPr>
      <w:r>
        <w:rPr>
          <w:rFonts w:cs="Arial"/>
          <w:b/>
          <w:color w:val="5B9BD5" w:themeColor="accent5"/>
          <w:szCs w:val="24"/>
        </w:rPr>
        <w:t>Debt to Equity Ratio:</w:t>
      </w:r>
    </w:p>
    <w:p w:rsidR="00831BE9" w:rsidRDefault="00CC4D20">
      <w:pPr>
        <w:tabs>
          <w:tab w:val="left" w:pos="3600"/>
        </w:tabs>
        <w:rPr>
          <w:rFonts w:cs="Arial"/>
          <w:szCs w:val="24"/>
        </w:rPr>
      </w:pPr>
      <w:r>
        <w:rPr>
          <w:rFonts w:cs="Arial"/>
          <w:b/>
          <w:szCs w:val="24"/>
        </w:rPr>
        <w:t>Interpretation</w:t>
      </w:r>
      <w:r>
        <w:rPr>
          <w:rFonts w:cs="Arial"/>
          <w:szCs w:val="24"/>
        </w:rPr>
        <w:t xml:space="preserve">: I can see Debt to Equity ratio of Trust Bank is very much raising. Trust Bank uses more debt to finance. The ratio is little bit reduced in </w:t>
      </w:r>
      <w:r>
        <w:rPr>
          <w:rFonts w:cs="Arial"/>
          <w:szCs w:val="24"/>
        </w:rPr>
        <w:t>the year of 2019. So, management should utilize their equity properly rather than debt.</w:t>
      </w:r>
    </w:p>
    <w:p w:rsidR="00831BE9" w:rsidRDefault="00CC4D20">
      <w:pPr>
        <w:tabs>
          <w:tab w:val="left" w:pos="3600"/>
        </w:tabs>
        <w:rPr>
          <w:rFonts w:cs="Arial"/>
          <w:szCs w:val="24"/>
        </w:rPr>
      </w:pPr>
      <w:r>
        <w:rPr>
          <w:rFonts w:cs="Arial"/>
          <w:szCs w:val="24"/>
        </w:rPr>
        <w:t xml:space="preserve">   17</w:t>
      </w:r>
      <w:proofErr w:type="gramStart"/>
      <w:r>
        <w:rPr>
          <w:rFonts w:cs="Arial"/>
          <w:szCs w:val="24"/>
        </w:rPr>
        <w:t>.Jamuna</w:t>
      </w:r>
      <w:proofErr w:type="gramEnd"/>
      <w:r>
        <w:rPr>
          <w:rFonts w:cs="Arial"/>
          <w:szCs w:val="24"/>
        </w:rPr>
        <w:t xml:space="preserve">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tabs>
                <w:tab w:val="left" w:pos="1455"/>
              </w:tabs>
              <w:spacing w:after="0"/>
              <w:rPr>
                <w:rFonts w:cs="Arial"/>
                <w:b w:val="0"/>
                <w:bCs w:val="0"/>
              </w:rPr>
            </w:pPr>
            <w:r>
              <w:rPr>
                <w:rFonts w:cs="Arial"/>
              </w:rPr>
              <w:t>Details</w:t>
            </w:r>
            <w:r>
              <w:rPr>
                <w:rFonts w:cs="Arial"/>
              </w:rPr>
              <w:tab/>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1.0295%</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1.0735%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225018217322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242928464391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2316694033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2607849991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12.8181%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15.1967%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2316694033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2607849991</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18073502568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17160586579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0.0803</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0.0706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18073502568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17160586579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225018217322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242928464391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1.0171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0.9679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18383739831</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16610353506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18073502568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17160586579</w:t>
            </w:r>
          </w:p>
        </w:tc>
      </w:tr>
    </w:tbl>
    <w:p w:rsidR="00831BE9" w:rsidRDefault="00831BE9">
      <w:pPr>
        <w:tabs>
          <w:tab w:val="left" w:pos="3600"/>
        </w:tabs>
        <w:rPr>
          <w:rFonts w:cs="Arial"/>
          <w:szCs w:val="24"/>
        </w:rPr>
      </w:pPr>
    </w:p>
    <w:p w:rsidR="00831BE9" w:rsidRDefault="00CC4D20">
      <w:pPr>
        <w:tabs>
          <w:tab w:val="left" w:pos="3600"/>
        </w:tabs>
        <w:rPr>
          <w:rFonts w:cs="Arial"/>
          <w:szCs w:val="24"/>
        </w:rPr>
      </w:pPr>
      <w:r>
        <w:rPr>
          <w:rFonts w:cs="Arial"/>
          <w:noProof/>
          <w:szCs w:val="24"/>
        </w:rPr>
        <w:drawing>
          <wp:anchor distT="0" distB="0" distL="114300" distR="114300" simplePos="0" relativeHeight="251695104" behindDoc="0" locked="0" layoutInCell="1" allowOverlap="1">
            <wp:simplePos x="0" y="0"/>
            <wp:positionH relativeFrom="column">
              <wp:align>left</wp:align>
            </wp:positionH>
            <wp:positionV relativeFrom="paragraph">
              <wp:align>top</wp:align>
            </wp:positionV>
            <wp:extent cx="2743200" cy="2956560"/>
            <wp:effectExtent l="0" t="0" r="0" b="1524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r>
        <w:rPr>
          <w:rFonts w:cs="Arial"/>
          <w:noProof/>
          <w:szCs w:val="24"/>
        </w:rPr>
        <w:drawing>
          <wp:inline distT="0" distB="0" distL="0" distR="0">
            <wp:extent cx="3039745" cy="2908935"/>
            <wp:effectExtent l="0" t="0" r="8255" b="571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rFonts w:cs="Arial"/>
          <w:szCs w:val="24"/>
        </w:rPr>
        <w:br w:type="textWrapping" w:clear="all"/>
      </w:r>
    </w:p>
    <w:p w:rsidR="00831BE9" w:rsidRDefault="00CC4D20">
      <w:pPr>
        <w:tabs>
          <w:tab w:val="left" w:pos="3600"/>
        </w:tabs>
        <w:rPr>
          <w:rFonts w:cs="Arial"/>
          <w:b/>
          <w:color w:val="5B9BD5" w:themeColor="accent5"/>
          <w:szCs w:val="24"/>
        </w:rPr>
      </w:pPr>
      <w:r>
        <w:rPr>
          <w:rFonts w:cs="Arial"/>
          <w:b/>
          <w:color w:val="5B9BD5" w:themeColor="accent5"/>
          <w:szCs w:val="24"/>
        </w:rPr>
        <w:t>Return on Asset (ROA) (%):</w:t>
      </w:r>
    </w:p>
    <w:p w:rsidR="00831BE9" w:rsidRDefault="00CC4D20">
      <w:pPr>
        <w:tabs>
          <w:tab w:val="left" w:pos="3600"/>
        </w:tabs>
        <w:rPr>
          <w:rFonts w:cs="Arial"/>
          <w:szCs w:val="24"/>
        </w:rPr>
      </w:pPr>
      <w:r>
        <w:rPr>
          <w:rFonts w:cs="Arial"/>
          <w:b/>
          <w:szCs w:val="24"/>
        </w:rPr>
        <w:lastRenderedPageBreak/>
        <w:t>Interpretation</w:t>
      </w:r>
      <w:r>
        <w:rPr>
          <w:rFonts w:cs="Arial"/>
          <w:szCs w:val="24"/>
        </w:rPr>
        <w:t xml:space="preserve">: I can see the return on asset of </w:t>
      </w:r>
      <w:proofErr w:type="spellStart"/>
      <w:r>
        <w:rPr>
          <w:rFonts w:cs="Arial"/>
          <w:szCs w:val="24"/>
        </w:rPr>
        <w:t>Jamuna</w:t>
      </w:r>
      <w:proofErr w:type="spellEnd"/>
      <w:r>
        <w:rPr>
          <w:rFonts w:cs="Arial"/>
          <w:szCs w:val="24"/>
        </w:rPr>
        <w:t xml:space="preserve"> Bank is raising. Here, the ROA of </w:t>
      </w:r>
      <w:proofErr w:type="spellStart"/>
      <w:r>
        <w:rPr>
          <w:rFonts w:cs="Arial"/>
          <w:szCs w:val="24"/>
        </w:rPr>
        <w:t>Jamuna</w:t>
      </w:r>
      <w:proofErr w:type="spellEnd"/>
      <w:r>
        <w:rPr>
          <w:rFonts w:cs="Arial"/>
          <w:szCs w:val="24"/>
        </w:rPr>
        <w:t xml:space="preserve"> Bank is </w:t>
      </w:r>
      <w:r>
        <w:rPr>
          <w:rFonts w:cs="Arial"/>
          <w:szCs w:val="24"/>
        </w:rPr>
        <w:t>raising from 1.0296% to 1.0735% from 2018 to 2019.That means Bank Asia’s profit is raising from asset.  So, their management is good because they effectively use their asset.</w:t>
      </w:r>
    </w:p>
    <w:p w:rsidR="00831BE9" w:rsidRDefault="00CC4D20">
      <w:pPr>
        <w:tabs>
          <w:tab w:val="left" w:pos="3600"/>
        </w:tabs>
        <w:rPr>
          <w:rFonts w:cs="Arial"/>
          <w:b/>
          <w:color w:val="5B9BD5" w:themeColor="accent5"/>
          <w:szCs w:val="24"/>
        </w:rPr>
      </w:pPr>
      <w:r>
        <w:rPr>
          <w:rFonts w:cs="Arial"/>
          <w:b/>
          <w:color w:val="5B9BD5" w:themeColor="accent5"/>
          <w:szCs w:val="24"/>
        </w:rPr>
        <w:t>Return on Equity (ROE) (%):</w:t>
      </w:r>
    </w:p>
    <w:p w:rsidR="00831BE9" w:rsidRDefault="00CC4D20">
      <w:pPr>
        <w:rPr>
          <w:rFonts w:cs="Arial"/>
          <w:b/>
          <w:szCs w:val="24"/>
        </w:rPr>
      </w:pPr>
      <w:r>
        <w:rPr>
          <w:rFonts w:cs="Arial"/>
          <w:b/>
          <w:szCs w:val="24"/>
        </w:rPr>
        <w:t>Interpretation</w:t>
      </w:r>
      <w:r>
        <w:rPr>
          <w:rFonts w:cs="Arial"/>
          <w:szCs w:val="24"/>
        </w:rPr>
        <w:t>: The</w:t>
      </w:r>
      <w:r>
        <w:rPr>
          <w:rFonts w:cs="Arial"/>
          <w:b/>
          <w:szCs w:val="24"/>
        </w:rPr>
        <w:t xml:space="preserve"> </w:t>
      </w:r>
      <w:r>
        <w:rPr>
          <w:rFonts w:cs="Arial"/>
          <w:szCs w:val="24"/>
        </w:rPr>
        <w:t xml:space="preserve">return on equity of </w:t>
      </w:r>
      <w:proofErr w:type="spellStart"/>
      <w:r>
        <w:rPr>
          <w:rFonts w:cs="Arial"/>
          <w:szCs w:val="24"/>
        </w:rPr>
        <w:t>Jamuna</w:t>
      </w:r>
      <w:proofErr w:type="spellEnd"/>
      <w:r>
        <w:rPr>
          <w:rFonts w:cs="Arial"/>
          <w:szCs w:val="24"/>
        </w:rPr>
        <w:t xml:space="preserve"> Bank i</w:t>
      </w:r>
      <w:r>
        <w:rPr>
          <w:rFonts w:cs="Arial"/>
          <w:szCs w:val="24"/>
        </w:rPr>
        <w:t>s raising. That means they effectively generate their equity to generate profit. Their management knows how to utilize the equity.</w:t>
      </w:r>
    </w:p>
    <w:p w:rsidR="00831BE9" w:rsidRDefault="00CC4D20">
      <w:pPr>
        <w:tabs>
          <w:tab w:val="left" w:pos="3600"/>
        </w:tabs>
        <w:jc w:val="right"/>
        <w:rPr>
          <w:rFonts w:cs="Arial"/>
          <w:szCs w:val="24"/>
        </w:rPr>
      </w:pPr>
      <w:r>
        <w:rPr>
          <w:rFonts w:cs="Arial"/>
          <w:noProof/>
          <w:szCs w:val="24"/>
        </w:rPr>
        <w:drawing>
          <wp:anchor distT="0" distB="0" distL="114300" distR="114300" simplePos="0" relativeHeight="251696128" behindDoc="0" locked="0" layoutInCell="1" allowOverlap="1">
            <wp:simplePos x="0" y="0"/>
            <wp:positionH relativeFrom="margin">
              <wp:align>left</wp:align>
            </wp:positionH>
            <wp:positionV relativeFrom="paragraph">
              <wp:align>top</wp:align>
            </wp:positionV>
            <wp:extent cx="2849880" cy="2897505"/>
            <wp:effectExtent l="0" t="0" r="7620" b="17145"/>
            <wp:wrapSquare wrapText="bothSides"/>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Pr>
          <w:rFonts w:cs="Arial"/>
          <w:noProof/>
          <w:szCs w:val="24"/>
        </w:rPr>
        <w:drawing>
          <wp:inline distT="0" distB="0" distL="0" distR="0">
            <wp:extent cx="2790190" cy="2897505"/>
            <wp:effectExtent l="0" t="0" r="10160" b="1714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831BE9" w:rsidRDefault="00CC4D20">
      <w:pPr>
        <w:tabs>
          <w:tab w:val="left" w:pos="3600"/>
        </w:tabs>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I can see the equity capital ratio positive both of the year but it is less than 0.5</w:t>
      </w:r>
      <w:r>
        <w:rPr>
          <w:rFonts w:cs="Arial"/>
          <w:szCs w:val="24"/>
        </w:rPr>
        <w:t>0 that means low equity ratio. So, in future it will be risky for creditors because equity capital ratio is low.</w:t>
      </w:r>
    </w:p>
    <w:p w:rsidR="00831BE9" w:rsidRDefault="00CC4D20">
      <w:pPr>
        <w:tabs>
          <w:tab w:val="left" w:pos="3600"/>
        </w:tabs>
        <w:rPr>
          <w:rFonts w:cs="Arial"/>
          <w:b/>
          <w:color w:val="5B9BD5" w:themeColor="accent5"/>
          <w:szCs w:val="24"/>
        </w:rPr>
      </w:pPr>
      <w:r>
        <w:rPr>
          <w:rFonts w:cs="Arial"/>
          <w:b/>
          <w:color w:val="5B9BD5" w:themeColor="accent5"/>
          <w:szCs w:val="24"/>
        </w:rPr>
        <w:t>Debt to Equity Ratio:</w:t>
      </w:r>
    </w:p>
    <w:p w:rsidR="00831BE9" w:rsidRDefault="00CC4D20">
      <w:pPr>
        <w:tabs>
          <w:tab w:val="left" w:pos="3600"/>
        </w:tabs>
        <w:rPr>
          <w:rFonts w:cs="Arial"/>
          <w:szCs w:val="24"/>
        </w:rPr>
      </w:pPr>
      <w:r>
        <w:rPr>
          <w:rFonts w:cs="Arial"/>
          <w:b/>
          <w:szCs w:val="24"/>
        </w:rPr>
        <w:t>Interpretation</w:t>
      </w:r>
      <w:r>
        <w:rPr>
          <w:rFonts w:cs="Arial"/>
          <w:szCs w:val="24"/>
        </w:rPr>
        <w:t>: In the year of 2019 debt to equity ratio is good. It is less than 1. That means most of the funding comes</w:t>
      </w:r>
      <w:r>
        <w:rPr>
          <w:rFonts w:cs="Arial"/>
          <w:szCs w:val="24"/>
        </w:rPr>
        <w:t xml:space="preserve"> from equity but in the year of 2018, it was more than 1. So, Debt to Equity ratio is reducing it is good for </w:t>
      </w:r>
      <w:proofErr w:type="spellStart"/>
      <w:r>
        <w:rPr>
          <w:rFonts w:cs="Arial"/>
          <w:szCs w:val="24"/>
        </w:rPr>
        <w:t>jamun</w:t>
      </w:r>
      <w:proofErr w:type="spellEnd"/>
      <w:r>
        <w:rPr>
          <w:rFonts w:cs="Arial"/>
          <w:szCs w:val="24"/>
        </w:rPr>
        <w:t xml:space="preserve"> Bank.</w:t>
      </w:r>
    </w:p>
    <w:p w:rsidR="00831BE9" w:rsidRDefault="00831BE9">
      <w:pPr>
        <w:rPr>
          <w:rFonts w:cs="Arial"/>
          <w:szCs w:val="24"/>
        </w:rPr>
      </w:pPr>
    </w:p>
    <w:p w:rsidR="00831BE9" w:rsidRDefault="00CC4D20">
      <w:pPr>
        <w:tabs>
          <w:tab w:val="left" w:pos="3600"/>
        </w:tabs>
        <w:rPr>
          <w:rFonts w:cs="Arial"/>
          <w:szCs w:val="24"/>
        </w:rPr>
      </w:pPr>
      <w:r>
        <w:rPr>
          <w:rFonts w:cs="Arial"/>
          <w:szCs w:val="24"/>
        </w:rPr>
        <w:t xml:space="preserve">      18. National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1.0068%</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0.8983%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407227403673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463574778444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4100310945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4164354038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9.1505%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8.4921%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lastRenderedPageBreak/>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4100310945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4164354038</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44809353067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49037558323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0.1100</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0.1057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44809353067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49037558323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407227403673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463574778444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0.1979</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0.1700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8869136774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8337718474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44809353067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49037558323</w:t>
            </w:r>
          </w:p>
        </w:tc>
      </w:tr>
    </w:tbl>
    <w:p w:rsidR="00831BE9" w:rsidRDefault="00831BE9">
      <w:pPr>
        <w:pStyle w:val="ListParagraph"/>
        <w:tabs>
          <w:tab w:val="left" w:pos="3600"/>
        </w:tabs>
        <w:ind w:left="1080"/>
        <w:rPr>
          <w:rFonts w:cs="Arial"/>
          <w:szCs w:val="24"/>
        </w:rPr>
      </w:pPr>
    </w:p>
    <w:p w:rsidR="00831BE9" w:rsidRDefault="00CC4D20">
      <w:pPr>
        <w:pStyle w:val="ListParagraph"/>
        <w:tabs>
          <w:tab w:val="left" w:pos="3600"/>
        </w:tabs>
        <w:ind w:left="1080"/>
        <w:rPr>
          <w:rFonts w:cs="Arial"/>
          <w:szCs w:val="24"/>
        </w:rPr>
      </w:pPr>
      <w:r>
        <w:rPr>
          <w:rFonts w:cs="Arial"/>
          <w:noProof/>
          <w:szCs w:val="24"/>
        </w:rPr>
        <w:drawing>
          <wp:anchor distT="0" distB="0" distL="114300" distR="114300" simplePos="0" relativeHeight="251697152" behindDoc="0" locked="0" layoutInCell="1" allowOverlap="1">
            <wp:simplePos x="0" y="0"/>
            <wp:positionH relativeFrom="margin">
              <wp:align>left</wp:align>
            </wp:positionH>
            <wp:positionV relativeFrom="paragraph">
              <wp:posOffset>286385</wp:posOffset>
            </wp:positionV>
            <wp:extent cx="2961005" cy="2505075"/>
            <wp:effectExtent l="0" t="0" r="10795" b="9525"/>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p>
    <w:p w:rsidR="00831BE9" w:rsidRDefault="00CC4D20">
      <w:pPr>
        <w:tabs>
          <w:tab w:val="left" w:pos="3600"/>
        </w:tabs>
        <w:jc w:val="right"/>
        <w:rPr>
          <w:rFonts w:cs="Arial"/>
          <w:b/>
          <w:color w:val="5B9BD5" w:themeColor="accent5"/>
          <w:szCs w:val="24"/>
        </w:rPr>
      </w:pPr>
      <w:r>
        <w:rPr>
          <w:rFonts w:cs="Arial"/>
          <w:noProof/>
          <w:szCs w:val="24"/>
        </w:rPr>
        <w:drawing>
          <wp:inline distT="0" distB="0" distL="0" distR="0">
            <wp:extent cx="2796540" cy="2564765"/>
            <wp:effectExtent l="0" t="0" r="3810" b="6985"/>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Pr>
          <w:rFonts w:cs="Arial"/>
          <w:szCs w:val="24"/>
        </w:rPr>
        <w:br w:type="textWrapping" w:clear="all"/>
      </w:r>
    </w:p>
    <w:p w:rsidR="00831BE9" w:rsidRDefault="00CC4D20">
      <w:pPr>
        <w:tabs>
          <w:tab w:val="left" w:pos="3600"/>
        </w:tabs>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The return on asset ratio is pretty much good in </w:t>
      </w:r>
      <w:r>
        <w:rPr>
          <w:rFonts w:cs="Arial"/>
          <w:szCs w:val="24"/>
        </w:rPr>
        <w:t xml:space="preserve">2018. But both of the year are positive ratio. National bank utilizes effectively their asset to generate profit in </w:t>
      </w:r>
      <w:proofErr w:type="gramStart"/>
      <w:r>
        <w:rPr>
          <w:rFonts w:cs="Arial"/>
          <w:szCs w:val="24"/>
        </w:rPr>
        <w:t>the of</w:t>
      </w:r>
      <w:proofErr w:type="gramEnd"/>
      <w:r>
        <w:rPr>
          <w:rFonts w:cs="Arial"/>
          <w:szCs w:val="24"/>
        </w:rPr>
        <w:t xml:space="preserve"> 2018. But in the year of 2019, it is reducing. That means they don’t effectively utilize their asset in the year of 2019.</w:t>
      </w:r>
    </w:p>
    <w:p w:rsidR="00831BE9" w:rsidRDefault="00831BE9">
      <w:pPr>
        <w:tabs>
          <w:tab w:val="left" w:pos="3600"/>
        </w:tabs>
        <w:rPr>
          <w:rFonts w:cs="Arial"/>
          <w:szCs w:val="24"/>
        </w:rPr>
      </w:pPr>
    </w:p>
    <w:p w:rsidR="00831BE9" w:rsidRDefault="00CC4D20">
      <w:pPr>
        <w:tabs>
          <w:tab w:val="left" w:pos="3600"/>
        </w:tabs>
        <w:rPr>
          <w:rFonts w:cs="Arial"/>
          <w:b/>
          <w:color w:val="5B9BD5" w:themeColor="accent5"/>
          <w:szCs w:val="24"/>
        </w:rPr>
      </w:pPr>
      <w:r>
        <w:rPr>
          <w:rFonts w:cs="Arial"/>
          <w:b/>
          <w:color w:val="5B9BD5" w:themeColor="accent5"/>
          <w:szCs w:val="24"/>
        </w:rPr>
        <w:t xml:space="preserve">Return on </w:t>
      </w:r>
      <w:r>
        <w:rPr>
          <w:rFonts w:cs="Arial"/>
          <w:b/>
          <w:color w:val="5B9BD5" w:themeColor="accent5"/>
          <w:szCs w:val="24"/>
        </w:rPr>
        <w:t>Equity (ROE) (%):</w:t>
      </w:r>
    </w:p>
    <w:p w:rsidR="00831BE9" w:rsidRDefault="00CC4D20">
      <w:pPr>
        <w:tabs>
          <w:tab w:val="left" w:pos="3600"/>
        </w:tabs>
        <w:rPr>
          <w:rFonts w:cs="Arial"/>
          <w:szCs w:val="24"/>
        </w:rPr>
      </w:pPr>
      <w:r>
        <w:rPr>
          <w:rFonts w:cs="Arial"/>
          <w:b/>
          <w:szCs w:val="24"/>
        </w:rPr>
        <w:t>Interpretation</w:t>
      </w:r>
      <w:r>
        <w:rPr>
          <w:rFonts w:cs="Arial"/>
          <w:szCs w:val="24"/>
        </w:rPr>
        <w:t xml:space="preserve">: I can see the return on equity of National Bank is also reducing. In the year of 2019 of return on equity is reducing compared to </w:t>
      </w:r>
      <w:proofErr w:type="gramStart"/>
      <w:r>
        <w:rPr>
          <w:rFonts w:cs="Arial"/>
          <w:szCs w:val="24"/>
        </w:rPr>
        <w:t>2018.</w:t>
      </w:r>
      <w:proofErr w:type="gramEnd"/>
      <w:r>
        <w:rPr>
          <w:rFonts w:cs="Arial"/>
          <w:szCs w:val="24"/>
        </w:rPr>
        <w:t xml:space="preserve"> The percentage is from 9.1506%to 8.4922% from 2018 to 2019. Income from equity is redu</w:t>
      </w:r>
      <w:r>
        <w:rPr>
          <w:rFonts w:cs="Arial"/>
          <w:szCs w:val="24"/>
        </w:rPr>
        <w:t>cing in 2019.</w:t>
      </w:r>
    </w:p>
    <w:p w:rsidR="00831BE9" w:rsidRDefault="00831BE9">
      <w:pPr>
        <w:tabs>
          <w:tab w:val="left" w:pos="3600"/>
        </w:tabs>
        <w:rPr>
          <w:rFonts w:cs="Arial"/>
          <w:szCs w:val="24"/>
        </w:rPr>
      </w:pPr>
    </w:p>
    <w:p w:rsidR="00831BE9" w:rsidRDefault="00831BE9">
      <w:pPr>
        <w:tabs>
          <w:tab w:val="left" w:pos="3600"/>
        </w:tabs>
        <w:rPr>
          <w:rFonts w:cs="Arial"/>
          <w:szCs w:val="24"/>
        </w:rPr>
      </w:pPr>
    </w:p>
    <w:p w:rsidR="00831BE9" w:rsidRDefault="00831BE9">
      <w:pPr>
        <w:tabs>
          <w:tab w:val="left" w:pos="3600"/>
        </w:tabs>
        <w:rPr>
          <w:rFonts w:cs="Arial"/>
          <w:szCs w:val="24"/>
        </w:rPr>
      </w:pPr>
    </w:p>
    <w:p w:rsidR="00831BE9" w:rsidRDefault="00CC4D20">
      <w:pPr>
        <w:tabs>
          <w:tab w:val="left" w:pos="3600"/>
        </w:tabs>
        <w:rPr>
          <w:rFonts w:cs="Arial"/>
          <w:szCs w:val="24"/>
        </w:rPr>
      </w:pPr>
      <w:r>
        <w:rPr>
          <w:rFonts w:cs="Arial"/>
          <w:noProof/>
          <w:szCs w:val="24"/>
        </w:rPr>
        <w:lastRenderedPageBreak/>
        <w:drawing>
          <wp:anchor distT="0" distB="0" distL="114300" distR="114300" simplePos="0" relativeHeight="251698176" behindDoc="0" locked="0" layoutInCell="1" allowOverlap="1">
            <wp:simplePos x="0" y="0"/>
            <wp:positionH relativeFrom="margin">
              <wp:align>left</wp:align>
            </wp:positionH>
            <wp:positionV relativeFrom="paragraph">
              <wp:posOffset>286385</wp:posOffset>
            </wp:positionV>
            <wp:extent cx="2802255" cy="2660015"/>
            <wp:effectExtent l="0" t="0" r="17145" b="6985"/>
            <wp:wrapSquare wrapText="bothSides"/>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anchor>
        </w:drawing>
      </w:r>
    </w:p>
    <w:p w:rsidR="00831BE9" w:rsidRDefault="00CC4D20">
      <w:pPr>
        <w:tabs>
          <w:tab w:val="left" w:pos="3600"/>
        </w:tabs>
        <w:jc w:val="right"/>
        <w:rPr>
          <w:rFonts w:cs="Arial"/>
          <w:szCs w:val="24"/>
        </w:rPr>
      </w:pPr>
      <w:r>
        <w:rPr>
          <w:rFonts w:cs="Arial"/>
          <w:noProof/>
          <w:szCs w:val="24"/>
        </w:rPr>
        <w:drawing>
          <wp:inline distT="0" distB="0" distL="0" distR="0">
            <wp:extent cx="2873375" cy="2660015"/>
            <wp:effectExtent l="0" t="0" r="3175" b="698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Pr>
          <w:rFonts w:cs="Arial"/>
          <w:szCs w:val="24"/>
        </w:rPr>
        <w:br w:type="textWrapping" w:clear="all"/>
      </w:r>
    </w:p>
    <w:p w:rsidR="00831BE9" w:rsidRDefault="00CC4D20">
      <w:pPr>
        <w:tabs>
          <w:tab w:val="left" w:pos="3600"/>
        </w:tabs>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We can see the equity capital ratio positive both of the year but it is less than 0.50 that means low equity ratio. So, in future it will be risky for credits because equity capital ratio is low a</w:t>
      </w:r>
      <w:r>
        <w:rPr>
          <w:rFonts w:cs="Arial"/>
          <w:szCs w:val="24"/>
        </w:rPr>
        <w:t>nd Equity ratio is reducing from 2018 to 2019.</w:t>
      </w:r>
    </w:p>
    <w:p w:rsidR="00831BE9" w:rsidRDefault="00831BE9">
      <w:pPr>
        <w:tabs>
          <w:tab w:val="left" w:pos="3600"/>
        </w:tabs>
        <w:rPr>
          <w:rFonts w:cs="Arial"/>
          <w:szCs w:val="24"/>
        </w:rPr>
      </w:pPr>
    </w:p>
    <w:p w:rsidR="00831BE9" w:rsidRDefault="00CC4D20">
      <w:pPr>
        <w:tabs>
          <w:tab w:val="left" w:pos="3600"/>
        </w:tabs>
        <w:rPr>
          <w:rFonts w:cs="Arial"/>
          <w:b/>
          <w:color w:val="5B9BD5" w:themeColor="accent5"/>
          <w:szCs w:val="24"/>
        </w:rPr>
      </w:pPr>
      <w:r>
        <w:rPr>
          <w:rFonts w:cs="Arial"/>
          <w:b/>
          <w:color w:val="5B9BD5" w:themeColor="accent5"/>
          <w:szCs w:val="24"/>
        </w:rPr>
        <w:t>Debt to Equity Ratio:</w:t>
      </w:r>
    </w:p>
    <w:p w:rsidR="00831BE9" w:rsidRDefault="00CC4D20">
      <w:pPr>
        <w:tabs>
          <w:tab w:val="left" w:pos="3600"/>
        </w:tabs>
        <w:rPr>
          <w:rFonts w:cs="Arial"/>
          <w:szCs w:val="24"/>
        </w:rPr>
      </w:pPr>
      <w:r>
        <w:rPr>
          <w:rFonts w:cs="Arial"/>
          <w:b/>
          <w:szCs w:val="24"/>
        </w:rPr>
        <w:t>Interpretation</w:t>
      </w:r>
      <w:r>
        <w:rPr>
          <w:rFonts w:cs="Arial"/>
          <w:szCs w:val="24"/>
        </w:rPr>
        <w:t xml:space="preserve">: Debt to equity ratio is good for both of the year. It is less than 1. That means most of the funding comes from equity. So, Debt to Equity ratio is reducing it is good </w:t>
      </w:r>
      <w:r>
        <w:rPr>
          <w:rFonts w:cs="Arial"/>
          <w:szCs w:val="24"/>
        </w:rPr>
        <w:t>for Premier Bank</w:t>
      </w:r>
    </w:p>
    <w:p w:rsidR="00831BE9" w:rsidRDefault="00831BE9">
      <w:pPr>
        <w:rPr>
          <w:rFonts w:cs="Arial"/>
          <w:szCs w:val="24"/>
        </w:rPr>
      </w:pPr>
    </w:p>
    <w:p w:rsidR="00831BE9" w:rsidRDefault="00CC4D20">
      <w:pPr>
        <w:pStyle w:val="ListParagraph"/>
        <w:ind w:left="930"/>
        <w:rPr>
          <w:rFonts w:cs="Arial"/>
          <w:szCs w:val="24"/>
        </w:rPr>
      </w:pPr>
      <w:r>
        <w:rPr>
          <w:rFonts w:cs="Arial"/>
          <w:szCs w:val="24"/>
        </w:rPr>
        <w:t>19. Eastern Bank limited:</w:t>
      </w:r>
    </w:p>
    <w:p w:rsidR="00831BE9" w:rsidRDefault="00CC4D20">
      <w:pPr>
        <w:rPr>
          <w:rFonts w:cs="Arial"/>
          <w:szCs w:val="24"/>
        </w:rPr>
      </w:pPr>
      <w:r>
        <w:rPr>
          <w:rFonts w:cs="Arial"/>
          <w:szCs w:val="24"/>
        </w:rPr>
        <w:t xml:space="preserve">                </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1.0907%</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1.1958%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282450953306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335163467725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3080776920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4008142125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13.4143%</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15.6767%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 xml:space="preserve">Total </w:t>
            </w:r>
            <w:r>
              <w:rPr>
                <w:rFonts w:cs="Arial"/>
                <w:b w:val="0"/>
              </w:rPr>
              <w:t>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3080776920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4008142125</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22966259362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25567486351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0.0813</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0.0762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22966259362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25567486351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282450953306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335163467725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lastRenderedPageBreak/>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2.0348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1.9877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50820788208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37814360564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22966259362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25567486351</w:t>
            </w:r>
          </w:p>
        </w:tc>
      </w:tr>
    </w:tbl>
    <w:p w:rsidR="00831BE9" w:rsidRDefault="00831BE9">
      <w:pPr>
        <w:rPr>
          <w:rFonts w:cs="Arial"/>
          <w:szCs w:val="24"/>
        </w:rPr>
      </w:pPr>
    </w:p>
    <w:p w:rsidR="00831BE9" w:rsidRDefault="00CC4D20">
      <w:pPr>
        <w:jc w:val="right"/>
        <w:rPr>
          <w:rFonts w:cs="Arial"/>
          <w:szCs w:val="24"/>
        </w:rPr>
      </w:pPr>
      <w:r>
        <w:rPr>
          <w:rFonts w:cs="Arial"/>
          <w:noProof/>
          <w:szCs w:val="24"/>
        </w:rPr>
        <w:drawing>
          <wp:anchor distT="0" distB="0" distL="114300" distR="114300" simplePos="0" relativeHeight="251699200" behindDoc="0" locked="0" layoutInCell="1" allowOverlap="1">
            <wp:simplePos x="0" y="0"/>
            <wp:positionH relativeFrom="margin">
              <wp:align>left</wp:align>
            </wp:positionH>
            <wp:positionV relativeFrom="paragraph">
              <wp:align>top</wp:align>
            </wp:positionV>
            <wp:extent cx="2825750" cy="2849880"/>
            <wp:effectExtent l="0" t="0" r="12700" b="762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Pr>
          <w:rFonts w:cs="Arial"/>
          <w:noProof/>
          <w:szCs w:val="24"/>
        </w:rPr>
        <w:drawing>
          <wp:inline distT="0" distB="0" distL="0" distR="0">
            <wp:extent cx="2872740" cy="2814320"/>
            <wp:effectExtent l="0" t="0" r="3810" b="508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rFonts w:cs="Arial"/>
          <w:szCs w:val="24"/>
        </w:rPr>
        <w:br w:type="textWrapping" w:clear="all"/>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tabs>
          <w:tab w:val="left" w:pos="2684"/>
        </w:tabs>
        <w:rPr>
          <w:rFonts w:cs="Arial"/>
          <w:szCs w:val="24"/>
        </w:rPr>
      </w:pPr>
      <w:r>
        <w:rPr>
          <w:rFonts w:cs="Arial"/>
          <w:b/>
          <w:szCs w:val="24"/>
        </w:rPr>
        <w:t>Interpretation</w:t>
      </w:r>
      <w:r>
        <w:rPr>
          <w:rFonts w:cs="Arial"/>
          <w:szCs w:val="24"/>
        </w:rPr>
        <w:t>:</w:t>
      </w:r>
      <w:r>
        <w:rPr>
          <w:rFonts w:cs="Arial"/>
          <w:b/>
          <w:szCs w:val="24"/>
        </w:rPr>
        <w:t xml:space="preserve"> </w:t>
      </w:r>
      <w:r>
        <w:rPr>
          <w:rFonts w:cs="Arial"/>
          <w:szCs w:val="24"/>
        </w:rPr>
        <w:t xml:space="preserve">I can see the return on asset Premier Bank is raising. Here, the ROA of Brace Bank is raising from 1.0303% to 1.2746% from 2018 to 2019.That means </w:t>
      </w:r>
      <w:r>
        <w:rPr>
          <w:rFonts w:cs="Arial"/>
          <w:szCs w:val="24"/>
        </w:rPr>
        <w:t>Bank Asia’s profit is raising from asset.  So, their management is good because they effectively use.</w:t>
      </w:r>
    </w:p>
    <w:p w:rsidR="00831BE9" w:rsidRDefault="00CC4D20">
      <w:pPr>
        <w:rPr>
          <w:rFonts w:cs="Arial"/>
          <w:b/>
          <w:color w:val="5B9BD5" w:themeColor="accent5"/>
          <w:szCs w:val="24"/>
        </w:rPr>
      </w:pPr>
      <w:r>
        <w:rPr>
          <w:rFonts w:cs="Arial"/>
          <w:szCs w:val="24"/>
        </w:rPr>
        <w:t xml:space="preserve"> </w:t>
      </w: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The</w:t>
      </w:r>
      <w:r>
        <w:rPr>
          <w:rFonts w:cs="Arial"/>
          <w:b/>
          <w:szCs w:val="24"/>
        </w:rPr>
        <w:t xml:space="preserve"> </w:t>
      </w:r>
      <w:r>
        <w:rPr>
          <w:rFonts w:cs="Arial"/>
          <w:szCs w:val="24"/>
        </w:rPr>
        <w:t>return on equity of Eastern Bank is raising. That means they effectively utilize their equity to generate</w:t>
      </w:r>
      <w:r>
        <w:rPr>
          <w:rFonts w:cs="Arial"/>
          <w:szCs w:val="24"/>
        </w:rPr>
        <w:t xml:space="preserve"> profit. Their management knows how to utilize the equity. More equity means good position in the market.</w:t>
      </w:r>
    </w:p>
    <w:p w:rsidR="00831BE9" w:rsidRDefault="00831BE9">
      <w:pPr>
        <w:rPr>
          <w:rFonts w:cs="Arial"/>
          <w:szCs w:val="24"/>
        </w:rPr>
      </w:pPr>
    </w:p>
    <w:p w:rsidR="00831BE9" w:rsidRDefault="00CC4D20">
      <w:pPr>
        <w:rPr>
          <w:rFonts w:cs="Arial"/>
          <w:szCs w:val="24"/>
        </w:rPr>
      </w:pPr>
      <w:r>
        <w:rPr>
          <w:rFonts w:cs="Arial"/>
          <w:noProof/>
          <w:szCs w:val="24"/>
        </w:rPr>
        <w:lastRenderedPageBreak/>
        <w:drawing>
          <wp:anchor distT="0" distB="0" distL="114300" distR="114300" simplePos="0" relativeHeight="251700224" behindDoc="0" locked="0" layoutInCell="1" allowOverlap="1">
            <wp:simplePos x="0" y="0"/>
            <wp:positionH relativeFrom="margin">
              <wp:align>left</wp:align>
            </wp:positionH>
            <wp:positionV relativeFrom="paragraph">
              <wp:posOffset>284480</wp:posOffset>
            </wp:positionV>
            <wp:extent cx="2921000" cy="3265170"/>
            <wp:effectExtent l="0" t="0" r="12700" b="11430"/>
            <wp:wrapSquare wrapText="bothSides"/>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p>
    <w:p w:rsidR="00831BE9" w:rsidRDefault="00CC4D20">
      <w:pPr>
        <w:jc w:val="right"/>
        <w:rPr>
          <w:rFonts w:cs="Arial"/>
          <w:szCs w:val="24"/>
        </w:rPr>
      </w:pPr>
      <w:r>
        <w:rPr>
          <w:rFonts w:cs="Arial"/>
          <w:noProof/>
          <w:szCs w:val="24"/>
        </w:rPr>
        <w:drawing>
          <wp:inline distT="0" distB="0" distL="0" distR="0">
            <wp:extent cx="2849880" cy="3265170"/>
            <wp:effectExtent l="0" t="0" r="7620" b="1143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Pr>
          <w:rFonts w:cs="Arial"/>
          <w:szCs w:val="24"/>
        </w:rPr>
        <w:br w:type="textWrapping" w:clear="all"/>
      </w:r>
    </w:p>
    <w:p w:rsidR="00831BE9" w:rsidRDefault="00CC4D20">
      <w:pPr>
        <w:tabs>
          <w:tab w:val="left" w:pos="1683"/>
        </w:tabs>
        <w:rPr>
          <w:rFonts w:cs="Arial"/>
          <w:b/>
          <w:color w:val="5B9BD5" w:themeColor="accent5"/>
          <w:szCs w:val="24"/>
        </w:rPr>
      </w:pPr>
      <w:r>
        <w:rPr>
          <w:rFonts w:cs="Arial"/>
          <w:szCs w:val="24"/>
        </w:rPr>
        <w:tab/>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We can see the equity capital ratio positive both of the year but it is less than 0.50 that means low eq</w:t>
      </w:r>
      <w:r>
        <w:rPr>
          <w:rFonts w:cs="Arial"/>
          <w:szCs w:val="24"/>
        </w:rPr>
        <w:t>uity ratio. So, in future it will be risky for credits because equity capital ratio is low.</w:t>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tabs>
          <w:tab w:val="left" w:pos="3600"/>
        </w:tabs>
        <w:rPr>
          <w:rFonts w:cs="Arial"/>
          <w:szCs w:val="24"/>
        </w:rPr>
      </w:pPr>
      <w:r>
        <w:rPr>
          <w:rFonts w:cs="Arial"/>
          <w:b/>
          <w:szCs w:val="24"/>
        </w:rPr>
        <w:t>Interpretation</w:t>
      </w:r>
      <w:r>
        <w:rPr>
          <w:rFonts w:cs="Arial"/>
          <w:szCs w:val="24"/>
        </w:rPr>
        <w:t>: I can see Debt to Equity ratio of Eastern Bank is very much raising. Eastern Bank uses more debt to finance. The ratio is lit</w:t>
      </w:r>
      <w:r>
        <w:rPr>
          <w:rFonts w:cs="Arial"/>
          <w:szCs w:val="24"/>
        </w:rPr>
        <w:t>tle bit reduced in the year of 2019. So, management should utilize their equity properly rather than debt.</w:t>
      </w:r>
    </w:p>
    <w:p w:rsidR="00831BE9" w:rsidRDefault="00831BE9">
      <w:pPr>
        <w:tabs>
          <w:tab w:val="left" w:pos="3600"/>
        </w:tabs>
        <w:rPr>
          <w:rFonts w:cs="Arial"/>
          <w:szCs w:val="24"/>
        </w:rPr>
      </w:pPr>
    </w:p>
    <w:p w:rsidR="00831BE9" w:rsidRDefault="00CC4D20">
      <w:pPr>
        <w:ind w:left="930"/>
        <w:rPr>
          <w:rFonts w:cs="Arial"/>
          <w:szCs w:val="24"/>
        </w:rPr>
      </w:pPr>
      <w:r>
        <w:rPr>
          <w:rFonts w:cs="Arial"/>
          <w:szCs w:val="24"/>
        </w:rPr>
        <w:t>20. Islamic Bank Bangladesh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0.6090%</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0.4667%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997429601475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1141492971367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6075143498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5328394150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11.0665%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9.0848%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6075143498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5328394150</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lastRenderedPageBreak/>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54896303450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58651673686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0.0550</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0.05138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54896303450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58651673686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997429601475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1141492971367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0.6888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0.4918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37814360564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28849020000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54896303450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58651673686</w:t>
            </w:r>
          </w:p>
        </w:tc>
      </w:tr>
    </w:tbl>
    <w:p w:rsidR="00831BE9" w:rsidRDefault="00831BE9">
      <w:pPr>
        <w:pStyle w:val="ListParagraph"/>
        <w:ind w:left="1080"/>
        <w:rPr>
          <w:rFonts w:cs="Arial"/>
          <w:szCs w:val="24"/>
        </w:rPr>
      </w:pPr>
    </w:p>
    <w:p w:rsidR="00831BE9" w:rsidRDefault="00CC4D20">
      <w:pPr>
        <w:tabs>
          <w:tab w:val="left" w:pos="6639"/>
        </w:tabs>
        <w:rPr>
          <w:rFonts w:cs="Arial"/>
          <w:szCs w:val="24"/>
        </w:rPr>
      </w:pPr>
      <w:r>
        <w:rPr>
          <w:rFonts w:cs="Arial"/>
          <w:szCs w:val="24"/>
        </w:rPr>
        <w:tab/>
      </w:r>
    </w:p>
    <w:p w:rsidR="00831BE9" w:rsidRDefault="00CC4D20">
      <w:pPr>
        <w:rPr>
          <w:rFonts w:cs="Arial"/>
          <w:szCs w:val="24"/>
        </w:rPr>
      </w:pPr>
      <w:r>
        <w:rPr>
          <w:rFonts w:cs="Arial"/>
          <w:noProof/>
          <w:szCs w:val="24"/>
        </w:rPr>
        <w:drawing>
          <wp:inline distT="0" distB="0" distL="0" distR="0">
            <wp:extent cx="2719070" cy="2695575"/>
            <wp:effectExtent l="0" t="0" r="5080" b="9525"/>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Pr>
          <w:rFonts w:cs="Arial"/>
          <w:noProof/>
          <w:szCs w:val="24"/>
        </w:rPr>
        <w:drawing>
          <wp:anchor distT="0" distB="0" distL="114300" distR="114300" simplePos="0" relativeHeight="251701248" behindDoc="0" locked="0" layoutInCell="1" allowOverlap="1">
            <wp:simplePos x="0" y="0"/>
            <wp:positionH relativeFrom="column">
              <wp:align>left</wp:align>
            </wp:positionH>
            <wp:positionV relativeFrom="paragraph">
              <wp:align>top</wp:align>
            </wp:positionV>
            <wp:extent cx="2707640" cy="2755265"/>
            <wp:effectExtent l="0" t="0" r="17145" b="762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I can see the return on asset of Islamic Bank is not good </w:t>
      </w:r>
      <w:r>
        <w:rPr>
          <w:rFonts w:cs="Arial"/>
          <w:szCs w:val="24"/>
        </w:rPr>
        <w:t>both of the year. They don’t perfectively utilize their asset to generate profit both of the year and it is less than 1%. But it is positive both of the year.</w:t>
      </w:r>
    </w:p>
    <w:p w:rsidR="00831BE9" w:rsidRDefault="00CC4D20">
      <w:pPr>
        <w:tabs>
          <w:tab w:val="left" w:pos="2805"/>
        </w:tabs>
        <w:rPr>
          <w:rFonts w:cs="Arial"/>
          <w:b/>
          <w:color w:val="5B9BD5" w:themeColor="accent5"/>
          <w:szCs w:val="24"/>
        </w:rPr>
      </w:pPr>
      <w:r>
        <w:rPr>
          <w:rFonts w:cs="Arial"/>
          <w:b/>
          <w:color w:val="5B9BD5" w:themeColor="accent5"/>
          <w:szCs w:val="24"/>
        </w:rPr>
        <w:tab/>
      </w: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The return on equity ratio is good in both year but</w:t>
      </w:r>
      <w:r>
        <w:rPr>
          <w:rFonts w:cs="Arial"/>
          <w:szCs w:val="24"/>
        </w:rPr>
        <w:t xml:space="preserve"> the ratio is reducing in the year of 2019. So, they utilize their equity effectively to generate profit but needs to improve because the return on equity ratio is reducing. </w:t>
      </w:r>
    </w:p>
    <w:p w:rsidR="00831BE9" w:rsidRDefault="00831BE9">
      <w:pPr>
        <w:jc w:val="center"/>
        <w:rPr>
          <w:rFonts w:cs="Arial"/>
          <w:szCs w:val="24"/>
        </w:rPr>
      </w:pPr>
    </w:p>
    <w:p w:rsidR="00831BE9" w:rsidRDefault="00CC4D20">
      <w:pPr>
        <w:tabs>
          <w:tab w:val="right" w:pos="5340"/>
        </w:tabs>
        <w:rPr>
          <w:rFonts w:cs="Arial"/>
          <w:szCs w:val="24"/>
        </w:rPr>
      </w:pPr>
      <w:r>
        <w:rPr>
          <w:rFonts w:cs="Arial"/>
          <w:noProof/>
          <w:szCs w:val="24"/>
        </w:rPr>
        <w:lastRenderedPageBreak/>
        <w:drawing>
          <wp:anchor distT="0" distB="0" distL="114300" distR="114300" simplePos="0" relativeHeight="251702272" behindDoc="0" locked="0" layoutInCell="1" allowOverlap="1">
            <wp:simplePos x="0" y="0"/>
            <wp:positionH relativeFrom="margin">
              <wp:align>left</wp:align>
            </wp:positionH>
            <wp:positionV relativeFrom="paragraph">
              <wp:align>top</wp:align>
            </wp:positionV>
            <wp:extent cx="2814320" cy="2814320"/>
            <wp:effectExtent l="0" t="0" r="5080" b="5080"/>
            <wp:wrapSquare wrapText="bothSides"/>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Pr>
          <w:rFonts w:cs="Arial"/>
          <w:noProof/>
          <w:szCs w:val="24"/>
        </w:rPr>
        <w:drawing>
          <wp:inline distT="0" distB="0" distL="0" distR="0">
            <wp:extent cx="2600325" cy="2754630"/>
            <wp:effectExtent l="0" t="0" r="9525" b="762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rFonts w:cs="Arial"/>
          <w:szCs w:val="24"/>
        </w:rPr>
        <w:tab/>
      </w:r>
      <w:r>
        <w:rPr>
          <w:rFonts w:cs="Arial"/>
          <w:szCs w:val="24"/>
        </w:rPr>
        <w:br w:type="textWrapping" w:clear="all"/>
      </w:r>
    </w:p>
    <w:p w:rsidR="00831BE9" w:rsidRDefault="00CC4D20">
      <w:pPr>
        <w:tabs>
          <w:tab w:val="right" w:pos="5340"/>
        </w:tabs>
        <w:rPr>
          <w:rFonts w:cs="Arial"/>
          <w:szCs w:val="24"/>
        </w:rPr>
      </w:pPr>
      <w:r>
        <w:rPr>
          <w:rFonts w:cs="Arial"/>
          <w:b/>
          <w:color w:val="5B9BD5" w:themeColor="accent5"/>
          <w:szCs w:val="24"/>
        </w:rPr>
        <w:t>Equity</w:t>
      </w:r>
      <w:r>
        <w:rPr>
          <w:rFonts w:cs="Arial"/>
          <w:color w:val="5B9BD5" w:themeColor="accent5"/>
          <w:szCs w:val="24"/>
        </w:rPr>
        <w:t xml:space="preserve"> </w:t>
      </w:r>
      <w:r>
        <w:rPr>
          <w:rFonts w:cs="Arial"/>
          <w:b/>
          <w:color w:val="5B9BD5" w:themeColor="accent5"/>
          <w:szCs w:val="24"/>
        </w:rPr>
        <w:t>Capital</w:t>
      </w:r>
      <w:r>
        <w:rPr>
          <w:rFonts w:cs="Arial"/>
          <w:color w:val="5B9BD5" w:themeColor="accent5"/>
          <w:szCs w:val="24"/>
        </w:rPr>
        <w:t xml:space="preserve"> </w:t>
      </w:r>
      <w:r>
        <w:rPr>
          <w:rFonts w:cs="Arial"/>
          <w:b/>
          <w:color w:val="5B9BD5" w:themeColor="accent5"/>
          <w:szCs w:val="24"/>
        </w:rPr>
        <w:t>Ratio</w:t>
      </w:r>
      <w:r>
        <w:rPr>
          <w:rFonts w:cs="Arial"/>
          <w:szCs w:val="24"/>
        </w:rPr>
        <w:t>:</w:t>
      </w:r>
    </w:p>
    <w:p w:rsidR="00831BE9" w:rsidRDefault="00CC4D20">
      <w:pPr>
        <w:rPr>
          <w:rFonts w:cs="Arial"/>
          <w:szCs w:val="24"/>
        </w:rPr>
      </w:pPr>
      <w:r>
        <w:rPr>
          <w:rFonts w:cs="Arial"/>
          <w:b/>
          <w:szCs w:val="24"/>
        </w:rPr>
        <w:t>Interpretation</w:t>
      </w:r>
      <w:r>
        <w:rPr>
          <w:rFonts w:cs="Arial"/>
          <w:szCs w:val="24"/>
        </w:rPr>
        <w:t>: Below 0.50 it indicates that leverage</w:t>
      </w:r>
      <w:r>
        <w:rPr>
          <w:rFonts w:cs="Arial"/>
          <w:szCs w:val="24"/>
        </w:rPr>
        <w:t>d bank. From 2019 to 2018 the ratio is 0.0514to 0.0550. The equity ratio is low. It will be difficult for creditors because the equity ratio low. That means more assets are funded by investors rather than debt</w:t>
      </w:r>
    </w:p>
    <w:p w:rsidR="00831BE9" w:rsidRDefault="00831BE9">
      <w:pPr>
        <w:tabs>
          <w:tab w:val="right" w:pos="5340"/>
        </w:tabs>
        <w:rPr>
          <w:rFonts w:cs="Arial"/>
          <w:szCs w:val="24"/>
        </w:rPr>
      </w:pPr>
    </w:p>
    <w:p w:rsidR="00831BE9" w:rsidRDefault="00CC4D20">
      <w:pPr>
        <w:rPr>
          <w:rFonts w:cs="Arial"/>
          <w:szCs w:val="24"/>
        </w:rPr>
      </w:pPr>
      <w:r>
        <w:rPr>
          <w:rFonts w:cs="Arial"/>
          <w:b/>
          <w:color w:val="5B9BD5" w:themeColor="accent5"/>
          <w:szCs w:val="24"/>
        </w:rPr>
        <w:t>Debt</w:t>
      </w:r>
      <w:r>
        <w:rPr>
          <w:rFonts w:cs="Arial"/>
          <w:color w:val="5B9BD5" w:themeColor="accent5"/>
          <w:szCs w:val="24"/>
        </w:rPr>
        <w:t xml:space="preserve"> </w:t>
      </w:r>
      <w:r>
        <w:rPr>
          <w:rFonts w:cs="Arial"/>
          <w:b/>
          <w:color w:val="5B9BD5" w:themeColor="accent5"/>
          <w:szCs w:val="24"/>
        </w:rPr>
        <w:t>to</w:t>
      </w:r>
      <w:r>
        <w:rPr>
          <w:rFonts w:cs="Arial"/>
          <w:color w:val="5B9BD5" w:themeColor="accent5"/>
          <w:szCs w:val="24"/>
        </w:rPr>
        <w:t xml:space="preserve"> </w:t>
      </w:r>
      <w:r>
        <w:rPr>
          <w:rFonts w:cs="Arial"/>
          <w:b/>
          <w:color w:val="5B9BD5" w:themeColor="accent5"/>
          <w:szCs w:val="24"/>
        </w:rPr>
        <w:t>Equity</w:t>
      </w:r>
      <w:r>
        <w:rPr>
          <w:rFonts w:cs="Arial"/>
          <w:color w:val="5B9BD5" w:themeColor="accent5"/>
          <w:szCs w:val="24"/>
        </w:rPr>
        <w:t xml:space="preserve"> </w:t>
      </w:r>
      <w:r>
        <w:rPr>
          <w:rFonts w:cs="Arial"/>
          <w:b/>
          <w:color w:val="5B9BD5" w:themeColor="accent5"/>
          <w:szCs w:val="24"/>
        </w:rPr>
        <w:t>Ratio</w:t>
      </w:r>
      <w:r>
        <w:rPr>
          <w:rFonts w:cs="Arial"/>
          <w:szCs w:val="24"/>
        </w:rPr>
        <w:t>:</w:t>
      </w:r>
    </w:p>
    <w:p w:rsidR="00831BE9" w:rsidRDefault="00CC4D20">
      <w:pPr>
        <w:tabs>
          <w:tab w:val="left" w:pos="3600"/>
        </w:tabs>
        <w:rPr>
          <w:rFonts w:cs="Arial"/>
          <w:szCs w:val="24"/>
        </w:rPr>
      </w:pPr>
      <w:r>
        <w:rPr>
          <w:rFonts w:cs="Arial"/>
          <w:b/>
          <w:szCs w:val="24"/>
        </w:rPr>
        <w:t>Interpretation</w:t>
      </w:r>
      <w:r>
        <w:rPr>
          <w:rFonts w:cs="Arial"/>
          <w:szCs w:val="24"/>
        </w:rPr>
        <w:t>: Debt to</w:t>
      </w:r>
      <w:r>
        <w:rPr>
          <w:rFonts w:cs="Arial"/>
          <w:szCs w:val="24"/>
        </w:rPr>
        <w:t xml:space="preserve"> equity ratio is good for both of the year. It is less than 1. That means most of the funding comes from equity. So, Debt to Equity ratio is reducing it is good for Islamic Bank.</w:t>
      </w:r>
    </w:p>
    <w:p w:rsidR="00831BE9" w:rsidRDefault="00831BE9">
      <w:pPr>
        <w:rPr>
          <w:rFonts w:cs="Arial"/>
          <w:szCs w:val="24"/>
        </w:rPr>
      </w:pPr>
    </w:p>
    <w:p w:rsidR="00831BE9" w:rsidRDefault="00831BE9">
      <w:pPr>
        <w:rPr>
          <w:rFonts w:cs="Arial"/>
          <w:szCs w:val="24"/>
        </w:rPr>
      </w:pPr>
    </w:p>
    <w:p w:rsidR="00831BE9" w:rsidRDefault="00CC4D20">
      <w:pPr>
        <w:ind w:left="930"/>
        <w:rPr>
          <w:rFonts w:cs="Arial"/>
          <w:szCs w:val="24"/>
        </w:rPr>
      </w:pPr>
      <w:r>
        <w:rPr>
          <w:rFonts w:cs="Arial"/>
          <w:szCs w:val="24"/>
        </w:rPr>
        <w:t xml:space="preserve">21. </w:t>
      </w:r>
      <w:proofErr w:type="spellStart"/>
      <w:r>
        <w:rPr>
          <w:rFonts w:cs="Arial"/>
          <w:szCs w:val="24"/>
        </w:rPr>
        <w:t>Uttara</w:t>
      </w:r>
      <w:proofErr w:type="spellEnd"/>
      <w:r>
        <w:rPr>
          <w:rFonts w:cs="Arial"/>
          <w:szCs w:val="24"/>
        </w:rPr>
        <w:t xml:space="preserve">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tabs>
                <w:tab w:val="left" w:pos="1260"/>
              </w:tabs>
              <w:spacing w:after="0"/>
              <w:rPr>
                <w:rFonts w:cs="Arial"/>
                <w:b w:val="0"/>
                <w:bCs w:val="0"/>
              </w:rPr>
            </w:pPr>
            <w:r>
              <w:rPr>
                <w:rFonts w:cs="Arial"/>
              </w:rPr>
              <w:t>Details</w:t>
            </w:r>
            <w:r>
              <w:rPr>
                <w:rFonts w:cs="Arial"/>
              </w:rPr>
              <w:tab/>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0.8789%</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0.9709%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189949361833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193077275448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1669618416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1874603374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11.3353%</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11.975%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1669618416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1874603374</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14729279546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15653344946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0.0775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0.0810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14729279546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15653344946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189949361833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193077275448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lastRenderedPageBreak/>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0.3711</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0.0890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5466097631</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1393668941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14729279546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15653344946</w:t>
            </w:r>
          </w:p>
        </w:tc>
      </w:tr>
    </w:tbl>
    <w:p w:rsidR="00831BE9" w:rsidRDefault="00831BE9">
      <w:pPr>
        <w:pStyle w:val="ListParagraph"/>
        <w:ind w:left="1080"/>
        <w:rPr>
          <w:rFonts w:cs="Arial"/>
          <w:szCs w:val="24"/>
        </w:rPr>
      </w:pPr>
    </w:p>
    <w:p w:rsidR="00831BE9" w:rsidRDefault="00CC4D20">
      <w:pPr>
        <w:jc w:val="right"/>
        <w:rPr>
          <w:rFonts w:cs="Arial"/>
          <w:szCs w:val="24"/>
        </w:rPr>
      </w:pPr>
      <w:r>
        <w:rPr>
          <w:rFonts w:cs="Arial"/>
          <w:noProof/>
          <w:szCs w:val="24"/>
        </w:rPr>
        <w:drawing>
          <wp:anchor distT="0" distB="0" distL="114300" distR="114300" simplePos="0" relativeHeight="251703296" behindDoc="0" locked="0" layoutInCell="1" allowOverlap="1">
            <wp:simplePos x="0" y="0"/>
            <wp:positionH relativeFrom="margin">
              <wp:align>left</wp:align>
            </wp:positionH>
            <wp:positionV relativeFrom="paragraph">
              <wp:align>top</wp:align>
            </wp:positionV>
            <wp:extent cx="2861945" cy="2766695"/>
            <wp:effectExtent l="0" t="0" r="14605" b="1460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r>
        <w:rPr>
          <w:rFonts w:cs="Arial"/>
          <w:noProof/>
          <w:szCs w:val="24"/>
        </w:rPr>
        <w:drawing>
          <wp:inline distT="0" distB="0" distL="0" distR="0">
            <wp:extent cx="2790190" cy="2754630"/>
            <wp:effectExtent l="0" t="0" r="10160" b="762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831BE9" w:rsidRDefault="00831BE9">
      <w:pPr>
        <w:rPr>
          <w:rFonts w:cs="Arial"/>
          <w:b/>
          <w:color w:val="5B9BD5" w:themeColor="accent5"/>
          <w:szCs w:val="24"/>
        </w:rPr>
      </w:pP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The </w:t>
      </w:r>
      <w:r>
        <w:rPr>
          <w:rFonts w:cs="Arial"/>
          <w:szCs w:val="24"/>
        </w:rPr>
        <w:t xml:space="preserve">return on asset is over 1% is regarded as good for bank. So, we can see the return on asset of City bank is gradually raising. Here, the ROA of </w:t>
      </w:r>
      <w:proofErr w:type="spellStart"/>
      <w:r>
        <w:rPr>
          <w:rFonts w:cs="Arial"/>
          <w:szCs w:val="24"/>
        </w:rPr>
        <w:t>Uttara</w:t>
      </w:r>
      <w:proofErr w:type="spellEnd"/>
      <w:r>
        <w:rPr>
          <w:rFonts w:cs="Arial"/>
          <w:szCs w:val="24"/>
        </w:rPr>
        <w:t xml:space="preserve"> Bank is slowly raising from 0.8790% to 0.9709% from 2018 to 2019.That means </w:t>
      </w:r>
      <w:proofErr w:type="spellStart"/>
      <w:r>
        <w:rPr>
          <w:rFonts w:cs="Arial"/>
          <w:szCs w:val="24"/>
        </w:rPr>
        <w:t>Uttara</w:t>
      </w:r>
      <w:proofErr w:type="spellEnd"/>
      <w:r>
        <w:rPr>
          <w:rFonts w:cs="Arial"/>
          <w:szCs w:val="24"/>
        </w:rPr>
        <w:t xml:space="preserve"> bank has positive retu</w:t>
      </w:r>
      <w:r>
        <w:rPr>
          <w:rFonts w:cs="Arial"/>
          <w:szCs w:val="24"/>
        </w:rPr>
        <w:t>rn on asset. But the ratio should be increased</w:t>
      </w:r>
    </w:p>
    <w:p w:rsidR="00831BE9" w:rsidRDefault="00CC4D20">
      <w:pPr>
        <w:tabs>
          <w:tab w:val="left" w:pos="1395"/>
        </w:tabs>
        <w:rPr>
          <w:rFonts w:cs="Arial"/>
          <w:b/>
          <w:color w:val="5B9BD5" w:themeColor="accent5"/>
          <w:szCs w:val="24"/>
        </w:rPr>
      </w:pPr>
      <w:r>
        <w:rPr>
          <w:rFonts w:cs="Arial"/>
          <w:b/>
          <w:color w:val="5B9BD5" w:themeColor="accent5"/>
          <w:szCs w:val="24"/>
        </w:rPr>
        <w:tab/>
      </w:r>
    </w:p>
    <w:p w:rsidR="00831BE9" w:rsidRDefault="00CC4D20">
      <w:pPr>
        <w:rPr>
          <w:rFonts w:cs="Arial"/>
          <w:szCs w:val="24"/>
        </w:rPr>
      </w:pP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The</w:t>
      </w:r>
      <w:r>
        <w:rPr>
          <w:rFonts w:cs="Arial"/>
          <w:b/>
          <w:szCs w:val="24"/>
        </w:rPr>
        <w:t xml:space="preserve"> </w:t>
      </w:r>
      <w:r>
        <w:rPr>
          <w:rFonts w:cs="Arial"/>
          <w:szCs w:val="24"/>
        </w:rPr>
        <w:t xml:space="preserve">return on equity of </w:t>
      </w:r>
      <w:proofErr w:type="spellStart"/>
      <w:r>
        <w:rPr>
          <w:rFonts w:cs="Arial"/>
          <w:szCs w:val="24"/>
        </w:rPr>
        <w:t>Uttara</w:t>
      </w:r>
      <w:proofErr w:type="spellEnd"/>
      <w:r>
        <w:rPr>
          <w:rFonts w:cs="Arial"/>
          <w:szCs w:val="24"/>
        </w:rPr>
        <w:t xml:space="preserve"> Bank is raising. That means they effectively utilize their equity to generate profit. Their management knows how to utilize the equi</w:t>
      </w:r>
      <w:r>
        <w:rPr>
          <w:rFonts w:cs="Arial"/>
          <w:szCs w:val="24"/>
        </w:rPr>
        <w:t>ty. More equity means good position in the market.</w:t>
      </w: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CC4D20">
      <w:pPr>
        <w:jc w:val="right"/>
        <w:rPr>
          <w:rFonts w:cs="Arial"/>
          <w:szCs w:val="24"/>
        </w:rPr>
      </w:pPr>
      <w:r>
        <w:rPr>
          <w:rFonts w:cs="Arial"/>
          <w:noProof/>
          <w:szCs w:val="24"/>
        </w:rPr>
        <w:lastRenderedPageBreak/>
        <w:drawing>
          <wp:anchor distT="0" distB="0" distL="114300" distR="114300" simplePos="0" relativeHeight="251704320" behindDoc="0" locked="0" layoutInCell="1" allowOverlap="1">
            <wp:simplePos x="0" y="0"/>
            <wp:positionH relativeFrom="margin">
              <wp:align>left</wp:align>
            </wp:positionH>
            <wp:positionV relativeFrom="paragraph">
              <wp:align>top</wp:align>
            </wp:positionV>
            <wp:extent cx="2908935" cy="2683510"/>
            <wp:effectExtent l="0" t="0" r="5715" b="2540"/>
            <wp:wrapSquare wrapText="bothSides"/>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anchor>
        </w:drawing>
      </w:r>
      <w:r>
        <w:rPr>
          <w:rFonts w:cs="Arial"/>
          <w:noProof/>
          <w:szCs w:val="24"/>
        </w:rPr>
        <w:drawing>
          <wp:inline distT="0" distB="0" distL="0" distR="0">
            <wp:extent cx="2908935" cy="2647950"/>
            <wp:effectExtent l="0" t="0" r="5715" b="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Pr>
          <w:rFonts w:cs="Arial"/>
          <w:szCs w:val="24"/>
        </w:rPr>
        <w:br w:type="textWrapping" w:clear="all"/>
      </w:r>
    </w:p>
    <w:p w:rsidR="00831BE9" w:rsidRDefault="00CC4D20">
      <w:pPr>
        <w:tabs>
          <w:tab w:val="left" w:pos="1305"/>
        </w:tabs>
        <w:rPr>
          <w:rFonts w:cs="Arial"/>
          <w:b/>
          <w:color w:val="5B9BD5" w:themeColor="accent5"/>
          <w:szCs w:val="24"/>
        </w:rPr>
      </w:pPr>
      <w:r>
        <w:rPr>
          <w:rFonts w:cs="Arial"/>
          <w:b/>
          <w:color w:val="5B9BD5" w:themeColor="accent5"/>
          <w:szCs w:val="24"/>
        </w:rPr>
        <w:tab/>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We can see the equity capital ratio positive both of the year but it is less than 0.50 that means low equity ratio. So, in future it will be risky for credit</w:t>
      </w:r>
      <w:r>
        <w:rPr>
          <w:rFonts w:cs="Arial"/>
          <w:szCs w:val="24"/>
        </w:rPr>
        <w:t>ors because equity capital ratio is low.</w:t>
      </w:r>
    </w:p>
    <w:p w:rsidR="00831BE9" w:rsidRDefault="00831BE9">
      <w:pPr>
        <w:rPr>
          <w:rFonts w:cs="Arial"/>
          <w:szCs w:val="24"/>
        </w:rPr>
      </w:pPr>
    </w:p>
    <w:p w:rsidR="00831BE9" w:rsidRDefault="00CC4D20">
      <w:pPr>
        <w:tabs>
          <w:tab w:val="left" w:pos="1755"/>
        </w:tabs>
        <w:rPr>
          <w:rFonts w:cs="Arial"/>
          <w:b/>
          <w:color w:val="5B9BD5" w:themeColor="accent5"/>
          <w:szCs w:val="24"/>
        </w:rPr>
      </w:pPr>
      <w:r>
        <w:rPr>
          <w:rFonts w:cs="Arial"/>
          <w:b/>
          <w:color w:val="5B9BD5" w:themeColor="accent5"/>
          <w:szCs w:val="24"/>
        </w:rPr>
        <w:tab/>
      </w:r>
    </w:p>
    <w:p w:rsidR="00831BE9" w:rsidRDefault="00CC4D20">
      <w:pPr>
        <w:rPr>
          <w:rFonts w:cs="Arial"/>
          <w:b/>
          <w:color w:val="5B9BD5" w:themeColor="accent5"/>
          <w:szCs w:val="24"/>
        </w:rPr>
      </w:pPr>
      <w:r>
        <w:rPr>
          <w:rFonts w:cs="Arial"/>
          <w:b/>
          <w:color w:val="5B9BD5" w:themeColor="accent5"/>
          <w:szCs w:val="24"/>
        </w:rPr>
        <w:t xml:space="preserve">Debt to Equity Ratio: </w:t>
      </w:r>
    </w:p>
    <w:p w:rsidR="00831BE9" w:rsidRDefault="00CC4D20">
      <w:pPr>
        <w:rPr>
          <w:rFonts w:cs="Arial"/>
          <w:szCs w:val="24"/>
        </w:rPr>
      </w:pPr>
      <w:r>
        <w:rPr>
          <w:rFonts w:cs="Arial"/>
          <w:b/>
          <w:szCs w:val="24"/>
        </w:rPr>
        <w:t>Interpretation</w:t>
      </w:r>
      <w:r>
        <w:rPr>
          <w:rFonts w:cs="Arial"/>
          <w:szCs w:val="24"/>
        </w:rPr>
        <w:t>: Debt to equity ratio is good for both of the year. It is less than 1. That means most of the funding is coming from equity. Debt to Equity ratio is reducing so it is good fo</w:t>
      </w:r>
      <w:r>
        <w:rPr>
          <w:rFonts w:cs="Arial"/>
          <w:szCs w:val="24"/>
        </w:rPr>
        <w:t xml:space="preserve">r </w:t>
      </w:r>
      <w:proofErr w:type="spellStart"/>
      <w:r>
        <w:rPr>
          <w:rFonts w:cs="Arial"/>
          <w:szCs w:val="24"/>
        </w:rPr>
        <w:t>Uttara</w:t>
      </w:r>
      <w:proofErr w:type="spellEnd"/>
      <w:r>
        <w:rPr>
          <w:rFonts w:cs="Arial"/>
          <w:szCs w:val="24"/>
        </w:rPr>
        <w:t xml:space="preserve"> Bank. Among all the bank </w:t>
      </w:r>
      <w:proofErr w:type="spellStart"/>
      <w:r>
        <w:rPr>
          <w:rFonts w:cs="Arial"/>
          <w:szCs w:val="24"/>
        </w:rPr>
        <w:t>Uttara</w:t>
      </w:r>
      <w:proofErr w:type="spellEnd"/>
      <w:r>
        <w:rPr>
          <w:rFonts w:cs="Arial"/>
          <w:szCs w:val="24"/>
        </w:rPr>
        <w:t xml:space="preserve"> Bank utilize the equity most effectively. That why their debt to equity ratio is low</w:t>
      </w: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CC4D20">
      <w:pPr>
        <w:ind w:left="930"/>
        <w:rPr>
          <w:rFonts w:cs="Arial"/>
          <w:szCs w:val="24"/>
        </w:rPr>
      </w:pPr>
      <w:r>
        <w:rPr>
          <w:rFonts w:cs="Arial"/>
          <w:szCs w:val="24"/>
        </w:rPr>
        <w:t>22. ICB Islamic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-4.2489%</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-3.7699%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11429696872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11240140191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-485637557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-423752942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4.4347%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3.7255%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-485637557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-423752942</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lastRenderedPageBreak/>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-10950620568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-11374373511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-0.95808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-1.0119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-10950620568</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-11374373511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11429696872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11240140191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-0.4437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-0.4246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4859869961</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4829869861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-10950620568</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-11374373511</w:t>
            </w:r>
          </w:p>
        </w:tc>
      </w:tr>
    </w:tbl>
    <w:p w:rsidR="00831BE9" w:rsidRDefault="00CC4D20">
      <w:pPr>
        <w:rPr>
          <w:rFonts w:cs="Arial"/>
          <w:szCs w:val="24"/>
        </w:rPr>
      </w:pPr>
      <w:r>
        <w:rPr>
          <w:rFonts w:cs="Arial"/>
          <w:noProof/>
          <w:szCs w:val="24"/>
        </w:rPr>
        <w:drawing>
          <wp:anchor distT="0" distB="0" distL="114300" distR="114300" simplePos="0" relativeHeight="251705344" behindDoc="0" locked="0" layoutInCell="1" allowOverlap="1">
            <wp:simplePos x="0" y="0"/>
            <wp:positionH relativeFrom="margin">
              <wp:align>left</wp:align>
            </wp:positionH>
            <wp:positionV relativeFrom="paragraph">
              <wp:posOffset>286385</wp:posOffset>
            </wp:positionV>
            <wp:extent cx="2956560" cy="2575560"/>
            <wp:effectExtent l="0" t="0" r="15240" b="1524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anchor>
        </w:drawing>
      </w:r>
      <w:r>
        <w:rPr>
          <w:rFonts w:cs="Arial"/>
          <w:noProof/>
          <w:szCs w:val="24"/>
        </w:rPr>
        <w:drawing>
          <wp:anchor distT="0" distB="0" distL="114300" distR="114300" simplePos="0" relativeHeight="251706368" behindDoc="0" locked="0" layoutInCell="1" allowOverlap="1">
            <wp:simplePos x="0" y="0"/>
            <wp:positionH relativeFrom="column">
              <wp:posOffset>3087370</wp:posOffset>
            </wp:positionH>
            <wp:positionV relativeFrom="paragraph">
              <wp:posOffset>298450</wp:posOffset>
            </wp:positionV>
            <wp:extent cx="2790190" cy="2564130"/>
            <wp:effectExtent l="0" t="0" r="10160" b="7620"/>
            <wp:wrapSquare wrapText="bothSides"/>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anchor>
        </w:drawing>
      </w:r>
    </w:p>
    <w:p w:rsidR="00831BE9" w:rsidRDefault="00CC4D20">
      <w:pPr>
        <w:rPr>
          <w:rFonts w:cs="Arial"/>
          <w:szCs w:val="24"/>
        </w:rPr>
      </w:pP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We can see ICB Islamic Bank has </w:t>
      </w:r>
      <w:r>
        <w:rPr>
          <w:rFonts w:cs="Arial"/>
          <w:szCs w:val="24"/>
        </w:rPr>
        <w:t>negative return on asset. That means they are unprofitable. They failed to utilize the asset to generate profit. So, their position isn’t good in the market.</w:t>
      </w:r>
    </w:p>
    <w:p w:rsidR="00831BE9" w:rsidRDefault="00831BE9">
      <w:pPr>
        <w:rPr>
          <w:rFonts w:cs="Arial"/>
          <w:szCs w:val="24"/>
        </w:rPr>
      </w:pPr>
    </w:p>
    <w:p w:rsidR="00831BE9" w:rsidRDefault="00CC4D20">
      <w:pPr>
        <w:jc w:val="left"/>
        <w:rPr>
          <w:rFonts w:cs="Arial"/>
          <w:szCs w:val="24"/>
        </w:rPr>
      </w:pPr>
      <w:r>
        <w:rPr>
          <w:rFonts w:cs="Arial"/>
          <w:b/>
          <w:color w:val="5B9BD5" w:themeColor="accent5"/>
          <w:szCs w:val="24"/>
        </w:rPr>
        <w:t>Return on Equity (ROE) (%)</w:t>
      </w:r>
      <w:proofErr w:type="gramStart"/>
      <w:r>
        <w:rPr>
          <w:rFonts w:cs="Arial"/>
          <w:b/>
          <w:color w:val="5B9BD5" w:themeColor="accent5"/>
          <w:szCs w:val="24"/>
        </w:rPr>
        <w:t>:</w:t>
      </w:r>
      <w:proofErr w:type="gramEnd"/>
      <w:r>
        <w:rPr>
          <w:rFonts w:cs="Arial"/>
          <w:b/>
          <w:color w:val="5B9BD5" w:themeColor="accent5"/>
          <w:szCs w:val="24"/>
        </w:rPr>
        <w:br w:type="textWrapping" w:clear="all"/>
      </w:r>
      <w:r>
        <w:rPr>
          <w:rFonts w:cs="Arial"/>
          <w:b/>
          <w:szCs w:val="24"/>
        </w:rPr>
        <w:t>Interpretation</w:t>
      </w:r>
      <w:r>
        <w:rPr>
          <w:rFonts w:cs="Arial"/>
          <w:szCs w:val="24"/>
        </w:rPr>
        <w:t xml:space="preserve">: We can see that return on equity is positive but not </w:t>
      </w:r>
      <w:r>
        <w:rPr>
          <w:rFonts w:cs="Arial"/>
          <w:szCs w:val="24"/>
        </w:rPr>
        <w:t>that much good ratio. The return on equity ratio is reducing from 4.4348 to 3.7255. So, they couldn’t properly use the equity.</w:t>
      </w:r>
    </w:p>
    <w:p w:rsidR="00831BE9" w:rsidRDefault="00831BE9">
      <w:pPr>
        <w:rPr>
          <w:rFonts w:cs="Arial"/>
          <w:szCs w:val="24"/>
        </w:rPr>
      </w:pPr>
    </w:p>
    <w:p w:rsidR="00831BE9" w:rsidRDefault="00CC4D20">
      <w:pPr>
        <w:jc w:val="right"/>
        <w:rPr>
          <w:rFonts w:cs="Arial"/>
          <w:b/>
          <w:color w:val="5B9BD5" w:themeColor="accent5"/>
          <w:szCs w:val="24"/>
        </w:rPr>
      </w:pPr>
      <w:r>
        <w:rPr>
          <w:rFonts w:cs="Arial"/>
          <w:noProof/>
          <w:szCs w:val="24"/>
        </w:rPr>
        <w:lastRenderedPageBreak/>
        <w:drawing>
          <wp:anchor distT="0" distB="0" distL="114300" distR="114300" simplePos="0" relativeHeight="251707392" behindDoc="0" locked="0" layoutInCell="1" allowOverlap="1">
            <wp:simplePos x="0" y="0"/>
            <wp:positionH relativeFrom="margin">
              <wp:align>left</wp:align>
            </wp:positionH>
            <wp:positionV relativeFrom="paragraph">
              <wp:align>top</wp:align>
            </wp:positionV>
            <wp:extent cx="2921000" cy="2802255"/>
            <wp:effectExtent l="0" t="0" r="12700" b="17145"/>
            <wp:wrapSquare wrapText="bothSides"/>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anchor>
        </w:drawing>
      </w:r>
      <w:r>
        <w:rPr>
          <w:rFonts w:cs="Arial"/>
          <w:noProof/>
          <w:szCs w:val="24"/>
        </w:rPr>
        <w:drawing>
          <wp:inline distT="0" distB="0" distL="0" distR="0">
            <wp:extent cx="2861945" cy="2802255"/>
            <wp:effectExtent l="0" t="0" r="14605" b="17145"/>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rPr>
          <w:rFonts w:cs="Arial"/>
          <w:szCs w:val="24"/>
        </w:rPr>
      </w:pPr>
      <w:r>
        <w:rPr>
          <w:rFonts w:cs="Arial"/>
          <w:b/>
          <w:szCs w:val="24"/>
        </w:rPr>
        <w:t>Interpretation</w:t>
      </w:r>
      <w:r>
        <w:rPr>
          <w:rFonts w:cs="Arial"/>
          <w:szCs w:val="24"/>
        </w:rPr>
        <w:t xml:space="preserve">: We can see equity capital ratio is also decreasing. Normally low equity capital ratio </w:t>
      </w:r>
      <w:r>
        <w:rPr>
          <w:rFonts w:cs="Arial"/>
          <w:szCs w:val="24"/>
        </w:rPr>
        <w:t>isn’t good. Here we can see their equity ratio is negative. So, it is very risky for creditors. So, their position isn’t good in the market.</w:t>
      </w:r>
    </w:p>
    <w:p w:rsidR="00831BE9" w:rsidRDefault="00CC4D20">
      <w:pPr>
        <w:tabs>
          <w:tab w:val="left" w:pos="960"/>
        </w:tabs>
        <w:rPr>
          <w:rFonts w:cs="Arial"/>
          <w:b/>
          <w:color w:val="5B9BD5" w:themeColor="accent5"/>
          <w:szCs w:val="24"/>
        </w:rPr>
      </w:pPr>
      <w:r>
        <w:rPr>
          <w:rFonts w:cs="Arial"/>
          <w:b/>
          <w:color w:val="5B9BD5" w:themeColor="accent5"/>
          <w:szCs w:val="24"/>
        </w:rPr>
        <w:tab/>
      </w:r>
    </w:p>
    <w:p w:rsidR="00831BE9" w:rsidRDefault="00CC4D20">
      <w:pPr>
        <w:rPr>
          <w:rFonts w:cs="Arial"/>
          <w:szCs w:val="24"/>
        </w:rPr>
      </w:pPr>
      <w:r>
        <w:rPr>
          <w:rFonts w:cs="Arial"/>
          <w:b/>
          <w:color w:val="5B9BD5" w:themeColor="accent5"/>
          <w:szCs w:val="24"/>
        </w:rPr>
        <w:t>Debt to Equity Ratio</w:t>
      </w:r>
      <w:r>
        <w:rPr>
          <w:rFonts w:cs="Arial"/>
          <w:szCs w:val="24"/>
        </w:rPr>
        <w:t>:</w:t>
      </w:r>
    </w:p>
    <w:p w:rsidR="00831BE9" w:rsidRDefault="00CC4D20">
      <w:pPr>
        <w:rPr>
          <w:rFonts w:cs="Arial"/>
          <w:szCs w:val="24"/>
        </w:rPr>
      </w:pPr>
      <w:r>
        <w:rPr>
          <w:rFonts w:cs="Arial"/>
          <w:b/>
          <w:szCs w:val="24"/>
        </w:rPr>
        <w:t>Interpretation</w:t>
      </w:r>
      <w:r>
        <w:rPr>
          <w:rFonts w:cs="Arial"/>
          <w:szCs w:val="24"/>
        </w:rPr>
        <w:t xml:space="preserve">: Here negative ratio happens in the bank of ICB </w:t>
      </w:r>
      <w:proofErr w:type="spellStart"/>
      <w:r>
        <w:rPr>
          <w:rFonts w:cs="Arial"/>
          <w:szCs w:val="24"/>
        </w:rPr>
        <w:t>Islami</w:t>
      </w:r>
      <w:proofErr w:type="spellEnd"/>
      <w:r>
        <w:rPr>
          <w:rFonts w:cs="Arial"/>
          <w:szCs w:val="24"/>
        </w:rPr>
        <w:t xml:space="preserve"> Bank. When bank has i</w:t>
      </w:r>
      <w:r>
        <w:rPr>
          <w:rFonts w:cs="Arial"/>
          <w:szCs w:val="24"/>
        </w:rPr>
        <w:t>nterest on their debt that’s time negative ratio. This bank is very risky. Investors will not want to invest in this bank. Actually, it shows financial loss of the bank.</w:t>
      </w: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CC4D20">
      <w:pPr>
        <w:rPr>
          <w:rFonts w:cs="Arial"/>
          <w:szCs w:val="24"/>
        </w:rPr>
      </w:pPr>
      <w:r>
        <w:rPr>
          <w:rFonts w:cs="Arial"/>
          <w:szCs w:val="24"/>
        </w:rPr>
        <w:t xml:space="preserve">           23</w:t>
      </w:r>
      <w:proofErr w:type="gramStart"/>
      <w:r>
        <w:rPr>
          <w:rFonts w:cs="Arial"/>
          <w:szCs w:val="24"/>
        </w:rPr>
        <w:t>.Shahjalal</w:t>
      </w:r>
      <w:proofErr w:type="gramEnd"/>
      <w:r>
        <w:rPr>
          <w:rFonts w:cs="Arial"/>
          <w:szCs w:val="24"/>
        </w:rPr>
        <w:t xml:space="preserve"> </w:t>
      </w:r>
      <w:proofErr w:type="spellStart"/>
      <w:r>
        <w:rPr>
          <w:rFonts w:cs="Arial"/>
          <w:szCs w:val="24"/>
        </w:rPr>
        <w:t>Islami</w:t>
      </w:r>
      <w:proofErr w:type="spellEnd"/>
      <w:r>
        <w:rPr>
          <w:rFonts w:cs="Arial"/>
          <w:szCs w:val="24"/>
        </w:rPr>
        <w:t xml:space="preserve">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w:t>
            </w:r>
            <w:r>
              <w:rPr>
                <w:rFonts w:cs="Arial"/>
              </w:rPr>
              <w:t xml:space="preserve">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0.6037%</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0.6457%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243659893222</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266103709111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1471181929</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1718301732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9.9478%</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10.409%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1471181929</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1718301732</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14788965680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16507267412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0.06069</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0.0620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14788965680</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16507267412</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lastRenderedPageBreak/>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243659893222</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266103709111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1.5867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0.6895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23465601827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11382596297</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14788965680</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16507267412</w:t>
            </w:r>
          </w:p>
        </w:tc>
      </w:tr>
    </w:tbl>
    <w:p w:rsidR="00831BE9" w:rsidRDefault="00831BE9">
      <w:pPr>
        <w:rPr>
          <w:rFonts w:cs="Arial"/>
          <w:szCs w:val="24"/>
        </w:rPr>
      </w:pPr>
    </w:p>
    <w:p w:rsidR="00831BE9" w:rsidRDefault="00831BE9">
      <w:pPr>
        <w:jc w:val="center"/>
        <w:rPr>
          <w:rFonts w:cs="Arial"/>
          <w:szCs w:val="24"/>
        </w:rPr>
      </w:pPr>
    </w:p>
    <w:p w:rsidR="00831BE9" w:rsidRDefault="00CC4D20">
      <w:pPr>
        <w:rPr>
          <w:rFonts w:cs="Arial"/>
          <w:b/>
          <w:color w:val="5B9BD5" w:themeColor="accent5"/>
          <w:szCs w:val="24"/>
        </w:rPr>
      </w:pPr>
      <w:r>
        <w:rPr>
          <w:rFonts w:cs="Arial"/>
          <w:noProof/>
          <w:szCs w:val="24"/>
        </w:rPr>
        <w:drawing>
          <wp:anchor distT="0" distB="0" distL="114300" distR="114300" simplePos="0" relativeHeight="251708416" behindDoc="0" locked="0" layoutInCell="1" allowOverlap="1">
            <wp:simplePos x="0" y="0"/>
            <wp:positionH relativeFrom="margin">
              <wp:align>left</wp:align>
            </wp:positionH>
            <wp:positionV relativeFrom="paragraph">
              <wp:align>top</wp:align>
            </wp:positionV>
            <wp:extent cx="2493645" cy="2719070"/>
            <wp:effectExtent l="0" t="0" r="1905" b="508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anchor>
        </w:drawing>
      </w:r>
      <w:r>
        <w:rPr>
          <w:rFonts w:cs="Arial"/>
          <w:noProof/>
          <w:szCs w:val="24"/>
        </w:rPr>
        <w:drawing>
          <wp:anchor distT="0" distB="0" distL="114300" distR="114300" simplePos="0" relativeHeight="251709440" behindDoc="0" locked="0" layoutInCell="1" allowOverlap="1">
            <wp:simplePos x="0" y="0"/>
            <wp:positionH relativeFrom="margin">
              <wp:posOffset>2588260</wp:posOffset>
            </wp:positionH>
            <wp:positionV relativeFrom="paragraph">
              <wp:posOffset>15875</wp:posOffset>
            </wp:positionV>
            <wp:extent cx="2719070" cy="2731135"/>
            <wp:effectExtent l="0" t="0" r="5080" b="12065"/>
            <wp:wrapSquare wrapText="bothSides"/>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The return on asset is over 1% is regarded as good for bank. So, we can see the return on asset of </w:t>
      </w:r>
      <w:proofErr w:type="spellStart"/>
      <w:r>
        <w:rPr>
          <w:rFonts w:cs="Arial"/>
          <w:szCs w:val="24"/>
        </w:rPr>
        <w:t>Shahjalal</w:t>
      </w:r>
      <w:proofErr w:type="spellEnd"/>
      <w:r>
        <w:rPr>
          <w:rFonts w:cs="Arial"/>
          <w:szCs w:val="24"/>
        </w:rPr>
        <w:t xml:space="preserve"> </w:t>
      </w:r>
      <w:proofErr w:type="spellStart"/>
      <w:r>
        <w:rPr>
          <w:rFonts w:cs="Arial"/>
          <w:szCs w:val="24"/>
        </w:rPr>
        <w:t>Islami</w:t>
      </w:r>
      <w:proofErr w:type="spellEnd"/>
      <w:r>
        <w:rPr>
          <w:rFonts w:cs="Arial"/>
          <w:szCs w:val="24"/>
        </w:rPr>
        <w:t xml:space="preserve"> Bank is gradually raising. Here, the ROA of </w:t>
      </w:r>
      <w:proofErr w:type="spellStart"/>
      <w:r>
        <w:rPr>
          <w:rFonts w:cs="Arial"/>
          <w:szCs w:val="24"/>
        </w:rPr>
        <w:t>Shahjalal</w:t>
      </w:r>
      <w:proofErr w:type="spellEnd"/>
      <w:r>
        <w:rPr>
          <w:rFonts w:cs="Arial"/>
          <w:szCs w:val="24"/>
        </w:rPr>
        <w:t xml:space="preserve"> </w:t>
      </w:r>
      <w:proofErr w:type="spellStart"/>
      <w:r>
        <w:rPr>
          <w:rFonts w:cs="Arial"/>
          <w:szCs w:val="24"/>
        </w:rPr>
        <w:t>Islami</w:t>
      </w:r>
      <w:proofErr w:type="spellEnd"/>
      <w:r>
        <w:rPr>
          <w:rFonts w:cs="Arial"/>
          <w:szCs w:val="24"/>
        </w:rPr>
        <w:t xml:space="preserve"> Bank is slowly raising from 0.6038% to 0.6457% from 2018 to 201</w:t>
      </w:r>
      <w:r>
        <w:rPr>
          <w:rFonts w:cs="Arial"/>
          <w:szCs w:val="24"/>
        </w:rPr>
        <w:t xml:space="preserve">9.That means </w:t>
      </w:r>
      <w:proofErr w:type="spellStart"/>
      <w:r>
        <w:rPr>
          <w:rFonts w:cs="Arial"/>
          <w:szCs w:val="24"/>
        </w:rPr>
        <w:t>Shahjalal</w:t>
      </w:r>
      <w:proofErr w:type="spellEnd"/>
      <w:r>
        <w:rPr>
          <w:rFonts w:cs="Arial"/>
          <w:szCs w:val="24"/>
        </w:rPr>
        <w:t xml:space="preserve"> </w:t>
      </w:r>
      <w:proofErr w:type="spellStart"/>
      <w:r>
        <w:rPr>
          <w:rFonts w:cs="Arial"/>
          <w:szCs w:val="24"/>
        </w:rPr>
        <w:t>Islami</w:t>
      </w:r>
      <w:proofErr w:type="spellEnd"/>
      <w:r>
        <w:rPr>
          <w:rFonts w:cs="Arial"/>
          <w:szCs w:val="24"/>
        </w:rPr>
        <w:t xml:space="preserve"> bank has positive return on asset. But the ratio should be increased.</w:t>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The</w:t>
      </w:r>
      <w:r>
        <w:rPr>
          <w:rFonts w:cs="Arial"/>
          <w:b/>
          <w:szCs w:val="24"/>
        </w:rPr>
        <w:t xml:space="preserve"> </w:t>
      </w:r>
      <w:r>
        <w:rPr>
          <w:rFonts w:cs="Arial"/>
          <w:szCs w:val="24"/>
        </w:rPr>
        <w:t xml:space="preserve">return on equity of </w:t>
      </w:r>
      <w:proofErr w:type="spellStart"/>
      <w:r>
        <w:rPr>
          <w:rFonts w:cs="Arial"/>
          <w:szCs w:val="24"/>
        </w:rPr>
        <w:t>Shahjalal</w:t>
      </w:r>
      <w:proofErr w:type="spellEnd"/>
      <w:r>
        <w:rPr>
          <w:rFonts w:cs="Arial"/>
          <w:szCs w:val="24"/>
        </w:rPr>
        <w:t xml:space="preserve"> </w:t>
      </w:r>
      <w:proofErr w:type="spellStart"/>
      <w:r>
        <w:rPr>
          <w:rFonts w:cs="Arial"/>
          <w:szCs w:val="24"/>
        </w:rPr>
        <w:t>Islami</w:t>
      </w:r>
      <w:proofErr w:type="spellEnd"/>
      <w:r>
        <w:rPr>
          <w:rFonts w:cs="Arial"/>
          <w:szCs w:val="24"/>
        </w:rPr>
        <w:t xml:space="preserve"> Bank is raising. That means they effectively utilize their equity to g</w:t>
      </w:r>
      <w:r>
        <w:rPr>
          <w:rFonts w:cs="Arial"/>
          <w:szCs w:val="24"/>
        </w:rPr>
        <w:t>enerate profit. Their management knows how to utilize the equity. More equity means good position in the market.</w:t>
      </w: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CC4D20">
      <w:pPr>
        <w:rPr>
          <w:rFonts w:cs="Arial"/>
          <w:color w:val="5B9BD5" w:themeColor="accent5"/>
          <w:szCs w:val="24"/>
        </w:rPr>
      </w:pPr>
      <w:r>
        <w:rPr>
          <w:rFonts w:cs="Arial"/>
          <w:noProof/>
          <w:szCs w:val="24"/>
        </w:rPr>
        <w:lastRenderedPageBreak/>
        <w:drawing>
          <wp:anchor distT="0" distB="0" distL="114300" distR="114300" simplePos="0" relativeHeight="251710464" behindDoc="0" locked="0" layoutInCell="1" allowOverlap="1">
            <wp:simplePos x="0" y="0"/>
            <wp:positionH relativeFrom="margin">
              <wp:align>left</wp:align>
            </wp:positionH>
            <wp:positionV relativeFrom="paragraph">
              <wp:align>top</wp:align>
            </wp:positionV>
            <wp:extent cx="2754630" cy="2743200"/>
            <wp:effectExtent l="0" t="0" r="7620" b="0"/>
            <wp:wrapSquare wrapText="bothSides"/>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anchor>
        </w:drawing>
      </w:r>
      <w:r>
        <w:rPr>
          <w:rFonts w:cs="Arial"/>
          <w:noProof/>
          <w:szCs w:val="24"/>
        </w:rPr>
        <w:drawing>
          <wp:inline distT="0" distB="0" distL="0" distR="0">
            <wp:extent cx="2849245" cy="2731135"/>
            <wp:effectExtent l="0" t="0" r="8255" b="1206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We can see the equity capital ratio positive both of the year but it is less than 0.50 that means</w:t>
      </w:r>
      <w:r>
        <w:rPr>
          <w:rFonts w:cs="Arial"/>
          <w:szCs w:val="24"/>
        </w:rPr>
        <w:t xml:space="preserve"> low equity ratio. So, in future it will be very risky for credits because equity capital ratio is very much low. </w:t>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t>Interpretation</w:t>
      </w:r>
      <w:r>
        <w:rPr>
          <w:rFonts w:cs="Arial"/>
          <w:szCs w:val="24"/>
        </w:rPr>
        <w:t>: Debt to equity ratio is good for both of the year. It is less than 1. That means most of the funding i</w:t>
      </w:r>
      <w:r>
        <w:rPr>
          <w:rFonts w:cs="Arial"/>
          <w:szCs w:val="24"/>
        </w:rPr>
        <w:t xml:space="preserve">s coming from equity. Debt to Equity ratio is reducing so it is good for </w:t>
      </w:r>
      <w:proofErr w:type="spellStart"/>
      <w:r>
        <w:rPr>
          <w:rFonts w:cs="Arial"/>
          <w:szCs w:val="24"/>
        </w:rPr>
        <w:t>Shahjalal</w:t>
      </w:r>
      <w:proofErr w:type="spellEnd"/>
      <w:r>
        <w:rPr>
          <w:rFonts w:cs="Arial"/>
          <w:szCs w:val="24"/>
        </w:rPr>
        <w:t xml:space="preserve"> </w:t>
      </w:r>
      <w:proofErr w:type="spellStart"/>
      <w:r>
        <w:rPr>
          <w:rFonts w:cs="Arial"/>
          <w:szCs w:val="24"/>
        </w:rPr>
        <w:t>Islami</w:t>
      </w:r>
      <w:proofErr w:type="spellEnd"/>
      <w:r>
        <w:rPr>
          <w:rFonts w:cs="Arial"/>
          <w:szCs w:val="24"/>
        </w:rPr>
        <w:t xml:space="preserve"> Bank.</w:t>
      </w:r>
    </w:p>
    <w:p w:rsidR="00831BE9" w:rsidRDefault="00CC4D20">
      <w:pPr>
        <w:ind w:left="930"/>
        <w:rPr>
          <w:rFonts w:cs="Arial"/>
          <w:szCs w:val="24"/>
        </w:rPr>
      </w:pPr>
      <w:r>
        <w:rPr>
          <w:rFonts w:cs="Arial"/>
          <w:szCs w:val="24"/>
        </w:rPr>
        <w:t xml:space="preserve">24. First Security </w:t>
      </w:r>
      <w:proofErr w:type="spellStart"/>
      <w:r>
        <w:rPr>
          <w:rFonts w:cs="Arial"/>
          <w:szCs w:val="24"/>
        </w:rPr>
        <w:t>Islami</w:t>
      </w:r>
      <w:proofErr w:type="spellEnd"/>
      <w:r>
        <w:rPr>
          <w:rFonts w:cs="Arial"/>
          <w:szCs w:val="24"/>
        </w:rPr>
        <w:t xml:space="preserve">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0.4272%</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0.4705%</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371335783344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437178834150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 xml:space="preserve">Profit After </w:t>
            </w:r>
            <w:r>
              <w:rPr>
                <w:rFonts w:cs="Arial"/>
                <w:b w:val="0"/>
              </w:rPr>
              <w:t>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1586398673</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2056988743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11.9655%</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13.4311%</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1586398673</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2056988743</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13258074806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15315063550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0.03570</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0.03503</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13258074806</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15315063550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371335783344</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437178834150</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1.3227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0.8624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17537698204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13208381804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13258074806</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15315063550</w:t>
            </w:r>
          </w:p>
        </w:tc>
      </w:tr>
    </w:tbl>
    <w:p w:rsidR="00831BE9" w:rsidRDefault="00831BE9">
      <w:pPr>
        <w:pStyle w:val="ListParagraph"/>
        <w:ind w:left="1080"/>
        <w:rPr>
          <w:rFonts w:cs="Arial"/>
          <w:szCs w:val="24"/>
        </w:rPr>
      </w:pPr>
    </w:p>
    <w:p w:rsidR="00831BE9" w:rsidRDefault="00CC4D20">
      <w:pPr>
        <w:jc w:val="right"/>
        <w:rPr>
          <w:rFonts w:cs="Arial"/>
          <w:b/>
          <w:color w:val="5B9BD5" w:themeColor="accent5"/>
          <w:szCs w:val="24"/>
        </w:rPr>
      </w:pPr>
      <w:r>
        <w:rPr>
          <w:rFonts w:cs="Arial"/>
          <w:noProof/>
          <w:szCs w:val="24"/>
        </w:rPr>
        <w:lastRenderedPageBreak/>
        <w:drawing>
          <wp:anchor distT="0" distB="0" distL="114300" distR="114300" simplePos="0" relativeHeight="251711488" behindDoc="0" locked="0" layoutInCell="1" allowOverlap="1">
            <wp:simplePos x="0" y="0"/>
            <wp:positionH relativeFrom="margin">
              <wp:align>left</wp:align>
            </wp:positionH>
            <wp:positionV relativeFrom="paragraph">
              <wp:align>top</wp:align>
            </wp:positionV>
            <wp:extent cx="2873375" cy="2481580"/>
            <wp:effectExtent l="0" t="0" r="3175" b="1397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anchor>
        </w:drawing>
      </w:r>
      <w:r>
        <w:rPr>
          <w:rFonts w:cs="Arial"/>
          <w:noProof/>
          <w:szCs w:val="24"/>
        </w:rPr>
        <w:drawing>
          <wp:inline distT="0" distB="0" distL="0" distR="0">
            <wp:extent cx="2778125" cy="2481580"/>
            <wp:effectExtent l="0" t="0" r="3175" b="1397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The return on asset is over 1% is regarded as good for bank. </w:t>
      </w:r>
      <w:r>
        <w:rPr>
          <w:rFonts w:cs="Arial"/>
          <w:szCs w:val="24"/>
        </w:rPr>
        <w:t xml:space="preserve">So, we can see the return on asset of First Security </w:t>
      </w:r>
      <w:proofErr w:type="spellStart"/>
      <w:r>
        <w:rPr>
          <w:rFonts w:cs="Arial"/>
          <w:szCs w:val="24"/>
        </w:rPr>
        <w:t>Islami</w:t>
      </w:r>
      <w:proofErr w:type="spellEnd"/>
      <w:r>
        <w:rPr>
          <w:rFonts w:cs="Arial"/>
          <w:szCs w:val="24"/>
        </w:rPr>
        <w:t xml:space="preserve"> Bank is gradually raising. Here, the ROA of First Security </w:t>
      </w:r>
      <w:proofErr w:type="spellStart"/>
      <w:r>
        <w:rPr>
          <w:rFonts w:cs="Arial"/>
          <w:szCs w:val="24"/>
        </w:rPr>
        <w:t>Islami</w:t>
      </w:r>
      <w:proofErr w:type="spellEnd"/>
      <w:r>
        <w:rPr>
          <w:rFonts w:cs="Arial"/>
          <w:szCs w:val="24"/>
        </w:rPr>
        <w:t xml:space="preserve"> Bank is slowly raising from 0.4272% to 0.4705% from 2018 to 2019.That means First Security </w:t>
      </w:r>
      <w:proofErr w:type="spellStart"/>
      <w:r>
        <w:rPr>
          <w:rFonts w:cs="Arial"/>
          <w:szCs w:val="24"/>
        </w:rPr>
        <w:t>Islami</w:t>
      </w:r>
      <w:proofErr w:type="spellEnd"/>
      <w:r>
        <w:rPr>
          <w:rFonts w:cs="Arial"/>
          <w:szCs w:val="24"/>
        </w:rPr>
        <w:t xml:space="preserve"> bank has positive return on asse</w:t>
      </w:r>
      <w:r>
        <w:rPr>
          <w:rFonts w:cs="Arial"/>
          <w:szCs w:val="24"/>
        </w:rPr>
        <w:t>t. But the ratio should be increased.</w:t>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The</w:t>
      </w:r>
      <w:r>
        <w:rPr>
          <w:rFonts w:cs="Arial"/>
          <w:b/>
          <w:szCs w:val="24"/>
        </w:rPr>
        <w:t xml:space="preserve"> </w:t>
      </w:r>
      <w:r>
        <w:rPr>
          <w:rFonts w:cs="Arial"/>
          <w:szCs w:val="24"/>
        </w:rPr>
        <w:t xml:space="preserve">return on equity of First Security </w:t>
      </w:r>
      <w:proofErr w:type="spellStart"/>
      <w:r>
        <w:rPr>
          <w:rFonts w:cs="Arial"/>
          <w:szCs w:val="24"/>
        </w:rPr>
        <w:t>Islami</w:t>
      </w:r>
      <w:proofErr w:type="spellEnd"/>
      <w:r>
        <w:rPr>
          <w:rFonts w:cs="Arial"/>
          <w:szCs w:val="24"/>
        </w:rPr>
        <w:t xml:space="preserve"> Bank is raising. That means they effectively utilize their equity to generate profit.  The ratio is 11.9655 to 13.4311. Their m</w:t>
      </w:r>
      <w:r>
        <w:rPr>
          <w:rFonts w:cs="Arial"/>
          <w:szCs w:val="24"/>
        </w:rPr>
        <w:t>anagement knows how to utilize the equity. More equity means good position in the market.</w:t>
      </w:r>
    </w:p>
    <w:p w:rsidR="00831BE9" w:rsidRDefault="00831BE9">
      <w:pPr>
        <w:rPr>
          <w:rFonts w:cs="Arial"/>
          <w:szCs w:val="24"/>
        </w:rPr>
      </w:pPr>
    </w:p>
    <w:p w:rsidR="00831BE9" w:rsidRDefault="00831BE9">
      <w:pPr>
        <w:rPr>
          <w:rFonts w:cs="Arial"/>
          <w:szCs w:val="24"/>
        </w:rPr>
      </w:pPr>
    </w:p>
    <w:p w:rsidR="00831BE9" w:rsidRDefault="00831BE9">
      <w:pPr>
        <w:rPr>
          <w:rFonts w:cs="Arial"/>
          <w:szCs w:val="24"/>
        </w:rPr>
      </w:pPr>
    </w:p>
    <w:p w:rsidR="00831BE9" w:rsidRDefault="00CC4D20">
      <w:pPr>
        <w:rPr>
          <w:rFonts w:cs="Arial"/>
          <w:szCs w:val="24"/>
        </w:rPr>
      </w:pPr>
      <w:r>
        <w:rPr>
          <w:rFonts w:cs="Arial"/>
          <w:noProof/>
          <w:szCs w:val="24"/>
        </w:rPr>
        <w:lastRenderedPageBreak/>
        <w:drawing>
          <wp:anchor distT="0" distB="0" distL="114300" distR="114300" simplePos="0" relativeHeight="251712512" behindDoc="0" locked="0" layoutInCell="1" allowOverlap="1">
            <wp:simplePos x="0" y="0"/>
            <wp:positionH relativeFrom="margin">
              <wp:align>left</wp:align>
            </wp:positionH>
            <wp:positionV relativeFrom="paragraph">
              <wp:posOffset>294005</wp:posOffset>
            </wp:positionV>
            <wp:extent cx="2811145" cy="2517140"/>
            <wp:effectExtent l="0" t="0" r="8255" b="16510"/>
            <wp:wrapSquare wrapText="bothSides"/>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p>
    <w:p w:rsidR="00831BE9" w:rsidRDefault="00CC4D20">
      <w:pPr>
        <w:jc w:val="right"/>
        <w:rPr>
          <w:rFonts w:cs="Arial"/>
          <w:szCs w:val="24"/>
        </w:rPr>
      </w:pPr>
      <w:r>
        <w:rPr>
          <w:rFonts w:cs="Arial"/>
          <w:noProof/>
          <w:szCs w:val="24"/>
        </w:rPr>
        <w:drawing>
          <wp:inline distT="0" distB="0" distL="0" distR="0">
            <wp:extent cx="2753995" cy="2517140"/>
            <wp:effectExtent l="0" t="0" r="8255" b="1651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831BE9" w:rsidRDefault="00CC4D20">
      <w:pPr>
        <w:rPr>
          <w:rFonts w:cs="Arial"/>
          <w:szCs w:val="24"/>
        </w:rPr>
      </w:pP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We can see the equity capital ratio positive both of the year but it is less than 0.50 that means low equity ratio. So,</w:t>
      </w:r>
      <w:r>
        <w:rPr>
          <w:rFonts w:cs="Arial"/>
          <w:szCs w:val="24"/>
        </w:rPr>
        <w:t xml:space="preserve"> in future it will be risky for credits because equity capital ratio is very low. Investors don’t feel safe for investing in this bank.</w:t>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szCs w:val="24"/>
        </w:rPr>
      </w:pPr>
      <w:r>
        <w:rPr>
          <w:rFonts w:cs="Arial"/>
          <w:b/>
          <w:szCs w:val="24"/>
        </w:rPr>
        <w:t>Interpretation</w:t>
      </w:r>
      <w:r>
        <w:rPr>
          <w:rFonts w:cs="Arial"/>
          <w:szCs w:val="24"/>
        </w:rPr>
        <w:t>: Debt to equity ratio is good in the year of 2019. It is less than 1. That means most of the funding is coming from equity. Debt to Equity ratio is reducing from 2018 to 2019. In 2018 the equity ratio was more than 1 but in 2019 they utilize most effectiv</w:t>
      </w:r>
      <w:r>
        <w:rPr>
          <w:rFonts w:cs="Arial"/>
          <w:szCs w:val="24"/>
        </w:rPr>
        <w:t xml:space="preserve">ely. </w:t>
      </w:r>
    </w:p>
    <w:p w:rsidR="00831BE9" w:rsidRDefault="00831BE9">
      <w:pPr>
        <w:rPr>
          <w:rFonts w:cs="Arial"/>
          <w:szCs w:val="24"/>
        </w:rPr>
      </w:pPr>
    </w:p>
    <w:p w:rsidR="00831BE9" w:rsidRDefault="00831BE9">
      <w:pPr>
        <w:rPr>
          <w:rFonts w:cs="Arial"/>
          <w:szCs w:val="24"/>
        </w:rPr>
      </w:pPr>
    </w:p>
    <w:p w:rsidR="00831BE9" w:rsidRDefault="00CC4D20">
      <w:pPr>
        <w:ind w:left="930"/>
        <w:rPr>
          <w:rFonts w:cs="Arial"/>
          <w:szCs w:val="24"/>
        </w:rPr>
      </w:pPr>
      <w:r>
        <w:rPr>
          <w:rFonts w:cs="Arial"/>
          <w:szCs w:val="24"/>
        </w:rPr>
        <w:t>25. Standard Bank Limited:</w:t>
      </w:r>
    </w:p>
    <w:tbl>
      <w:tblPr>
        <w:tblStyle w:val="GridTable1Light1"/>
        <w:tblW w:w="5000" w:type="pct"/>
        <w:tblLook w:val="04A0" w:firstRow="1" w:lastRow="0" w:firstColumn="1" w:lastColumn="0" w:noHBand="0" w:noVBand="1"/>
      </w:tblPr>
      <w:tblGrid>
        <w:gridCol w:w="2508"/>
        <w:gridCol w:w="3422"/>
        <w:gridCol w:w="3420"/>
      </w:tblGrid>
      <w:tr w:rsidR="00831BE9" w:rsidTr="00831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Details</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2018</w:t>
            </w:r>
          </w:p>
        </w:tc>
        <w:tc>
          <w:tcPr>
            <w:tcW w:w="1830" w:type="pct"/>
          </w:tcPr>
          <w:p w:rsidR="00831BE9" w:rsidRDefault="00CC4D20">
            <w:pPr>
              <w:spacing w:after="0"/>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Year 2019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Pr>
          <w:p w:rsidR="00831BE9" w:rsidRDefault="00CC4D20">
            <w:pPr>
              <w:spacing w:after="0"/>
              <w:rPr>
                <w:rFonts w:cs="Arial"/>
                <w:b w:val="0"/>
                <w:bCs w:val="0"/>
              </w:rPr>
            </w:pPr>
            <w:r>
              <w:rPr>
                <w:rFonts w:cs="Arial"/>
              </w:rPr>
              <w:t>Return on Asset (%)</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0.6409%</w:t>
            </w:r>
          </w:p>
        </w:tc>
        <w:tc>
          <w:tcPr>
            <w:tcW w:w="1830" w:type="pct"/>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0.6799%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Asset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19576444947</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220478418636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Profit After tax</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1254736625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1499077196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Return on Equity (%)</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8.4604%</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9.2018%</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Income</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1254736625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1499077196</w:t>
            </w:r>
          </w:p>
        </w:tc>
      </w:tr>
      <w:tr w:rsidR="00831BE9" w:rsidTr="00831BE9">
        <w:trPr>
          <w:trHeight w:val="305"/>
        </w:trPr>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Shareholders’ 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14830607055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16291125004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Equity Capital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0.0757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0.07389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 w:val="0"/>
                <w:bCs w:val="0"/>
              </w:rPr>
            </w:pPr>
            <w:r>
              <w:rPr>
                <w:rFonts w:cs="Arial"/>
                <w:b w:val="0"/>
              </w:rPr>
              <w:lastRenderedPageBreak/>
              <w:t>Shareholders’ Equity</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14830607055</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16291125004</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Cs w:val="0"/>
              </w:rPr>
            </w:pPr>
            <w:r>
              <w:rPr>
                <w:rFonts w:cs="Arial"/>
                <w:b w:val="0"/>
              </w:rPr>
              <w:t>Total Asset</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19576444947</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220478418636</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top w:val="double" w:sz="4" w:space="0" w:color="auto"/>
            </w:tcBorders>
          </w:tcPr>
          <w:p w:rsidR="00831BE9" w:rsidRDefault="00CC4D20">
            <w:pPr>
              <w:spacing w:after="0"/>
              <w:rPr>
                <w:rFonts w:cs="Arial"/>
                <w:b w:val="0"/>
                <w:bCs w:val="0"/>
              </w:rPr>
            </w:pPr>
            <w:r>
              <w:rPr>
                <w:rFonts w:cs="Arial"/>
              </w:rPr>
              <w:t>Debt to Equity Ratio</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0.8107</w:t>
            </w:r>
          </w:p>
        </w:tc>
        <w:tc>
          <w:tcPr>
            <w:tcW w:w="1830" w:type="pct"/>
            <w:tcBorders>
              <w:top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0.7679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single" w:sz="4" w:space="0" w:color="999999" w:themeColor="text1" w:themeTint="66"/>
            </w:tcBorders>
          </w:tcPr>
          <w:p w:rsidR="00831BE9" w:rsidRDefault="00CC4D20">
            <w:pPr>
              <w:spacing w:after="0"/>
              <w:rPr>
                <w:rFonts w:cs="Arial"/>
                <w:bCs w:val="0"/>
              </w:rPr>
            </w:pPr>
            <w:r>
              <w:rPr>
                <w:rFonts w:cs="Arial"/>
                <w:b w:val="0"/>
              </w:rPr>
              <w:t>Total Debt</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12023301514</w:t>
            </w:r>
          </w:p>
        </w:tc>
        <w:tc>
          <w:tcPr>
            <w:tcW w:w="1830" w:type="pct"/>
            <w:tcBorders>
              <w:bottom w:val="single" w:sz="4" w:space="0" w:color="999999" w:themeColor="text1" w:themeTint="66"/>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12511022969</w:t>
            </w:r>
          </w:p>
        </w:tc>
      </w:tr>
      <w:tr w:rsidR="00831BE9" w:rsidTr="00831BE9">
        <w:tc>
          <w:tcPr>
            <w:cnfStyle w:val="001000000000" w:firstRow="0" w:lastRow="0" w:firstColumn="1" w:lastColumn="0" w:oddVBand="0" w:evenVBand="0" w:oddHBand="0" w:evenHBand="0" w:firstRowFirstColumn="0" w:firstRowLastColumn="0" w:lastRowFirstColumn="0" w:lastRowLastColumn="0"/>
            <w:tcW w:w="1341" w:type="pct"/>
            <w:tcBorders>
              <w:bottom w:val="double" w:sz="4" w:space="0" w:color="auto"/>
            </w:tcBorders>
          </w:tcPr>
          <w:p w:rsidR="00831BE9" w:rsidRDefault="00CC4D20">
            <w:pPr>
              <w:spacing w:after="0"/>
              <w:rPr>
                <w:rFonts w:cs="Arial"/>
                <w:b w:val="0"/>
                <w:bCs w:val="0"/>
              </w:rPr>
            </w:pPr>
            <w:r>
              <w:rPr>
                <w:rFonts w:cs="Arial"/>
                <w:b w:val="0"/>
              </w:rPr>
              <w:t xml:space="preserve">Shareholders’ </w:t>
            </w:r>
            <w:r>
              <w:rPr>
                <w:rFonts w:cs="Arial"/>
                <w:b w:val="0"/>
              </w:rPr>
              <w:t>Equity</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14830607055</w:t>
            </w:r>
          </w:p>
        </w:tc>
        <w:tc>
          <w:tcPr>
            <w:tcW w:w="1830" w:type="pct"/>
            <w:tcBorders>
              <w:bottom w:val="double" w:sz="4" w:space="0" w:color="auto"/>
            </w:tcBorders>
          </w:tcPr>
          <w:p w:rsidR="00831BE9" w:rsidRDefault="00CC4D20">
            <w:pPr>
              <w:spacing w:after="0"/>
              <w:cnfStyle w:val="000000000000" w:firstRow="0" w:lastRow="0" w:firstColumn="0" w:lastColumn="0" w:oddVBand="0" w:evenVBand="0" w:oddHBand="0" w:evenHBand="0" w:firstRowFirstColumn="0" w:firstRowLastColumn="0" w:lastRowFirstColumn="0" w:lastRowLastColumn="0"/>
              <w:rPr>
                <w:rFonts w:cs="Arial"/>
              </w:rPr>
            </w:pPr>
            <w:r>
              <w:rPr>
                <w:rFonts w:cs="Arial"/>
              </w:rPr>
              <w:t>16291125004</w:t>
            </w:r>
          </w:p>
        </w:tc>
      </w:tr>
    </w:tbl>
    <w:p w:rsidR="00831BE9" w:rsidRDefault="00831BE9">
      <w:pPr>
        <w:ind w:left="720"/>
        <w:rPr>
          <w:rFonts w:cs="Arial"/>
          <w:szCs w:val="24"/>
        </w:rPr>
      </w:pPr>
    </w:p>
    <w:p w:rsidR="00831BE9" w:rsidRDefault="00831BE9">
      <w:pPr>
        <w:rPr>
          <w:rFonts w:cs="Arial"/>
          <w:szCs w:val="24"/>
        </w:rPr>
      </w:pPr>
    </w:p>
    <w:p w:rsidR="00831BE9" w:rsidRDefault="00CC4D20">
      <w:pPr>
        <w:jc w:val="right"/>
        <w:rPr>
          <w:rFonts w:cs="Arial"/>
          <w:szCs w:val="24"/>
        </w:rPr>
      </w:pPr>
      <w:r>
        <w:rPr>
          <w:rFonts w:cs="Arial"/>
          <w:noProof/>
          <w:szCs w:val="24"/>
        </w:rPr>
        <w:drawing>
          <wp:anchor distT="0" distB="0" distL="114300" distR="114300" simplePos="0" relativeHeight="251713536" behindDoc="0" locked="0" layoutInCell="1" allowOverlap="1">
            <wp:simplePos x="0" y="0"/>
            <wp:positionH relativeFrom="margin">
              <wp:align>left</wp:align>
            </wp:positionH>
            <wp:positionV relativeFrom="paragraph">
              <wp:align>top</wp:align>
            </wp:positionV>
            <wp:extent cx="2766695" cy="2600325"/>
            <wp:effectExtent l="0" t="0" r="14605" b="9525"/>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anchor>
        </w:drawing>
      </w:r>
      <w:r>
        <w:rPr>
          <w:rFonts w:cs="Arial"/>
          <w:noProof/>
          <w:szCs w:val="24"/>
        </w:rPr>
        <w:drawing>
          <wp:inline distT="0" distB="0" distL="0" distR="0">
            <wp:extent cx="2849880" cy="2564765"/>
            <wp:effectExtent l="0" t="0" r="7620" b="6985"/>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Return on Asset (ROA) (%):</w:t>
      </w:r>
    </w:p>
    <w:p w:rsidR="00831BE9" w:rsidRDefault="00CC4D20">
      <w:pPr>
        <w:rPr>
          <w:rFonts w:cs="Arial"/>
          <w:szCs w:val="24"/>
        </w:rPr>
      </w:pPr>
      <w:r>
        <w:rPr>
          <w:rFonts w:cs="Arial"/>
          <w:b/>
          <w:szCs w:val="24"/>
        </w:rPr>
        <w:t>Interpretation</w:t>
      </w:r>
      <w:r>
        <w:rPr>
          <w:rFonts w:cs="Arial"/>
          <w:szCs w:val="24"/>
        </w:rPr>
        <w:t xml:space="preserve">: we can see the return on asset of Standard Bank is gradually raising. Here, the ROA of Standard Bank is slowly raising from 0.6409% to 0.6799% from 2018 to 2019.That means </w:t>
      </w:r>
      <w:r>
        <w:rPr>
          <w:rFonts w:cs="Arial"/>
          <w:szCs w:val="24"/>
        </w:rPr>
        <w:t>Standard Bank has positive return on asset. Management should utilize the asset and the ratio should be increased</w:t>
      </w:r>
    </w:p>
    <w:p w:rsidR="00831BE9" w:rsidRDefault="00CC4D20">
      <w:pPr>
        <w:tabs>
          <w:tab w:val="left" w:pos="2580"/>
        </w:tabs>
        <w:rPr>
          <w:rFonts w:cs="Arial"/>
          <w:b/>
          <w:color w:val="5B9BD5" w:themeColor="accent5"/>
          <w:szCs w:val="24"/>
        </w:rPr>
      </w:pPr>
      <w:r>
        <w:rPr>
          <w:rFonts w:cs="Arial"/>
          <w:b/>
          <w:color w:val="5B9BD5" w:themeColor="accent5"/>
          <w:szCs w:val="24"/>
        </w:rPr>
        <w:tab/>
      </w:r>
    </w:p>
    <w:p w:rsidR="00831BE9" w:rsidRDefault="00CC4D20">
      <w:pPr>
        <w:rPr>
          <w:rFonts w:cs="Arial"/>
          <w:b/>
          <w:color w:val="5B9BD5" w:themeColor="accent5"/>
          <w:szCs w:val="24"/>
        </w:rPr>
      </w:pPr>
      <w:r>
        <w:rPr>
          <w:rFonts w:cs="Arial"/>
          <w:b/>
          <w:color w:val="5B9BD5" w:themeColor="accent5"/>
          <w:szCs w:val="24"/>
        </w:rPr>
        <w:t>Return on Equity (ROE) (%):</w:t>
      </w:r>
    </w:p>
    <w:p w:rsidR="00831BE9" w:rsidRDefault="00CC4D20">
      <w:pPr>
        <w:rPr>
          <w:rFonts w:cs="Arial"/>
          <w:szCs w:val="24"/>
        </w:rPr>
      </w:pPr>
      <w:r>
        <w:rPr>
          <w:rFonts w:cs="Arial"/>
          <w:b/>
          <w:szCs w:val="24"/>
        </w:rPr>
        <w:t>Interpretation</w:t>
      </w:r>
      <w:r>
        <w:rPr>
          <w:rFonts w:cs="Arial"/>
          <w:szCs w:val="24"/>
        </w:rPr>
        <w:t>: The</w:t>
      </w:r>
      <w:r>
        <w:rPr>
          <w:rFonts w:cs="Arial"/>
          <w:b/>
          <w:szCs w:val="24"/>
        </w:rPr>
        <w:t xml:space="preserve"> </w:t>
      </w:r>
      <w:r>
        <w:rPr>
          <w:rFonts w:cs="Arial"/>
          <w:szCs w:val="24"/>
        </w:rPr>
        <w:t xml:space="preserve">return on equity of Standard Bank is raising. That means they effectively utilize their </w:t>
      </w:r>
      <w:r>
        <w:rPr>
          <w:rFonts w:cs="Arial"/>
          <w:szCs w:val="24"/>
        </w:rPr>
        <w:t>equity to generate profit.  The ratio is 8.4605 to 9.2018. Their management knows how to utilize the equity. More equity means good position in the market.</w:t>
      </w:r>
    </w:p>
    <w:p w:rsidR="00831BE9" w:rsidRDefault="00831BE9">
      <w:pPr>
        <w:tabs>
          <w:tab w:val="left" w:pos="3591"/>
        </w:tabs>
        <w:rPr>
          <w:rFonts w:cs="Arial"/>
          <w:szCs w:val="24"/>
        </w:rPr>
      </w:pPr>
    </w:p>
    <w:p w:rsidR="00831BE9" w:rsidRDefault="00831BE9">
      <w:pPr>
        <w:rPr>
          <w:rFonts w:cs="Arial"/>
          <w:szCs w:val="24"/>
        </w:rPr>
      </w:pPr>
    </w:p>
    <w:p w:rsidR="00831BE9" w:rsidRDefault="00831BE9">
      <w:pPr>
        <w:rPr>
          <w:rFonts w:cs="Arial"/>
          <w:szCs w:val="24"/>
        </w:rPr>
      </w:pPr>
    </w:p>
    <w:p w:rsidR="00831BE9" w:rsidRDefault="00CC4D20">
      <w:pPr>
        <w:jc w:val="right"/>
        <w:rPr>
          <w:rFonts w:cs="Arial"/>
          <w:szCs w:val="24"/>
        </w:rPr>
      </w:pPr>
      <w:r>
        <w:rPr>
          <w:rFonts w:cs="Arial"/>
          <w:noProof/>
          <w:szCs w:val="24"/>
        </w:rPr>
        <w:lastRenderedPageBreak/>
        <w:drawing>
          <wp:anchor distT="0" distB="0" distL="114300" distR="114300" simplePos="0" relativeHeight="251714560" behindDoc="0" locked="0" layoutInCell="1" allowOverlap="1">
            <wp:simplePos x="0" y="0"/>
            <wp:positionH relativeFrom="margin">
              <wp:align>left</wp:align>
            </wp:positionH>
            <wp:positionV relativeFrom="paragraph">
              <wp:align>top</wp:align>
            </wp:positionV>
            <wp:extent cx="2933065" cy="2433955"/>
            <wp:effectExtent l="0" t="0" r="635" b="4445"/>
            <wp:wrapSquare wrapText="bothSides"/>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anchor>
        </w:drawing>
      </w:r>
      <w:r>
        <w:rPr>
          <w:rFonts w:cs="Arial"/>
          <w:noProof/>
          <w:szCs w:val="24"/>
        </w:rPr>
        <w:drawing>
          <wp:inline distT="0" distB="0" distL="0" distR="0">
            <wp:extent cx="2837180" cy="2422525"/>
            <wp:effectExtent l="0" t="0" r="1270" b="15875"/>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rFonts w:cs="Arial"/>
          <w:szCs w:val="24"/>
        </w:rPr>
        <w:br w:type="textWrapping" w:clear="all"/>
      </w:r>
    </w:p>
    <w:p w:rsidR="00831BE9" w:rsidRDefault="00CC4D20">
      <w:pPr>
        <w:rPr>
          <w:rFonts w:cs="Arial"/>
          <w:b/>
          <w:color w:val="5B9BD5" w:themeColor="accent5"/>
          <w:szCs w:val="24"/>
        </w:rPr>
      </w:pPr>
      <w:r>
        <w:rPr>
          <w:rFonts w:cs="Arial"/>
          <w:b/>
          <w:color w:val="5B9BD5" w:themeColor="accent5"/>
          <w:szCs w:val="24"/>
        </w:rPr>
        <w:t>Equity Capital Ratio:</w:t>
      </w:r>
    </w:p>
    <w:p w:rsidR="00831BE9" w:rsidRDefault="00CC4D20">
      <w:pPr>
        <w:tabs>
          <w:tab w:val="left" w:pos="3600"/>
        </w:tabs>
        <w:rPr>
          <w:rFonts w:cs="Arial"/>
          <w:szCs w:val="24"/>
        </w:rPr>
      </w:pPr>
      <w:r>
        <w:rPr>
          <w:rFonts w:cs="Arial"/>
          <w:b/>
          <w:szCs w:val="24"/>
        </w:rPr>
        <w:t>Interpretation:</w:t>
      </w:r>
      <w:r>
        <w:rPr>
          <w:rFonts w:cs="Arial"/>
          <w:szCs w:val="24"/>
        </w:rPr>
        <w:t xml:space="preserve"> We can see the equity capital ratio positive both of th</w:t>
      </w:r>
      <w:r>
        <w:rPr>
          <w:rFonts w:cs="Arial"/>
          <w:szCs w:val="24"/>
        </w:rPr>
        <w:t xml:space="preserve">e year but it is less than 0.50 that means low equity ratio. So, in future it will be risky for credits because equity capital ratio is low. </w:t>
      </w:r>
    </w:p>
    <w:p w:rsidR="00831BE9" w:rsidRDefault="00831BE9">
      <w:pPr>
        <w:rPr>
          <w:rFonts w:cs="Arial"/>
          <w:szCs w:val="24"/>
        </w:rPr>
      </w:pPr>
    </w:p>
    <w:p w:rsidR="00831BE9" w:rsidRDefault="00CC4D20">
      <w:pPr>
        <w:rPr>
          <w:rFonts w:cs="Arial"/>
          <w:b/>
          <w:color w:val="5B9BD5" w:themeColor="accent5"/>
          <w:szCs w:val="24"/>
        </w:rPr>
      </w:pPr>
      <w:r>
        <w:rPr>
          <w:rFonts w:cs="Arial"/>
          <w:b/>
          <w:color w:val="5B9BD5" w:themeColor="accent5"/>
          <w:szCs w:val="24"/>
        </w:rPr>
        <w:t>Debt to Equity Ratio:</w:t>
      </w:r>
    </w:p>
    <w:p w:rsidR="00831BE9" w:rsidRDefault="00CC4D20">
      <w:pPr>
        <w:rPr>
          <w:rFonts w:cs="Arial"/>
          <w:b/>
          <w:szCs w:val="24"/>
        </w:rPr>
      </w:pPr>
      <w:r>
        <w:rPr>
          <w:rFonts w:cs="Arial"/>
          <w:b/>
          <w:szCs w:val="24"/>
        </w:rPr>
        <w:t xml:space="preserve">Interpretation: </w:t>
      </w:r>
      <w:r>
        <w:rPr>
          <w:rFonts w:cs="Arial"/>
          <w:szCs w:val="24"/>
        </w:rPr>
        <w:t xml:space="preserve">Debt to equity ratio is good for both of the year. It is less than 1. That </w:t>
      </w:r>
      <w:r>
        <w:rPr>
          <w:rFonts w:cs="Arial"/>
          <w:szCs w:val="24"/>
        </w:rPr>
        <w:t>means most of the funding is coming from equity. Debt to Equity ratio is reducing so it is good for Standard Bank. Standard Bank utilize the equity most effectively. That why their debt to equity ratio is low</w:t>
      </w:r>
    </w:p>
    <w:p w:rsidR="00831BE9" w:rsidRDefault="00831BE9">
      <w:pPr>
        <w:rPr>
          <w:rFonts w:cs="Arial"/>
          <w:szCs w:val="24"/>
        </w:rPr>
      </w:pPr>
    </w:p>
    <w:p w:rsidR="00831BE9" w:rsidRDefault="00831BE9">
      <w:pPr>
        <w:jc w:val="center"/>
        <w:rPr>
          <w:rFonts w:cs="Arial"/>
          <w:szCs w:val="24"/>
        </w:rPr>
      </w:pPr>
    </w:p>
    <w:p w:rsidR="00831BE9" w:rsidRDefault="00831BE9">
      <w:pPr>
        <w:rPr>
          <w:rFonts w:cs="Arial"/>
          <w:szCs w:val="24"/>
        </w:rPr>
      </w:pPr>
    </w:p>
    <w:p w:rsidR="00831BE9" w:rsidRDefault="00CC4D20">
      <w:pPr>
        <w:rPr>
          <w:rFonts w:cs="Arial"/>
          <w:szCs w:val="24"/>
        </w:rPr>
      </w:pPr>
      <w:r>
        <w:rPr>
          <w:rFonts w:cs="Arial"/>
          <w:szCs w:val="24"/>
        </w:rPr>
        <w:br w:type="page"/>
      </w:r>
    </w:p>
    <w:p w:rsidR="00831BE9" w:rsidRDefault="00CC4D20">
      <w:pPr>
        <w:pStyle w:val="Heading2"/>
      </w:pPr>
      <w:r>
        <w:lastRenderedPageBreak/>
        <w:tab/>
      </w:r>
      <w:bookmarkStart w:id="15" w:name="_Toc59461247"/>
      <w:r>
        <w:t>4.2 Findings</w:t>
      </w:r>
      <w:bookmarkEnd w:id="15"/>
      <w:r>
        <w:tab/>
      </w:r>
    </w:p>
    <w:p w:rsidR="00831BE9" w:rsidRDefault="00831BE9"/>
    <w:p w:rsidR="00831BE9" w:rsidRDefault="00CC4D20">
      <w:pPr>
        <w:tabs>
          <w:tab w:val="center" w:pos="4680"/>
          <w:tab w:val="left" w:pos="5631"/>
        </w:tabs>
        <w:rPr>
          <w:rFonts w:cs="Arial"/>
          <w:szCs w:val="24"/>
        </w:rPr>
      </w:pPr>
      <w:r>
        <w:rPr>
          <w:rFonts w:cs="Arial"/>
          <w:szCs w:val="24"/>
        </w:rPr>
        <w:t>After Analyzing 25 commerc</w:t>
      </w:r>
      <w:r>
        <w:rPr>
          <w:rFonts w:cs="Arial"/>
          <w:szCs w:val="24"/>
        </w:rPr>
        <w:t>ial banks, I have founded some of the findings. These findings are given below:</w:t>
      </w:r>
    </w:p>
    <w:p w:rsidR="00831BE9" w:rsidRDefault="00831BE9">
      <w:pPr>
        <w:tabs>
          <w:tab w:val="center" w:pos="4680"/>
          <w:tab w:val="left" w:pos="5631"/>
        </w:tabs>
        <w:rPr>
          <w:rFonts w:cs="Arial"/>
          <w:szCs w:val="24"/>
        </w:rPr>
      </w:pPr>
    </w:p>
    <w:p w:rsidR="00831BE9" w:rsidRDefault="00CC4D20">
      <w:pPr>
        <w:pStyle w:val="ListParagraph"/>
        <w:numPr>
          <w:ilvl w:val="0"/>
          <w:numId w:val="10"/>
        </w:numPr>
        <w:tabs>
          <w:tab w:val="center" w:pos="4680"/>
          <w:tab w:val="left" w:pos="5631"/>
        </w:tabs>
        <w:rPr>
          <w:rFonts w:cs="Arial"/>
          <w:szCs w:val="24"/>
        </w:rPr>
      </w:pPr>
      <w:r>
        <w:rPr>
          <w:rFonts w:cs="Arial"/>
          <w:szCs w:val="24"/>
        </w:rPr>
        <w:t xml:space="preserve">I have found that ICB </w:t>
      </w:r>
      <w:proofErr w:type="spellStart"/>
      <w:r>
        <w:rPr>
          <w:rFonts w:cs="Arial"/>
          <w:szCs w:val="24"/>
        </w:rPr>
        <w:t>Islami</w:t>
      </w:r>
      <w:proofErr w:type="spellEnd"/>
      <w:r>
        <w:rPr>
          <w:rFonts w:cs="Arial"/>
          <w:szCs w:val="24"/>
        </w:rPr>
        <w:t xml:space="preserve"> Bank has negative return on asset, equity capital ratio and debt to equity ratio among 25 commercial banks. ICB failed to generate profit. Their p</w:t>
      </w:r>
      <w:r>
        <w:rPr>
          <w:rFonts w:cs="Arial"/>
          <w:szCs w:val="24"/>
        </w:rPr>
        <w:t>osition isn’t good in the market.</w:t>
      </w:r>
    </w:p>
    <w:p w:rsidR="00831BE9" w:rsidRDefault="00831BE9">
      <w:pPr>
        <w:pStyle w:val="ListParagraph"/>
        <w:tabs>
          <w:tab w:val="center" w:pos="4680"/>
          <w:tab w:val="left" w:pos="5631"/>
        </w:tabs>
        <w:rPr>
          <w:rFonts w:cs="Arial"/>
          <w:szCs w:val="24"/>
        </w:rPr>
      </w:pPr>
    </w:p>
    <w:p w:rsidR="00831BE9" w:rsidRDefault="00CC4D20">
      <w:pPr>
        <w:pStyle w:val="ListParagraph"/>
        <w:numPr>
          <w:ilvl w:val="0"/>
          <w:numId w:val="10"/>
        </w:numPr>
        <w:tabs>
          <w:tab w:val="center" w:pos="4680"/>
          <w:tab w:val="left" w:pos="5631"/>
        </w:tabs>
        <w:rPr>
          <w:rFonts w:cs="Arial"/>
          <w:szCs w:val="24"/>
        </w:rPr>
      </w:pPr>
      <w:r>
        <w:rPr>
          <w:rFonts w:cs="Arial"/>
          <w:szCs w:val="24"/>
        </w:rPr>
        <w:t>Maximum Bank has positive return on asset, positive return on equity, equity capital ratio and debt to equity ratio. The reason is that they utilize all of the asset &amp; equity</w:t>
      </w:r>
    </w:p>
    <w:p w:rsidR="00831BE9" w:rsidRDefault="00831BE9">
      <w:pPr>
        <w:pStyle w:val="ListParagraph"/>
        <w:tabs>
          <w:tab w:val="center" w:pos="4680"/>
          <w:tab w:val="left" w:pos="5631"/>
        </w:tabs>
        <w:rPr>
          <w:rFonts w:cs="Arial"/>
          <w:szCs w:val="24"/>
        </w:rPr>
      </w:pPr>
    </w:p>
    <w:p w:rsidR="00831BE9" w:rsidRDefault="00CC4D20">
      <w:pPr>
        <w:pStyle w:val="ListParagraph"/>
        <w:numPr>
          <w:ilvl w:val="0"/>
          <w:numId w:val="11"/>
        </w:numPr>
        <w:rPr>
          <w:rFonts w:cs="Arial"/>
          <w:szCs w:val="24"/>
        </w:rPr>
      </w:pPr>
      <w:r>
        <w:rPr>
          <w:rFonts w:cs="Arial"/>
          <w:szCs w:val="24"/>
        </w:rPr>
        <w:t xml:space="preserve">Most of the bank’s profitability depends on </w:t>
      </w:r>
      <w:r>
        <w:rPr>
          <w:rFonts w:cs="Arial"/>
          <w:szCs w:val="24"/>
        </w:rPr>
        <w:t>credit risk management.</w:t>
      </w:r>
    </w:p>
    <w:p w:rsidR="00831BE9" w:rsidRDefault="00831BE9">
      <w:pPr>
        <w:pStyle w:val="ListParagraph"/>
        <w:rPr>
          <w:rFonts w:cs="Arial"/>
          <w:szCs w:val="24"/>
        </w:rPr>
      </w:pPr>
    </w:p>
    <w:p w:rsidR="00831BE9" w:rsidRDefault="00CC4D20">
      <w:pPr>
        <w:pStyle w:val="ListParagraph"/>
        <w:numPr>
          <w:ilvl w:val="0"/>
          <w:numId w:val="11"/>
        </w:numPr>
        <w:rPr>
          <w:rFonts w:cs="Arial"/>
          <w:szCs w:val="24"/>
        </w:rPr>
      </w:pPr>
      <w:r>
        <w:rPr>
          <w:rFonts w:cs="Arial"/>
          <w:szCs w:val="24"/>
        </w:rPr>
        <w:t>From 25 commercial banks I see maximum bank give credit chance from their cash flow.</w:t>
      </w:r>
    </w:p>
    <w:p w:rsidR="00831BE9" w:rsidRDefault="00831BE9">
      <w:pPr>
        <w:pStyle w:val="ListParagraph"/>
        <w:rPr>
          <w:rFonts w:cs="Arial"/>
          <w:szCs w:val="24"/>
        </w:rPr>
      </w:pPr>
    </w:p>
    <w:p w:rsidR="00831BE9" w:rsidRDefault="00CC4D20">
      <w:pPr>
        <w:pStyle w:val="ListParagraph"/>
        <w:numPr>
          <w:ilvl w:val="0"/>
          <w:numId w:val="12"/>
        </w:numPr>
        <w:rPr>
          <w:rFonts w:cs="Arial"/>
          <w:szCs w:val="24"/>
        </w:rPr>
      </w:pPr>
      <w:r>
        <w:rPr>
          <w:rFonts w:cs="Arial"/>
          <w:szCs w:val="24"/>
        </w:rPr>
        <w:t>By credit disbursement banks and other institutions make profit. For banking sector and other institution, it is important to control credit risk</w:t>
      </w:r>
      <w:r>
        <w:rPr>
          <w:rFonts w:cs="Arial"/>
          <w:szCs w:val="24"/>
        </w:rPr>
        <w:t xml:space="preserve"> completely.</w:t>
      </w:r>
    </w:p>
    <w:p w:rsidR="00831BE9" w:rsidRDefault="00831BE9">
      <w:pPr>
        <w:pStyle w:val="ListParagraph"/>
        <w:rPr>
          <w:rFonts w:cs="Arial"/>
          <w:szCs w:val="24"/>
        </w:rPr>
      </w:pPr>
    </w:p>
    <w:p w:rsidR="00831BE9" w:rsidRDefault="00CC4D20">
      <w:pPr>
        <w:pStyle w:val="ListParagraph"/>
        <w:numPr>
          <w:ilvl w:val="0"/>
          <w:numId w:val="12"/>
        </w:numPr>
        <w:rPr>
          <w:rFonts w:cs="Arial"/>
          <w:szCs w:val="24"/>
        </w:rPr>
      </w:pPr>
      <w:r>
        <w:rPr>
          <w:rFonts w:cs="Arial"/>
          <w:szCs w:val="24"/>
        </w:rPr>
        <w:t>I can see the current and upcoming financial performance of a bank is increased by successful credit risk management.</w:t>
      </w:r>
    </w:p>
    <w:p w:rsidR="00831BE9" w:rsidRDefault="00831BE9">
      <w:pPr>
        <w:rPr>
          <w:rFonts w:cs="Arial"/>
          <w:szCs w:val="24"/>
        </w:rPr>
      </w:pPr>
    </w:p>
    <w:p w:rsidR="00831BE9" w:rsidRDefault="00831BE9">
      <w:pP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rPr>
          <w:rFonts w:cs="Arial"/>
          <w:szCs w:val="24"/>
        </w:rPr>
      </w:pPr>
    </w:p>
    <w:p w:rsidR="00831BE9" w:rsidRDefault="00CC4D20">
      <w:pPr>
        <w:pStyle w:val="Heading1"/>
        <w:numPr>
          <w:ilvl w:val="0"/>
          <w:numId w:val="0"/>
        </w:numPr>
      </w:pPr>
      <w:bookmarkStart w:id="16" w:name="_Toc59461248"/>
      <w:r>
        <w:lastRenderedPageBreak/>
        <w:t>5.0 Recommendations &amp; Conclusion to the study</w:t>
      </w:r>
      <w:bookmarkEnd w:id="16"/>
    </w:p>
    <w:p w:rsidR="00831BE9" w:rsidRDefault="00831BE9">
      <w:pPr>
        <w:jc w:val="center"/>
        <w:rPr>
          <w:rFonts w:cs="Arial"/>
          <w:b/>
          <w:sz w:val="28"/>
          <w:szCs w:val="28"/>
        </w:rPr>
      </w:pPr>
    </w:p>
    <w:p w:rsidR="00831BE9" w:rsidRDefault="00CC4D20">
      <w:pPr>
        <w:pStyle w:val="Heading2"/>
      </w:pPr>
      <w:bookmarkStart w:id="17" w:name="_Toc59461249"/>
      <w:r>
        <w:t>5.1 Recommendations</w:t>
      </w:r>
      <w:bookmarkEnd w:id="17"/>
    </w:p>
    <w:p w:rsidR="00831BE9" w:rsidRDefault="00831BE9">
      <w:pPr>
        <w:rPr>
          <w:rFonts w:cs="Arial"/>
          <w:szCs w:val="24"/>
        </w:rPr>
      </w:pPr>
    </w:p>
    <w:p w:rsidR="00831BE9" w:rsidRDefault="00CC4D20">
      <w:pPr>
        <w:pStyle w:val="ListParagraph"/>
        <w:ind w:left="960"/>
        <w:rPr>
          <w:rFonts w:cs="Arial"/>
          <w:szCs w:val="24"/>
        </w:rPr>
      </w:pPr>
      <w:r>
        <w:rPr>
          <w:rFonts w:cs="Arial"/>
          <w:szCs w:val="24"/>
        </w:rPr>
        <w:t>According to the perspective of credit risk</w:t>
      </w:r>
      <w:r>
        <w:rPr>
          <w:rFonts w:cs="Arial"/>
          <w:szCs w:val="24"/>
        </w:rPr>
        <w:t xml:space="preserve"> management, there are some recommendations I will give. That is given below:</w:t>
      </w:r>
    </w:p>
    <w:p w:rsidR="00831BE9" w:rsidRDefault="00831BE9">
      <w:pPr>
        <w:pStyle w:val="ListParagraph"/>
        <w:ind w:left="960" w:firstLine="720"/>
        <w:rPr>
          <w:rFonts w:cs="Arial"/>
          <w:szCs w:val="24"/>
        </w:rPr>
      </w:pPr>
    </w:p>
    <w:p w:rsidR="00831BE9" w:rsidRDefault="00831BE9">
      <w:pPr>
        <w:pStyle w:val="ListParagraph"/>
        <w:ind w:left="960"/>
        <w:rPr>
          <w:rFonts w:cs="Arial"/>
          <w:szCs w:val="24"/>
        </w:rPr>
      </w:pPr>
    </w:p>
    <w:p w:rsidR="00831BE9" w:rsidRDefault="00CC4D20">
      <w:pPr>
        <w:pStyle w:val="ListParagraph"/>
        <w:numPr>
          <w:ilvl w:val="0"/>
          <w:numId w:val="13"/>
        </w:numPr>
        <w:spacing w:line="259" w:lineRule="auto"/>
        <w:jc w:val="left"/>
        <w:rPr>
          <w:rFonts w:cs="Arial"/>
          <w:szCs w:val="24"/>
        </w:rPr>
      </w:pPr>
      <w:r>
        <w:rPr>
          <w:rFonts w:cs="Arial"/>
          <w:szCs w:val="24"/>
        </w:rPr>
        <w:t>Loan department should be aware of giving loan and taking loan also.</w:t>
      </w:r>
    </w:p>
    <w:p w:rsidR="00831BE9" w:rsidRDefault="00831BE9">
      <w:pPr>
        <w:pStyle w:val="ListParagraph"/>
        <w:ind w:left="1680"/>
        <w:rPr>
          <w:rFonts w:cs="Arial"/>
          <w:szCs w:val="24"/>
        </w:rPr>
      </w:pPr>
    </w:p>
    <w:p w:rsidR="00831BE9" w:rsidRDefault="00CC4D20">
      <w:pPr>
        <w:pStyle w:val="ListParagraph"/>
        <w:numPr>
          <w:ilvl w:val="0"/>
          <w:numId w:val="13"/>
        </w:numPr>
        <w:spacing w:line="259" w:lineRule="auto"/>
        <w:jc w:val="left"/>
        <w:rPr>
          <w:rFonts w:cs="Arial"/>
          <w:szCs w:val="24"/>
        </w:rPr>
      </w:pPr>
      <w:r>
        <w:rPr>
          <w:rFonts w:cs="Arial"/>
          <w:szCs w:val="24"/>
        </w:rPr>
        <w:t xml:space="preserve">Loan Department can check the loan every day that client take. It will help the bank to know they will </w:t>
      </w:r>
      <w:r>
        <w:rPr>
          <w:rFonts w:cs="Arial"/>
          <w:szCs w:val="24"/>
        </w:rPr>
        <w:t>give loan or not.</w:t>
      </w:r>
    </w:p>
    <w:p w:rsidR="00831BE9" w:rsidRDefault="00831BE9">
      <w:pPr>
        <w:pStyle w:val="ListParagraph"/>
        <w:ind w:left="1680"/>
        <w:rPr>
          <w:rFonts w:cs="Arial"/>
          <w:szCs w:val="24"/>
        </w:rPr>
      </w:pPr>
    </w:p>
    <w:p w:rsidR="00831BE9" w:rsidRDefault="00CC4D20">
      <w:pPr>
        <w:pStyle w:val="ListParagraph"/>
        <w:numPr>
          <w:ilvl w:val="0"/>
          <w:numId w:val="13"/>
        </w:numPr>
        <w:spacing w:line="259" w:lineRule="auto"/>
        <w:jc w:val="left"/>
        <w:rPr>
          <w:rFonts w:cs="Arial"/>
          <w:szCs w:val="24"/>
        </w:rPr>
      </w:pPr>
      <w:proofErr w:type="spellStart"/>
      <w:r>
        <w:rPr>
          <w:rFonts w:cs="Arial"/>
          <w:szCs w:val="24"/>
        </w:rPr>
        <w:t>Monnitor</w:t>
      </w:r>
      <w:proofErr w:type="spellEnd"/>
      <w:r>
        <w:rPr>
          <w:rFonts w:cs="Arial"/>
          <w:szCs w:val="24"/>
        </w:rPr>
        <w:t xml:space="preserve"> the loan after approving the client’s loan.</w:t>
      </w:r>
    </w:p>
    <w:p w:rsidR="00831BE9" w:rsidRDefault="00831BE9">
      <w:pPr>
        <w:pStyle w:val="ListParagraph"/>
        <w:rPr>
          <w:rFonts w:cs="Arial"/>
          <w:szCs w:val="24"/>
        </w:rPr>
      </w:pPr>
    </w:p>
    <w:p w:rsidR="00831BE9" w:rsidRDefault="00CC4D20">
      <w:pPr>
        <w:pStyle w:val="ListParagraph"/>
        <w:numPr>
          <w:ilvl w:val="0"/>
          <w:numId w:val="13"/>
        </w:numPr>
        <w:spacing w:line="259" w:lineRule="auto"/>
        <w:jc w:val="left"/>
        <w:rPr>
          <w:rFonts w:cs="Arial"/>
          <w:szCs w:val="24"/>
        </w:rPr>
      </w:pPr>
      <w:r>
        <w:rPr>
          <w:rFonts w:cs="Arial"/>
          <w:szCs w:val="24"/>
        </w:rPr>
        <w:t>By giving loan bank can earn huge profit. So bank have to be well managed to give loan.</w:t>
      </w:r>
    </w:p>
    <w:p w:rsidR="00831BE9" w:rsidRDefault="00831BE9">
      <w:pPr>
        <w:pStyle w:val="ListParagraph"/>
        <w:rPr>
          <w:rFonts w:cs="Arial"/>
          <w:szCs w:val="24"/>
        </w:rPr>
      </w:pPr>
    </w:p>
    <w:p w:rsidR="00831BE9" w:rsidRDefault="00CC4D20">
      <w:pPr>
        <w:pStyle w:val="ListParagraph"/>
        <w:numPr>
          <w:ilvl w:val="0"/>
          <w:numId w:val="13"/>
        </w:numPr>
        <w:spacing w:line="259" w:lineRule="auto"/>
        <w:jc w:val="left"/>
        <w:rPr>
          <w:rFonts w:cs="Arial"/>
          <w:szCs w:val="24"/>
        </w:rPr>
      </w:pPr>
      <w:r>
        <w:rPr>
          <w:rFonts w:cs="Arial"/>
          <w:szCs w:val="24"/>
        </w:rPr>
        <w:t>For getting proper output, the working environment should be flexible.</w:t>
      </w:r>
    </w:p>
    <w:p w:rsidR="00831BE9" w:rsidRDefault="00831BE9">
      <w:pPr>
        <w:pStyle w:val="ListParagraph"/>
        <w:rPr>
          <w:rFonts w:cs="Arial"/>
          <w:szCs w:val="24"/>
        </w:rPr>
      </w:pPr>
    </w:p>
    <w:p w:rsidR="00831BE9" w:rsidRDefault="00CC4D20">
      <w:pPr>
        <w:pStyle w:val="ListParagraph"/>
        <w:numPr>
          <w:ilvl w:val="0"/>
          <w:numId w:val="13"/>
        </w:numPr>
        <w:spacing w:line="259" w:lineRule="auto"/>
        <w:jc w:val="left"/>
        <w:rPr>
          <w:rFonts w:cs="Arial"/>
          <w:szCs w:val="24"/>
        </w:rPr>
      </w:pPr>
      <w:r>
        <w:rPr>
          <w:rFonts w:cs="Arial"/>
          <w:szCs w:val="24"/>
        </w:rPr>
        <w:t>The loan procedure sho</w:t>
      </w:r>
      <w:r>
        <w:rPr>
          <w:rFonts w:cs="Arial"/>
          <w:szCs w:val="24"/>
        </w:rPr>
        <w:t>uld be followed that Bangladesh Bank has given.</w:t>
      </w:r>
    </w:p>
    <w:p w:rsidR="00831BE9" w:rsidRDefault="00831BE9">
      <w:pPr>
        <w:pStyle w:val="ListParagraph"/>
        <w:rPr>
          <w:rFonts w:cs="Arial"/>
          <w:szCs w:val="24"/>
        </w:rPr>
      </w:pPr>
    </w:p>
    <w:p w:rsidR="00831BE9" w:rsidRDefault="00CC4D20">
      <w:pPr>
        <w:pStyle w:val="ListParagraph"/>
        <w:numPr>
          <w:ilvl w:val="0"/>
          <w:numId w:val="13"/>
        </w:numPr>
        <w:spacing w:line="259" w:lineRule="auto"/>
        <w:jc w:val="left"/>
        <w:rPr>
          <w:rFonts w:cs="Arial"/>
          <w:szCs w:val="24"/>
        </w:rPr>
      </w:pPr>
      <w:r>
        <w:rPr>
          <w:rFonts w:eastAsia="Times New Roman" w:cs="Arial"/>
          <w:szCs w:val="24"/>
        </w:rPr>
        <w:t>By giving debt a banker can’t stay freely. The main reason of the commercial bank failure is to bad loans. So after measuring all the things they should give loan to the clients.</w:t>
      </w:r>
    </w:p>
    <w:p w:rsidR="00831BE9" w:rsidRDefault="00CC4D20">
      <w:pPr>
        <w:pStyle w:val="ListParagraph"/>
        <w:tabs>
          <w:tab w:val="left" w:pos="3708"/>
        </w:tabs>
        <w:rPr>
          <w:rFonts w:cs="Arial"/>
          <w:szCs w:val="24"/>
        </w:rPr>
      </w:pPr>
      <w:r>
        <w:rPr>
          <w:rFonts w:cs="Arial"/>
          <w:szCs w:val="24"/>
        </w:rPr>
        <w:tab/>
      </w:r>
    </w:p>
    <w:p w:rsidR="00831BE9" w:rsidRDefault="00CC4D20">
      <w:pPr>
        <w:pStyle w:val="ListParagraph"/>
        <w:ind w:left="1680"/>
        <w:rPr>
          <w:rFonts w:cs="Arial"/>
          <w:szCs w:val="24"/>
        </w:rPr>
      </w:pPr>
      <w:r>
        <w:rPr>
          <w:rFonts w:cs="Arial"/>
          <w:szCs w:val="24"/>
        </w:rPr>
        <w:t xml:space="preserve"> </w:t>
      </w:r>
    </w:p>
    <w:p w:rsidR="00831BE9" w:rsidRDefault="00CC4D20">
      <w:pPr>
        <w:pStyle w:val="ListParagraph"/>
        <w:numPr>
          <w:ilvl w:val="0"/>
          <w:numId w:val="13"/>
        </w:numPr>
        <w:spacing w:line="259" w:lineRule="auto"/>
        <w:jc w:val="left"/>
        <w:rPr>
          <w:rFonts w:cs="Arial"/>
          <w:szCs w:val="24"/>
        </w:rPr>
      </w:pPr>
      <w:r>
        <w:rPr>
          <w:rFonts w:cs="Arial"/>
          <w:szCs w:val="24"/>
        </w:rPr>
        <w:t xml:space="preserve">My research is based on </w:t>
      </w:r>
      <w:r>
        <w:rPr>
          <w:rFonts w:cs="Arial"/>
          <w:szCs w:val="24"/>
        </w:rPr>
        <w:t>credit risk management of 25 commercial bank in Bangladesh. So I will recommend for future researcher to do research credit risk management of foreign commercial bank also.  It will help to people to know which country is better in managing credit risk man</w:t>
      </w:r>
      <w:r>
        <w:rPr>
          <w:rFonts w:cs="Arial"/>
          <w:szCs w:val="24"/>
        </w:rPr>
        <w:t>agement.</w:t>
      </w:r>
    </w:p>
    <w:p w:rsidR="00831BE9" w:rsidRDefault="00831BE9">
      <w:pPr>
        <w:pStyle w:val="ListParagraph"/>
        <w:rPr>
          <w:rFonts w:cs="Arial"/>
          <w:szCs w:val="24"/>
        </w:rPr>
      </w:pPr>
    </w:p>
    <w:p w:rsidR="00831BE9" w:rsidRDefault="00831BE9">
      <w:pPr>
        <w:pStyle w:val="ListParagraph"/>
        <w:ind w:left="1680"/>
        <w:rPr>
          <w:rFonts w:cs="Arial"/>
          <w:szCs w:val="24"/>
        </w:rPr>
      </w:pPr>
    </w:p>
    <w:p w:rsidR="00831BE9" w:rsidRDefault="00831BE9">
      <w:pPr>
        <w:rPr>
          <w:rFonts w:cs="Arial"/>
          <w:szCs w:val="24"/>
        </w:rPr>
      </w:pPr>
    </w:p>
    <w:p w:rsidR="00831BE9" w:rsidRDefault="00831BE9">
      <w:pPr>
        <w:rPr>
          <w:rFonts w:cs="Arial"/>
          <w:szCs w:val="24"/>
        </w:rPr>
      </w:pPr>
    </w:p>
    <w:p w:rsidR="00831BE9" w:rsidRDefault="00831BE9">
      <w:pPr>
        <w:jc w:val="center"/>
        <w:rPr>
          <w:rFonts w:cs="Arial"/>
          <w:szCs w:val="24"/>
        </w:rPr>
      </w:pPr>
    </w:p>
    <w:p w:rsidR="00831BE9" w:rsidRDefault="00831BE9">
      <w:pPr>
        <w:rPr>
          <w:rFonts w:cs="Arial"/>
          <w:szCs w:val="24"/>
        </w:rPr>
      </w:pPr>
    </w:p>
    <w:p w:rsidR="00831BE9" w:rsidRDefault="00831BE9"/>
    <w:p w:rsidR="00831BE9" w:rsidRDefault="00CC4D20">
      <w:pPr>
        <w:pStyle w:val="Heading2"/>
      </w:pPr>
      <w:bookmarkStart w:id="18" w:name="_Toc59461250"/>
      <w:r>
        <w:lastRenderedPageBreak/>
        <w:t>5.2 Conclusion</w:t>
      </w:r>
      <w:bookmarkEnd w:id="18"/>
    </w:p>
    <w:p w:rsidR="00831BE9" w:rsidRDefault="00831BE9"/>
    <w:p w:rsidR="00831BE9" w:rsidRDefault="00831BE9">
      <w:pPr>
        <w:jc w:val="center"/>
        <w:rPr>
          <w:rFonts w:cs="Arial"/>
          <w:szCs w:val="24"/>
        </w:rPr>
      </w:pPr>
    </w:p>
    <w:p w:rsidR="00831BE9" w:rsidRDefault="00CC4D20">
      <w:pPr>
        <w:rPr>
          <w:rFonts w:cs="Arial"/>
          <w:szCs w:val="24"/>
        </w:rPr>
      </w:pPr>
      <w:r>
        <w:rPr>
          <w:rFonts w:cs="Arial"/>
          <w:szCs w:val="24"/>
        </w:rPr>
        <w:t xml:space="preserve">To conclude the report, it is important to say that all banks has been contributing to our economy for improving our nation. The biggest challenge for our market is to control credit risk management. By analyzing I founded </w:t>
      </w:r>
      <w:r>
        <w:rPr>
          <w:rFonts w:cs="Arial"/>
          <w:szCs w:val="24"/>
        </w:rPr>
        <w:t>that bank’s profitability depends on loans. My main motive is to know credit risk management of 25 commercial banks in Bangladesh. This paper is all about credit risk management of commercial banks over 2018 to 2019.</w:t>
      </w:r>
    </w:p>
    <w:p w:rsidR="00831BE9" w:rsidRDefault="00831BE9">
      <w:pPr>
        <w:rPr>
          <w:rFonts w:cs="Arial"/>
          <w:szCs w:val="24"/>
        </w:rPr>
      </w:pPr>
    </w:p>
    <w:p w:rsidR="00831BE9" w:rsidRDefault="00CC4D20">
      <w:pPr>
        <w:rPr>
          <w:rFonts w:cs="Arial"/>
          <w:szCs w:val="24"/>
        </w:rPr>
      </w:pPr>
      <w:r>
        <w:rPr>
          <w:rFonts w:cs="Arial"/>
          <w:szCs w:val="24"/>
        </w:rPr>
        <w:t xml:space="preserve"> Indeed, credit risk is positively rel</w:t>
      </w:r>
      <w:r>
        <w:rPr>
          <w:rFonts w:cs="Arial"/>
          <w:szCs w:val="24"/>
        </w:rPr>
        <w:t xml:space="preserve">ated by return on asset ratio without ICB </w:t>
      </w:r>
      <w:proofErr w:type="spellStart"/>
      <w:r>
        <w:rPr>
          <w:rFonts w:cs="Arial"/>
          <w:szCs w:val="24"/>
        </w:rPr>
        <w:t>Islami</w:t>
      </w:r>
      <w:proofErr w:type="spellEnd"/>
      <w:r>
        <w:rPr>
          <w:rFonts w:cs="Arial"/>
          <w:szCs w:val="24"/>
        </w:rPr>
        <w:t xml:space="preserve"> Bank. Technical department should more conscious for analyzing the risk. The main factor is risk. If they technically handled the risk, they will earn more profit.</w:t>
      </w:r>
    </w:p>
    <w:p w:rsidR="00831BE9" w:rsidRDefault="00831BE9">
      <w:pPr>
        <w:rPr>
          <w:rFonts w:cs="Arial"/>
          <w:szCs w:val="24"/>
        </w:rPr>
      </w:pPr>
    </w:p>
    <w:p w:rsidR="00831BE9" w:rsidRDefault="00CC4D20">
      <w:pPr>
        <w:rPr>
          <w:rFonts w:cs="Arial"/>
          <w:szCs w:val="24"/>
        </w:rPr>
      </w:pPr>
      <w:r>
        <w:rPr>
          <w:rFonts w:cs="Arial"/>
          <w:szCs w:val="24"/>
        </w:rPr>
        <w:t>I can see all the banks try to minimize th</w:t>
      </w:r>
      <w:r>
        <w:rPr>
          <w:rFonts w:cs="Arial"/>
          <w:szCs w:val="24"/>
        </w:rPr>
        <w:t xml:space="preserve">e loan. For this they have hired skilled employees. I can see also maximum bank’s condition is good without ICB </w:t>
      </w:r>
      <w:proofErr w:type="spellStart"/>
      <w:r>
        <w:rPr>
          <w:rFonts w:cs="Arial"/>
          <w:szCs w:val="24"/>
        </w:rPr>
        <w:t>Islami</w:t>
      </w:r>
      <w:proofErr w:type="spellEnd"/>
      <w:r>
        <w:rPr>
          <w:rFonts w:cs="Arial"/>
          <w:szCs w:val="24"/>
        </w:rPr>
        <w:t xml:space="preserve"> Bank.</w:t>
      </w:r>
    </w:p>
    <w:p w:rsidR="00831BE9" w:rsidRDefault="00831BE9">
      <w:pPr>
        <w:rPr>
          <w:rFonts w:cs="Arial"/>
          <w:szCs w:val="24"/>
        </w:rPr>
      </w:pPr>
    </w:p>
    <w:p w:rsidR="00831BE9" w:rsidRDefault="00CC4D20">
      <w:pPr>
        <w:rPr>
          <w:rFonts w:cs="Arial"/>
          <w:szCs w:val="24"/>
        </w:rPr>
      </w:pPr>
      <w:r>
        <w:rPr>
          <w:rFonts w:cs="Arial"/>
          <w:szCs w:val="24"/>
        </w:rPr>
        <w:t>The promising business for any country is the banking industry. But day by day it is becoming worse for not repaying the loan. Tha</w:t>
      </w:r>
      <w:r>
        <w:rPr>
          <w:rFonts w:cs="Arial"/>
          <w:szCs w:val="24"/>
        </w:rPr>
        <w:t>t’s why economic condition is also getting worse. In this case investor lose their interest to invest in the banking sector.  The Government should take step and give instruction to invest certain places.</w:t>
      </w:r>
    </w:p>
    <w:p w:rsidR="00831BE9" w:rsidRDefault="00CC4D20">
      <w:pPr>
        <w:tabs>
          <w:tab w:val="left" w:pos="8340"/>
        </w:tabs>
        <w:jc w:val="left"/>
        <w:rPr>
          <w:rFonts w:cs="Arial"/>
          <w:szCs w:val="24"/>
        </w:rPr>
      </w:pPr>
      <w:r>
        <w:rPr>
          <w:rFonts w:cs="Arial"/>
          <w:szCs w:val="24"/>
        </w:rPr>
        <w:tab/>
      </w:r>
    </w:p>
    <w:p w:rsidR="00831BE9" w:rsidRDefault="00831BE9">
      <w:pPr>
        <w:jc w:val="left"/>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jc w:val="center"/>
        <w:rPr>
          <w:rFonts w:cs="Arial"/>
          <w:szCs w:val="24"/>
        </w:rPr>
      </w:pPr>
    </w:p>
    <w:p w:rsidR="00831BE9" w:rsidRDefault="00831BE9">
      <w:pPr>
        <w:pStyle w:val="Heading1"/>
        <w:numPr>
          <w:ilvl w:val="0"/>
          <w:numId w:val="0"/>
        </w:numPr>
        <w:jc w:val="center"/>
      </w:pPr>
    </w:p>
    <w:p w:rsidR="00831BE9" w:rsidRDefault="00831BE9"/>
    <w:p w:rsidR="00831BE9" w:rsidRDefault="00CC4D20">
      <w:pPr>
        <w:pStyle w:val="Heading1"/>
        <w:numPr>
          <w:ilvl w:val="0"/>
          <w:numId w:val="0"/>
        </w:numPr>
        <w:jc w:val="center"/>
      </w:pPr>
      <w:bookmarkStart w:id="19" w:name="_Toc59461251"/>
      <w:r>
        <w:lastRenderedPageBreak/>
        <w:t>6.0 Reference</w:t>
      </w:r>
      <w:bookmarkEnd w:id="19"/>
    </w:p>
    <w:p w:rsidR="00831BE9" w:rsidRDefault="00831BE9">
      <w:pPr>
        <w:jc w:val="center"/>
        <w:rPr>
          <w:rFonts w:cs="Arial"/>
          <w:szCs w:val="24"/>
        </w:rPr>
      </w:pPr>
    </w:p>
    <w:p w:rsidR="00831BE9" w:rsidRDefault="00CC4D20">
      <w:pPr>
        <w:rPr>
          <w:rFonts w:cs="Arial"/>
          <w:color w:val="222222"/>
          <w:szCs w:val="24"/>
          <w:shd w:val="clear" w:color="auto" w:fill="FFFFFF"/>
        </w:rPr>
      </w:pPr>
      <w:r>
        <w:rPr>
          <w:rFonts w:cs="Arial"/>
          <w:color w:val="222222"/>
          <w:szCs w:val="24"/>
          <w:shd w:val="clear" w:color="auto" w:fill="FFFFFF"/>
        </w:rPr>
        <w:t xml:space="preserve">Weber, O., </w:t>
      </w:r>
      <w:proofErr w:type="spellStart"/>
      <w:r>
        <w:rPr>
          <w:rFonts w:cs="Arial"/>
          <w:color w:val="222222"/>
          <w:szCs w:val="24"/>
          <w:shd w:val="clear" w:color="auto" w:fill="FFFFFF"/>
        </w:rPr>
        <w:t>Hoque</w:t>
      </w:r>
      <w:proofErr w:type="spellEnd"/>
      <w:r>
        <w:rPr>
          <w:rFonts w:cs="Arial"/>
          <w:color w:val="222222"/>
          <w:szCs w:val="24"/>
          <w:shd w:val="clear" w:color="auto" w:fill="FFFFFF"/>
        </w:rPr>
        <w:t xml:space="preserve">, A., </w:t>
      </w:r>
      <w:r>
        <w:rPr>
          <w:rFonts w:cs="Arial"/>
          <w:color w:val="222222"/>
          <w:szCs w:val="24"/>
          <w:shd w:val="clear" w:color="auto" w:fill="FFFFFF"/>
        </w:rPr>
        <w:t xml:space="preserve">&amp; </w:t>
      </w:r>
      <w:proofErr w:type="spellStart"/>
      <w:r>
        <w:rPr>
          <w:rFonts w:cs="Arial"/>
          <w:color w:val="222222"/>
          <w:szCs w:val="24"/>
          <w:shd w:val="clear" w:color="auto" w:fill="FFFFFF"/>
        </w:rPr>
        <w:t>Ayub</w:t>
      </w:r>
      <w:proofErr w:type="spellEnd"/>
      <w:r>
        <w:rPr>
          <w:rFonts w:cs="Arial"/>
          <w:color w:val="222222"/>
          <w:szCs w:val="24"/>
          <w:shd w:val="clear" w:color="auto" w:fill="FFFFFF"/>
        </w:rPr>
        <w:t xml:space="preserve"> Islam, M. (2015). Incorporating environmental criteria into credit risk management in Bangladeshi banks. </w:t>
      </w:r>
      <w:r>
        <w:rPr>
          <w:rFonts w:cs="Arial"/>
          <w:i/>
          <w:iCs/>
          <w:color w:val="222222"/>
          <w:szCs w:val="24"/>
          <w:shd w:val="clear" w:color="auto" w:fill="FFFFFF"/>
        </w:rPr>
        <w:t>Journal of Sustainable Finance &amp; Investment</w:t>
      </w:r>
      <w:r>
        <w:rPr>
          <w:rFonts w:cs="Arial"/>
          <w:color w:val="222222"/>
          <w:szCs w:val="24"/>
          <w:shd w:val="clear" w:color="auto" w:fill="FFFFFF"/>
        </w:rPr>
        <w:t>, </w:t>
      </w:r>
      <w:r>
        <w:rPr>
          <w:rFonts w:cs="Arial"/>
          <w:i/>
          <w:iCs/>
          <w:color w:val="222222"/>
          <w:szCs w:val="24"/>
          <w:shd w:val="clear" w:color="auto" w:fill="FFFFFF"/>
        </w:rPr>
        <w:t>5</w:t>
      </w:r>
      <w:r>
        <w:rPr>
          <w:rFonts w:cs="Arial"/>
          <w:color w:val="222222"/>
          <w:szCs w:val="24"/>
          <w:shd w:val="clear" w:color="auto" w:fill="FFFFFF"/>
        </w:rPr>
        <w:t>(1-2), 1-15.</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Lalon</w:t>
      </w:r>
      <w:proofErr w:type="spellEnd"/>
      <w:r>
        <w:rPr>
          <w:rFonts w:cs="Arial"/>
          <w:color w:val="222222"/>
          <w:szCs w:val="24"/>
          <w:shd w:val="clear" w:color="auto" w:fill="FFFFFF"/>
        </w:rPr>
        <w:t xml:space="preserve">, R. M. (2015). </w:t>
      </w:r>
      <w:proofErr w:type="gramStart"/>
      <w:r>
        <w:rPr>
          <w:rFonts w:cs="Arial"/>
          <w:color w:val="222222"/>
          <w:szCs w:val="24"/>
          <w:shd w:val="clear" w:color="auto" w:fill="FFFFFF"/>
        </w:rPr>
        <w:t>credit</w:t>
      </w:r>
      <w:proofErr w:type="gramEnd"/>
      <w:r>
        <w:rPr>
          <w:rFonts w:cs="Arial"/>
          <w:color w:val="222222"/>
          <w:szCs w:val="24"/>
          <w:shd w:val="clear" w:color="auto" w:fill="FFFFFF"/>
        </w:rPr>
        <w:t xml:space="preserve"> risk management (CRM) practices in commercial banks of Ba</w:t>
      </w:r>
      <w:r>
        <w:rPr>
          <w:rFonts w:cs="Arial"/>
          <w:color w:val="222222"/>
          <w:szCs w:val="24"/>
          <w:shd w:val="clear" w:color="auto" w:fill="FFFFFF"/>
        </w:rPr>
        <w:t>ngladesh: “A study on basic bank Ltd.”. </w:t>
      </w:r>
      <w:r>
        <w:rPr>
          <w:rFonts w:cs="Arial"/>
          <w:i/>
          <w:iCs/>
          <w:color w:val="222222"/>
          <w:szCs w:val="24"/>
          <w:shd w:val="clear" w:color="auto" w:fill="FFFFFF"/>
        </w:rPr>
        <w:t>International Journal of Economics, Finance and Management Sciences</w:t>
      </w:r>
      <w:r>
        <w:rPr>
          <w:rFonts w:cs="Arial"/>
          <w:color w:val="222222"/>
          <w:szCs w:val="24"/>
          <w:shd w:val="clear" w:color="auto" w:fill="FFFFFF"/>
        </w:rPr>
        <w:t>, </w:t>
      </w:r>
      <w:r>
        <w:rPr>
          <w:rFonts w:cs="Arial"/>
          <w:i/>
          <w:iCs/>
          <w:color w:val="222222"/>
          <w:szCs w:val="24"/>
          <w:shd w:val="clear" w:color="auto" w:fill="FFFFFF"/>
        </w:rPr>
        <w:t>3</w:t>
      </w:r>
      <w:r>
        <w:rPr>
          <w:rFonts w:cs="Arial"/>
          <w:color w:val="222222"/>
          <w:szCs w:val="24"/>
          <w:shd w:val="clear" w:color="auto" w:fill="FFFFFF"/>
        </w:rPr>
        <w:t>(2), 78-90.</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Alam</w:t>
      </w:r>
      <w:proofErr w:type="spellEnd"/>
      <w:r>
        <w:rPr>
          <w:rFonts w:cs="Arial"/>
          <w:color w:val="222222"/>
          <w:szCs w:val="24"/>
          <w:shd w:val="clear" w:color="auto" w:fill="FFFFFF"/>
        </w:rPr>
        <w:t xml:space="preserve">, M. Z., &amp; </w:t>
      </w:r>
      <w:proofErr w:type="spellStart"/>
      <w:r>
        <w:rPr>
          <w:rFonts w:cs="Arial"/>
          <w:color w:val="222222"/>
          <w:szCs w:val="24"/>
          <w:shd w:val="clear" w:color="auto" w:fill="FFFFFF"/>
        </w:rPr>
        <w:t>Musukujjaman</w:t>
      </w:r>
      <w:proofErr w:type="spellEnd"/>
      <w:r>
        <w:rPr>
          <w:rFonts w:cs="Arial"/>
          <w:color w:val="222222"/>
          <w:szCs w:val="24"/>
          <w:shd w:val="clear" w:color="auto" w:fill="FFFFFF"/>
        </w:rPr>
        <w:t>, M. (2011). Risk management practices: A critical diagnosis of some selected commercial banks in Banglades</w:t>
      </w:r>
      <w:r>
        <w:rPr>
          <w:rFonts w:cs="Arial"/>
          <w:color w:val="222222"/>
          <w:szCs w:val="24"/>
          <w:shd w:val="clear" w:color="auto" w:fill="FFFFFF"/>
        </w:rPr>
        <w:t>h. </w:t>
      </w:r>
      <w:r>
        <w:rPr>
          <w:rFonts w:cs="Arial"/>
          <w:i/>
          <w:iCs/>
          <w:color w:val="222222"/>
          <w:szCs w:val="24"/>
          <w:shd w:val="clear" w:color="auto" w:fill="FFFFFF"/>
        </w:rPr>
        <w:t>Journal of Business and Technology (Dhaka)</w:t>
      </w:r>
      <w:r>
        <w:rPr>
          <w:rFonts w:cs="Arial"/>
          <w:color w:val="222222"/>
          <w:szCs w:val="24"/>
          <w:shd w:val="clear" w:color="auto" w:fill="FFFFFF"/>
        </w:rPr>
        <w:t>, </w:t>
      </w:r>
      <w:r>
        <w:rPr>
          <w:rFonts w:cs="Arial"/>
          <w:i/>
          <w:iCs/>
          <w:color w:val="222222"/>
          <w:szCs w:val="24"/>
          <w:shd w:val="clear" w:color="auto" w:fill="FFFFFF"/>
        </w:rPr>
        <w:t>6</w:t>
      </w:r>
      <w:r>
        <w:rPr>
          <w:rFonts w:cs="Arial"/>
          <w:color w:val="222222"/>
          <w:szCs w:val="24"/>
          <w:shd w:val="clear" w:color="auto" w:fill="FFFFFF"/>
        </w:rPr>
        <w:t>(1), 15-35.</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Noman</w:t>
      </w:r>
      <w:proofErr w:type="spellEnd"/>
      <w:r>
        <w:rPr>
          <w:rFonts w:cs="Arial"/>
          <w:color w:val="222222"/>
          <w:szCs w:val="24"/>
          <w:shd w:val="clear" w:color="auto" w:fill="FFFFFF"/>
        </w:rPr>
        <w:t xml:space="preserve">, A. H. M., </w:t>
      </w:r>
      <w:proofErr w:type="spellStart"/>
      <w:r>
        <w:rPr>
          <w:rFonts w:cs="Arial"/>
          <w:color w:val="222222"/>
          <w:szCs w:val="24"/>
          <w:shd w:val="clear" w:color="auto" w:fill="FFFFFF"/>
        </w:rPr>
        <w:t>Pervin</w:t>
      </w:r>
      <w:proofErr w:type="spellEnd"/>
      <w:r>
        <w:rPr>
          <w:rFonts w:cs="Arial"/>
          <w:color w:val="222222"/>
          <w:szCs w:val="24"/>
          <w:shd w:val="clear" w:color="auto" w:fill="FFFFFF"/>
        </w:rPr>
        <w:t xml:space="preserve">, S., Chowdhury, M. M., &amp; </w:t>
      </w:r>
      <w:proofErr w:type="spellStart"/>
      <w:r>
        <w:rPr>
          <w:rFonts w:cs="Arial"/>
          <w:color w:val="222222"/>
          <w:szCs w:val="24"/>
          <w:shd w:val="clear" w:color="auto" w:fill="FFFFFF"/>
        </w:rPr>
        <w:t>Banna</w:t>
      </w:r>
      <w:proofErr w:type="spellEnd"/>
      <w:r>
        <w:rPr>
          <w:rFonts w:cs="Arial"/>
          <w:color w:val="222222"/>
          <w:szCs w:val="24"/>
          <w:shd w:val="clear" w:color="auto" w:fill="FFFFFF"/>
        </w:rPr>
        <w:t>, H. (2015). The effect of credit risk on the banking profitability: A case on Bangladesh. </w:t>
      </w:r>
      <w:r>
        <w:rPr>
          <w:rFonts w:cs="Arial"/>
          <w:i/>
          <w:iCs/>
          <w:color w:val="222222"/>
          <w:szCs w:val="24"/>
          <w:shd w:val="clear" w:color="auto" w:fill="FFFFFF"/>
        </w:rPr>
        <w:t>Global journal of management and business research</w:t>
      </w:r>
      <w:r>
        <w:rPr>
          <w:rFonts w:cs="Arial"/>
          <w:color w:val="222222"/>
          <w:szCs w:val="24"/>
          <w:shd w:val="clear" w:color="auto" w:fill="FFFFFF"/>
        </w:rPr>
        <w:t>.</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Sufian</w:t>
      </w:r>
      <w:proofErr w:type="spellEnd"/>
      <w:r>
        <w:rPr>
          <w:rFonts w:cs="Arial"/>
          <w:color w:val="222222"/>
          <w:szCs w:val="24"/>
          <w:shd w:val="clear" w:color="auto" w:fill="FFFFFF"/>
        </w:rPr>
        <w:t xml:space="preserve">, F., &amp; </w:t>
      </w:r>
      <w:proofErr w:type="spellStart"/>
      <w:r>
        <w:rPr>
          <w:rFonts w:cs="Arial"/>
          <w:color w:val="222222"/>
          <w:szCs w:val="24"/>
          <w:shd w:val="clear" w:color="auto" w:fill="FFFFFF"/>
        </w:rPr>
        <w:t>Habibullah</w:t>
      </w:r>
      <w:proofErr w:type="spellEnd"/>
      <w:r>
        <w:rPr>
          <w:rFonts w:cs="Arial"/>
          <w:color w:val="222222"/>
          <w:szCs w:val="24"/>
          <w:shd w:val="clear" w:color="auto" w:fill="FFFFFF"/>
        </w:rPr>
        <w:t>, M. S. (2009). Determinants of bank profitability in a developing economy: Empirical evidence from Bangladesh. </w:t>
      </w:r>
      <w:r>
        <w:rPr>
          <w:rFonts w:cs="Arial"/>
          <w:i/>
          <w:iCs/>
          <w:color w:val="222222"/>
          <w:szCs w:val="24"/>
          <w:shd w:val="clear" w:color="auto" w:fill="FFFFFF"/>
        </w:rPr>
        <w:t>Journal of business economics and management</w:t>
      </w:r>
      <w:r>
        <w:rPr>
          <w:rFonts w:cs="Arial"/>
          <w:color w:val="222222"/>
          <w:szCs w:val="24"/>
          <w:shd w:val="clear" w:color="auto" w:fill="FFFFFF"/>
        </w:rPr>
        <w:t>, </w:t>
      </w:r>
      <w:r>
        <w:rPr>
          <w:rFonts w:cs="Arial"/>
          <w:i/>
          <w:iCs/>
          <w:color w:val="222222"/>
          <w:szCs w:val="24"/>
          <w:shd w:val="clear" w:color="auto" w:fill="FFFFFF"/>
        </w:rPr>
        <w:t>10</w:t>
      </w:r>
      <w:r>
        <w:rPr>
          <w:rFonts w:cs="Arial"/>
          <w:color w:val="222222"/>
          <w:szCs w:val="24"/>
          <w:shd w:val="clear" w:color="auto" w:fill="FFFFFF"/>
        </w:rPr>
        <w:t>(3), 207-217.</w:t>
      </w:r>
    </w:p>
    <w:p w:rsidR="00831BE9" w:rsidRDefault="00CC4D20">
      <w:pPr>
        <w:rPr>
          <w:rFonts w:cs="Arial"/>
          <w:color w:val="222222"/>
          <w:szCs w:val="24"/>
          <w:shd w:val="clear" w:color="auto" w:fill="FFFFFF"/>
        </w:rPr>
      </w:pPr>
      <w:r>
        <w:rPr>
          <w:rFonts w:cs="Arial"/>
          <w:color w:val="222222"/>
          <w:szCs w:val="24"/>
          <w:shd w:val="clear" w:color="auto" w:fill="FFFFFF"/>
        </w:rPr>
        <w:t xml:space="preserve">Islam, K. M., </w:t>
      </w:r>
      <w:proofErr w:type="spellStart"/>
      <w:r>
        <w:rPr>
          <w:rFonts w:cs="Arial"/>
          <w:color w:val="222222"/>
          <w:szCs w:val="24"/>
          <w:shd w:val="clear" w:color="auto" w:fill="FFFFFF"/>
        </w:rPr>
        <w:t>Alam</w:t>
      </w:r>
      <w:proofErr w:type="spellEnd"/>
      <w:r>
        <w:rPr>
          <w:rFonts w:cs="Arial"/>
          <w:color w:val="222222"/>
          <w:szCs w:val="24"/>
          <w:shd w:val="clear" w:color="auto" w:fill="FFFFFF"/>
        </w:rPr>
        <w:t xml:space="preserve">, M. B., &amp; Hossain, M. M. (2019). </w:t>
      </w:r>
      <w:r>
        <w:rPr>
          <w:rFonts w:cs="Arial"/>
          <w:color w:val="222222"/>
          <w:szCs w:val="24"/>
          <w:shd w:val="clear" w:color="auto" w:fill="FFFFFF"/>
        </w:rPr>
        <w:t>Impact of Credit Risk Management on Bank Performance: Empirical Evidence from Bangladesh. </w:t>
      </w:r>
      <w:r>
        <w:rPr>
          <w:rFonts w:cs="Arial"/>
          <w:i/>
          <w:iCs/>
          <w:color w:val="222222"/>
          <w:szCs w:val="24"/>
          <w:shd w:val="clear" w:color="auto" w:fill="FFFFFF"/>
        </w:rPr>
        <w:t>South Asian Journal of Management</w:t>
      </w:r>
      <w:r>
        <w:rPr>
          <w:rFonts w:cs="Arial"/>
          <w:color w:val="222222"/>
          <w:szCs w:val="24"/>
          <w:shd w:val="clear" w:color="auto" w:fill="FFFFFF"/>
        </w:rPr>
        <w:t>, </w:t>
      </w:r>
      <w:r>
        <w:rPr>
          <w:rFonts w:cs="Arial"/>
          <w:i/>
          <w:iCs/>
          <w:color w:val="222222"/>
          <w:szCs w:val="24"/>
          <w:shd w:val="clear" w:color="auto" w:fill="FFFFFF"/>
        </w:rPr>
        <w:t>26</w:t>
      </w:r>
      <w:r>
        <w:rPr>
          <w:rFonts w:cs="Arial"/>
          <w:color w:val="222222"/>
          <w:szCs w:val="24"/>
          <w:shd w:val="clear" w:color="auto" w:fill="FFFFFF"/>
        </w:rPr>
        <w:t>(2).</w:t>
      </w:r>
    </w:p>
    <w:p w:rsidR="00831BE9" w:rsidRDefault="00CC4D20">
      <w:pPr>
        <w:rPr>
          <w:rFonts w:cs="Arial"/>
          <w:color w:val="222222"/>
          <w:szCs w:val="24"/>
          <w:shd w:val="clear" w:color="auto" w:fill="FFFFFF"/>
        </w:rPr>
      </w:pPr>
      <w:r>
        <w:rPr>
          <w:rFonts w:cs="Arial"/>
          <w:color w:val="222222"/>
          <w:szCs w:val="24"/>
          <w:shd w:val="clear" w:color="auto" w:fill="FFFFFF"/>
        </w:rPr>
        <w:t>Das, S., &amp; Das, S. (2007). Credit Risk Management Practices–An Evaluation of Commercial Banks in Bangladesh. </w:t>
      </w:r>
      <w:r>
        <w:rPr>
          <w:rFonts w:cs="Arial"/>
          <w:i/>
          <w:iCs/>
          <w:color w:val="222222"/>
          <w:szCs w:val="24"/>
          <w:shd w:val="clear" w:color="auto" w:fill="FFFFFF"/>
        </w:rPr>
        <w:t xml:space="preserve">ASA University </w:t>
      </w:r>
      <w:r>
        <w:rPr>
          <w:rFonts w:cs="Arial"/>
          <w:i/>
          <w:iCs/>
          <w:color w:val="222222"/>
          <w:szCs w:val="24"/>
          <w:shd w:val="clear" w:color="auto" w:fill="FFFFFF"/>
        </w:rPr>
        <w:t>Review, July-December</w:t>
      </w:r>
      <w:r>
        <w:rPr>
          <w:rFonts w:cs="Arial"/>
          <w:color w:val="222222"/>
          <w:szCs w:val="24"/>
          <w:shd w:val="clear" w:color="auto" w:fill="FFFFFF"/>
        </w:rPr>
        <w:t>.</w:t>
      </w:r>
    </w:p>
    <w:p w:rsidR="00831BE9" w:rsidRDefault="00CC4D20">
      <w:pPr>
        <w:rPr>
          <w:rFonts w:cs="Arial"/>
          <w:color w:val="222222"/>
          <w:sz w:val="20"/>
          <w:szCs w:val="20"/>
          <w:shd w:val="clear" w:color="auto" w:fill="FFFFFF"/>
        </w:rPr>
      </w:pPr>
      <w:r>
        <w:rPr>
          <w:rFonts w:cs="Arial"/>
          <w:color w:val="222222"/>
          <w:szCs w:val="24"/>
          <w:shd w:val="clear" w:color="auto" w:fill="FFFFFF"/>
        </w:rPr>
        <w:t xml:space="preserve">Noor, M. A., Das, P. C., &amp; </w:t>
      </w:r>
      <w:proofErr w:type="spellStart"/>
      <w:r>
        <w:rPr>
          <w:rFonts w:cs="Arial"/>
          <w:color w:val="222222"/>
          <w:szCs w:val="24"/>
          <w:shd w:val="clear" w:color="auto" w:fill="FFFFFF"/>
        </w:rPr>
        <w:t>Banik</w:t>
      </w:r>
      <w:proofErr w:type="spellEnd"/>
      <w:r>
        <w:rPr>
          <w:rFonts w:cs="Arial"/>
          <w:color w:val="222222"/>
          <w:szCs w:val="24"/>
          <w:shd w:val="clear" w:color="auto" w:fill="FFFFFF"/>
        </w:rPr>
        <w:t>, B. P. (2018). Impact of Credit Risk Management on Financial Performance of Banks: A Study on Major State-Owned Commercial Banks in Bangladesh. </w:t>
      </w:r>
      <w:r>
        <w:rPr>
          <w:rFonts w:cs="Arial"/>
          <w:i/>
          <w:iCs/>
          <w:color w:val="222222"/>
          <w:szCs w:val="24"/>
          <w:shd w:val="clear" w:color="auto" w:fill="FFFFFF"/>
        </w:rPr>
        <w:t>The Cost and Management</w:t>
      </w:r>
      <w:r>
        <w:rPr>
          <w:rFonts w:cs="Arial"/>
          <w:color w:val="222222"/>
          <w:szCs w:val="24"/>
          <w:shd w:val="clear" w:color="auto" w:fill="FFFFFF"/>
        </w:rPr>
        <w:t>, </w:t>
      </w:r>
      <w:r>
        <w:rPr>
          <w:rFonts w:cs="Arial"/>
          <w:i/>
          <w:iCs/>
          <w:color w:val="222222"/>
          <w:szCs w:val="24"/>
          <w:shd w:val="clear" w:color="auto" w:fill="FFFFFF"/>
        </w:rPr>
        <w:t>46</w:t>
      </w:r>
      <w:r>
        <w:rPr>
          <w:rFonts w:cs="Arial"/>
          <w:color w:val="222222"/>
          <w:szCs w:val="24"/>
          <w:shd w:val="clear" w:color="auto" w:fill="FFFFFF"/>
        </w:rPr>
        <w:t>(1</w:t>
      </w:r>
      <w:r>
        <w:rPr>
          <w:rFonts w:cs="Arial"/>
          <w:color w:val="222222"/>
          <w:sz w:val="20"/>
          <w:szCs w:val="20"/>
          <w:shd w:val="clear" w:color="auto" w:fill="FFFFFF"/>
        </w:rPr>
        <w:t>).</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Audita</w:t>
      </w:r>
      <w:proofErr w:type="spellEnd"/>
      <w:r>
        <w:rPr>
          <w:rFonts w:cs="Arial"/>
          <w:color w:val="222222"/>
          <w:szCs w:val="24"/>
          <w:shd w:val="clear" w:color="auto" w:fill="FFFFFF"/>
        </w:rPr>
        <w:t>, T. J. (2015). Cr</w:t>
      </w:r>
      <w:r>
        <w:rPr>
          <w:rFonts w:cs="Arial"/>
          <w:color w:val="222222"/>
          <w:szCs w:val="24"/>
          <w:shd w:val="clear" w:color="auto" w:fill="FFFFFF"/>
        </w:rPr>
        <w:t>edit risk management of Bangladesh Commerce Bank LTD.</w:t>
      </w:r>
    </w:p>
    <w:p w:rsidR="00831BE9" w:rsidRDefault="00CC4D20">
      <w:pPr>
        <w:rPr>
          <w:rFonts w:cs="Arial"/>
          <w:szCs w:val="24"/>
        </w:rPr>
      </w:pPr>
      <w:r>
        <w:rPr>
          <w:rFonts w:cs="Arial"/>
          <w:color w:val="222222"/>
          <w:szCs w:val="24"/>
          <w:shd w:val="clear" w:color="auto" w:fill="FFFFFF"/>
        </w:rPr>
        <w:t xml:space="preserve">Mohammad, N., &amp; </w:t>
      </w:r>
      <w:proofErr w:type="spellStart"/>
      <w:r>
        <w:rPr>
          <w:rFonts w:cs="Arial"/>
          <w:color w:val="222222"/>
          <w:szCs w:val="24"/>
          <w:shd w:val="clear" w:color="auto" w:fill="FFFFFF"/>
        </w:rPr>
        <w:t>Onni</w:t>
      </w:r>
      <w:proofErr w:type="spellEnd"/>
      <w:r>
        <w:rPr>
          <w:rFonts w:cs="Arial"/>
          <w:color w:val="222222"/>
          <w:szCs w:val="24"/>
          <w:shd w:val="clear" w:color="auto" w:fill="FFFFFF"/>
        </w:rPr>
        <w:t xml:space="preserve">, A. N. (2015). Credit risk grading model and loan performance of commercial banks in </w:t>
      </w:r>
      <w:proofErr w:type="spellStart"/>
      <w:proofErr w:type="gramStart"/>
      <w:r>
        <w:rPr>
          <w:rFonts w:cs="Arial"/>
          <w:color w:val="222222"/>
          <w:szCs w:val="24"/>
          <w:shd w:val="clear" w:color="auto" w:fill="FFFFFF"/>
        </w:rPr>
        <w:t>bangladesh</w:t>
      </w:r>
      <w:proofErr w:type="spellEnd"/>
      <w:proofErr w:type="gramEnd"/>
      <w:r>
        <w:rPr>
          <w:rFonts w:cs="Arial"/>
          <w:color w:val="222222"/>
          <w:szCs w:val="24"/>
          <w:shd w:val="clear" w:color="auto" w:fill="FFFFFF"/>
        </w:rPr>
        <w:t>. </w:t>
      </w:r>
      <w:r>
        <w:rPr>
          <w:rFonts w:cs="Arial"/>
          <w:i/>
          <w:iCs/>
          <w:color w:val="222222"/>
          <w:szCs w:val="24"/>
          <w:shd w:val="clear" w:color="auto" w:fill="FFFFFF"/>
        </w:rPr>
        <w:t>European Journal of Business and Management</w:t>
      </w:r>
      <w:r>
        <w:rPr>
          <w:rFonts w:cs="Arial"/>
          <w:color w:val="222222"/>
          <w:szCs w:val="24"/>
          <w:shd w:val="clear" w:color="auto" w:fill="FFFFFF"/>
        </w:rPr>
        <w:t>, </w:t>
      </w:r>
      <w:r>
        <w:rPr>
          <w:rFonts w:cs="Arial"/>
          <w:i/>
          <w:iCs/>
          <w:color w:val="222222"/>
          <w:szCs w:val="24"/>
          <w:shd w:val="clear" w:color="auto" w:fill="FFFFFF"/>
        </w:rPr>
        <w:t>7</w:t>
      </w:r>
      <w:r>
        <w:rPr>
          <w:rFonts w:cs="Arial"/>
          <w:color w:val="222222"/>
          <w:szCs w:val="24"/>
          <w:shd w:val="clear" w:color="auto" w:fill="FFFFFF"/>
        </w:rPr>
        <w:t>(13), 83-91.</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Lalon</w:t>
      </w:r>
      <w:proofErr w:type="spellEnd"/>
      <w:r>
        <w:rPr>
          <w:rFonts w:cs="Arial"/>
          <w:color w:val="222222"/>
          <w:szCs w:val="24"/>
          <w:shd w:val="clear" w:color="auto" w:fill="FFFFFF"/>
        </w:rPr>
        <w:t xml:space="preserve">, R. M., &amp; </w:t>
      </w:r>
      <w:proofErr w:type="spellStart"/>
      <w:r>
        <w:rPr>
          <w:rFonts w:cs="Arial"/>
          <w:color w:val="222222"/>
          <w:szCs w:val="24"/>
          <w:shd w:val="clear" w:color="auto" w:fill="FFFFFF"/>
        </w:rPr>
        <w:t>Morshada</w:t>
      </w:r>
      <w:proofErr w:type="spellEnd"/>
      <w:r>
        <w:rPr>
          <w:rFonts w:cs="Arial"/>
          <w:color w:val="222222"/>
          <w:szCs w:val="24"/>
          <w:shd w:val="clear" w:color="auto" w:fill="FFFFFF"/>
        </w:rPr>
        <w:t>,</w:t>
      </w:r>
      <w:r>
        <w:rPr>
          <w:rFonts w:cs="Arial"/>
          <w:color w:val="222222"/>
          <w:szCs w:val="24"/>
          <w:shd w:val="clear" w:color="auto" w:fill="FFFFFF"/>
        </w:rPr>
        <w:t xml:space="preserve"> F. (2020). Impact of Credit Risk Management on Profitability of Commercial Banks in Bangladesh: An estimation of Dynamic Panel Data Model. </w:t>
      </w:r>
      <w:r>
        <w:rPr>
          <w:rFonts w:cs="Arial"/>
          <w:i/>
          <w:iCs/>
          <w:color w:val="222222"/>
          <w:szCs w:val="24"/>
          <w:shd w:val="clear" w:color="auto" w:fill="FFFFFF"/>
        </w:rPr>
        <w:t>International Journal of Finance &amp; Banking Studies (2147-4486)</w:t>
      </w:r>
      <w:r>
        <w:rPr>
          <w:rFonts w:cs="Arial"/>
          <w:color w:val="222222"/>
          <w:szCs w:val="24"/>
          <w:shd w:val="clear" w:color="auto" w:fill="FFFFFF"/>
        </w:rPr>
        <w:t>, </w:t>
      </w:r>
      <w:r>
        <w:rPr>
          <w:rFonts w:cs="Arial"/>
          <w:i/>
          <w:iCs/>
          <w:color w:val="222222"/>
          <w:szCs w:val="24"/>
          <w:shd w:val="clear" w:color="auto" w:fill="FFFFFF"/>
        </w:rPr>
        <w:t>9</w:t>
      </w:r>
      <w:r>
        <w:rPr>
          <w:rFonts w:cs="Arial"/>
          <w:color w:val="222222"/>
          <w:szCs w:val="24"/>
          <w:shd w:val="clear" w:color="auto" w:fill="FFFFFF"/>
        </w:rPr>
        <w:t>(3), 131-147.</w:t>
      </w:r>
    </w:p>
    <w:p w:rsidR="00831BE9" w:rsidRDefault="00CC4D20">
      <w:pPr>
        <w:rPr>
          <w:rFonts w:cs="Arial"/>
          <w:color w:val="222222"/>
          <w:szCs w:val="24"/>
          <w:shd w:val="clear" w:color="auto" w:fill="FFFFFF"/>
        </w:rPr>
      </w:pPr>
      <w:r>
        <w:rPr>
          <w:rFonts w:cs="Arial"/>
          <w:color w:val="222222"/>
          <w:szCs w:val="24"/>
          <w:shd w:val="clear" w:color="auto" w:fill="FFFFFF"/>
        </w:rPr>
        <w:t>Rahman, M. M., Rahman, M. A., &amp; Azad,</w:t>
      </w:r>
      <w:r>
        <w:rPr>
          <w:rFonts w:cs="Arial"/>
          <w:color w:val="222222"/>
          <w:szCs w:val="24"/>
          <w:shd w:val="clear" w:color="auto" w:fill="FFFFFF"/>
        </w:rPr>
        <w:t xml:space="preserve"> M. A. K. (2015). Risk management practices in Islamic and conventional banks of Bangladesh: A comparative analysis. </w:t>
      </w:r>
      <w:r>
        <w:rPr>
          <w:rFonts w:cs="Arial"/>
          <w:i/>
          <w:iCs/>
          <w:color w:val="222222"/>
          <w:szCs w:val="24"/>
          <w:shd w:val="clear" w:color="auto" w:fill="FFFFFF"/>
        </w:rPr>
        <w:t>Asian Social Science</w:t>
      </w:r>
      <w:r>
        <w:rPr>
          <w:rFonts w:cs="Arial"/>
          <w:color w:val="222222"/>
          <w:szCs w:val="24"/>
          <w:shd w:val="clear" w:color="auto" w:fill="FFFFFF"/>
        </w:rPr>
        <w:t>, </w:t>
      </w:r>
      <w:r>
        <w:rPr>
          <w:rFonts w:cs="Arial"/>
          <w:i/>
          <w:iCs/>
          <w:color w:val="222222"/>
          <w:szCs w:val="24"/>
          <w:shd w:val="clear" w:color="auto" w:fill="FFFFFF"/>
        </w:rPr>
        <w:t>11</w:t>
      </w:r>
      <w:r>
        <w:rPr>
          <w:rFonts w:cs="Arial"/>
          <w:color w:val="222222"/>
          <w:szCs w:val="24"/>
          <w:shd w:val="clear" w:color="auto" w:fill="FFFFFF"/>
        </w:rPr>
        <w:t>(18), 153.</w:t>
      </w:r>
    </w:p>
    <w:p w:rsidR="00831BE9" w:rsidRDefault="00CC4D20">
      <w:pPr>
        <w:rPr>
          <w:rFonts w:cs="Arial"/>
          <w:color w:val="222222"/>
          <w:szCs w:val="24"/>
          <w:shd w:val="clear" w:color="auto" w:fill="FFFFFF"/>
        </w:rPr>
      </w:pPr>
      <w:r>
        <w:rPr>
          <w:rFonts w:cs="Arial"/>
          <w:color w:val="222222"/>
          <w:szCs w:val="24"/>
          <w:shd w:val="clear" w:color="auto" w:fill="FFFFFF"/>
        </w:rPr>
        <w:t>Hossain, M. (2018). Credit Risk Management of Commercial Banks-a case on Bangladesh Development Bank Lim</w:t>
      </w:r>
      <w:r>
        <w:rPr>
          <w:rFonts w:cs="Arial"/>
          <w:color w:val="222222"/>
          <w:szCs w:val="24"/>
          <w:shd w:val="clear" w:color="auto" w:fill="FFFFFF"/>
        </w:rPr>
        <w:t>ited (BDBL).</w:t>
      </w:r>
    </w:p>
    <w:p w:rsidR="00831BE9" w:rsidRDefault="00CC4D20">
      <w:pPr>
        <w:rPr>
          <w:rFonts w:cs="Arial"/>
          <w:color w:val="222222"/>
          <w:szCs w:val="24"/>
          <w:shd w:val="clear" w:color="auto" w:fill="FFFFFF"/>
        </w:rPr>
      </w:pPr>
      <w:r>
        <w:rPr>
          <w:rFonts w:cs="Arial"/>
          <w:color w:val="222222"/>
          <w:szCs w:val="24"/>
          <w:shd w:val="clear" w:color="auto" w:fill="FFFFFF"/>
        </w:rPr>
        <w:lastRenderedPageBreak/>
        <w:t xml:space="preserve">Al Karim, R., &amp; </w:t>
      </w:r>
      <w:proofErr w:type="spellStart"/>
      <w:r>
        <w:rPr>
          <w:rFonts w:cs="Arial"/>
          <w:color w:val="222222"/>
          <w:szCs w:val="24"/>
          <w:shd w:val="clear" w:color="auto" w:fill="FFFFFF"/>
        </w:rPr>
        <w:t>Alam</w:t>
      </w:r>
      <w:proofErr w:type="spellEnd"/>
      <w:r>
        <w:rPr>
          <w:rFonts w:cs="Arial"/>
          <w:color w:val="222222"/>
          <w:szCs w:val="24"/>
          <w:shd w:val="clear" w:color="auto" w:fill="FFFFFF"/>
        </w:rPr>
        <w:t>, T. (2013). An evaluation of financial performance of private commercial banks in Bangladesh: Ratio analysis. </w:t>
      </w:r>
      <w:r>
        <w:rPr>
          <w:rFonts w:cs="Arial"/>
          <w:i/>
          <w:iCs/>
          <w:color w:val="222222"/>
          <w:szCs w:val="24"/>
          <w:shd w:val="clear" w:color="auto" w:fill="FFFFFF"/>
        </w:rPr>
        <w:t>Journal of Business Studies Quarterly</w:t>
      </w:r>
      <w:r>
        <w:rPr>
          <w:rFonts w:cs="Arial"/>
          <w:color w:val="222222"/>
          <w:szCs w:val="24"/>
          <w:shd w:val="clear" w:color="auto" w:fill="FFFFFF"/>
        </w:rPr>
        <w:t>, </w:t>
      </w:r>
      <w:r>
        <w:rPr>
          <w:rFonts w:cs="Arial"/>
          <w:i/>
          <w:iCs/>
          <w:color w:val="222222"/>
          <w:szCs w:val="24"/>
          <w:shd w:val="clear" w:color="auto" w:fill="FFFFFF"/>
        </w:rPr>
        <w:t>5</w:t>
      </w:r>
      <w:r>
        <w:rPr>
          <w:rFonts w:cs="Arial"/>
          <w:color w:val="222222"/>
          <w:szCs w:val="24"/>
          <w:shd w:val="clear" w:color="auto" w:fill="FFFFFF"/>
        </w:rPr>
        <w:t>(2), 65.</w:t>
      </w:r>
    </w:p>
    <w:p w:rsidR="00831BE9" w:rsidRDefault="00CC4D20">
      <w:pPr>
        <w:rPr>
          <w:rFonts w:cs="Arial"/>
          <w:color w:val="222222"/>
          <w:sz w:val="20"/>
          <w:szCs w:val="20"/>
          <w:shd w:val="clear" w:color="auto" w:fill="FFFFFF"/>
        </w:rPr>
      </w:pPr>
      <w:proofErr w:type="spellStart"/>
      <w:r>
        <w:rPr>
          <w:rFonts w:cs="Arial"/>
          <w:color w:val="222222"/>
          <w:szCs w:val="24"/>
          <w:shd w:val="clear" w:color="auto" w:fill="FFFFFF"/>
        </w:rPr>
        <w:t>Kabir</w:t>
      </w:r>
      <w:proofErr w:type="spellEnd"/>
      <w:r>
        <w:rPr>
          <w:rFonts w:cs="Arial"/>
          <w:color w:val="222222"/>
          <w:szCs w:val="24"/>
          <w:shd w:val="clear" w:color="auto" w:fill="FFFFFF"/>
        </w:rPr>
        <w:t xml:space="preserve">, G., </w:t>
      </w:r>
      <w:proofErr w:type="spellStart"/>
      <w:r>
        <w:rPr>
          <w:rFonts w:cs="Arial"/>
          <w:color w:val="222222"/>
          <w:szCs w:val="24"/>
          <w:shd w:val="clear" w:color="auto" w:fill="FFFFFF"/>
        </w:rPr>
        <w:t>Jahan</w:t>
      </w:r>
      <w:proofErr w:type="spellEnd"/>
      <w:r>
        <w:rPr>
          <w:rFonts w:cs="Arial"/>
          <w:color w:val="222222"/>
          <w:szCs w:val="24"/>
          <w:shd w:val="clear" w:color="auto" w:fill="FFFFFF"/>
        </w:rPr>
        <w:t xml:space="preserve">, I., </w:t>
      </w:r>
      <w:proofErr w:type="spellStart"/>
      <w:r>
        <w:rPr>
          <w:rFonts w:cs="Arial"/>
          <w:color w:val="222222"/>
          <w:szCs w:val="24"/>
          <w:shd w:val="clear" w:color="auto" w:fill="FFFFFF"/>
        </w:rPr>
        <w:t>Chisty</w:t>
      </w:r>
      <w:proofErr w:type="spellEnd"/>
      <w:r>
        <w:rPr>
          <w:rFonts w:cs="Arial"/>
          <w:color w:val="222222"/>
          <w:szCs w:val="24"/>
          <w:shd w:val="clear" w:color="auto" w:fill="FFFFFF"/>
        </w:rPr>
        <w:t xml:space="preserve">, M. H., &amp; </w:t>
      </w:r>
      <w:proofErr w:type="spellStart"/>
      <w:r>
        <w:rPr>
          <w:rFonts w:cs="Arial"/>
          <w:color w:val="222222"/>
          <w:szCs w:val="24"/>
          <w:shd w:val="clear" w:color="auto" w:fill="FFFFFF"/>
        </w:rPr>
        <w:t>Hasin</w:t>
      </w:r>
      <w:proofErr w:type="spellEnd"/>
      <w:r>
        <w:rPr>
          <w:rFonts w:cs="Arial"/>
          <w:color w:val="222222"/>
          <w:szCs w:val="24"/>
          <w:shd w:val="clear" w:color="auto" w:fill="FFFFFF"/>
        </w:rPr>
        <w:t xml:space="preserve">, M. A. A. (2010). </w:t>
      </w:r>
      <w:r>
        <w:rPr>
          <w:rFonts w:cs="Arial"/>
          <w:color w:val="222222"/>
          <w:szCs w:val="24"/>
          <w:shd w:val="clear" w:color="auto" w:fill="FFFFFF"/>
        </w:rPr>
        <w:t>Credit risk assessment and evaluation system for industrial project. </w:t>
      </w:r>
      <w:r>
        <w:rPr>
          <w:rFonts w:cs="Arial"/>
          <w:i/>
          <w:iCs/>
          <w:color w:val="222222"/>
          <w:szCs w:val="24"/>
          <w:shd w:val="clear" w:color="auto" w:fill="FFFFFF"/>
        </w:rPr>
        <w:t>International Journal of Trade, Economics and Finance</w:t>
      </w:r>
      <w:r>
        <w:rPr>
          <w:rFonts w:cs="Arial"/>
          <w:color w:val="222222"/>
          <w:szCs w:val="24"/>
          <w:shd w:val="clear" w:color="auto" w:fill="FFFFFF"/>
        </w:rPr>
        <w:t>, </w:t>
      </w:r>
      <w:r>
        <w:rPr>
          <w:rFonts w:cs="Arial"/>
          <w:i/>
          <w:iCs/>
          <w:color w:val="222222"/>
          <w:szCs w:val="24"/>
          <w:shd w:val="clear" w:color="auto" w:fill="FFFFFF"/>
        </w:rPr>
        <w:t>1</w:t>
      </w:r>
      <w:r>
        <w:rPr>
          <w:rFonts w:cs="Arial"/>
          <w:color w:val="222222"/>
          <w:szCs w:val="24"/>
          <w:shd w:val="clear" w:color="auto" w:fill="FFFFFF"/>
        </w:rPr>
        <w:t>(4), 331-341.</w:t>
      </w:r>
      <w:r>
        <w:rPr>
          <w:rFonts w:cs="Arial"/>
          <w:color w:val="222222"/>
          <w:sz w:val="20"/>
          <w:szCs w:val="20"/>
          <w:shd w:val="clear" w:color="auto" w:fill="FFFFFF"/>
        </w:rPr>
        <w:t xml:space="preserve"> </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Samad</w:t>
      </w:r>
      <w:proofErr w:type="spellEnd"/>
      <w:r>
        <w:rPr>
          <w:rFonts w:cs="Arial"/>
          <w:color w:val="222222"/>
          <w:szCs w:val="24"/>
          <w:shd w:val="clear" w:color="auto" w:fill="FFFFFF"/>
        </w:rPr>
        <w:t>, A. (2015). Determinants bank profitability: Empirical evidence from Bangladesh commercial banks. </w:t>
      </w:r>
      <w:r>
        <w:rPr>
          <w:rFonts w:cs="Arial"/>
          <w:i/>
          <w:iCs/>
          <w:color w:val="222222"/>
          <w:szCs w:val="24"/>
          <w:shd w:val="clear" w:color="auto" w:fill="FFFFFF"/>
        </w:rPr>
        <w:t>Internationa</w:t>
      </w:r>
      <w:r>
        <w:rPr>
          <w:rFonts w:cs="Arial"/>
          <w:i/>
          <w:iCs/>
          <w:color w:val="222222"/>
          <w:szCs w:val="24"/>
          <w:shd w:val="clear" w:color="auto" w:fill="FFFFFF"/>
        </w:rPr>
        <w:t>l journal of financial research</w:t>
      </w:r>
      <w:r>
        <w:rPr>
          <w:rFonts w:cs="Arial"/>
          <w:color w:val="222222"/>
          <w:szCs w:val="24"/>
          <w:shd w:val="clear" w:color="auto" w:fill="FFFFFF"/>
        </w:rPr>
        <w:t>, </w:t>
      </w:r>
      <w:r>
        <w:rPr>
          <w:rFonts w:cs="Arial"/>
          <w:i/>
          <w:iCs/>
          <w:color w:val="222222"/>
          <w:szCs w:val="24"/>
          <w:shd w:val="clear" w:color="auto" w:fill="FFFFFF"/>
        </w:rPr>
        <w:t>6</w:t>
      </w:r>
      <w:r>
        <w:rPr>
          <w:rFonts w:cs="Arial"/>
          <w:color w:val="222222"/>
          <w:szCs w:val="24"/>
          <w:shd w:val="clear" w:color="auto" w:fill="FFFFFF"/>
        </w:rPr>
        <w:t>(3), 173-179.</w:t>
      </w:r>
    </w:p>
    <w:p w:rsidR="00831BE9" w:rsidRDefault="00CC4D20">
      <w:pPr>
        <w:rPr>
          <w:rFonts w:cs="Arial"/>
          <w:color w:val="222222"/>
          <w:szCs w:val="24"/>
          <w:shd w:val="clear" w:color="auto" w:fill="FFFFFF"/>
        </w:rPr>
      </w:pPr>
      <w:r>
        <w:rPr>
          <w:rFonts w:cs="Arial"/>
          <w:color w:val="222222"/>
          <w:szCs w:val="24"/>
          <w:shd w:val="clear" w:color="auto" w:fill="FFFFFF"/>
        </w:rPr>
        <w:t>Anne, F. H. (2010). </w:t>
      </w:r>
      <w:r>
        <w:rPr>
          <w:rFonts w:cs="Arial"/>
          <w:i/>
          <w:iCs/>
          <w:color w:val="222222"/>
          <w:szCs w:val="24"/>
          <w:shd w:val="clear" w:color="auto" w:fill="FFFFFF"/>
        </w:rPr>
        <w:t>Credit Risk Management based on Corporate Credit Practices</w:t>
      </w:r>
      <w:r>
        <w:rPr>
          <w:rFonts w:cs="Arial"/>
          <w:color w:val="222222"/>
          <w:szCs w:val="24"/>
          <w:shd w:val="clear" w:color="auto" w:fill="FFFFFF"/>
        </w:rPr>
        <w:t> (Doctoral dissertation, Stamford University Bangladesh).</w:t>
      </w:r>
    </w:p>
    <w:p w:rsidR="00831BE9" w:rsidRDefault="00CC4D20">
      <w:pPr>
        <w:rPr>
          <w:rFonts w:cs="Arial"/>
          <w:color w:val="222222"/>
          <w:szCs w:val="24"/>
          <w:shd w:val="clear" w:color="auto" w:fill="FFFFFF"/>
        </w:rPr>
      </w:pPr>
      <w:r>
        <w:rPr>
          <w:rFonts w:cs="Arial"/>
          <w:color w:val="222222"/>
          <w:szCs w:val="24"/>
          <w:shd w:val="clear" w:color="auto" w:fill="FFFFFF"/>
        </w:rPr>
        <w:t xml:space="preserve">SARKER, N., &amp; NAHAR, S. (2017). The impact of ownership structure on </w:t>
      </w:r>
      <w:r>
        <w:rPr>
          <w:rFonts w:cs="Arial"/>
          <w:color w:val="222222"/>
          <w:szCs w:val="24"/>
          <w:shd w:val="clear" w:color="auto" w:fill="FFFFFF"/>
        </w:rPr>
        <w:t>bank credit risk: Evidence from Bangladesh. </w:t>
      </w:r>
      <w:r>
        <w:rPr>
          <w:rFonts w:cs="Arial"/>
          <w:i/>
          <w:iCs/>
          <w:color w:val="222222"/>
          <w:szCs w:val="24"/>
          <w:shd w:val="clear" w:color="auto" w:fill="FFFFFF"/>
        </w:rPr>
        <w:t>Eurasian Journal of Business and Economics</w:t>
      </w:r>
      <w:r>
        <w:rPr>
          <w:rFonts w:cs="Arial"/>
          <w:color w:val="222222"/>
          <w:szCs w:val="24"/>
          <w:shd w:val="clear" w:color="auto" w:fill="FFFFFF"/>
        </w:rPr>
        <w:t>, </w:t>
      </w:r>
      <w:r>
        <w:rPr>
          <w:rFonts w:cs="Arial"/>
          <w:i/>
          <w:iCs/>
          <w:color w:val="222222"/>
          <w:szCs w:val="24"/>
          <w:shd w:val="clear" w:color="auto" w:fill="FFFFFF"/>
        </w:rPr>
        <w:t>10</w:t>
      </w:r>
      <w:r>
        <w:rPr>
          <w:rFonts w:cs="Arial"/>
          <w:color w:val="222222"/>
          <w:szCs w:val="24"/>
          <w:shd w:val="clear" w:color="auto" w:fill="FFFFFF"/>
        </w:rPr>
        <w:t>(19), 19-36.</w:t>
      </w:r>
    </w:p>
    <w:p w:rsidR="00831BE9" w:rsidRDefault="00CC4D20">
      <w:pPr>
        <w:rPr>
          <w:rFonts w:cs="Arial"/>
          <w:color w:val="222222"/>
          <w:szCs w:val="24"/>
          <w:shd w:val="clear" w:color="auto" w:fill="FFFFFF"/>
        </w:rPr>
      </w:pPr>
      <w:r>
        <w:rPr>
          <w:rFonts w:cs="Arial"/>
          <w:color w:val="222222"/>
          <w:szCs w:val="24"/>
          <w:shd w:val="clear" w:color="auto" w:fill="FFFFFF"/>
        </w:rPr>
        <w:t>Hamid, M. K., &amp; Islam, A. (2019). Financial Management of Private Commercial Bank in Bangladesh: An Empirical Study on Prime Bank Limited. </w:t>
      </w:r>
      <w:r>
        <w:rPr>
          <w:rFonts w:cs="Arial"/>
          <w:i/>
          <w:iCs/>
          <w:color w:val="222222"/>
          <w:szCs w:val="24"/>
          <w:shd w:val="clear" w:color="auto" w:fill="FFFFFF"/>
        </w:rPr>
        <w:t>American Journ</w:t>
      </w:r>
      <w:r>
        <w:rPr>
          <w:rFonts w:cs="Arial"/>
          <w:i/>
          <w:iCs/>
          <w:color w:val="222222"/>
          <w:szCs w:val="24"/>
          <w:shd w:val="clear" w:color="auto" w:fill="FFFFFF"/>
        </w:rPr>
        <w:t>al of Economics and Business Management</w:t>
      </w:r>
      <w:r>
        <w:rPr>
          <w:rFonts w:cs="Arial"/>
          <w:color w:val="222222"/>
          <w:szCs w:val="24"/>
          <w:shd w:val="clear" w:color="auto" w:fill="FFFFFF"/>
        </w:rPr>
        <w:t>, </w:t>
      </w:r>
      <w:r>
        <w:rPr>
          <w:rFonts w:cs="Arial"/>
          <w:i/>
          <w:iCs/>
          <w:color w:val="222222"/>
          <w:szCs w:val="24"/>
          <w:shd w:val="clear" w:color="auto" w:fill="FFFFFF"/>
        </w:rPr>
        <w:t>2</w:t>
      </w:r>
      <w:r>
        <w:rPr>
          <w:rFonts w:cs="Arial"/>
          <w:color w:val="222222"/>
          <w:szCs w:val="24"/>
          <w:shd w:val="clear" w:color="auto" w:fill="FFFFFF"/>
        </w:rPr>
        <w:t>(2), 27-40.</w:t>
      </w:r>
    </w:p>
    <w:p w:rsidR="00831BE9" w:rsidRDefault="00CC4D20">
      <w:pPr>
        <w:rPr>
          <w:rFonts w:cs="Arial"/>
          <w:color w:val="222222"/>
          <w:szCs w:val="24"/>
          <w:shd w:val="clear" w:color="auto" w:fill="FFFFFF"/>
        </w:rPr>
      </w:pPr>
      <w:r>
        <w:rPr>
          <w:rFonts w:cs="Arial"/>
          <w:color w:val="222222"/>
          <w:szCs w:val="24"/>
          <w:shd w:val="clear" w:color="auto" w:fill="FFFFFF"/>
        </w:rPr>
        <w:t>Islam, M. D. (2019). Credit risk management of commercial Banks in Bangladesh.</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Hossin</w:t>
      </w:r>
      <w:proofErr w:type="spellEnd"/>
      <w:r>
        <w:rPr>
          <w:rFonts w:cs="Arial"/>
          <w:color w:val="222222"/>
          <w:szCs w:val="24"/>
          <w:shd w:val="clear" w:color="auto" w:fill="FFFFFF"/>
        </w:rPr>
        <w:t>, M. S., &amp; Rahman, M. A. (2020). Interest Rate Risk Management in Public Sector Bank of Bangladesh: With Special Refe</w:t>
      </w:r>
      <w:r>
        <w:rPr>
          <w:rFonts w:cs="Arial"/>
          <w:color w:val="222222"/>
          <w:szCs w:val="24"/>
          <w:shd w:val="clear" w:color="auto" w:fill="FFFFFF"/>
        </w:rPr>
        <w:t xml:space="preserve">rence to </w:t>
      </w:r>
      <w:proofErr w:type="spellStart"/>
      <w:r>
        <w:rPr>
          <w:rFonts w:cs="Arial"/>
          <w:color w:val="222222"/>
          <w:szCs w:val="24"/>
          <w:shd w:val="clear" w:color="auto" w:fill="FFFFFF"/>
        </w:rPr>
        <w:t>Sonali</w:t>
      </w:r>
      <w:proofErr w:type="spellEnd"/>
      <w:r>
        <w:rPr>
          <w:rFonts w:cs="Arial"/>
          <w:color w:val="222222"/>
          <w:szCs w:val="24"/>
          <w:shd w:val="clear" w:color="auto" w:fill="FFFFFF"/>
        </w:rPr>
        <w:t xml:space="preserve"> Bank Limited. </w:t>
      </w:r>
      <w:r>
        <w:rPr>
          <w:rFonts w:cs="Arial"/>
          <w:i/>
          <w:iCs/>
          <w:color w:val="222222"/>
          <w:szCs w:val="24"/>
          <w:shd w:val="clear" w:color="auto" w:fill="FFFFFF"/>
        </w:rPr>
        <w:t>Journal of Management, Economics, and Industrial Organization</w:t>
      </w:r>
      <w:r>
        <w:rPr>
          <w:rFonts w:cs="Arial"/>
          <w:color w:val="222222"/>
          <w:szCs w:val="24"/>
          <w:shd w:val="clear" w:color="auto" w:fill="FFFFFF"/>
        </w:rPr>
        <w:t>, 01-21.</w:t>
      </w:r>
    </w:p>
    <w:p w:rsidR="00831BE9" w:rsidRDefault="00CC4D20">
      <w:pPr>
        <w:rPr>
          <w:rFonts w:cs="Arial"/>
          <w:color w:val="222222"/>
          <w:szCs w:val="24"/>
          <w:shd w:val="clear" w:color="auto" w:fill="FFFFFF"/>
        </w:rPr>
      </w:pPr>
      <w:r>
        <w:rPr>
          <w:rFonts w:cs="Arial"/>
          <w:color w:val="222222"/>
          <w:szCs w:val="24"/>
          <w:shd w:val="clear" w:color="auto" w:fill="FFFFFF"/>
        </w:rPr>
        <w:t xml:space="preserve">Rahman, M. M., Uddin, K. M. K., &amp; </w:t>
      </w:r>
      <w:proofErr w:type="spellStart"/>
      <w:r>
        <w:rPr>
          <w:rFonts w:cs="Arial"/>
          <w:color w:val="222222"/>
          <w:szCs w:val="24"/>
          <w:shd w:val="clear" w:color="auto" w:fill="FFFFFF"/>
        </w:rPr>
        <w:t>Moudud-Ul-Huq</w:t>
      </w:r>
      <w:proofErr w:type="spellEnd"/>
      <w:r>
        <w:rPr>
          <w:rFonts w:cs="Arial"/>
          <w:color w:val="222222"/>
          <w:szCs w:val="24"/>
          <w:shd w:val="clear" w:color="auto" w:fill="FFFFFF"/>
        </w:rPr>
        <w:t>, S. (2015). Factors affecting the risk-taking behavior of commercial banks in Bangladesh. </w:t>
      </w:r>
      <w:r>
        <w:rPr>
          <w:rFonts w:cs="Arial"/>
          <w:i/>
          <w:iCs/>
          <w:color w:val="222222"/>
          <w:szCs w:val="24"/>
          <w:shd w:val="clear" w:color="auto" w:fill="FFFFFF"/>
        </w:rPr>
        <w:t>Applied Finance an</w:t>
      </w:r>
      <w:r>
        <w:rPr>
          <w:rFonts w:cs="Arial"/>
          <w:i/>
          <w:iCs/>
          <w:color w:val="222222"/>
          <w:szCs w:val="24"/>
          <w:shd w:val="clear" w:color="auto" w:fill="FFFFFF"/>
        </w:rPr>
        <w:t>d Accounting</w:t>
      </w:r>
      <w:r>
        <w:rPr>
          <w:rFonts w:cs="Arial"/>
          <w:color w:val="222222"/>
          <w:szCs w:val="24"/>
          <w:shd w:val="clear" w:color="auto" w:fill="FFFFFF"/>
        </w:rPr>
        <w:t>, </w:t>
      </w:r>
      <w:r>
        <w:rPr>
          <w:rFonts w:cs="Arial"/>
          <w:i/>
          <w:iCs/>
          <w:color w:val="222222"/>
          <w:szCs w:val="24"/>
          <w:shd w:val="clear" w:color="auto" w:fill="FFFFFF"/>
        </w:rPr>
        <w:t>1</w:t>
      </w:r>
      <w:r>
        <w:rPr>
          <w:rFonts w:cs="Arial"/>
          <w:color w:val="222222"/>
          <w:szCs w:val="24"/>
          <w:shd w:val="clear" w:color="auto" w:fill="FFFFFF"/>
        </w:rPr>
        <w:t>(2), 96-106.</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Noman</w:t>
      </w:r>
      <w:proofErr w:type="spellEnd"/>
      <w:r>
        <w:rPr>
          <w:rFonts w:cs="Arial"/>
          <w:color w:val="222222"/>
          <w:szCs w:val="24"/>
          <w:shd w:val="clear" w:color="auto" w:fill="FFFFFF"/>
        </w:rPr>
        <w:t>, A. H. M. (2017). Credit risk management of conventional banks and Islamic banks in Bangladesh.</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Hasan</w:t>
      </w:r>
      <w:proofErr w:type="spellEnd"/>
      <w:r>
        <w:rPr>
          <w:rFonts w:cs="Arial"/>
          <w:color w:val="222222"/>
          <w:szCs w:val="24"/>
          <w:shd w:val="clear" w:color="auto" w:fill="FFFFFF"/>
        </w:rPr>
        <w:t xml:space="preserve">, M. N., </w:t>
      </w:r>
      <w:proofErr w:type="spellStart"/>
      <w:r>
        <w:rPr>
          <w:rFonts w:cs="Arial"/>
          <w:color w:val="222222"/>
          <w:szCs w:val="24"/>
          <w:shd w:val="clear" w:color="auto" w:fill="FFFFFF"/>
        </w:rPr>
        <w:t>Farid</w:t>
      </w:r>
      <w:proofErr w:type="spellEnd"/>
      <w:r>
        <w:rPr>
          <w:rFonts w:cs="Arial"/>
          <w:color w:val="222222"/>
          <w:szCs w:val="24"/>
          <w:shd w:val="clear" w:color="auto" w:fill="FFFFFF"/>
        </w:rPr>
        <w:t xml:space="preserve">, A., &amp; Al </w:t>
      </w:r>
      <w:proofErr w:type="spellStart"/>
      <w:r>
        <w:rPr>
          <w:rFonts w:cs="Arial"/>
          <w:color w:val="222222"/>
          <w:szCs w:val="24"/>
          <w:shd w:val="clear" w:color="auto" w:fill="FFFFFF"/>
        </w:rPr>
        <w:t>Mamun</w:t>
      </w:r>
      <w:proofErr w:type="spellEnd"/>
      <w:r>
        <w:rPr>
          <w:rFonts w:cs="Arial"/>
          <w:color w:val="222222"/>
          <w:szCs w:val="24"/>
          <w:shd w:val="clear" w:color="auto" w:fill="FFFFFF"/>
        </w:rPr>
        <w:t>, C. A. Profitability and Credit Risk Management: A Comparative Study of Commercial Banks i</w:t>
      </w:r>
      <w:r>
        <w:rPr>
          <w:rFonts w:cs="Arial"/>
          <w:color w:val="222222"/>
          <w:szCs w:val="24"/>
          <w:shd w:val="clear" w:color="auto" w:fill="FFFFFF"/>
        </w:rPr>
        <w:t>n Bangladesh.</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Tabassum</w:t>
      </w:r>
      <w:proofErr w:type="spellEnd"/>
      <w:r>
        <w:rPr>
          <w:rFonts w:cs="Arial"/>
          <w:color w:val="222222"/>
          <w:szCs w:val="24"/>
          <w:shd w:val="clear" w:color="auto" w:fill="FFFFFF"/>
        </w:rPr>
        <w:t>, S. (2008). Credit risk management: an empirical study on Dutch-Bangla Bank Limited.</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Tabassum</w:t>
      </w:r>
      <w:proofErr w:type="spellEnd"/>
      <w:r>
        <w:rPr>
          <w:rFonts w:cs="Arial"/>
          <w:color w:val="222222"/>
          <w:szCs w:val="24"/>
          <w:shd w:val="clear" w:color="auto" w:fill="FFFFFF"/>
        </w:rPr>
        <w:t>, S. (2008). Credit risk management: an empirical study on Dutch-Bangla Bank Limited.</w:t>
      </w:r>
    </w:p>
    <w:p w:rsidR="00831BE9" w:rsidRDefault="00CC4D20">
      <w:pPr>
        <w:rPr>
          <w:rFonts w:cs="Arial"/>
          <w:color w:val="222222"/>
          <w:szCs w:val="24"/>
          <w:shd w:val="clear" w:color="auto" w:fill="FFFFFF"/>
        </w:rPr>
      </w:pPr>
      <w:proofErr w:type="spellStart"/>
      <w:r>
        <w:rPr>
          <w:rFonts w:cs="Arial"/>
          <w:color w:val="222222"/>
          <w:szCs w:val="24"/>
          <w:shd w:val="clear" w:color="auto" w:fill="FFFFFF"/>
        </w:rPr>
        <w:t>Azam</w:t>
      </w:r>
      <w:proofErr w:type="spellEnd"/>
      <w:r>
        <w:rPr>
          <w:rFonts w:cs="Arial"/>
          <w:color w:val="222222"/>
          <w:szCs w:val="24"/>
          <w:shd w:val="clear" w:color="auto" w:fill="FFFFFF"/>
        </w:rPr>
        <w:t>, S. T. (2019). The Impact of Credit Risk on the F</w:t>
      </w:r>
      <w:r>
        <w:rPr>
          <w:rFonts w:cs="Arial"/>
          <w:color w:val="222222"/>
          <w:szCs w:val="24"/>
          <w:shd w:val="clear" w:color="auto" w:fill="FFFFFF"/>
        </w:rPr>
        <w:t>inancial Performance of Commercial Banks in Bangladesh.</w:t>
      </w:r>
    </w:p>
    <w:sectPr w:rsidR="00831BE9">
      <w:headerReference w:type="default" r:id="rId1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D20" w:rsidRDefault="00CC4D20">
      <w:pPr>
        <w:spacing w:after="0"/>
      </w:pPr>
      <w:r>
        <w:separator/>
      </w:r>
    </w:p>
  </w:endnote>
  <w:endnote w:type="continuationSeparator" w:id="0">
    <w:p w:rsidR="00CC4D20" w:rsidRDefault="00CC4D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 w:name="等线">
    <w:altName w:val="Microsoft YaHe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223007"/>
    </w:sdtPr>
    <w:sdtEndPr>
      <w:rPr>
        <w:color w:val="808080" w:themeColor="background1" w:themeShade="80"/>
        <w:spacing w:val="60"/>
      </w:rPr>
    </w:sdtEndPr>
    <w:sdtContent>
      <w:p w:rsidR="00831BE9" w:rsidRDefault="00CC4D2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A10E8" w:rsidRPr="00FA10E8">
          <w:rPr>
            <w:b/>
            <w:bCs/>
            <w:noProof/>
          </w:rPr>
          <w:t>16</w:t>
        </w:r>
        <w:r>
          <w:rPr>
            <w:b/>
            <w:bCs/>
          </w:rPr>
          <w:fldChar w:fldCharType="end"/>
        </w:r>
        <w:r>
          <w:rPr>
            <w:b/>
            <w:bCs/>
          </w:rPr>
          <w:t xml:space="preserve"> | </w:t>
        </w:r>
        <w:r>
          <w:rPr>
            <w:color w:val="808080" w:themeColor="background1" w:themeShade="80"/>
            <w:spacing w:val="60"/>
          </w:rPr>
          <w:t>Page</w:t>
        </w:r>
      </w:p>
    </w:sdtContent>
  </w:sdt>
  <w:p w:rsidR="00831BE9" w:rsidRDefault="00831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D20" w:rsidRDefault="00CC4D20">
      <w:pPr>
        <w:spacing w:after="0"/>
      </w:pPr>
      <w:r>
        <w:separator/>
      </w:r>
    </w:p>
  </w:footnote>
  <w:footnote w:type="continuationSeparator" w:id="0">
    <w:p w:rsidR="00CC4D20" w:rsidRDefault="00CC4D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E9" w:rsidRDefault="00831B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E9" w:rsidRDefault="00831B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D7D6A"/>
    <w:multiLevelType w:val="multilevel"/>
    <w:tmpl w:val="0ADD7D6A"/>
    <w:lvl w:ilvl="0">
      <w:start w:val="1"/>
      <w:numFmt w:val="bullet"/>
      <w:lvlText w:val=""/>
      <w:lvlJc w:val="left"/>
      <w:pPr>
        <w:ind w:left="771" w:hanging="360"/>
      </w:pPr>
      <w:rPr>
        <w:rFonts w:ascii="Wingdings" w:hAnsi="Wingdings" w:hint="default"/>
      </w:rPr>
    </w:lvl>
    <w:lvl w:ilvl="1">
      <w:start w:val="1"/>
      <w:numFmt w:val="bullet"/>
      <w:lvlText w:val="o"/>
      <w:lvlJc w:val="left"/>
      <w:pPr>
        <w:ind w:left="1491" w:hanging="360"/>
      </w:pPr>
      <w:rPr>
        <w:rFonts w:ascii="Courier New" w:hAnsi="Courier New" w:cs="Courier New" w:hint="default"/>
      </w:rPr>
    </w:lvl>
    <w:lvl w:ilvl="2">
      <w:start w:val="1"/>
      <w:numFmt w:val="bullet"/>
      <w:lvlText w:val=""/>
      <w:lvlJc w:val="left"/>
      <w:pPr>
        <w:ind w:left="2211" w:hanging="360"/>
      </w:pPr>
      <w:rPr>
        <w:rFonts w:ascii="Wingdings" w:hAnsi="Wingdings" w:hint="default"/>
      </w:rPr>
    </w:lvl>
    <w:lvl w:ilvl="3">
      <w:start w:val="1"/>
      <w:numFmt w:val="bullet"/>
      <w:lvlText w:val=""/>
      <w:lvlJc w:val="left"/>
      <w:pPr>
        <w:ind w:left="2931" w:hanging="360"/>
      </w:pPr>
      <w:rPr>
        <w:rFonts w:ascii="Symbol" w:hAnsi="Symbol" w:hint="default"/>
      </w:rPr>
    </w:lvl>
    <w:lvl w:ilvl="4">
      <w:start w:val="1"/>
      <w:numFmt w:val="bullet"/>
      <w:lvlText w:val="o"/>
      <w:lvlJc w:val="left"/>
      <w:pPr>
        <w:ind w:left="3651" w:hanging="360"/>
      </w:pPr>
      <w:rPr>
        <w:rFonts w:ascii="Courier New" w:hAnsi="Courier New" w:cs="Courier New" w:hint="default"/>
      </w:rPr>
    </w:lvl>
    <w:lvl w:ilvl="5">
      <w:start w:val="1"/>
      <w:numFmt w:val="bullet"/>
      <w:lvlText w:val=""/>
      <w:lvlJc w:val="left"/>
      <w:pPr>
        <w:ind w:left="4371" w:hanging="360"/>
      </w:pPr>
      <w:rPr>
        <w:rFonts w:ascii="Wingdings" w:hAnsi="Wingdings" w:hint="default"/>
      </w:rPr>
    </w:lvl>
    <w:lvl w:ilvl="6">
      <w:start w:val="1"/>
      <w:numFmt w:val="bullet"/>
      <w:lvlText w:val=""/>
      <w:lvlJc w:val="left"/>
      <w:pPr>
        <w:ind w:left="5091" w:hanging="360"/>
      </w:pPr>
      <w:rPr>
        <w:rFonts w:ascii="Symbol" w:hAnsi="Symbol" w:hint="default"/>
      </w:rPr>
    </w:lvl>
    <w:lvl w:ilvl="7">
      <w:start w:val="1"/>
      <w:numFmt w:val="bullet"/>
      <w:lvlText w:val="o"/>
      <w:lvlJc w:val="left"/>
      <w:pPr>
        <w:ind w:left="5811" w:hanging="360"/>
      </w:pPr>
      <w:rPr>
        <w:rFonts w:ascii="Courier New" w:hAnsi="Courier New" w:cs="Courier New" w:hint="default"/>
      </w:rPr>
    </w:lvl>
    <w:lvl w:ilvl="8">
      <w:start w:val="1"/>
      <w:numFmt w:val="bullet"/>
      <w:lvlText w:val=""/>
      <w:lvlJc w:val="left"/>
      <w:pPr>
        <w:ind w:left="6531" w:hanging="360"/>
      </w:pPr>
      <w:rPr>
        <w:rFonts w:ascii="Wingdings" w:hAnsi="Wingdings" w:hint="default"/>
      </w:rPr>
    </w:lvl>
  </w:abstractNum>
  <w:abstractNum w:abstractNumId="1">
    <w:nsid w:val="1E6716F1"/>
    <w:multiLevelType w:val="multilevel"/>
    <w:tmpl w:val="1E6716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E71061B"/>
    <w:multiLevelType w:val="multilevel"/>
    <w:tmpl w:val="1E71061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7DC69A6"/>
    <w:multiLevelType w:val="multilevel"/>
    <w:tmpl w:val="27DC69A6"/>
    <w:lvl w:ilvl="0">
      <w:start w:val="1"/>
      <w:numFmt w:val="decimal"/>
      <w:pStyle w:val="Heading1"/>
      <w:lvlText w:val="%1"/>
      <w:lvlJc w:val="left"/>
      <w:pPr>
        <w:ind w:left="432" w:hanging="432"/>
      </w:pPr>
      <w:rPr>
        <w:sz w:val="144"/>
        <w:szCs w:val="44"/>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FBF6739"/>
    <w:multiLevelType w:val="multilevel"/>
    <w:tmpl w:val="2FBF6739"/>
    <w:lvl w:ilvl="0">
      <w:start w:val="2"/>
      <w:numFmt w:val="decimal"/>
      <w:lvlText w:val="%1."/>
      <w:lvlJc w:val="left"/>
      <w:pPr>
        <w:ind w:left="1157" w:hanging="360"/>
      </w:pPr>
      <w:rPr>
        <w:rFonts w:hint="default"/>
      </w:rPr>
    </w:lvl>
    <w:lvl w:ilvl="1">
      <w:start w:val="1"/>
      <w:numFmt w:val="lowerLetter"/>
      <w:lvlText w:val="%2."/>
      <w:lvlJc w:val="left"/>
      <w:pPr>
        <w:ind w:left="1877" w:hanging="360"/>
      </w:pPr>
    </w:lvl>
    <w:lvl w:ilvl="2">
      <w:start w:val="1"/>
      <w:numFmt w:val="lowerRoman"/>
      <w:lvlText w:val="%3."/>
      <w:lvlJc w:val="right"/>
      <w:pPr>
        <w:ind w:left="2597" w:hanging="180"/>
      </w:pPr>
    </w:lvl>
    <w:lvl w:ilvl="3">
      <w:start w:val="1"/>
      <w:numFmt w:val="decimal"/>
      <w:lvlText w:val="%4."/>
      <w:lvlJc w:val="left"/>
      <w:pPr>
        <w:ind w:left="3317" w:hanging="360"/>
      </w:pPr>
    </w:lvl>
    <w:lvl w:ilvl="4">
      <w:start w:val="1"/>
      <w:numFmt w:val="lowerLetter"/>
      <w:lvlText w:val="%5."/>
      <w:lvlJc w:val="left"/>
      <w:pPr>
        <w:ind w:left="4037" w:hanging="360"/>
      </w:pPr>
    </w:lvl>
    <w:lvl w:ilvl="5">
      <w:start w:val="1"/>
      <w:numFmt w:val="lowerRoman"/>
      <w:lvlText w:val="%6."/>
      <w:lvlJc w:val="right"/>
      <w:pPr>
        <w:ind w:left="4757" w:hanging="180"/>
      </w:pPr>
    </w:lvl>
    <w:lvl w:ilvl="6">
      <w:start w:val="1"/>
      <w:numFmt w:val="decimal"/>
      <w:lvlText w:val="%7."/>
      <w:lvlJc w:val="left"/>
      <w:pPr>
        <w:ind w:left="5477" w:hanging="360"/>
      </w:pPr>
    </w:lvl>
    <w:lvl w:ilvl="7">
      <w:start w:val="1"/>
      <w:numFmt w:val="lowerLetter"/>
      <w:lvlText w:val="%8."/>
      <w:lvlJc w:val="left"/>
      <w:pPr>
        <w:ind w:left="6197" w:hanging="360"/>
      </w:pPr>
    </w:lvl>
    <w:lvl w:ilvl="8">
      <w:start w:val="1"/>
      <w:numFmt w:val="lowerRoman"/>
      <w:lvlText w:val="%9."/>
      <w:lvlJc w:val="right"/>
      <w:pPr>
        <w:ind w:left="6917" w:hanging="180"/>
      </w:pPr>
    </w:lvl>
  </w:abstractNum>
  <w:abstractNum w:abstractNumId="5">
    <w:nsid w:val="36400078"/>
    <w:multiLevelType w:val="multilevel"/>
    <w:tmpl w:val="36400078"/>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389274E9"/>
    <w:multiLevelType w:val="multilevel"/>
    <w:tmpl w:val="389274E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BD51730"/>
    <w:multiLevelType w:val="multilevel"/>
    <w:tmpl w:val="3BD51730"/>
    <w:lvl w:ilvl="0">
      <w:start w:val="1"/>
      <w:numFmt w:val="bullet"/>
      <w:lvlText w:val=""/>
      <w:lvlJc w:val="left"/>
      <w:pPr>
        <w:ind w:left="1680" w:hanging="360"/>
      </w:pPr>
      <w:rPr>
        <w:rFonts w:ascii="Wingdings" w:hAnsi="Wingdings" w:hint="default"/>
      </w:rPr>
    </w:lvl>
    <w:lvl w:ilvl="1">
      <w:start w:val="1"/>
      <w:numFmt w:val="bullet"/>
      <w:lvlText w:val="o"/>
      <w:lvlJc w:val="left"/>
      <w:pPr>
        <w:ind w:left="2400" w:hanging="360"/>
      </w:pPr>
      <w:rPr>
        <w:rFonts w:ascii="Courier New" w:hAnsi="Courier New" w:cs="Courier New" w:hint="default"/>
      </w:rPr>
    </w:lvl>
    <w:lvl w:ilvl="2">
      <w:start w:val="1"/>
      <w:numFmt w:val="bullet"/>
      <w:lvlText w:val=""/>
      <w:lvlJc w:val="left"/>
      <w:pPr>
        <w:ind w:left="3120" w:hanging="360"/>
      </w:pPr>
      <w:rPr>
        <w:rFonts w:ascii="Wingdings" w:hAnsi="Wingdings" w:hint="default"/>
      </w:rPr>
    </w:lvl>
    <w:lvl w:ilvl="3">
      <w:start w:val="1"/>
      <w:numFmt w:val="bullet"/>
      <w:lvlText w:val=""/>
      <w:lvlJc w:val="left"/>
      <w:pPr>
        <w:ind w:left="3840" w:hanging="360"/>
      </w:pPr>
      <w:rPr>
        <w:rFonts w:ascii="Symbol" w:hAnsi="Symbol" w:hint="default"/>
      </w:rPr>
    </w:lvl>
    <w:lvl w:ilvl="4">
      <w:start w:val="1"/>
      <w:numFmt w:val="bullet"/>
      <w:lvlText w:val="o"/>
      <w:lvlJc w:val="left"/>
      <w:pPr>
        <w:ind w:left="4560" w:hanging="360"/>
      </w:pPr>
      <w:rPr>
        <w:rFonts w:ascii="Courier New" w:hAnsi="Courier New" w:cs="Courier New" w:hint="default"/>
      </w:rPr>
    </w:lvl>
    <w:lvl w:ilvl="5">
      <w:start w:val="1"/>
      <w:numFmt w:val="bullet"/>
      <w:lvlText w:val=""/>
      <w:lvlJc w:val="left"/>
      <w:pPr>
        <w:ind w:left="5280" w:hanging="360"/>
      </w:pPr>
      <w:rPr>
        <w:rFonts w:ascii="Wingdings" w:hAnsi="Wingdings" w:hint="default"/>
      </w:rPr>
    </w:lvl>
    <w:lvl w:ilvl="6">
      <w:start w:val="1"/>
      <w:numFmt w:val="bullet"/>
      <w:lvlText w:val=""/>
      <w:lvlJc w:val="left"/>
      <w:pPr>
        <w:ind w:left="6000" w:hanging="360"/>
      </w:pPr>
      <w:rPr>
        <w:rFonts w:ascii="Symbol" w:hAnsi="Symbol" w:hint="default"/>
      </w:rPr>
    </w:lvl>
    <w:lvl w:ilvl="7">
      <w:start w:val="1"/>
      <w:numFmt w:val="bullet"/>
      <w:lvlText w:val="o"/>
      <w:lvlJc w:val="left"/>
      <w:pPr>
        <w:ind w:left="6720" w:hanging="360"/>
      </w:pPr>
      <w:rPr>
        <w:rFonts w:ascii="Courier New" w:hAnsi="Courier New" w:cs="Courier New" w:hint="default"/>
      </w:rPr>
    </w:lvl>
    <w:lvl w:ilvl="8">
      <w:start w:val="1"/>
      <w:numFmt w:val="bullet"/>
      <w:lvlText w:val=""/>
      <w:lvlJc w:val="left"/>
      <w:pPr>
        <w:ind w:left="7440" w:hanging="360"/>
      </w:pPr>
      <w:rPr>
        <w:rFonts w:ascii="Wingdings" w:hAnsi="Wingdings" w:hint="default"/>
      </w:rPr>
    </w:lvl>
  </w:abstractNum>
  <w:abstractNum w:abstractNumId="8">
    <w:nsid w:val="430D1432"/>
    <w:multiLevelType w:val="multilevel"/>
    <w:tmpl w:val="430D14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2F963FC"/>
    <w:multiLevelType w:val="multilevel"/>
    <w:tmpl w:val="52F963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9104A7F"/>
    <w:multiLevelType w:val="multilevel"/>
    <w:tmpl w:val="69104A7F"/>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BDA5448"/>
    <w:multiLevelType w:val="multilevel"/>
    <w:tmpl w:val="6BDA544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7AD74D9F"/>
    <w:multiLevelType w:val="multilevel"/>
    <w:tmpl w:val="7AD74D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6"/>
  </w:num>
  <w:num w:numId="5">
    <w:abstractNumId w:val="1"/>
  </w:num>
  <w:num w:numId="6">
    <w:abstractNumId w:val="0"/>
  </w:num>
  <w:num w:numId="7">
    <w:abstractNumId w:val="2"/>
  </w:num>
  <w:num w:numId="8">
    <w:abstractNumId w:val="11"/>
  </w:num>
  <w:num w:numId="9">
    <w:abstractNumId w:val="4"/>
  </w:num>
  <w:num w:numId="10">
    <w:abstractNumId w:val="8"/>
  </w:num>
  <w:num w:numId="11">
    <w:abstractNumId w:val="9"/>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FF"/>
    <w:rsid w:val="00032CE7"/>
    <w:rsid w:val="00271401"/>
    <w:rsid w:val="00322528"/>
    <w:rsid w:val="003C05F9"/>
    <w:rsid w:val="00436F32"/>
    <w:rsid w:val="005955B3"/>
    <w:rsid w:val="005A01FF"/>
    <w:rsid w:val="006337B9"/>
    <w:rsid w:val="006B50EA"/>
    <w:rsid w:val="00712AB9"/>
    <w:rsid w:val="00831BE9"/>
    <w:rsid w:val="008C3E50"/>
    <w:rsid w:val="008E668A"/>
    <w:rsid w:val="00930870"/>
    <w:rsid w:val="009859DE"/>
    <w:rsid w:val="00C2221B"/>
    <w:rsid w:val="00C4162C"/>
    <w:rsid w:val="00C93C6F"/>
    <w:rsid w:val="00C97388"/>
    <w:rsid w:val="00CC4D20"/>
    <w:rsid w:val="00DB0C04"/>
    <w:rsid w:val="00F1090C"/>
    <w:rsid w:val="00F8146C"/>
    <w:rsid w:val="00F837BF"/>
    <w:rsid w:val="00FA10E8"/>
    <w:rsid w:val="00FA5FFF"/>
    <w:rsid w:val="00FF44F4"/>
    <w:rsid w:val="18C65FE4"/>
    <w:rsid w:val="2CAE4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DBE0089-D70B-42BA-B654-9E3CBE52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jc w:val="both"/>
    </w:pPr>
    <w:rPr>
      <w:rFonts w:ascii="Arial" w:hAnsi="Arial"/>
      <w:sz w:val="24"/>
      <w:szCs w:val="22"/>
    </w:rPr>
  </w:style>
  <w:style w:type="paragraph" w:styleId="Heading1">
    <w:name w:val="heading 1"/>
    <w:basedOn w:val="Normal"/>
    <w:next w:val="Normal"/>
    <w:link w:val="Heading1Char"/>
    <w:uiPriority w:val="9"/>
    <w:qFormat/>
    <w:pPr>
      <w:keepNext/>
      <w:keepLines/>
      <w:numPr>
        <w:numId w:val="1"/>
      </w:numPr>
      <w:spacing w:before="480" w:after="0" w:line="276"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pPr>
      <w:keepNext/>
      <w:keepLines/>
      <w:spacing w:before="200" w:after="0" w:line="276" w:lineRule="auto"/>
      <w:outlineLvl w:val="1"/>
    </w:pPr>
    <w:rPr>
      <w:rFonts w:eastAsiaTheme="majorEastAsia" w:cstheme="majorBidi"/>
      <w:b/>
      <w:bCs/>
      <w:sz w:val="28"/>
      <w:szCs w:val="24"/>
    </w:rPr>
  </w:style>
  <w:style w:type="paragraph" w:styleId="Heading3">
    <w:name w:val="heading 3"/>
    <w:basedOn w:val="Normal"/>
    <w:next w:val="Normal"/>
    <w:link w:val="Heading3Char"/>
    <w:uiPriority w:val="9"/>
    <w:unhideWhenUsed/>
    <w:qFormat/>
    <w:pPr>
      <w:keepNext/>
      <w:keepLines/>
      <w:numPr>
        <w:ilvl w:val="2"/>
        <w:numId w:val="1"/>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pPr>
      <w:keepNext/>
      <w:keepLines/>
      <w:numPr>
        <w:ilvl w:val="3"/>
        <w:numId w:val="1"/>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numPr>
        <w:ilvl w:val="4"/>
        <w:numId w:val="1"/>
      </w:numPr>
      <w:spacing w:before="200" w:after="0" w:line="276" w:lineRule="auto"/>
      <w:outlineLvl w:val="4"/>
    </w:pPr>
    <w:rPr>
      <w:rFonts w:asciiTheme="majorHAnsi" w:eastAsiaTheme="majorEastAsia" w:hAnsiTheme="majorHAnsi" w:cstheme="majorBidi"/>
      <w:color w:val="1F3864" w:themeColor="accent1" w:themeShade="80"/>
    </w:rPr>
  </w:style>
  <w:style w:type="paragraph" w:styleId="Heading6">
    <w:name w:val="heading 6"/>
    <w:basedOn w:val="Normal"/>
    <w:next w:val="Normal"/>
    <w:link w:val="Heading6Char"/>
    <w:uiPriority w:val="9"/>
    <w:semiHidden/>
    <w:unhideWhenUsed/>
    <w:qFormat/>
    <w:pPr>
      <w:keepNext/>
      <w:keepLines/>
      <w:numPr>
        <w:ilvl w:val="5"/>
        <w:numId w:val="1"/>
      </w:numPr>
      <w:spacing w:before="200" w:after="0" w:line="276" w:lineRule="auto"/>
      <w:outlineLvl w:val="5"/>
    </w:pPr>
    <w:rPr>
      <w:rFonts w:asciiTheme="majorHAnsi" w:eastAsiaTheme="majorEastAsia" w:hAnsiTheme="majorHAnsi" w:cstheme="majorBidi"/>
      <w:i/>
      <w:iCs/>
      <w:color w:val="1F3864"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paragraph" w:styleId="Header">
    <w:name w:val="header"/>
    <w:basedOn w:val="Normal"/>
    <w:link w:val="HeaderChar"/>
    <w:uiPriority w:val="99"/>
    <w:unhideWhenUsed/>
    <w:pPr>
      <w:tabs>
        <w:tab w:val="center" w:pos="4680"/>
        <w:tab w:val="right" w:pos="9360"/>
      </w:tabs>
      <w:spacing w:after="0"/>
    </w:p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4"/>
      <w:lang w:val="en-SG" w:eastAsia="en-SG"/>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Pr>
      <w:rFonts w:ascii="Arial" w:eastAsiaTheme="majorEastAsia" w:hAnsi="Arial" w:cstheme="majorBidi"/>
      <w:b/>
      <w:bCs/>
      <w:sz w:val="28"/>
      <w:szCs w:val="24"/>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1F3864"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1F3864"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table" w:customStyle="1" w:styleId="GridTable4-Accent51">
    <w:name w:val="Grid Table 4 - Accent 51"/>
    <w:basedOn w:val="TableNormal"/>
    <w:uiPriority w:val="49"/>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pPr>
      <w:ind w:left="720"/>
      <w:contextualSpacing/>
    </w:pPr>
  </w:style>
  <w:style w:type="table" w:customStyle="1" w:styleId="LightGrid1">
    <w:name w:val="Light Grid1"/>
    <w:basedOn w:val="TableNormal"/>
    <w:uiPriority w:val="62"/>
    <w:rPr>
      <w:rFonts w:eastAsiaTheme="minorEastAsia"/>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GridTable1Light1">
    <w:name w:val="Grid Table 1 Light1"/>
    <w:basedOn w:val="TableNormal"/>
    <w:uiPriority w:val="46"/>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Pr>
      <w:rFonts w:eastAsiaTheme="minorEastAsia"/>
      <w:sz w:val="22"/>
      <w:szCs w:val="22"/>
    </w:rPr>
  </w:style>
  <w:style w:type="character" w:customStyle="1" w:styleId="NoSpacingChar">
    <w:name w:val="No Spacing Char"/>
    <w:basedOn w:val="DefaultParagraphFont"/>
    <w:link w:val="NoSpacing"/>
    <w:uiPriority w:val="1"/>
    <w:rPr>
      <w:rFonts w:eastAsiaTheme="minorEastAsia"/>
    </w:rPr>
  </w:style>
  <w:style w:type="paragraph" w:customStyle="1" w:styleId="TOCHeading1">
    <w:name w:val="TOC Heading1"/>
    <w:basedOn w:val="Heading1"/>
    <w:next w:val="Normal"/>
    <w:uiPriority w:val="39"/>
    <w:unhideWhenUsed/>
    <w:qFormat/>
    <w:pPr>
      <w:numPr>
        <w:numId w:val="0"/>
      </w:numPr>
      <w:spacing w:before="240" w:line="259" w:lineRule="auto"/>
      <w:outlineLvl w:val="9"/>
    </w:pPr>
    <w:rPr>
      <w:rFonts w:asciiTheme="majorHAnsi" w:hAnsiTheme="majorHAnsi"/>
      <w:b w:val="0"/>
      <w:bCs w:val="0"/>
      <w:color w:val="2F5496"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header" Target="header2.xml"/><Relationship Id="rId21" Type="http://schemas.openxmlformats.org/officeDocument/2006/relationships/chart" Target="charts/chart5.xml"/><Relationship Id="rId42" Type="http://schemas.openxmlformats.org/officeDocument/2006/relationships/chart" Target="charts/chart26.xml"/><Relationship Id="rId47" Type="http://schemas.openxmlformats.org/officeDocument/2006/relationships/chart" Target="charts/chart31.xml"/><Relationship Id="rId63" Type="http://schemas.openxmlformats.org/officeDocument/2006/relationships/chart" Target="charts/chart47.xml"/><Relationship Id="rId68" Type="http://schemas.openxmlformats.org/officeDocument/2006/relationships/chart" Target="charts/chart52.xml"/><Relationship Id="rId84" Type="http://schemas.openxmlformats.org/officeDocument/2006/relationships/chart" Target="charts/chart68.xml"/><Relationship Id="rId89" Type="http://schemas.openxmlformats.org/officeDocument/2006/relationships/chart" Target="charts/chart73.xml"/><Relationship Id="rId112" Type="http://schemas.openxmlformats.org/officeDocument/2006/relationships/chart" Target="charts/chart96.xml"/><Relationship Id="rId16" Type="http://schemas.microsoft.com/office/2007/relationships/diagramDrawing" Target="diagrams/drawing1.xml"/><Relationship Id="rId107" Type="http://schemas.openxmlformats.org/officeDocument/2006/relationships/chart" Target="charts/chart91.xml"/><Relationship Id="rId11" Type="http://schemas.openxmlformats.org/officeDocument/2006/relationships/header" Target="header1.xml"/><Relationship Id="rId32" Type="http://schemas.openxmlformats.org/officeDocument/2006/relationships/chart" Target="charts/chart16.xml"/><Relationship Id="rId37" Type="http://schemas.openxmlformats.org/officeDocument/2006/relationships/chart" Target="charts/chart21.xml"/><Relationship Id="rId53" Type="http://schemas.openxmlformats.org/officeDocument/2006/relationships/chart" Target="charts/chart37.xml"/><Relationship Id="rId58" Type="http://schemas.openxmlformats.org/officeDocument/2006/relationships/chart" Target="charts/chart42.xml"/><Relationship Id="rId74" Type="http://schemas.openxmlformats.org/officeDocument/2006/relationships/chart" Target="charts/chart58.xml"/><Relationship Id="rId79" Type="http://schemas.openxmlformats.org/officeDocument/2006/relationships/chart" Target="charts/chart63.xml"/><Relationship Id="rId102" Type="http://schemas.openxmlformats.org/officeDocument/2006/relationships/chart" Target="charts/chart86.xml"/><Relationship Id="rId5" Type="http://schemas.openxmlformats.org/officeDocument/2006/relationships/settings" Target="settings.xml"/><Relationship Id="rId90" Type="http://schemas.openxmlformats.org/officeDocument/2006/relationships/chart" Target="charts/chart74.xml"/><Relationship Id="rId95" Type="http://schemas.openxmlformats.org/officeDocument/2006/relationships/chart" Target="charts/chart79.xml"/><Relationship Id="rId22" Type="http://schemas.openxmlformats.org/officeDocument/2006/relationships/chart" Target="charts/chart6.xml"/><Relationship Id="rId27" Type="http://schemas.openxmlformats.org/officeDocument/2006/relationships/chart" Target="charts/chart11.xml"/><Relationship Id="rId43" Type="http://schemas.openxmlformats.org/officeDocument/2006/relationships/chart" Target="charts/chart27.xml"/><Relationship Id="rId48" Type="http://schemas.openxmlformats.org/officeDocument/2006/relationships/chart" Target="charts/chart32.xml"/><Relationship Id="rId64" Type="http://schemas.openxmlformats.org/officeDocument/2006/relationships/chart" Target="charts/chart48.xml"/><Relationship Id="rId69" Type="http://schemas.openxmlformats.org/officeDocument/2006/relationships/chart" Target="charts/chart53.xml"/><Relationship Id="rId113" Type="http://schemas.openxmlformats.org/officeDocument/2006/relationships/chart" Target="charts/chart97.xml"/><Relationship Id="rId118" Type="http://schemas.openxmlformats.org/officeDocument/2006/relationships/fontTable" Target="fontTable.xml"/><Relationship Id="rId80" Type="http://schemas.openxmlformats.org/officeDocument/2006/relationships/chart" Target="charts/chart64.xml"/><Relationship Id="rId85" Type="http://schemas.openxmlformats.org/officeDocument/2006/relationships/chart" Target="charts/chart69.xml"/><Relationship Id="rId12" Type="http://schemas.openxmlformats.org/officeDocument/2006/relationships/diagramData" Target="diagrams/data1.xml"/><Relationship Id="rId17" Type="http://schemas.openxmlformats.org/officeDocument/2006/relationships/chart" Target="charts/chart1.xml"/><Relationship Id="rId33" Type="http://schemas.openxmlformats.org/officeDocument/2006/relationships/chart" Target="charts/chart17.xml"/><Relationship Id="rId38" Type="http://schemas.openxmlformats.org/officeDocument/2006/relationships/chart" Target="charts/chart22.xml"/><Relationship Id="rId59" Type="http://schemas.openxmlformats.org/officeDocument/2006/relationships/chart" Target="charts/chart43.xml"/><Relationship Id="rId103" Type="http://schemas.openxmlformats.org/officeDocument/2006/relationships/chart" Target="charts/chart87.xml"/><Relationship Id="rId108" Type="http://schemas.openxmlformats.org/officeDocument/2006/relationships/chart" Target="charts/chart92.xml"/><Relationship Id="rId54" Type="http://schemas.openxmlformats.org/officeDocument/2006/relationships/chart" Target="charts/chart38.xml"/><Relationship Id="rId70" Type="http://schemas.openxmlformats.org/officeDocument/2006/relationships/chart" Target="charts/chart54.xml"/><Relationship Id="rId75" Type="http://schemas.openxmlformats.org/officeDocument/2006/relationships/chart" Target="charts/chart59.xml"/><Relationship Id="rId91" Type="http://schemas.openxmlformats.org/officeDocument/2006/relationships/chart" Target="charts/chart75.xml"/><Relationship Id="rId96" Type="http://schemas.openxmlformats.org/officeDocument/2006/relationships/chart" Target="charts/chart80.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7.xml"/><Relationship Id="rId28" Type="http://schemas.openxmlformats.org/officeDocument/2006/relationships/chart" Target="charts/chart12.xml"/><Relationship Id="rId49" Type="http://schemas.openxmlformats.org/officeDocument/2006/relationships/chart" Target="charts/chart33.xml"/><Relationship Id="rId114" Type="http://schemas.openxmlformats.org/officeDocument/2006/relationships/chart" Target="charts/chart98.xml"/><Relationship Id="rId119"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chart" Target="charts/chart36.xml"/><Relationship Id="rId60" Type="http://schemas.openxmlformats.org/officeDocument/2006/relationships/chart" Target="charts/chart44.xml"/><Relationship Id="rId65" Type="http://schemas.openxmlformats.org/officeDocument/2006/relationships/chart" Target="charts/chart49.xml"/><Relationship Id="rId73" Type="http://schemas.openxmlformats.org/officeDocument/2006/relationships/chart" Target="charts/chart57.xml"/><Relationship Id="rId78" Type="http://schemas.openxmlformats.org/officeDocument/2006/relationships/chart" Target="charts/chart62.xml"/><Relationship Id="rId81" Type="http://schemas.openxmlformats.org/officeDocument/2006/relationships/chart" Target="charts/chart65.xml"/><Relationship Id="rId86" Type="http://schemas.openxmlformats.org/officeDocument/2006/relationships/chart" Target="charts/chart70.xml"/><Relationship Id="rId94" Type="http://schemas.openxmlformats.org/officeDocument/2006/relationships/chart" Target="charts/chart78.xml"/><Relationship Id="rId99" Type="http://schemas.openxmlformats.org/officeDocument/2006/relationships/chart" Target="charts/chart83.xml"/><Relationship Id="rId101" Type="http://schemas.openxmlformats.org/officeDocument/2006/relationships/chart" Target="charts/chart85.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chart" Target="charts/chart2.xml"/><Relationship Id="rId39" Type="http://schemas.openxmlformats.org/officeDocument/2006/relationships/chart" Target="charts/chart23.xml"/><Relationship Id="rId109" Type="http://schemas.openxmlformats.org/officeDocument/2006/relationships/chart" Target="charts/chart93.xml"/><Relationship Id="rId34" Type="http://schemas.openxmlformats.org/officeDocument/2006/relationships/chart" Target="charts/chart18.xml"/><Relationship Id="rId50" Type="http://schemas.openxmlformats.org/officeDocument/2006/relationships/chart" Target="charts/chart34.xml"/><Relationship Id="rId55" Type="http://schemas.openxmlformats.org/officeDocument/2006/relationships/chart" Target="charts/chart39.xml"/><Relationship Id="rId76" Type="http://schemas.openxmlformats.org/officeDocument/2006/relationships/chart" Target="charts/chart60.xml"/><Relationship Id="rId97" Type="http://schemas.openxmlformats.org/officeDocument/2006/relationships/chart" Target="charts/chart81.xml"/><Relationship Id="rId104" Type="http://schemas.openxmlformats.org/officeDocument/2006/relationships/chart" Target="charts/chart88.xml"/><Relationship Id="rId7" Type="http://schemas.openxmlformats.org/officeDocument/2006/relationships/footnotes" Target="footnotes.xml"/><Relationship Id="rId71" Type="http://schemas.openxmlformats.org/officeDocument/2006/relationships/chart" Target="charts/chart55.xml"/><Relationship Id="rId92" Type="http://schemas.openxmlformats.org/officeDocument/2006/relationships/chart" Target="charts/chart76.xml"/><Relationship Id="rId2" Type="http://schemas.openxmlformats.org/officeDocument/2006/relationships/customXml" Target="../customXml/item2.xml"/><Relationship Id="rId29" Type="http://schemas.openxmlformats.org/officeDocument/2006/relationships/chart" Target="charts/chart13.xml"/><Relationship Id="rId24" Type="http://schemas.openxmlformats.org/officeDocument/2006/relationships/chart" Target="charts/chart8.xml"/><Relationship Id="rId40" Type="http://schemas.openxmlformats.org/officeDocument/2006/relationships/chart" Target="charts/chart24.xml"/><Relationship Id="rId45" Type="http://schemas.openxmlformats.org/officeDocument/2006/relationships/chart" Target="charts/chart29.xml"/><Relationship Id="rId66" Type="http://schemas.openxmlformats.org/officeDocument/2006/relationships/chart" Target="charts/chart50.xml"/><Relationship Id="rId87" Type="http://schemas.openxmlformats.org/officeDocument/2006/relationships/chart" Target="charts/chart71.xml"/><Relationship Id="rId110" Type="http://schemas.openxmlformats.org/officeDocument/2006/relationships/chart" Target="charts/chart94.xml"/><Relationship Id="rId115" Type="http://schemas.openxmlformats.org/officeDocument/2006/relationships/chart" Target="charts/chart99.xml"/><Relationship Id="rId61" Type="http://schemas.openxmlformats.org/officeDocument/2006/relationships/chart" Target="charts/chart45.xml"/><Relationship Id="rId82" Type="http://schemas.openxmlformats.org/officeDocument/2006/relationships/chart" Target="charts/chart66.xml"/><Relationship Id="rId19" Type="http://schemas.openxmlformats.org/officeDocument/2006/relationships/chart" Target="charts/chart3.xml"/><Relationship Id="rId14" Type="http://schemas.openxmlformats.org/officeDocument/2006/relationships/diagramQuickStyle" Target="diagrams/quickStyle1.xml"/><Relationship Id="rId30" Type="http://schemas.openxmlformats.org/officeDocument/2006/relationships/chart" Target="charts/chart14.xml"/><Relationship Id="rId35" Type="http://schemas.openxmlformats.org/officeDocument/2006/relationships/chart" Target="charts/chart19.xml"/><Relationship Id="rId56" Type="http://schemas.openxmlformats.org/officeDocument/2006/relationships/chart" Target="charts/chart40.xml"/><Relationship Id="rId77" Type="http://schemas.openxmlformats.org/officeDocument/2006/relationships/chart" Target="charts/chart61.xml"/><Relationship Id="rId100" Type="http://schemas.openxmlformats.org/officeDocument/2006/relationships/chart" Target="charts/chart84.xml"/><Relationship Id="rId105" Type="http://schemas.openxmlformats.org/officeDocument/2006/relationships/chart" Target="charts/chart89.xml"/><Relationship Id="rId8" Type="http://schemas.openxmlformats.org/officeDocument/2006/relationships/endnotes" Target="endnotes.xml"/><Relationship Id="rId51" Type="http://schemas.openxmlformats.org/officeDocument/2006/relationships/chart" Target="charts/chart35.xml"/><Relationship Id="rId72" Type="http://schemas.openxmlformats.org/officeDocument/2006/relationships/chart" Target="charts/chart56.xml"/><Relationship Id="rId93" Type="http://schemas.openxmlformats.org/officeDocument/2006/relationships/chart" Target="charts/chart77.xml"/><Relationship Id="rId98" Type="http://schemas.openxmlformats.org/officeDocument/2006/relationships/chart" Target="charts/chart82.xml"/><Relationship Id="rId3" Type="http://schemas.openxmlformats.org/officeDocument/2006/relationships/numbering" Target="numbering.xml"/><Relationship Id="rId25" Type="http://schemas.openxmlformats.org/officeDocument/2006/relationships/chart" Target="charts/chart9.xml"/><Relationship Id="rId46" Type="http://schemas.openxmlformats.org/officeDocument/2006/relationships/chart" Target="charts/chart30.xml"/><Relationship Id="rId67" Type="http://schemas.openxmlformats.org/officeDocument/2006/relationships/chart" Target="charts/chart51.xml"/><Relationship Id="rId116" Type="http://schemas.openxmlformats.org/officeDocument/2006/relationships/chart" Target="charts/chart100.xml"/><Relationship Id="rId20" Type="http://schemas.openxmlformats.org/officeDocument/2006/relationships/chart" Target="charts/chart4.xml"/><Relationship Id="rId41" Type="http://schemas.openxmlformats.org/officeDocument/2006/relationships/chart" Target="charts/chart25.xml"/><Relationship Id="rId62" Type="http://schemas.openxmlformats.org/officeDocument/2006/relationships/chart" Target="charts/chart46.xml"/><Relationship Id="rId83" Type="http://schemas.openxmlformats.org/officeDocument/2006/relationships/chart" Target="charts/chart67.xml"/><Relationship Id="rId88" Type="http://schemas.openxmlformats.org/officeDocument/2006/relationships/chart" Target="charts/chart72.xml"/><Relationship Id="rId111" Type="http://schemas.openxmlformats.org/officeDocument/2006/relationships/chart" Target="charts/chart95.xml"/><Relationship Id="rId15" Type="http://schemas.openxmlformats.org/officeDocument/2006/relationships/diagramColors" Target="diagrams/colors1.xml"/><Relationship Id="rId36" Type="http://schemas.openxmlformats.org/officeDocument/2006/relationships/chart" Target="charts/chart20.xml"/><Relationship Id="rId57" Type="http://schemas.openxmlformats.org/officeDocument/2006/relationships/chart" Target="charts/chart41.xml"/><Relationship Id="rId106" Type="http://schemas.openxmlformats.org/officeDocument/2006/relationships/chart" Target="charts/chart9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00.xml"/><Relationship Id="rId1" Type="http://schemas.microsoft.com/office/2011/relationships/chartStyle" Target="style10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oleObject" Target="file:///C:\Users\HP\Desktop\Data%20Sheet%20of%20%20Credit%20Risk.xlsx" TargetMode="External"/><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Sheet1!$B$3:$C$4</c:f>
              <c:multiLvlStrCache>
                <c:ptCount val="2"/>
                <c:lvl>
                  <c:pt idx="0">
                    <c:v>2017-2018</c:v>
                  </c:pt>
                  <c:pt idx="1">
                    <c:v>2018-2019</c:v>
                  </c:pt>
                </c:lvl>
                <c:lvl>
                  <c:pt idx="0">
                    <c:v>AB Bank</c:v>
                  </c:pt>
                </c:lvl>
              </c:multiLvlStrCache>
            </c:multiLvlStrRef>
          </c:cat>
          <c:val>
            <c:numRef>
              <c:f>Sheet1!$D$3:$D$4</c:f>
              <c:numCache>
                <c:formatCode>0.0000</c:formatCode>
                <c:ptCount val="2"/>
                <c:pt idx="0">
                  <c:v>5.6812720873185502E-3</c:v>
                </c:pt>
                <c:pt idx="1">
                  <c:v>4.5885021781522199E-2</c:v>
                </c:pt>
              </c:numCache>
            </c:numRef>
          </c:val>
        </c:ser>
        <c:dLbls>
          <c:showLegendKey val="0"/>
          <c:showVal val="0"/>
          <c:showCatName val="0"/>
          <c:showSerName val="0"/>
          <c:showPercent val="0"/>
          <c:showBubbleSize val="0"/>
        </c:dLbls>
        <c:gapWidth val="100"/>
        <c:overlap val="-24"/>
        <c:axId val="-1717714512"/>
        <c:axId val="-1636315568"/>
      </c:barChart>
      <c:catAx>
        <c:axId val="-17177145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636315568"/>
        <c:crosses val="autoZero"/>
        <c:auto val="1"/>
        <c:lblAlgn val="ctr"/>
        <c:lblOffset val="100"/>
        <c:noMultiLvlLbl val="0"/>
      </c:catAx>
      <c:valAx>
        <c:axId val="-163631556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1771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Sheet1!$B$7:$C$8</c:f>
              <c:multiLvlStrCache>
                <c:ptCount val="2"/>
                <c:lvl>
                  <c:pt idx="0">
                    <c:v>2017-2018</c:v>
                  </c:pt>
                  <c:pt idx="1">
                    <c:v>2018-2019</c:v>
                  </c:pt>
                </c:lvl>
                <c:lvl>
                  <c:pt idx="0">
                    <c:v>Bank Asia Limited</c:v>
                  </c:pt>
                </c:lvl>
              </c:multiLvlStrCache>
            </c:multiLvlStrRef>
          </c:cat>
          <c:val>
            <c:numRef>
              <c:f>Sheet1!$E$7:$E$8</c:f>
              <c:numCache>
                <c:formatCode>0.0000</c:formatCode>
                <c:ptCount val="2"/>
                <c:pt idx="0">
                  <c:v>9.7097857445678208</c:v>
                </c:pt>
                <c:pt idx="1">
                  <c:v>7.9240323141627602</c:v>
                </c:pt>
              </c:numCache>
            </c:numRef>
          </c:val>
        </c:ser>
        <c:dLbls>
          <c:showLegendKey val="0"/>
          <c:showVal val="1"/>
          <c:showCatName val="0"/>
          <c:showSerName val="0"/>
          <c:showPercent val="0"/>
          <c:showBubbleSize val="0"/>
        </c:dLbls>
        <c:axId val="-1478300704"/>
        <c:axId val="-1478303968"/>
      </c:areaChart>
      <c:catAx>
        <c:axId val="-147830070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78303968"/>
        <c:crosses val="autoZero"/>
        <c:auto val="1"/>
        <c:lblAlgn val="ctr"/>
        <c:lblOffset val="100"/>
        <c:noMultiLvlLbl val="0"/>
      </c:catAx>
      <c:valAx>
        <c:axId val="-147830396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783007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Sheet1!$B$51:$C$52</c:f>
              <c:multiLvlStrCache>
                <c:ptCount val="2"/>
                <c:lvl>
                  <c:pt idx="0">
                    <c:v>2017-2018</c:v>
                  </c:pt>
                  <c:pt idx="1">
                    <c:v>2018-2019</c:v>
                  </c:pt>
                </c:lvl>
                <c:lvl>
                  <c:pt idx="0">
                    <c:v>Standard Bnak Limited</c:v>
                  </c:pt>
                </c:lvl>
              </c:multiLvlStrCache>
            </c:multiLvlStrRef>
          </c:cat>
          <c:val>
            <c:numRef>
              <c:f>Sheet1!$G$51:$G$52</c:f>
              <c:numCache>
                <c:formatCode>0.0000</c:formatCode>
                <c:ptCount val="2"/>
                <c:pt idx="0">
                  <c:v>0.81070865605237996</c:v>
                </c:pt>
                <c:pt idx="1">
                  <c:v>0.76796556198102595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B67EB4F8-73F1-482C-8592-C2DC9D5FFF0C}"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Sheet1!$B$7:$C$8</c:f>
              <c:multiLvlStrCache>
                <c:ptCount val="2"/>
                <c:lvl>
                  <c:pt idx="0">
                    <c:v>2017-2018</c:v>
                  </c:pt>
                  <c:pt idx="1">
                    <c:v>2018-2019</c:v>
                  </c:pt>
                </c:lvl>
                <c:lvl>
                  <c:pt idx="0">
                    <c:v>Bank Asia Limited</c:v>
                  </c:pt>
                </c:lvl>
              </c:multiLvlStrCache>
            </c:multiLvlStrRef>
          </c:cat>
          <c:val>
            <c:numRef>
              <c:f>Sheet1!$G$7:$G$8</c:f>
              <c:numCache>
                <c:formatCode>0.0000</c:formatCode>
                <c:ptCount val="2"/>
                <c:pt idx="0">
                  <c:v>1.34183781234845</c:v>
                </c:pt>
                <c:pt idx="1">
                  <c:v>1.3894509862080699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Sheet1!$B$7:$C$8</c:f>
              <c:multiLvlStrCache>
                <c:ptCount val="2"/>
                <c:lvl>
                  <c:pt idx="0">
                    <c:v>2017-2018</c:v>
                  </c:pt>
                  <c:pt idx="1">
                    <c:v>2018-2019</c:v>
                  </c:pt>
                </c:lvl>
                <c:lvl>
                  <c:pt idx="0">
                    <c:v>Bank Asia Limited</c:v>
                  </c:pt>
                </c:lvl>
              </c:multiLvlStrCache>
            </c:multiLvlStrRef>
          </c:cat>
          <c:val>
            <c:numRef>
              <c:f>Sheet1!$F$7:$F$8</c:f>
              <c:numCache>
                <c:formatCode>0.0000</c:formatCode>
                <c:ptCount val="2"/>
                <c:pt idx="0">
                  <c:v>7.5954399582186E-2</c:v>
                </c:pt>
                <c:pt idx="1">
                  <c:v>6.9940903847637195E-2</c:v>
                </c:pt>
              </c:numCache>
            </c:numRef>
          </c:val>
        </c:ser>
        <c:dLbls>
          <c:showLegendKey val="0"/>
          <c:showVal val="1"/>
          <c:showCatName val="0"/>
          <c:showSerName val="0"/>
          <c:showPercent val="0"/>
          <c:showBubbleSize val="0"/>
        </c:dLbls>
        <c:gapWidth val="100"/>
        <c:overlap val="100"/>
        <c:axId val="-1471475280"/>
        <c:axId val="-1471473104"/>
      </c:barChart>
      <c:catAx>
        <c:axId val="-147147528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471473104"/>
        <c:crosses val="autoZero"/>
        <c:auto val="1"/>
        <c:lblAlgn val="ctr"/>
        <c:lblOffset val="100"/>
        <c:noMultiLvlLbl val="0"/>
      </c:catAx>
      <c:valAx>
        <c:axId val="-14714731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47147528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lang="en-US"/>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24128827646544"/>
          <c:y val="0.190231481481482"/>
          <c:w val="0.83826290463691999"/>
          <c:h val="0.46768482064741901"/>
        </c:manualLayout>
      </c:layout>
      <c:barChart>
        <c:barDir val="col"/>
        <c:grouping val="clustered"/>
        <c:varyColors val="0"/>
        <c:ser>
          <c:idx val="1"/>
          <c:order val="1"/>
          <c:tx>
            <c:strRef>
              <c:f>Sheet1!$D$2</c:f>
              <c:strCache>
                <c:ptCount val="1"/>
                <c:pt idx="0">
                  <c:v>Return on Asset(ROA)(%)</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Sheet1!$B$9:$C$10</c:f>
              <c:multiLvlStrCache>
                <c:ptCount val="2"/>
                <c:lvl>
                  <c:pt idx="0">
                    <c:v>2017-2018</c:v>
                  </c:pt>
                  <c:pt idx="1">
                    <c:v>2018-2019</c:v>
                  </c:pt>
                </c:lvl>
                <c:lvl>
                  <c:pt idx="0">
                    <c:v>United Commercial Limited</c:v>
                  </c:pt>
                </c:lvl>
              </c:multiLvlStrCache>
            </c:multiLvlStrRef>
          </c:cat>
          <c:val>
            <c:numRef>
              <c:f>Sheet1!$D$9:$D$10</c:f>
              <c:numCache>
                <c:formatCode>0.0000</c:formatCode>
                <c:ptCount val="2"/>
                <c:pt idx="0">
                  <c:v>0.58819434757259703</c:v>
                </c:pt>
                <c:pt idx="1">
                  <c:v>0.62047631185192398</c:v>
                </c:pt>
              </c:numCache>
            </c:numRef>
          </c:val>
        </c:ser>
        <c:dLbls>
          <c:showLegendKey val="0"/>
          <c:showVal val="0"/>
          <c:showCatName val="0"/>
          <c:showSerName val="0"/>
          <c:showPercent val="0"/>
          <c:showBubbleSize val="0"/>
        </c:dLbls>
        <c:gapWidth val="100"/>
        <c:overlap val="-24"/>
        <c:axId val="-1471473648"/>
        <c:axId val="-1378732416"/>
        <c:extLst>
          <c:ext xmlns:c15="http://schemas.microsoft.com/office/drawing/2012/chart" uri="{02D57815-91ED-43cb-92C2-25804820EDAC}">
            <c15:filteredBarSeries>
              <c15:ser>
                <c:idx val="0"/>
                <c:order val="0"/>
                <c:tx>
                  <c:strRef>
                    <c:extLst>
                      <c:ext uri="{02D57815-91ED-43cb-92C2-25804820EDAC}">
                        <c15:formulaRef>
                          <c15:sqref>Sheet1!$D$2</c15:sqref>
                        </c15:formulaRef>
                      </c:ext>
                    </c:extLst>
                    <c:strCache>
                      <c:ptCount val="1"/>
                      <c:pt idx="0">
                        <c:v>Return on Asset(ROA)(%)</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multiLvlStrRef>
                    <c:extLst>
                      <c:ext uri="{02D57815-91ED-43cb-92C2-25804820EDAC}">
                        <c15:formulaRef>
                          <c15:sqref>Sheet1!$B$9:$C$10</c15:sqref>
                        </c15:formulaRef>
                      </c:ext>
                    </c:extLst>
                    <c:multiLvlStrCache>
                      <c:ptCount val="2"/>
                      <c:lvl>
                        <c:pt idx="0">
                          <c:v>2017-2018</c:v>
                        </c:pt>
                        <c:pt idx="1">
                          <c:v>2018-2019</c:v>
                        </c:pt>
                      </c:lvl>
                      <c:lvl>
                        <c:pt idx="0">
                          <c:v>United Commercial Limited</c:v>
                        </c:pt>
                      </c:lvl>
                    </c:multiLvlStrCache>
                  </c:multiLvlStrRef>
                </c:cat>
                <c:val>
                  <c:numRef>
                    <c:extLst>
                      <c:ext uri="{02D57815-91ED-43cb-92C2-25804820EDAC}">
                        <c15:formulaRef>
                          <c15:sqref>Sheet1!$D$2</c15:sqref>
                        </c15:formulaRef>
                      </c:ext>
                    </c:extLst>
                    <c:numCache>
                      <c:formatCode>General</c:formatCode>
                      <c:ptCount val="1"/>
                      <c:pt idx="0">
                        <c:v>0</c:v>
                      </c:pt>
                    </c:numCache>
                  </c:numRef>
                </c:val>
              </c15:ser>
            </c15:filteredBarSeries>
          </c:ext>
        </c:extLst>
      </c:barChart>
      <c:catAx>
        <c:axId val="-14714736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8732416"/>
        <c:crosses val="autoZero"/>
        <c:auto val="1"/>
        <c:lblAlgn val="ctr"/>
        <c:lblOffset val="100"/>
        <c:noMultiLvlLbl val="0"/>
      </c:catAx>
      <c:valAx>
        <c:axId val="-137873241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7147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lgn="just">
        <a:defRPr lang="en-US"/>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712446351931299"/>
          <c:y val="1.24957206436152E-3"/>
        </c:manualLayout>
      </c:layout>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Sheet1!$B$9:$C$10</c:f>
              <c:multiLvlStrCache>
                <c:ptCount val="2"/>
                <c:lvl>
                  <c:pt idx="0">
                    <c:v>2017-2018</c:v>
                  </c:pt>
                  <c:pt idx="1">
                    <c:v>2018-2019</c:v>
                  </c:pt>
                </c:lvl>
                <c:lvl>
                  <c:pt idx="0">
                    <c:v>United Commercial Limited</c:v>
                  </c:pt>
                </c:lvl>
              </c:multiLvlStrCache>
            </c:multiLvlStrRef>
          </c:cat>
          <c:val>
            <c:numRef>
              <c:f>Sheet1!$E$9:$E$10</c:f>
              <c:numCache>
                <c:formatCode>0.0000</c:formatCode>
                <c:ptCount val="2"/>
                <c:pt idx="0">
                  <c:v>7.9228343715494098</c:v>
                </c:pt>
                <c:pt idx="1">
                  <c:v>8.4557211052119996</c:v>
                </c:pt>
              </c:numCache>
            </c:numRef>
          </c:val>
        </c:ser>
        <c:dLbls>
          <c:showLegendKey val="0"/>
          <c:showVal val="1"/>
          <c:showCatName val="0"/>
          <c:showSerName val="0"/>
          <c:showPercent val="0"/>
          <c:showBubbleSize val="0"/>
        </c:dLbls>
        <c:axId val="-1378731872"/>
        <c:axId val="-1378726976"/>
      </c:areaChart>
      <c:catAx>
        <c:axId val="-137873187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8726976"/>
        <c:crosses val="autoZero"/>
        <c:auto val="1"/>
        <c:lblAlgn val="ctr"/>
        <c:lblOffset val="100"/>
        <c:noMultiLvlLbl val="0"/>
      </c:catAx>
      <c:valAx>
        <c:axId val="-137872697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873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Sheet1!$B$9:$C$10</c:f>
              <c:multiLvlStrCache>
                <c:ptCount val="2"/>
                <c:lvl>
                  <c:pt idx="0">
                    <c:v>2017-2018</c:v>
                  </c:pt>
                  <c:pt idx="1">
                    <c:v>2018-2019</c:v>
                  </c:pt>
                </c:lvl>
                <c:lvl>
                  <c:pt idx="0">
                    <c:v>United Commercial Limited</c:v>
                  </c:pt>
                </c:lvl>
              </c:multiLvlStrCache>
            </c:multiLvlStrRef>
          </c:cat>
          <c:val>
            <c:numRef>
              <c:f>Sheet1!$F$9:$F$10</c:f>
              <c:numCache>
                <c:formatCode>0.0000</c:formatCode>
                <c:ptCount val="2"/>
                <c:pt idx="0">
                  <c:v>7.4240394281720704E-2</c:v>
                </c:pt>
                <c:pt idx="1">
                  <c:v>7.3379467479062294E-2</c:v>
                </c:pt>
              </c:numCache>
            </c:numRef>
          </c:val>
        </c:ser>
        <c:dLbls>
          <c:showLegendKey val="0"/>
          <c:showVal val="1"/>
          <c:showCatName val="0"/>
          <c:showSerName val="0"/>
          <c:showPercent val="0"/>
          <c:showBubbleSize val="0"/>
        </c:dLbls>
        <c:gapWidth val="100"/>
        <c:overlap val="100"/>
        <c:axId val="-1378732960"/>
        <c:axId val="-1378728608"/>
      </c:barChart>
      <c:catAx>
        <c:axId val="-137873296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78728608"/>
        <c:crosses val="autoZero"/>
        <c:auto val="1"/>
        <c:lblAlgn val="ctr"/>
        <c:lblOffset val="100"/>
        <c:noMultiLvlLbl val="0"/>
      </c:catAx>
      <c:valAx>
        <c:axId val="-13787286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7873296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7C094943-9635-452A-B19A-64386A81A4EB}"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Sheet1!$B$9:$C$10</c:f>
              <c:multiLvlStrCache>
                <c:ptCount val="2"/>
                <c:lvl>
                  <c:pt idx="0">
                    <c:v>2017-2018</c:v>
                  </c:pt>
                  <c:pt idx="1">
                    <c:v>2018-2019</c:v>
                  </c:pt>
                </c:lvl>
                <c:lvl>
                  <c:pt idx="0">
                    <c:v>United Commercial Limited</c:v>
                  </c:pt>
                </c:lvl>
              </c:multiLvlStrCache>
            </c:multiLvlStrRef>
          </c:cat>
          <c:val>
            <c:numRef>
              <c:f>Sheet1!$G$9:$G$10</c:f>
              <c:numCache>
                <c:formatCode>0.0000</c:formatCode>
                <c:ptCount val="2"/>
                <c:pt idx="0">
                  <c:v>1.4947786843044299</c:v>
                </c:pt>
                <c:pt idx="1">
                  <c:v>1.2479425627385501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lang="en-US"/>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Sheet1!$B$11:$C$12</c:f>
              <c:multiLvlStrCache>
                <c:ptCount val="2"/>
                <c:lvl>
                  <c:pt idx="0">
                    <c:v>2017-2018</c:v>
                  </c:pt>
                  <c:pt idx="1">
                    <c:v>2018-2019</c:v>
                  </c:pt>
                </c:lvl>
                <c:lvl>
                  <c:pt idx="0">
                    <c:v>Brac Bank Limited</c:v>
                  </c:pt>
                </c:lvl>
              </c:multiLvlStrCache>
            </c:multiLvlStrRef>
          </c:cat>
          <c:val>
            <c:numRef>
              <c:f>Sheet1!$D$11:$D$12</c:f>
              <c:numCache>
                <c:formatCode>0.0000</c:formatCode>
                <c:ptCount val="2"/>
                <c:pt idx="0">
                  <c:v>1.7587224880171901</c:v>
                </c:pt>
                <c:pt idx="1">
                  <c:v>1.5345175369902599</c:v>
                </c:pt>
              </c:numCache>
            </c:numRef>
          </c:val>
        </c:ser>
        <c:dLbls>
          <c:showLegendKey val="0"/>
          <c:showVal val="0"/>
          <c:showCatName val="0"/>
          <c:showSerName val="0"/>
          <c:showPercent val="0"/>
          <c:showBubbleSize val="0"/>
        </c:dLbls>
        <c:gapWidth val="100"/>
        <c:overlap val="-24"/>
        <c:axId val="-1378730240"/>
        <c:axId val="-1550805280"/>
      </c:barChart>
      <c:catAx>
        <c:axId val="-13787302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50805280"/>
        <c:crosses val="autoZero"/>
        <c:auto val="1"/>
        <c:lblAlgn val="ctr"/>
        <c:lblOffset val="100"/>
        <c:noMultiLvlLbl val="0"/>
      </c:catAx>
      <c:valAx>
        <c:axId val="-155080528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873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Sheet1!$B$11:$C$12</c:f>
              <c:multiLvlStrCache>
                <c:ptCount val="2"/>
                <c:lvl>
                  <c:pt idx="0">
                    <c:v>2017-2018</c:v>
                  </c:pt>
                  <c:pt idx="1">
                    <c:v>2018-2019</c:v>
                  </c:pt>
                </c:lvl>
                <c:lvl>
                  <c:pt idx="0">
                    <c:v>Brac Bank Limited</c:v>
                  </c:pt>
                </c:lvl>
              </c:multiLvlStrCache>
            </c:multiLvlStrRef>
          </c:cat>
          <c:val>
            <c:numRef>
              <c:f>Sheet1!$E$11:$E$12</c:f>
              <c:numCache>
                <c:formatCode>0.0000</c:formatCode>
                <c:ptCount val="2"/>
                <c:pt idx="0">
                  <c:v>17.533701382533401</c:v>
                </c:pt>
                <c:pt idx="1">
                  <c:v>14.9922536029238</c:v>
                </c:pt>
              </c:numCache>
            </c:numRef>
          </c:val>
        </c:ser>
        <c:dLbls>
          <c:showLegendKey val="0"/>
          <c:showVal val="1"/>
          <c:showCatName val="0"/>
          <c:showSerName val="0"/>
          <c:showPercent val="0"/>
          <c:showBubbleSize val="0"/>
        </c:dLbls>
        <c:axId val="-1550804736"/>
        <c:axId val="-1550810176"/>
      </c:areaChart>
      <c:catAx>
        <c:axId val="-155080473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50810176"/>
        <c:crosses val="autoZero"/>
        <c:auto val="1"/>
        <c:lblAlgn val="ctr"/>
        <c:lblOffset val="100"/>
        <c:noMultiLvlLbl val="0"/>
      </c:catAx>
      <c:valAx>
        <c:axId val="-155081017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508047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Sheet1!$B$11:$C$12</c:f>
              <c:multiLvlStrCache>
                <c:ptCount val="2"/>
                <c:lvl>
                  <c:pt idx="0">
                    <c:v>2017-2018</c:v>
                  </c:pt>
                  <c:pt idx="1">
                    <c:v>2018-2019</c:v>
                  </c:pt>
                </c:lvl>
                <c:lvl>
                  <c:pt idx="0">
                    <c:v>Brac Bank Limited</c:v>
                  </c:pt>
                </c:lvl>
              </c:multiLvlStrCache>
            </c:multiLvlStrRef>
          </c:cat>
          <c:val>
            <c:numRef>
              <c:f>Sheet1!$F$11:$F$12</c:f>
              <c:numCache>
                <c:formatCode>0.0000</c:formatCode>
                <c:ptCount val="2"/>
                <c:pt idx="0">
                  <c:v>0.100305260688949</c:v>
                </c:pt>
                <c:pt idx="1">
                  <c:v>0.102354027461955</c:v>
                </c:pt>
              </c:numCache>
            </c:numRef>
          </c:val>
        </c:ser>
        <c:dLbls>
          <c:showLegendKey val="0"/>
          <c:showVal val="1"/>
          <c:showCatName val="0"/>
          <c:showSerName val="0"/>
          <c:showPercent val="0"/>
          <c:showBubbleSize val="0"/>
        </c:dLbls>
        <c:gapWidth val="100"/>
        <c:overlap val="100"/>
        <c:axId val="-1550805824"/>
        <c:axId val="-1550807456"/>
      </c:barChart>
      <c:catAx>
        <c:axId val="-1550805824"/>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550807456"/>
        <c:crosses val="autoZero"/>
        <c:auto val="1"/>
        <c:lblAlgn val="ctr"/>
        <c:lblOffset val="100"/>
        <c:noMultiLvlLbl val="0"/>
      </c:catAx>
      <c:valAx>
        <c:axId val="-15508074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550805824"/>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Sheet1!$B$3:$C$4</c:f>
              <c:multiLvlStrCache>
                <c:ptCount val="2"/>
                <c:lvl>
                  <c:pt idx="0">
                    <c:v>2017-2018</c:v>
                  </c:pt>
                  <c:pt idx="1">
                    <c:v>2018-2019</c:v>
                  </c:pt>
                </c:lvl>
                <c:lvl>
                  <c:pt idx="0">
                    <c:v>AB Bank</c:v>
                  </c:pt>
                </c:lvl>
              </c:multiLvlStrCache>
            </c:multiLvlStrRef>
          </c:cat>
          <c:val>
            <c:numRef>
              <c:f>Sheet1!$E$3:$E$4</c:f>
              <c:numCache>
                <c:formatCode>0.0000</c:formatCode>
                <c:ptCount val="2"/>
                <c:pt idx="0">
                  <c:v>8.0897078045055901E-2</c:v>
                </c:pt>
                <c:pt idx="1">
                  <c:v>0.73440336111603999</c:v>
                </c:pt>
              </c:numCache>
            </c:numRef>
          </c:val>
        </c:ser>
        <c:dLbls>
          <c:showLegendKey val="0"/>
          <c:showVal val="1"/>
          <c:showCatName val="0"/>
          <c:showSerName val="0"/>
          <c:showPercent val="0"/>
          <c:showBubbleSize val="0"/>
        </c:dLbls>
        <c:axId val="-1636313392"/>
        <c:axId val="-1636315024"/>
      </c:areaChart>
      <c:catAx>
        <c:axId val="-1636313392"/>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36315024"/>
        <c:crosses val="autoZero"/>
        <c:auto val="1"/>
        <c:lblAlgn val="ctr"/>
        <c:lblOffset val="100"/>
        <c:noMultiLvlLbl val="0"/>
      </c:catAx>
      <c:valAx>
        <c:axId val="-1636315024"/>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36313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lang="en-US"/>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explosion val="5"/>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tx>
                <c:rich>
                  <a:bodyPr/>
                  <a:lstStyle/>
                  <a:p>
                    <a:fld id="{C46A877E-D861-4916-9AFB-5F39455DAFD7}"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134D7D5E-587F-4723-8F7E-4C11B0B2E47E}"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Sheet1!$B$11:$C$12</c:f>
              <c:multiLvlStrCache>
                <c:ptCount val="2"/>
                <c:lvl>
                  <c:pt idx="0">
                    <c:v>2017-2018</c:v>
                  </c:pt>
                  <c:pt idx="1">
                    <c:v>2018-2019</c:v>
                  </c:pt>
                </c:lvl>
                <c:lvl>
                  <c:pt idx="0">
                    <c:v>Brac Bank Limited</c:v>
                  </c:pt>
                </c:lvl>
              </c:multiLvlStrCache>
            </c:multiLvlStrRef>
          </c:cat>
          <c:val>
            <c:numRef>
              <c:f>Sheet1!$G$11:$G$12</c:f>
              <c:numCache>
                <c:formatCode>0.0000</c:formatCode>
                <c:ptCount val="2"/>
                <c:pt idx="0">
                  <c:v>0.72566260713815101</c:v>
                </c:pt>
                <c:pt idx="1">
                  <c:v>0.60815502625399798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Sheet1!$B$13:$C$14</c:f>
              <c:multiLvlStrCache>
                <c:ptCount val="2"/>
                <c:lvl>
                  <c:pt idx="0">
                    <c:v>2017-2018</c:v>
                  </c:pt>
                  <c:pt idx="1">
                    <c:v>2018-2019</c:v>
                  </c:pt>
                </c:lvl>
                <c:lvl>
                  <c:pt idx="0">
                    <c:v>Dhaka Bank Limited</c:v>
                  </c:pt>
                </c:lvl>
              </c:multiLvlStrCache>
            </c:multiLvlStrRef>
          </c:cat>
          <c:val>
            <c:numRef>
              <c:f>Sheet1!$D$13:$D$14</c:f>
              <c:numCache>
                <c:formatCode>0.0000</c:formatCode>
                <c:ptCount val="2"/>
                <c:pt idx="0">
                  <c:v>0.49607622342079399</c:v>
                </c:pt>
                <c:pt idx="1">
                  <c:v>0.55133692564753201</c:v>
                </c:pt>
              </c:numCache>
            </c:numRef>
          </c:val>
        </c:ser>
        <c:dLbls>
          <c:showLegendKey val="0"/>
          <c:showVal val="0"/>
          <c:showCatName val="0"/>
          <c:showSerName val="0"/>
          <c:showPercent val="0"/>
          <c:showBubbleSize val="0"/>
        </c:dLbls>
        <c:gapWidth val="100"/>
        <c:overlap val="-24"/>
        <c:axId val="-1550804192"/>
        <c:axId val="-1547938848"/>
      </c:barChart>
      <c:catAx>
        <c:axId val="-1550804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47938848"/>
        <c:crosses val="autoZero"/>
        <c:auto val="1"/>
        <c:lblAlgn val="ctr"/>
        <c:lblOffset val="100"/>
        <c:noMultiLvlLbl val="0"/>
      </c:catAx>
      <c:valAx>
        <c:axId val="-154793884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5080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Sheet1!$B$13:$C$14</c:f>
              <c:multiLvlStrCache>
                <c:ptCount val="2"/>
                <c:lvl>
                  <c:pt idx="0">
                    <c:v>2017-2018</c:v>
                  </c:pt>
                  <c:pt idx="1">
                    <c:v>2018-2019</c:v>
                  </c:pt>
                </c:lvl>
                <c:lvl>
                  <c:pt idx="0">
                    <c:v>Dhaka Bank Limited</c:v>
                  </c:pt>
                </c:lvl>
              </c:multiLvlStrCache>
            </c:multiLvlStrRef>
          </c:cat>
          <c:val>
            <c:numRef>
              <c:f>Sheet1!$E$13:$E$14</c:f>
              <c:numCache>
                <c:formatCode>0.0000</c:formatCode>
                <c:ptCount val="2"/>
                <c:pt idx="0">
                  <c:v>8.1796601554499109</c:v>
                </c:pt>
                <c:pt idx="1">
                  <c:v>9.1301911711690504</c:v>
                </c:pt>
              </c:numCache>
            </c:numRef>
          </c:val>
        </c:ser>
        <c:dLbls>
          <c:showLegendKey val="0"/>
          <c:showVal val="1"/>
          <c:showCatName val="0"/>
          <c:showSerName val="0"/>
          <c:showPercent val="0"/>
          <c:showBubbleSize val="0"/>
        </c:dLbls>
        <c:axId val="-1547936672"/>
        <c:axId val="-1547938304"/>
      </c:areaChart>
      <c:catAx>
        <c:axId val="-154793667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47938304"/>
        <c:crosses val="autoZero"/>
        <c:auto val="1"/>
        <c:lblAlgn val="ctr"/>
        <c:lblOffset val="100"/>
        <c:noMultiLvlLbl val="0"/>
      </c:catAx>
      <c:valAx>
        <c:axId val="-154793830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479366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Sheet1!$B$13:$C$14</c:f>
              <c:multiLvlStrCache>
                <c:ptCount val="2"/>
                <c:lvl>
                  <c:pt idx="0">
                    <c:v>2017-2018</c:v>
                  </c:pt>
                  <c:pt idx="1">
                    <c:v>2018-2019</c:v>
                  </c:pt>
                </c:lvl>
                <c:lvl>
                  <c:pt idx="0">
                    <c:v>Dhaka Bank Limited</c:v>
                  </c:pt>
                </c:lvl>
              </c:multiLvlStrCache>
            </c:multiLvlStrRef>
          </c:cat>
          <c:val>
            <c:numRef>
              <c:f>Sheet1!$F$13:$F$14</c:f>
              <c:numCache>
                <c:formatCode>0.0000</c:formatCode>
                <c:ptCount val="2"/>
                <c:pt idx="0">
                  <c:v>6.0647534737769099E-2</c:v>
                </c:pt>
                <c:pt idx="1">
                  <c:v>6.0386131605712899E-2</c:v>
                </c:pt>
              </c:numCache>
            </c:numRef>
          </c:val>
        </c:ser>
        <c:dLbls>
          <c:showLegendKey val="0"/>
          <c:showVal val="1"/>
          <c:showCatName val="0"/>
          <c:showSerName val="0"/>
          <c:showPercent val="0"/>
          <c:showBubbleSize val="0"/>
        </c:dLbls>
        <c:gapWidth val="100"/>
        <c:overlap val="100"/>
        <c:axId val="-1547937216"/>
        <c:axId val="-1547935584"/>
      </c:barChart>
      <c:catAx>
        <c:axId val="-154793721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547935584"/>
        <c:crosses val="autoZero"/>
        <c:auto val="1"/>
        <c:lblAlgn val="ctr"/>
        <c:lblOffset val="100"/>
        <c:noMultiLvlLbl val="0"/>
      </c:catAx>
      <c:valAx>
        <c:axId val="-154793558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54793721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367EDEB9-A06C-4FDB-9F0A-166BCE41CE00}"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Sheet1!$B$13:$C$14</c:f>
              <c:multiLvlStrCache>
                <c:ptCount val="2"/>
                <c:lvl>
                  <c:pt idx="0">
                    <c:v>2017-2018</c:v>
                  </c:pt>
                  <c:pt idx="1">
                    <c:v>2018-2019</c:v>
                  </c:pt>
                </c:lvl>
                <c:lvl>
                  <c:pt idx="0">
                    <c:v>Dhaka Bank Limited</c:v>
                  </c:pt>
                </c:lvl>
              </c:multiLvlStrCache>
            </c:multiLvlStrRef>
          </c:cat>
          <c:val>
            <c:numRef>
              <c:f>Sheet1!$G$13:$G$14</c:f>
              <c:numCache>
                <c:formatCode>0.0000</c:formatCode>
                <c:ptCount val="2"/>
                <c:pt idx="0">
                  <c:v>1.60569470117583</c:v>
                </c:pt>
                <c:pt idx="1">
                  <c:v>1.6109318563211801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Sheet1!$B$15:$C$16</c:f>
              <c:multiLvlStrCache>
                <c:ptCount val="2"/>
                <c:lvl>
                  <c:pt idx="0">
                    <c:v>2017-2018</c:v>
                  </c:pt>
                  <c:pt idx="1">
                    <c:v>2018-2019</c:v>
                  </c:pt>
                </c:lvl>
                <c:lvl>
                  <c:pt idx="0">
                    <c:v>Mutual Trust Bank Limited</c:v>
                  </c:pt>
                </c:lvl>
              </c:multiLvlStrCache>
            </c:multiLvlStrRef>
          </c:cat>
          <c:val>
            <c:numRef>
              <c:f>Sheet1!$D$15:$D$16</c:f>
              <c:numCache>
                <c:formatCode>0.0000</c:formatCode>
                <c:ptCount val="2"/>
                <c:pt idx="0">
                  <c:v>0.71334726271505</c:v>
                </c:pt>
                <c:pt idx="1">
                  <c:v>0.49352721861794702</c:v>
                </c:pt>
              </c:numCache>
            </c:numRef>
          </c:val>
        </c:ser>
        <c:dLbls>
          <c:showLegendKey val="0"/>
          <c:showVal val="0"/>
          <c:showCatName val="0"/>
          <c:showSerName val="0"/>
          <c:showPercent val="0"/>
          <c:showBubbleSize val="0"/>
        </c:dLbls>
        <c:gapWidth val="100"/>
        <c:overlap val="-24"/>
        <c:axId val="-1547939936"/>
        <c:axId val="-1731693872"/>
      </c:barChart>
      <c:catAx>
        <c:axId val="-15479399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693872"/>
        <c:crosses val="autoZero"/>
        <c:auto val="1"/>
        <c:lblAlgn val="ctr"/>
        <c:lblOffset val="100"/>
        <c:noMultiLvlLbl val="0"/>
      </c:catAx>
      <c:valAx>
        <c:axId val="-173169387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54793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Sheet1!$B$15:$C$16</c:f>
              <c:multiLvlStrCache>
                <c:ptCount val="2"/>
                <c:lvl>
                  <c:pt idx="0">
                    <c:v>2017-2018</c:v>
                  </c:pt>
                  <c:pt idx="1">
                    <c:v>2018-2019</c:v>
                  </c:pt>
                </c:lvl>
                <c:lvl>
                  <c:pt idx="0">
                    <c:v>Mutual Trust Bank Limited</c:v>
                  </c:pt>
                </c:lvl>
              </c:multiLvlStrCache>
            </c:multiLvlStrRef>
          </c:cat>
          <c:val>
            <c:numRef>
              <c:f>Sheet1!$E$15:$E$16</c:f>
              <c:numCache>
                <c:formatCode>0.0000</c:formatCode>
                <c:ptCount val="2"/>
                <c:pt idx="0">
                  <c:v>12.143219654430499</c:v>
                </c:pt>
                <c:pt idx="1">
                  <c:v>7.9373673577788404</c:v>
                </c:pt>
              </c:numCache>
            </c:numRef>
          </c:val>
        </c:ser>
        <c:dLbls>
          <c:showLegendKey val="0"/>
          <c:showVal val="1"/>
          <c:showCatName val="0"/>
          <c:showSerName val="0"/>
          <c:showPercent val="0"/>
          <c:showBubbleSize val="0"/>
        </c:dLbls>
        <c:axId val="-1731691152"/>
        <c:axId val="-1731694416"/>
      </c:areaChart>
      <c:catAx>
        <c:axId val="-17316911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694416"/>
        <c:crosses val="autoZero"/>
        <c:auto val="1"/>
        <c:lblAlgn val="ctr"/>
        <c:lblOffset val="100"/>
        <c:noMultiLvlLbl val="0"/>
      </c:catAx>
      <c:valAx>
        <c:axId val="-173169441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691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tx>
                <c:rich>
                  <a:bodyPr/>
                  <a:lstStyle/>
                  <a:p>
                    <a:fld id="{BB447616-248E-4907-91D6-AEEC14CC865F}"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B2072C4C-4D48-4B05-953F-EBF6F4CC98C8}"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Sheet1!$B$15:$C$16</c:f>
              <c:multiLvlStrCache>
                <c:ptCount val="2"/>
                <c:lvl>
                  <c:pt idx="0">
                    <c:v>2017-2018</c:v>
                  </c:pt>
                  <c:pt idx="1">
                    <c:v>2018-2019</c:v>
                  </c:pt>
                </c:lvl>
                <c:lvl>
                  <c:pt idx="0">
                    <c:v>Mutual Trust Bank Limited</c:v>
                  </c:pt>
                </c:lvl>
              </c:multiLvlStrCache>
            </c:multiLvlStrRef>
          </c:cat>
          <c:val>
            <c:numRef>
              <c:f>Sheet1!$G$15:$G$16</c:f>
              <c:numCache>
                <c:formatCode>0.0000</c:formatCode>
                <c:ptCount val="2"/>
                <c:pt idx="0">
                  <c:v>1.50722118304082</c:v>
                </c:pt>
                <c:pt idx="1">
                  <c:v>1.3630560445037401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l">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Sheet1!$B$15:$C$16</c:f>
              <c:multiLvlStrCache>
                <c:ptCount val="2"/>
                <c:lvl>
                  <c:pt idx="0">
                    <c:v>2017-2018</c:v>
                  </c:pt>
                  <c:pt idx="1">
                    <c:v>2018-2019</c:v>
                  </c:pt>
                </c:lvl>
                <c:lvl>
                  <c:pt idx="0">
                    <c:v>Mutual Trust Bank Limited</c:v>
                  </c:pt>
                </c:lvl>
              </c:multiLvlStrCache>
            </c:multiLvlStrRef>
          </c:cat>
          <c:val>
            <c:numRef>
              <c:f>Sheet1!$F$15:$F$16</c:f>
              <c:numCache>
                <c:formatCode>0.0000</c:formatCode>
                <c:ptCount val="2"/>
                <c:pt idx="0">
                  <c:v>5.8744491412932899E-2</c:v>
                </c:pt>
                <c:pt idx="1">
                  <c:v>6.2177696504657397E-2</c:v>
                </c:pt>
              </c:numCache>
            </c:numRef>
          </c:val>
        </c:ser>
        <c:dLbls>
          <c:showLegendKey val="0"/>
          <c:showVal val="1"/>
          <c:showCatName val="0"/>
          <c:showSerName val="0"/>
          <c:showPercent val="0"/>
          <c:showBubbleSize val="0"/>
        </c:dLbls>
        <c:gapWidth val="100"/>
        <c:overlap val="100"/>
        <c:axId val="-1730542672"/>
        <c:axId val="-1730540496"/>
      </c:barChart>
      <c:catAx>
        <c:axId val="-1730542672"/>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730540496"/>
        <c:crosses val="autoZero"/>
        <c:auto val="1"/>
        <c:lblAlgn val="ctr"/>
        <c:lblOffset val="100"/>
        <c:noMultiLvlLbl val="0"/>
      </c:catAx>
      <c:valAx>
        <c:axId val="-173054049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73054267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Sheet1!$B$17:$C$18</c:f>
              <c:multiLvlStrCache>
                <c:ptCount val="2"/>
                <c:lvl>
                  <c:pt idx="0">
                    <c:v>2017-2018</c:v>
                  </c:pt>
                  <c:pt idx="1">
                    <c:v>2018-2019</c:v>
                  </c:pt>
                </c:lvl>
                <c:lvl>
                  <c:pt idx="0">
                    <c:v>IFIC Bank Limited</c:v>
                  </c:pt>
                </c:lvl>
              </c:multiLvlStrCache>
            </c:multiLvlStrRef>
          </c:cat>
          <c:val>
            <c:numRef>
              <c:f>Sheet1!$D$17:$D$18</c:f>
              <c:numCache>
                <c:formatCode>0.0000</c:formatCode>
                <c:ptCount val="2"/>
                <c:pt idx="0">
                  <c:v>1.21421792299596</c:v>
                </c:pt>
                <c:pt idx="1">
                  <c:v>0.49647827653367099</c:v>
                </c:pt>
              </c:numCache>
            </c:numRef>
          </c:val>
        </c:ser>
        <c:dLbls>
          <c:showLegendKey val="0"/>
          <c:showVal val="0"/>
          <c:showCatName val="0"/>
          <c:showSerName val="0"/>
          <c:showPercent val="0"/>
          <c:showBubbleSize val="0"/>
        </c:dLbls>
        <c:gapWidth val="100"/>
        <c:overlap val="-24"/>
        <c:axId val="-1730544848"/>
        <c:axId val="-1730541040"/>
      </c:barChart>
      <c:catAx>
        <c:axId val="-1730544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0541040"/>
        <c:crosses val="autoZero"/>
        <c:auto val="1"/>
        <c:lblAlgn val="ctr"/>
        <c:lblOffset val="100"/>
        <c:noMultiLvlLbl val="0"/>
      </c:catAx>
      <c:valAx>
        <c:axId val="-173054104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054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Sheet1!$B$3:$C$4</c:f>
              <c:multiLvlStrCache>
                <c:ptCount val="2"/>
                <c:lvl>
                  <c:pt idx="0">
                    <c:v>2017-2018</c:v>
                  </c:pt>
                  <c:pt idx="1">
                    <c:v>2018-2019</c:v>
                  </c:pt>
                </c:lvl>
                <c:lvl>
                  <c:pt idx="0">
                    <c:v>AB Bank</c:v>
                  </c:pt>
                </c:lvl>
              </c:multiLvlStrCache>
            </c:multiLvlStrRef>
          </c:cat>
          <c:val>
            <c:numRef>
              <c:f>Sheet1!$F$3:$F$4</c:f>
              <c:numCache>
                <c:formatCode>0.0000</c:formatCode>
                <c:ptCount val="2"/>
                <c:pt idx="0">
                  <c:v>7.0228396681451699E-2</c:v>
                </c:pt>
                <c:pt idx="1">
                  <c:v>6.2479318874293803E-2</c:v>
                </c:pt>
              </c:numCache>
            </c:numRef>
          </c:val>
        </c:ser>
        <c:dLbls>
          <c:showLegendKey val="0"/>
          <c:showVal val="1"/>
          <c:showCatName val="0"/>
          <c:showSerName val="0"/>
          <c:showPercent val="0"/>
          <c:showBubbleSize val="0"/>
        </c:dLbls>
        <c:gapWidth val="150"/>
        <c:overlap val="100"/>
        <c:axId val="-1636313936"/>
        <c:axId val="-1636312848"/>
      </c:barChart>
      <c:catAx>
        <c:axId val="-16363139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636312848"/>
        <c:crosses val="autoZero"/>
        <c:auto val="1"/>
        <c:lblAlgn val="ctr"/>
        <c:lblOffset val="100"/>
        <c:noMultiLvlLbl val="0"/>
      </c:catAx>
      <c:valAx>
        <c:axId val="-163631284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none"/>
        <c:minorTickMark val="none"/>
        <c:tickLblPos val="nextTo"/>
        <c:crossAx val="-16363139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lang="en-US"/>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Sheet1!$B$17:$C$18</c:f>
              <c:multiLvlStrCache>
                <c:ptCount val="2"/>
                <c:lvl>
                  <c:pt idx="0">
                    <c:v>2017-2018</c:v>
                  </c:pt>
                  <c:pt idx="1">
                    <c:v>2018-2019</c:v>
                  </c:pt>
                </c:lvl>
                <c:lvl>
                  <c:pt idx="0">
                    <c:v>IFIC Bank Limited</c:v>
                  </c:pt>
                </c:lvl>
              </c:multiLvlStrCache>
            </c:multiLvlStrRef>
          </c:cat>
          <c:val>
            <c:numRef>
              <c:f>Sheet1!$E$17:$E$18</c:f>
              <c:numCache>
                <c:formatCode>0.0000</c:formatCode>
                <c:ptCount val="2"/>
                <c:pt idx="0">
                  <c:v>2.18868156309868</c:v>
                </c:pt>
                <c:pt idx="1">
                  <c:v>0.89944072388319496</c:v>
                </c:pt>
              </c:numCache>
            </c:numRef>
          </c:val>
        </c:ser>
        <c:dLbls>
          <c:showLegendKey val="0"/>
          <c:showVal val="1"/>
          <c:showCatName val="0"/>
          <c:showSerName val="0"/>
          <c:showPercent val="0"/>
          <c:showBubbleSize val="0"/>
        </c:dLbls>
        <c:axId val="-1730544304"/>
        <c:axId val="-1730543760"/>
      </c:areaChart>
      <c:catAx>
        <c:axId val="-173054430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0543760"/>
        <c:crosses val="autoZero"/>
        <c:auto val="1"/>
        <c:lblAlgn val="ctr"/>
        <c:lblOffset val="100"/>
        <c:noMultiLvlLbl val="0"/>
      </c:catAx>
      <c:valAx>
        <c:axId val="-173054376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0544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Sheet1!$B$17:$C$18</c:f>
              <c:multiLvlStrCache>
                <c:ptCount val="2"/>
                <c:lvl>
                  <c:pt idx="0">
                    <c:v>2017-2018</c:v>
                  </c:pt>
                  <c:pt idx="1">
                    <c:v>2018-2019</c:v>
                  </c:pt>
                </c:lvl>
                <c:lvl>
                  <c:pt idx="0">
                    <c:v>IFIC Bank Limited</c:v>
                  </c:pt>
                </c:lvl>
              </c:multiLvlStrCache>
            </c:multiLvlStrRef>
          </c:cat>
          <c:val>
            <c:numRef>
              <c:f>Sheet1!$F$17:$F$18</c:f>
              <c:numCache>
                <c:formatCode>0.0000</c:formatCode>
                <c:ptCount val="2"/>
                <c:pt idx="0">
                  <c:v>0.55477139455449198</c:v>
                </c:pt>
                <c:pt idx="1">
                  <c:v>0.551985543183106</c:v>
                </c:pt>
              </c:numCache>
            </c:numRef>
          </c:val>
        </c:ser>
        <c:dLbls>
          <c:showLegendKey val="0"/>
          <c:showVal val="1"/>
          <c:showCatName val="0"/>
          <c:showSerName val="0"/>
          <c:showPercent val="0"/>
          <c:showBubbleSize val="0"/>
        </c:dLbls>
        <c:gapWidth val="100"/>
        <c:overlap val="100"/>
        <c:axId val="-1758222576"/>
        <c:axId val="-1758222032"/>
      </c:barChart>
      <c:catAx>
        <c:axId val="-175822257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758222032"/>
        <c:crosses val="autoZero"/>
        <c:auto val="1"/>
        <c:lblAlgn val="ctr"/>
        <c:lblOffset val="100"/>
        <c:noMultiLvlLbl val="0"/>
      </c:catAx>
      <c:valAx>
        <c:axId val="-17582220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75822257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B32CB83F-3634-48E5-91A8-05B605319E79}"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Sheet1!$B$17:$C$18</c:f>
              <c:multiLvlStrCache>
                <c:ptCount val="2"/>
                <c:lvl>
                  <c:pt idx="0">
                    <c:v>2017-2018</c:v>
                  </c:pt>
                  <c:pt idx="1">
                    <c:v>2018-2019</c:v>
                  </c:pt>
                </c:lvl>
                <c:lvl>
                  <c:pt idx="0">
                    <c:v>IFIC Bank Limited</c:v>
                  </c:pt>
                </c:lvl>
              </c:multiLvlStrCache>
            </c:multiLvlStrRef>
          </c:cat>
          <c:val>
            <c:numRef>
              <c:f>Sheet1!$G$17:$G$18</c:f>
              <c:numCache>
                <c:formatCode>0.0000</c:formatCode>
                <c:ptCount val="2"/>
                <c:pt idx="0">
                  <c:v>3.98759859571995</c:v>
                </c:pt>
                <c:pt idx="1">
                  <c:v>3.2566430543347198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Lst>
            </c:dLbl>
            <c:dLbl>
              <c:idx val="1"/>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Sheet1!$B$19:$C$20</c:f>
              <c:multiLvlStrCache>
                <c:ptCount val="2"/>
                <c:lvl>
                  <c:pt idx="0">
                    <c:v>2017-2018</c:v>
                  </c:pt>
                  <c:pt idx="1">
                    <c:v>2018-2019</c:v>
                  </c:pt>
                </c:lvl>
                <c:lvl>
                  <c:pt idx="0">
                    <c:v>One Bank Limited</c:v>
                  </c:pt>
                </c:lvl>
              </c:multiLvlStrCache>
            </c:multiLvlStrRef>
          </c:cat>
          <c:val>
            <c:numRef>
              <c:f>Sheet1!$D$19:$D$20</c:f>
              <c:numCache>
                <c:formatCode>0.0000</c:formatCode>
                <c:ptCount val="2"/>
                <c:pt idx="0">
                  <c:v>0.52359993896284096</c:v>
                </c:pt>
                <c:pt idx="1">
                  <c:v>0.55723132660519603</c:v>
                </c:pt>
              </c:numCache>
            </c:numRef>
          </c:val>
        </c:ser>
        <c:dLbls>
          <c:showLegendKey val="0"/>
          <c:showVal val="0"/>
          <c:showCatName val="0"/>
          <c:showSerName val="0"/>
          <c:showPercent val="0"/>
          <c:showBubbleSize val="0"/>
        </c:dLbls>
        <c:gapWidth val="100"/>
        <c:overlap val="-24"/>
        <c:axId val="-1731424064"/>
        <c:axId val="-1731418624"/>
      </c:barChart>
      <c:catAx>
        <c:axId val="-17314240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418624"/>
        <c:crosses val="autoZero"/>
        <c:auto val="1"/>
        <c:lblAlgn val="ctr"/>
        <c:lblOffset val="100"/>
        <c:noMultiLvlLbl val="0"/>
      </c:catAx>
      <c:valAx>
        <c:axId val="-173141862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42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Sheet1!$B$19:$C$20</c:f>
              <c:multiLvlStrCache>
                <c:ptCount val="2"/>
                <c:lvl>
                  <c:pt idx="0">
                    <c:v>2017-2018</c:v>
                  </c:pt>
                  <c:pt idx="1">
                    <c:v>2018-2019</c:v>
                  </c:pt>
                </c:lvl>
                <c:lvl>
                  <c:pt idx="0">
                    <c:v>One Bank Limited</c:v>
                  </c:pt>
                </c:lvl>
              </c:multiLvlStrCache>
            </c:multiLvlStrRef>
          </c:cat>
          <c:val>
            <c:numRef>
              <c:f>Sheet1!$E$19:$E$20</c:f>
              <c:numCache>
                <c:formatCode>0.0000</c:formatCode>
                <c:ptCount val="2"/>
                <c:pt idx="0">
                  <c:v>9.6793702309033005</c:v>
                </c:pt>
                <c:pt idx="1">
                  <c:v>10.340129668648499</c:v>
                </c:pt>
              </c:numCache>
            </c:numRef>
          </c:val>
        </c:ser>
        <c:dLbls>
          <c:showLegendKey val="0"/>
          <c:showVal val="1"/>
          <c:showCatName val="0"/>
          <c:showSerName val="0"/>
          <c:showPercent val="0"/>
          <c:showBubbleSize val="0"/>
        </c:dLbls>
        <c:axId val="-1731421344"/>
        <c:axId val="-1731421888"/>
      </c:areaChart>
      <c:catAx>
        <c:axId val="-173142134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421888"/>
        <c:crosses val="autoZero"/>
        <c:auto val="1"/>
        <c:lblAlgn val="ctr"/>
        <c:lblOffset val="100"/>
        <c:noMultiLvlLbl val="0"/>
      </c:catAx>
      <c:valAx>
        <c:axId val="-173142188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314213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Sheet1!$B$19:$C$20</c:f>
              <c:multiLvlStrCache>
                <c:ptCount val="2"/>
                <c:lvl>
                  <c:pt idx="0">
                    <c:v>2017-2018</c:v>
                  </c:pt>
                  <c:pt idx="1">
                    <c:v>2018-2019</c:v>
                  </c:pt>
                </c:lvl>
                <c:lvl>
                  <c:pt idx="0">
                    <c:v>One Bank Limited</c:v>
                  </c:pt>
                </c:lvl>
              </c:multiLvlStrCache>
            </c:multiLvlStrRef>
          </c:cat>
          <c:val>
            <c:numRef>
              <c:f>Sheet1!$F$19:$F$20</c:f>
              <c:numCache>
                <c:formatCode>0.0000</c:formatCode>
                <c:ptCount val="2"/>
                <c:pt idx="0">
                  <c:v>5.4094422103118302E-2</c:v>
                </c:pt>
                <c:pt idx="1">
                  <c:v>5.3890168156665599E-2</c:v>
                </c:pt>
              </c:numCache>
            </c:numRef>
          </c:val>
        </c:ser>
        <c:dLbls>
          <c:showLegendKey val="0"/>
          <c:showVal val="1"/>
          <c:showCatName val="0"/>
          <c:showSerName val="0"/>
          <c:showPercent val="0"/>
          <c:showBubbleSize val="0"/>
        </c:dLbls>
        <c:gapWidth val="100"/>
        <c:overlap val="100"/>
        <c:axId val="-1731417536"/>
        <c:axId val="-1731416992"/>
      </c:barChart>
      <c:catAx>
        <c:axId val="-173141753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731416992"/>
        <c:crosses val="autoZero"/>
        <c:auto val="1"/>
        <c:lblAlgn val="ctr"/>
        <c:lblOffset val="100"/>
        <c:noMultiLvlLbl val="0"/>
      </c:catAx>
      <c:valAx>
        <c:axId val="-173141699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73141753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384B77B1-B5D8-471B-B866-5CE17085AE99}"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Sheet1!$B$19:$C$20</c:f>
              <c:multiLvlStrCache>
                <c:ptCount val="2"/>
                <c:lvl>
                  <c:pt idx="0">
                    <c:v>2017-2018</c:v>
                  </c:pt>
                  <c:pt idx="1">
                    <c:v>2018-2019</c:v>
                  </c:pt>
                </c:lvl>
                <c:lvl>
                  <c:pt idx="0">
                    <c:v>One Bank Limited</c:v>
                  </c:pt>
                </c:lvl>
              </c:multiLvlStrCache>
            </c:multiLvlStrRef>
          </c:cat>
          <c:val>
            <c:numRef>
              <c:f>Sheet1!$G$19:$G$20</c:f>
              <c:numCache>
                <c:formatCode>0.0000</c:formatCode>
                <c:ptCount val="2"/>
                <c:pt idx="0">
                  <c:v>2.0777339881213202</c:v>
                </c:pt>
                <c:pt idx="1">
                  <c:v>1.8236608062061901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Sheet1!$B$21:$C$22</c:f>
              <c:multiLvlStrCache>
                <c:ptCount val="2"/>
                <c:lvl>
                  <c:pt idx="0">
                    <c:v>2017-2018</c:v>
                  </c:pt>
                  <c:pt idx="1">
                    <c:v>2018-2019</c:v>
                  </c:pt>
                </c:lvl>
                <c:lvl>
                  <c:pt idx="0">
                    <c:v>Prime Bank Limited</c:v>
                  </c:pt>
                </c:lvl>
              </c:multiLvlStrCache>
            </c:multiLvlStrRef>
          </c:cat>
          <c:val>
            <c:numRef>
              <c:f>Sheet1!$D$21:$D$22</c:f>
              <c:numCache>
                <c:formatCode>0.0000</c:formatCode>
                <c:ptCount val="2"/>
                <c:pt idx="0">
                  <c:v>0.74440170620019497</c:v>
                </c:pt>
                <c:pt idx="1">
                  <c:v>0.62149510813946196</c:v>
                </c:pt>
              </c:numCache>
            </c:numRef>
          </c:val>
        </c:ser>
        <c:dLbls>
          <c:showLegendKey val="0"/>
          <c:showVal val="0"/>
          <c:showCatName val="0"/>
          <c:showSerName val="0"/>
          <c:showPercent val="0"/>
          <c:showBubbleSize val="0"/>
        </c:dLbls>
        <c:gapWidth val="100"/>
        <c:overlap val="-24"/>
        <c:axId val="-1898260960"/>
        <c:axId val="-1898265856"/>
      </c:barChart>
      <c:catAx>
        <c:axId val="-18982609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898265856"/>
        <c:crosses val="autoZero"/>
        <c:auto val="1"/>
        <c:lblAlgn val="ctr"/>
        <c:lblOffset val="100"/>
        <c:noMultiLvlLbl val="0"/>
      </c:catAx>
      <c:valAx>
        <c:axId val="-189826585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89826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Sheet1!$B$21:$C$22</c:f>
              <c:multiLvlStrCache>
                <c:ptCount val="2"/>
                <c:lvl>
                  <c:pt idx="0">
                    <c:v>2017-2018</c:v>
                  </c:pt>
                  <c:pt idx="1">
                    <c:v>2018-2019</c:v>
                  </c:pt>
                </c:lvl>
                <c:lvl>
                  <c:pt idx="0">
                    <c:v>Prime Bank Limited</c:v>
                  </c:pt>
                </c:lvl>
              </c:multiLvlStrCache>
            </c:multiLvlStrRef>
          </c:cat>
          <c:val>
            <c:numRef>
              <c:f>Sheet1!$E$21:$E$22</c:f>
              <c:numCache>
                <c:formatCode>0.0000</c:formatCode>
                <c:ptCount val="2"/>
                <c:pt idx="0">
                  <c:v>8.3564816412583394</c:v>
                </c:pt>
                <c:pt idx="1">
                  <c:v>7.4826069123084302</c:v>
                </c:pt>
              </c:numCache>
            </c:numRef>
          </c:val>
        </c:ser>
        <c:dLbls>
          <c:showLegendKey val="0"/>
          <c:showVal val="1"/>
          <c:showCatName val="0"/>
          <c:showSerName val="0"/>
          <c:showPercent val="0"/>
          <c:showBubbleSize val="0"/>
        </c:dLbls>
        <c:axId val="-1898264224"/>
        <c:axId val="-1898263136"/>
      </c:areaChart>
      <c:catAx>
        <c:axId val="-189826422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898263136"/>
        <c:crosses val="autoZero"/>
        <c:auto val="1"/>
        <c:lblAlgn val="ctr"/>
        <c:lblOffset val="100"/>
        <c:noMultiLvlLbl val="0"/>
      </c:catAx>
      <c:valAx>
        <c:axId val="-189826313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8982642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Sheet1!$B$21:$C$22</c:f>
              <c:multiLvlStrCache>
                <c:ptCount val="2"/>
                <c:lvl>
                  <c:pt idx="0">
                    <c:v>2017-2018</c:v>
                  </c:pt>
                  <c:pt idx="1">
                    <c:v>2018-2019</c:v>
                  </c:pt>
                </c:lvl>
                <c:lvl>
                  <c:pt idx="0">
                    <c:v>Prime Bank Limited</c:v>
                  </c:pt>
                </c:lvl>
              </c:multiLvlStrCache>
            </c:multiLvlStrRef>
          </c:cat>
          <c:val>
            <c:numRef>
              <c:f>Sheet1!$F$21:$F$22</c:f>
              <c:numCache>
                <c:formatCode>0.0000</c:formatCode>
                <c:ptCount val="2"/>
                <c:pt idx="0">
                  <c:v>8.9080756490251906E-2</c:v>
                </c:pt>
                <c:pt idx="1">
                  <c:v>8.3058633898987905E-2</c:v>
                </c:pt>
              </c:numCache>
            </c:numRef>
          </c:val>
        </c:ser>
        <c:dLbls>
          <c:showLegendKey val="0"/>
          <c:showVal val="1"/>
          <c:showCatName val="0"/>
          <c:showSerName val="0"/>
          <c:showPercent val="0"/>
          <c:showBubbleSize val="0"/>
        </c:dLbls>
        <c:gapWidth val="100"/>
        <c:overlap val="100"/>
        <c:axId val="-1898262592"/>
        <c:axId val="-1898262048"/>
      </c:barChart>
      <c:catAx>
        <c:axId val="-1898262592"/>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898262048"/>
        <c:crosses val="autoZero"/>
        <c:auto val="1"/>
        <c:lblAlgn val="ctr"/>
        <c:lblOffset val="100"/>
        <c:noMultiLvlLbl val="0"/>
      </c:catAx>
      <c:valAx>
        <c:axId val="-18982620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89826259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tx>
                <c:rich>
                  <a:bodyPr/>
                  <a:lstStyle/>
                  <a:p>
                    <a:fld id="{F39B2001-6C83-4BD5-BD41-FC1DECD048FD}"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05869D7A-7DB7-4105-AF40-4C0BF4ED9BA4}"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Sheet1!$B$3:$C$4</c:f>
              <c:multiLvlStrCache>
                <c:ptCount val="2"/>
                <c:lvl>
                  <c:pt idx="0">
                    <c:v>2017-2018</c:v>
                  </c:pt>
                  <c:pt idx="1">
                    <c:v>2018-2019</c:v>
                  </c:pt>
                </c:lvl>
                <c:lvl>
                  <c:pt idx="0">
                    <c:v>AB Bank</c:v>
                  </c:pt>
                </c:lvl>
              </c:multiLvlStrCache>
            </c:multiLvlStrRef>
          </c:cat>
          <c:val>
            <c:numRef>
              <c:f>Sheet1!$G$3:$G$4</c:f>
              <c:numCache>
                <c:formatCode>0.0000</c:formatCode>
                <c:ptCount val="2"/>
                <c:pt idx="0">
                  <c:v>0.80671351099014998</c:v>
                </c:pt>
                <c:pt idx="1">
                  <c:v>0.64884970687139198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A986B3E3-D15D-4558-AEF0-BC88BC1333A1}"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Sheet1!$B$21:$C$22</c:f>
              <c:multiLvlStrCache>
                <c:ptCount val="2"/>
                <c:lvl>
                  <c:pt idx="0">
                    <c:v>2017-2018</c:v>
                  </c:pt>
                  <c:pt idx="1">
                    <c:v>2018-2019</c:v>
                  </c:pt>
                </c:lvl>
                <c:lvl>
                  <c:pt idx="0">
                    <c:v>Prime Bank Limited</c:v>
                  </c:pt>
                </c:lvl>
              </c:multiLvlStrCache>
            </c:multiLvlStrRef>
          </c:cat>
          <c:val>
            <c:numRef>
              <c:f>Sheet1!$G$21:$G$22</c:f>
              <c:numCache>
                <c:formatCode>0.0000</c:formatCode>
                <c:ptCount val="2"/>
                <c:pt idx="0">
                  <c:v>1.2965374649941199</c:v>
                </c:pt>
                <c:pt idx="1">
                  <c:v>1.3643482047666999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Sheet1!$B$23:$C$24</c:f>
              <c:multiLvlStrCache>
                <c:ptCount val="2"/>
                <c:lvl>
                  <c:pt idx="0">
                    <c:v>2017-2018</c:v>
                  </c:pt>
                  <c:pt idx="1">
                    <c:v>2018-2019</c:v>
                  </c:pt>
                </c:lvl>
                <c:lvl>
                  <c:pt idx="0">
                    <c:v>South-East Bank Limited</c:v>
                  </c:pt>
                </c:lvl>
              </c:multiLvlStrCache>
            </c:multiLvlStrRef>
          </c:cat>
          <c:val>
            <c:numRef>
              <c:f>Sheet1!$D$23:$D$24</c:f>
              <c:numCache>
                <c:formatCode>0.0000</c:formatCode>
                <c:ptCount val="2"/>
                <c:pt idx="0">
                  <c:v>0.64439794090722402</c:v>
                </c:pt>
                <c:pt idx="1">
                  <c:v>0.59673382169939304</c:v>
                </c:pt>
              </c:numCache>
            </c:numRef>
          </c:val>
        </c:ser>
        <c:dLbls>
          <c:showLegendKey val="0"/>
          <c:showVal val="0"/>
          <c:showCatName val="0"/>
          <c:showSerName val="0"/>
          <c:showPercent val="0"/>
          <c:showBubbleSize val="0"/>
        </c:dLbls>
        <c:gapWidth val="100"/>
        <c:overlap val="-24"/>
        <c:axId val="-1357531264"/>
        <c:axId val="-1357530720"/>
      </c:barChart>
      <c:catAx>
        <c:axId val="-13575312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7530720"/>
        <c:crosses val="autoZero"/>
        <c:auto val="1"/>
        <c:lblAlgn val="ctr"/>
        <c:lblOffset val="100"/>
        <c:noMultiLvlLbl val="0"/>
      </c:catAx>
      <c:valAx>
        <c:axId val="-135753072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753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Sheet1!$B$23:$C$24</c:f>
              <c:multiLvlStrCache>
                <c:ptCount val="2"/>
                <c:lvl>
                  <c:pt idx="0">
                    <c:v>2017-2018</c:v>
                  </c:pt>
                  <c:pt idx="1">
                    <c:v>2018-2019</c:v>
                  </c:pt>
                </c:lvl>
                <c:lvl>
                  <c:pt idx="0">
                    <c:v>South-East Bank Limited</c:v>
                  </c:pt>
                </c:lvl>
              </c:multiLvlStrCache>
            </c:multiLvlStrRef>
          </c:cat>
          <c:val>
            <c:numRef>
              <c:f>Sheet1!$E$23:$E$24</c:f>
              <c:numCache>
                <c:formatCode>0.0000</c:formatCode>
                <c:ptCount val="2"/>
                <c:pt idx="0">
                  <c:v>8.7545475710942302</c:v>
                </c:pt>
                <c:pt idx="1">
                  <c:v>8.2869247843419007</c:v>
                </c:pt>
              </c:numCache>
            </c:numRef>
          </c:val>
        </c:ser>
        <c:dLbls>
          <c:showLegendKey val="0"/>
          <c:showVal val="0"/>
          <c:showCatName val="0"/>
          <c:showSerName val="0"/>
          <c:showPercent val="0"/>
          <c:showBubbleSize val="0"/>
        </c:dLbls>
        <c:axId val="-1357530176"/>
        <c:axId val="-1357536704"/>
      </c:areaChart>
      <c:catAx>
        <c:axId val="-135753017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7536704"/>
        <c:crosses val="autoZero"/>
        <c:auto val="1"/>
        <c:lblAlgn val="ctr"/>
        <c:lblOffset val="100"/>
        <c:noMultiLvlLbl val="0"/>
      </c:catAx>
      <c:valAx>
        <c:axId val="-135753670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7530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Sheet1!$B$23:$C$24</c:f>
              <c:multiLvlStrCache>
                <c:ptCount val="2"/>
                <c:lvl>
                  <c:pt idx="0">
                    <c:v>2017-2018</c:v>
                  </c:pt>
                  <c:pt idx="1">
                    <c:v>2018-2019</c:v>
                  </c:pt>
                </c:lvl>
                <c:lvl>
                  <c:pt idx="0">
                    <c:v>South-East Bank Limited</c:v>
                  </c:pt>
                </c:lvl>
              </c:multiLvlStrCache>
            </c:multiLvlStrRef>
          </c:cat>
          <c:val>
            <c:numRef>
              <c:f>Sheet1!$F$23:$F$24</c:f>
              <c:numCache>
                <c:formatCode>0.0000</c:formatCode>
                <c:ptCount val="2"/>
                <c:pt idx="0">
                  <c:v>7.3607223637106894E-2</c:v>
                </c:pt>
                <c:pt idx="1">
                  <c:v>7.2009079028558201E-2</c:v>
                </c:pt>
              </c:numCache>
            </c:numRef>
          </c:val>
        </c:ser>
        <c:dLbls>
          <c:showLegendKey val="0"/>
          <c:showVal val="1"/>
          <c:showCatName val="0"/>
          <c:showSerName val="0"/>
          <c:showPercent val="0"/>
          <c:showBubbleSize val="0"/>
        </c:dLbls>
        <c:gapWidth val="100"/>
        <c:overlap val="100"/>
        <c:axId val="-1357534528"/>
        <c:axId val="-1357533440"/>
      </c:barChart>
      <c:catAx>
        <c:axId val="-135753452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57533440"/>
        <c:crosses val="autoZero"/>
        <c:auto val="1"/>
        <c:lblAlgn val="ctr"/>
        <c:lblOffset val="100"/>
        <c:noMultiLvlLbl val="0"/>
      </c:catAx>
      <c:valAx>
        <c:axId val="-13575334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57534528"/>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9910E946-AB5D-4FC0-A828-E003D353BCCF}"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Sheet1!$B$23:$C$24</c:f>
              <c:multiLvlStrCache>
                <c:ptCount val="2"/>
                <c:lvl>
                  <c:pt idx="0">
                    <c:v>2017-2018</c:v>
                  </c:pt>
                  <c:pt idx="1">
                    <c:v>2018-2019</c:v>
                  </c:pt>
                </c:lvl>
                <c:lvl>
                  <c:pt idx="0">
                    <c:v>South-East Bank Limited</c:v>
                  </c:pt>
                </c:lvl>
              </c:multiLvlStrCache>
            </c:multiLvlStrRef>
          </c:cat>
          <c:val>
            <c:numRef>
              <c:f>Sheet1!$G$23:$G$24</c:f>
              <c:numCache>
                <c:formatCode>0.0000</c:formatCode>
                <c:ptCount val="2"/>
                <c:pt idx="0">
                  <c:v>0.81840982533295903</c:v>
                </c:pt>
                <c:pt idx="1">
                  <c:v>0.78574336154334801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Sheet1!$B$25:$C$26</c:f>
              <c:multiLvlStrCache>
                <c:ptCount val="2"/>
                <c:lvl>
                  <c:pt idx="0">
                    <c:v>2017-2018</c:v>
                  </c:pt>
                  <c:pt idx="1">
                    <c:v>2018-2019</c:v>
                  </c:pt>
                </c:lvl>
                <c:lvl>
                  <c:pt idx="0">
                    <c:v>Dutch-Bangla Bank Limited</c:v>
                  </c:pt>
                </c:lvl>
              </c:multiLvlStrCache>
            </c:multiLvlStrRef>
          </c:cat>
          <c:val>
            <c:numRef>
              <c:f>Sheet1!$D$25:$D$26</c:f>
              <c:numCache>
                <c:formatCode>0.0000</c:formatCode>
                <c:ptCount val="2"/>
                <c:pt idx="0">
                  <c:v>1.21264155055626</c:v>
                </c:pt>
                <c:pt idx="1">
                  <c:v>1.11214392042209</c:v>
                </c:pt>
              </c:numCache>
            </c:numRef>
          </c:val>
        </c:ser>
        <c:dLbls>
          <c:showLegendKey val="0"/>
          <c:showVal val="1"/>
          <c:showCatName val="0"/>
          <c:showSerName val="0"/>
          <c:showPercent val="0"/>
          <c:showBubbleSize val="0"/>
        </c:dLbls>
        <c:gapWidth val="100"/>
        <c:overlap val="-24"/>
        <c:axId val="-1359877360"/>
        <c:axId val="-1359880080"/>
      </c:barChart>
      <c:catAx>
        <c:axId val="-13598773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9880080"/>
        <c:crosses val="autoZero"/>
        <c:auto val="1"/>
        <c:lblAlgn val="ctr"/>
        <c:lblOffset val="100"/>
        <c:noMultiLvlLbl val="0"/>
      </c:catAx>
      <c:valAx>
        <c:axId val="-135988008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987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Sheet1!$B$25:$C$26</c:f>
              <c:multiLvlStrCache>
                <c:ptCount val="2"/>
                <c:lvl>
                  <c:pt idx="0">
                    <c:v>2017-2018</c:v>
                  </c:pt>
                  <c:pt idx="1">
                    <c:v>2018-2019</c:v>
                  </c:pt>
                </c:lvl>
                <c:lvl>
                  <c:pt idx="0">
                    <c:v>Dutch-Bangla Bank Limited</c:v>
                  </c:pt>
                </c:lvl>
              </c:multiLvlStrCache>
            </c:multiLvlStrRef>
          </c:cat>
          <c:val>
            <c:numRef>
              <c:f>Sheet1!$E$25:$E$26</c:f>
              <c:numCache>
                <c:formatCode>0.0000</c:formatCode>
                <c:ptCount val="2"/>
                <c:pt idx="0">
                  <c:v>18.199038103134601</c:v>
                </c:pt>
                <c:pt idx="1">
                  <c:v>15.8194568905468</c:v>
                </c:pt>
              </c:numCache>
            </c:numRef>
          </c:val>
        </c:ser>
        <c:dLbls>
          <c:showLegendKey val="0"/>
          <c:showVal val="1"/>
          <c:showCatName val="0"/>
          <c:showSerName val="0"/>
          <c:showPercent val="0"/>
          <c:showBubbleSize val="0"/>
        </c:dLbls>
        <c:axId val="-1359873008"/>
        <c:axId val="-1359876272"/>
      </c:areaChart>
      <c:catAx>
        <c:axId val="-135987300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9876272"/>
        <c:crosses val="autoZero"/>
        <c:auto val="1"/>
        <c:lblAlgn val="ctr"/>
        <c:lblOffset val="100"/>
        <c:noMultiLvlLbl val="0"/>
      </c:catAx>
      <c:valAx>
        <c:axId val="-135987627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98730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F8852D5E-2D01-46A6-AB64-03A5991ADD05}"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Sheet1!$B$25:$C$26</c:f>
              <c:multiLvlStrCache>
                <c:ptCount val="2"/>
                <c:lvl>
                  <c:pt idx="0">
                    <c:v>2017-2018</c:v>
                  </c:pt>
                  <c:pt idx="1">
                    <c:v>2018-2019</c:v>
                  </c:pt>
                </c:lvl>
                <c:lvl>
                  <c:pt idx="0">
                    <c:v>Dutch-Bangla Bank Limited</c:v>
                  </c:pt>
                </c:lvl>
              </c:multiLvlStrCache>
            </c:multiLvlStrRef>
          </c:cat>
          <c:val>
            <c:numRef>
              <c:f>Sheet1!$G$25:$G$26</c:f>
              <c:numCache>
                <c:formatCode>0.0000</c:formatCode>
                <c:ptCount val="2"/>
                <c:pt idx="0">
                  <c:v>0.87502214548467605</c:v>
                </c:pt>
                <c:pt idx="1">
                  <c:v>0.68940233967127895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Sheet1!$B$25:$C$26</c:f>
              <c:multiLvlStrCache>
                <c:ptCount val="2"/>
                <c:lvl>
                  <c:pt idx="0">
                    <c:v>2017-2018</c:v>
                  </c:pt>
                  <c:pt idx="1">
                    <c:v>2018-2019</c:v>
                  </c:pt>
                </c:lvl>
                <c:lvl>
                  <c:pt idx="0">
                    <c:v>Dutch-Bangla Bank Limited</c:v>
                  </c:pt>
                </c:lvl>
              </c:multiLvlStrCache>
            </c:multiLvlStrRef>
          </c:cat>
          <c:val>
            <c:numRef>
              <c:f>Sheet1!$F$25:$F$26</c:f>
              <c:numCache>
                <c:formatCode>0.0000</c:formatCode>
                <c:ptCount val="2"/>
                <c:pt idx="0">
                  <c:v>6.6632178232946801E-2</c:v>
                </c:pt>
                <c:pt idx="1">
                  <c:v>7.0302282064226201E-2</c:v>
                </c:pt>
              </c:numCache>
            </c:numRef>
          </c:val>
        </c:ser>
        <c:dLbls>
          <c:showLegendKey val="0"/>
          <c:showVal val="1"/>
          <c:showCatName val="0"/>
          <c:showSerName val="0"/>
          <c:showPercent val="0"/>
          <c:showBubbleSize val="0"/>
        </c:dLbls>
        <c:gapWidth val="100"/>
        <c:overlap val="100"/>
        <c:axId val="-1359874640"/>
        <c:axId val="-1758063424"/>
      </c:barChart>
      <c:catAx>
        <c:axId val="-135987464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758063424"/>
        <c:crosses val="autoZero"/>
        <c:auto val="1"/>
        <c:lblAlgn val="ctr"/>
        <c:lblOffset val="100"/>
        <c:noMultiLvlLbl val="0"/>
      </c:catAx>
      <c:valAx>
        <c:axId val="-17580634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5987464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Sheet1!$B$27:$C$28</c:f>
              <c:multiLvlStrCache>
                <c:ptCount val="2"/>
                <c:lvl>
                  <c:pt idx="0">
                    <c:v>2017-2018</c:v>
                  </c:pt>
                  <c:pt idx="1">
                    <c:v>2018-2019</c:v>
                  </c:pt>
                </c:lvl>
                <c:lvl>
                  <c:pt idx="0">
                    <c:v>Exim Bank Limited</c:v>
                  </c:pt>
                </c:lvl>
              </c:multiLvlStrCache>
            </c:multiLvlStrRef>
          </c:cat>
          <c:val>
            <c:numRef>
              <c:f>Sheet1!$D$27:$D$28</c:f>
              <c:numCache>
                <c:formatCode>0.0000</c:formatCode>
                <c:ptCount val="2"/>
                <c:pt idx="0">
                  <c:v>0.61785079459145398</c:v>
                </c:pt>
                <c:pt idx="1">
                  <c:v>0.56255366942832497</c:v>
                </c:pt>
              </c:numCache>
            </c:numRef>
          </c:val>
        </c:ser>
        <c:dLbls>
          <c:showLegendKey val="0"/>
          <c:showVal val="1"/>
          <c:showCatName val="0"/>
          <c:showSerName val="0"/>
          <c:showPercent val="0"/>
          <c:showBubbleSize val="0"/>
        </c:dLbls>
        <c:gapWidth val="100"/>
        <c:overlap val="-24"/>
        <c:axId val="-1758058528"/>
        <c:axId val="-1758060704"/>
      </c:barChart>
      <c:catAx>
        <c:axId val="-17580585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58060704"/>
        <c:crosses val="autoZero"/>
        <c:auto val="1"/>
        <c:lblAlgn val="ctr"/>
        <c:lblOffset val="100"/>
        <c:noMultiLvlLbl val="0"/>
      </c:catAx>
      <c:valAx>
        <c:axId val="-175806070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5805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Sheet1!$B$5:$C$6</c:f>
              <c:multiLvlStrCache>
                <c:ptCount val="2"/>
                <c:lvl>
                  <c:pt idx="0">
                    <c:v>2017-2018</c:v>
                  </c:pt>
                  <c:pt idx="1">
                    <c:v>2018-2019</c:v>
                  </c:pt>
                </c:lvl>
                <c:lvl>
                  <c:pt idx="0">
                    <c:v>City Bank</c:v>
                  </c:pt>
                </c:lvl>
              </c:multiLvlStrCache>
            </c:multiLvlStrRef>
          </c:cat>
          <c:val>
            <c:numRef>
              <c:f>Sheet1!$D$5:$D$6</c:f>
              <c:numCache>
                <c:formatCode>0.0000</c:formatCode>
                <c:ptCount val="2"/>
                <c:pt idx="0">
                  <c:v>0.62132176626705204</c:v>
                </c:pt>
                <c:pt idx="1">
                  <c:v>0.69684711006960498</c:v>
                </c:pt>
              </c:numCache>
            </c:numRef>
          </c:val>
        </c:ser>
        <c:dLbls>
          <c:showLegendKey val="0"/>
          <c:showVal val="0"/>
          <c:showCatName val="0"/>
          <c:showSerName val="0"/>
          <c:showPercent val="0"/>
          <c:showBubbleSize val="0"/>
        </c:dLbls>
        <c:gapWidth val="100"/>
        <c:overlap val="-24"/>
        <c:axId val="-1636317200"/>
        <c:axId val="-1491763552"/>
      </c:barChart>
      <c:catAx>
        <c:axId val="-1636317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91763552"/>
        <c:crosses val="autoZero"/>
        <c:auto val="1"/>
        <c:lblAlgn val="ctr"/>
        <c:lblOffset val="100"/>
        <c:noMultiLvlLbl val="0"/>
      </c:catAx>
      <c:valAx>
        <c:axId val="-149176355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63631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Sheet1!$B$27:$C$28</c:f>
              <c:multiLvlStrCache>
                <c:ptCount val="2"/>
                <c:lvl>
                  <c:pt idx="0">
                    <c:v>2017-2018</c:v>
                  </c:pt>
                  <c:pt idx="1">
                    <c:v>2018-2019</c:v>
                  </c:pt>
                </c:lvl>
                <c:lvl>
                  <c:pt idx="0">
                    <c:v>Exim Bank Limited</c:v>
                  </c:pt>
                </c:lvl>
              </c:multiLvlStrCache>
            </c:multiLvlStrRef>
          </c:cat>
          <c:val>
            <c:numRef>
              <c:f>Sheet1!$E$27:$E$28</c:f>
              <c:numCache>
                <c:formatCode>0.0000</c:formatCode>
                <c:ptCount val="2"/>
                <c:pt idx="0">
                  <c:v>8.1455442581622997</c:v>
                </c:pt>
                <c:pt idx="1">
                  <c:v>8.3334691665224607</c:v>
                </c:pt>
              </c:numCache>
            </c:numRef>
          </c:val>
        </c:ser>
        <c:dLbls>
          <c:showLegendKey val="0"/>
          <c:showVal val="1"/>
          <c:showCatName val="0"/>
          <c:showSerName val="0"/>
          <c:showPercent val="0"/>
          <c:showBubbleSize val="0"/>
        </c:dLbls>
        <c:axId val="-1758062880"/>
        <c:axId val="-1758060160"/>
      </c:areaChart>
      <c:catAx>
        <c:axId val="-175806288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58060160"/>
        <c:crosses val="autoZero"/>
        <c:auto val="1"/>
        <c:lblAlgn val="ctr"/>
        <c:lblOffset val="100"/>
        <c:noMultiLvlLbl val="0"/>
      </c:catAx>
      <c:valAx>
        <c:axId val="-175806016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7580628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Sheet1!$B$27:$C$28</c:f>
              <c:multiLvlStrCache>
                <c:ptCount val="2"/>
                <c:lvl>
                  <c:pt idx="0">
                    <c:v>2017-2018</c:v>
                  </c:pt>
                  <c:pt idx="1">
                    <c:v>2018-2019</c:v>
                  </c:pt>
                </c:lvl>
                <c:lvl>
                  <c:pt idx="0">
                    <c:v>Exim Bank Limited</c:v>
                  </c:pt>
                </c:lvl>
              </c:multiLvlStrCache>
            </c:multiLvlStrRef>
          </c:cat>
          <c:val>
            <c:numRef>
              <c:f>Sheet1!$F$27:$F$28</c:f>
              <c:numCache>
                <c:formatCode>0.0000</c:formatCode>
                <c:ptCount val="2"/>
                <c:pt idx="0">
                  <c:v>7.5851382671247802E-2</c:v>
                </c:pt>
                <c:pt idx="1">
                  <c:v>6.7505339995525201E-2</c:v>
                </c:pt>
              </c:numCache>
            </c:numRef>
          </c:val>
        </c:ser>
        <c:dLbls>
          <c:showLegendKey val="0"/>
          <c:showVal val="1"/>
          <c:showCatName val="0"/>
          <c:showSerName val="0"/>
          <c:showPercent val="0"/>
          <c:showBubbleSize val="0"/>
        </c:dLbls>
        <c:gapWidth val="100"/>
        <c:overlap val="100"/>
        <c:axId val="-1758061248"/>
        <c:axId val="-1758059616"/>
      </c:barChart>
      <c:catAx>
        <c:axId val="-175806124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758059616"/>
        <c:crosses val="autoZero"/>
        <c:auto val="1"/>
        <c:lblAlgn val="ctr"/>
        <c:lblOffset val="100"/>
        <c:noMultiLvlLbl val="0"/>
      </c:catAx>
      <c:valAx>
        <c:axId val="-175805961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758061248"/>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37F0177C-45FB-4D8E-B01B-4E6CA1CA5FC2}"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Sheet1!$B$27:$D$28</c:f>
              <c:multiLvlStrCache>
                <c:ptCount val="2"/>
                <c:lvl>
                  <c:pt idx="0">
                    <c:v>0.6179</c:v>
                  </c:pt>
                  <c:pt idx="1">
                    <c:v>0.5626</c:v>
                  </c:pt>
                </c:lvl>
                <c:lvl>
                  <c:pt idx="0">
                    <c:v>2017-2018</c:v>
                  </c:pt>
                  <c:pt idx="1">
                    <c:v>2018-2019</c:v>
                  </c:pt>
                </c:lvl>
                <c:lvl>
                  <c:pt idx="0">
                    <c:v>Exim Bank Limited</c:v>
                  </c:pt>
                </c:lvl>
              </c:multiLvlStrCache>
            </c:multiLvlStrRef>
          </c:cat>
          <c:val>
            <c:numRef>
              <c:f>Sheet1!$G$27:$G$28</c:f>
              <c:numCache>
                <c:formatCode>0.0000</c:formatCode>
                <c:ptCount val="2"/>
                <c:pt idx="0">
                  <c:v>0.65328021578773499</c:v>
                </c:pt>
                <c:pt idx="1">
                  <c:v>0.569660988705883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Sheet1!$B$29:$C$30</c:f>
              <c:multiLvlStrCache>
                <c:ptCount val="2"/>
                <c:lvl>
                  <c:pt idx="0">
                    <c:v>2017-2018</c:v>
                  </c:pt>
                  <c:pt idx="1">
                    <c:v>2018-2019</c:v>
                  </c:pt>
                </c:lvl>
                <c:lvl>
                  <c:pt idx="0">
                    <c:v>Mercantile Bank Limited</c:v>
                  </c:pt>
                </c:lvl>
              </c:multiLvlStrCache>
            </c:multiLvlStrRef>
          </c:cat>
          <c:val>
            <c:numRef>
              <c:f>Sheet1!$D$29:$D$30</c:f>
              <c:numCache>
                <c:formatCode>0.0000</c:formatCode>
                <c:ptCount val="2"/>
                <c:pt idx="0">
                  <c:v>1.0298850098882399</c:v>
                </c:pt>
                <c:pt idx="1">
                  <c:v>0.68765741612264397</c:v>
                </c:pt>
              </c:numCache>
            </c:numRef>
          </c:val>
        </c:ser>
        <c:dLbls>
          <c:showLegendKey val="0"/>
          <c:showVal val="1"/>
          <c:showCatName val="0"/>
          <c:showSerName val="0"/>
          <c:showPercent val="0"/>
          <c:showBubbleSize val="0"/>
        </c:dLbls>
        <c:gapWidth val="100"/>
        <c:overlap val="-24"/>
        <c:axId val="-1484496864"/>
        <c:axId val="-1484495232"/>
      </c:barChart>
      <c:catAx>
        <c:axId val="-1484496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84495232"/>
        <c:crosses val="autoZero"/>
        <c:auto val="1"/>
        <c:lblAlgn val="ctr"/>
        <c:lblOffset val="100"/>
        <c:noMultiLvlLbl val="0"/>
      </c:catAx>
      <c:valAx>
        <c:axId val="-148449523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8449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Sheet1!$B$29:$C$30</c:f>
              <c:multiLvlStrCache>
                <c:ptCount val="2"/>
                <c:lvl>
                  <c:pt idx="0">
                    <c:v>2017-2018</c:v>
                  </c:pt>
                  <c:pt idx="1">
                    <c:v>2018-2019</c:v>
                  </c:pt>
                </c:lvl>
                <c:lvl>
                  <c:pt idx="0">
                    <c:v>Mercantile Bank Limited</c:v>
                  </c:pt>
                </c:lvl>
              </c:multiLvlStrCache>
            </c:multiLvlStrRef>
          </c:cat>
          <c:val>
            <c:numRef>
              <c:f>Sheet1!$E$29:$E$30</c:f>
              <c:numCache>
                <c:formatCode>0.0000</c:formatCode>
                <c:ptCount val="2"/>
                <c:pt idx="0">
                  <c:v>16.061917423696698</c:v>
                </c:pt>
                <c:pt idx="1">
                  <c:v>10.4049466072091</c:v>
                </c:pt>
              </c:numCache>
            </c:numRef>
          </c:val>
        </c:ser>
        <c:dLbls>
          <c:showLegendKey val="0"/>
          <c:showVal val="1"/>
          <c:showCatName val="0"/>
          <c:showSerName val="0"/>
          <c:showPercent val="0"/>
          <c:showBubbleSize val="0"/>
        </c:dLbls>
        <c:axId val="-1642227536"/>
        <c:axId val="-1642229168"/>
      </c:areaChart>
      <c:catAx>
        <c:axId val="-164222753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642229168"/>
        <c:crosses val="autoZero"/>
        <c:auto val="1"/>
        <c:lblAlgn val="ctr"/>
        <c:lblOffset val="100"/>
        <c:noMultiLvlLbl val="0"/>
      </c:catAx>
      <c:valAx>
        <c:axId val="-164222916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6422275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Sheet1!$B$29:$C$30</c:f>
              <c:multiLvlStrCache>
                <c:ptCount val="2"/>
                <c:lvl>
                  <c:pt idx="0">
                    <c:v>2017-2018</c:v>
                  </c:pt>
                  <c:pt idx="1">
                    <c:v>2018-2019</c:v>
                  </c:pt>
                </c:lvl>
                <c:lvl>
                  <c:pt idx="0">
                    <c:v>Mercantile Bank Limited</c:v>
                  </c:pt>
                </c:lvl>
              </c:multiLvlStrCache>
            </c:multiLvlStrRef>
          </c:cat>
          <c:val>
            <c:numRef>
              <c:f>Sheet1!$F$29:$F$30</c:f>
              <c:numCache>
                <c:formatCode>0.0000</c:formatCode>
                <c:ptCount val="2"/>
                <c:pt idx="0">
                  <c:v>6.4119680279816002E-2</c:v>
                </c:pt>
                <c:pt idx="1">
                  <c:v>6.6089470910518602E-2</c:v>
                </c:pt>
              </c:numCache>
            </c:numRef>
          </c:val>
        </c:ser>
        <c:dLbls>
          <c:showLegendKey val="0"/>
          <c:showVal val="1"/>
          <c:showCatName val="0"/>
          <c:showSerName val="0"/>
          <c:showPercent val="0"/>
          <c:showBubbleSize val="0"/>
        </c:dLbls>
        <c:gapWidth val="100"/>
        <c:overlap val="100"/>
        <c:axId val="-1642226992"/>
        <c:axId val="-1642228624"/>
      </c:barChart>
      <c:catAx>
        <c:axId val="-1642226992"/>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642228624"/>
        <c:crosses val="autoZero"/>
        <c:auto val="1"/>
        <c:lblAlgn val="ctr"/>
        <c:lblOffset val="100"/>
        <c:noMultiLvlLbl val="0"/>
      </c:catAx>
      <c:valAx>
        <c:axId val="-16422286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64222699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Sheet1!$B$29:$C$30</c:f>
              <c:multiLvlStrCache>
                <c:ptCount val="2"/>
                <c:lvl>
                  <c:pt idx="0">
                    <c:v>2017-2018</c:v>
                  </c:pt>
                  <c:pt idx="1">
                    <c:v>2018-2019</c:v>
                  </c:pt>
                </c:lvl>
                <c:lvl>
                  <c:pt idx="0">
                    <c:v>Mercantile Bank Limited</c:v>
                  </c:pt>
                </c:lvl>
              </c:multiLvlStrCache>
            </c:multiLvlStrRef>
          </c:cat>
          <c:val>
            <c:numRef>
              <c:f>Sheet1!$G$29:$G$30</c:f>
              <c:numCache>
                <c:formatCode>0.0000</c:formatCode>
                <c:ptCount val="2"/>
                <c:pt idx="0">
                  <c:v>1.0747842451768199</c:v>
                </c:pt>
                <c:pt idx="1">
                  <c:v>0.98635713878803699</c:v>
                </c:pt>
              </c:numCache>
            </c:numRef>
          </c:val>
        </c:ser>
        <c:ser>
          <c:idx val="1"/>
          <c:order val="1"/>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Sheet1!$B$29:$C$30</c:f>
              <c:multiLvlStrCache>
                <c:ptCount val="2"/>
                <c:lvl>
                  <c:pt idx="0">
                    <c:v>2017-2018</c:v>
                  </c:pt>
                  <c:pt idx="1">
                    <c:v>2018-2019</c:v>
                  </c:pt>
                </c:lvl>
                <c:lvl>
                  <c:pt idx="0">
                    <c:v>Mercantile Bank Limited</c:v>
                  </c:pt>
                </c:lvl>
              </c:multiLvlStrCache>
            </c:multiLvlStrRef>
          </c:cat>
          <c:val>
            <c:numRef>
              <c:f>Sheet1!$G$29:$G$30</c:f>
              <c:numCache>
                <c:formatCode>0.0000</c:formatCode>
                <c:ptCount val="2"/>
                <c:pt idx="0">
                  <c:v>1.0747842451768199</c:v>
                </c:pt>
                <c:pt idx="1">
                  <c:v>0.98635713878803699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Sheet1!$B$31:$C$32</c:f>
              <c:multiLvlStrCache>
                <c:ptCount val="2"/>
                <c:lvl>
                  <c:pt idx="0">
                    <c:v>2017-2018</c:v>
                  </c:pt>
                  <c:pt idx="1">
                    <c:v>2018-2019</c:v>
                  </c:pt>
                </c:lvl>
                <c:lvl>
                  <c:pt idx="0">
                    <c:v>Premier Bank Limited</c:v>
                  </c:pt>
                </c:lvl>
              </c:multiLvlStrCache>
            </c:multiLvlStrRef>
          </c:cat>
          <c:val>
            <c:numRef>
              <c:f>Sheet1!$D$31:$D$32</c:f>
              <c:numCache>
                <c:formatCode>0.0000</c:formatCode>
                <c:ptCount val="2"/>
                <c:pt idx="0">
                  <c:v>1.030313369218</c:v>
                </c:pt>
                <c:pt idx="1">
                  <c:v>1.2745917374578499</c:v>
                </c:pt>
              </c:numCache>
            </c:numRef>
          </c:val>
        </c:ser>
        <c:dLbls>
          <c:showLegendKey val="0"/>
          <c:showVal val="0"/>
          <c:showCatName val="0"/>
          <c:showSerName val="0"/>
          <c:showPercent val="0"/>
          <c:showBubbleSize val="0"/>
        </c:dLbls>
        <c:gapWidth val="100"/>
        <c:overlap val="-24"/>
        <c:axId val="-1370107280"/>
        <c:axId val="-1370099664"/>
      </c:barChart>
      <c:catAx>
        <c:axId val="-13701072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099664"/>
        <c:crosses val="autoZero"/>
        <c:auto val="1"/>
        <c:lblAlgn val="ctr"/>
        <c:lblOffset val="100"/>
        <c:noMultiLvlLbl val="0"/>
      </c:catAx>
      <c:valAx>
        <c:axId val="-137009966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10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Sheet1!$B$31:$C$32</c:f>
              <c:multiLvlStrCache>
                <c:ptCount val="2"/>
                <c:lvl>
                  <c:pt idx="0">
                    <c:v>2017-2018</c:v>
                  </c:pt>
                  <c:pt idx="1">
                    <c:v>2018-2019</c:v>
                  </c:pt>
                </c:lvl>
                <c:lvl>
                  <c:pt idx="0">
                    <c:v>Premier Bank Limited</c:v>
                  </c:pt>
                </c:lvl>
              </c:multiLvlStrCache>
            </c:multiLvlStrRef>
          </c:cat>
          <c:val>
            <c:numRef>
              <c:f>Sheet1!$E$31:$E$32</c:f>
              <c:numCache>
                <c:formatCode>0.0000</c:formatCode>
                <c:ptCount val="2"/>
                <c:pt idx="0">
                  <c:v>14.5738143007134</c:v>
                </c:pt>
                <c:pt idx="1">
                  <c:v>17.9428159146605</c:v>
                </c:pt>
              </c:numCache>
            </c:numRef>
          </c:val>
        </c:ser>
        <c:dLbls>
          <c:showLegendKey val="0"/>
          <c:showVal val="1"/>
          <c:showCatName val="0"/>
          <c:showSerName val="0"/>
          <c:showPercent val="0"/>
          <c:showBubbleSize val="0"/>
        </c:dLbls>
        <c:axId val="-1370110544"/>
        <c:axId val="-1370099120"/>
      </c:areaChart>
      <c:catAx>
        <c:axId val="-137011054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099120"/>
        <c:crosses val="autoZero"/>
        <c:auto val="1"/>
        <c:lblAlgn val="ctr"/>
        <c:lblOffset val="100"/>
        <c:noMultiLvlLbl val="0"/>
      </c:catAx>
      <c:valAx>
        <c:axId val="-137009912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1105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Sheet1!$B$31:$C$32</c:f>
              <c:multiLvlStrCache>
                <c:ptCount val="2"/>
                <c:lvl>
                  <c:pt idx="0">
                    <c:v>2017-2018</c:v>
                  </c:pt>
                  <c:pt idx="1">
                    <c:v>2018-2019</c:v>
                  </c:pt>
                </c:lvl>
                <c:lvl>
                  <c:pt idx="0">
                    <c:v>Premier Bank Limited</c:v>
                  </c:pt>
                </c:lvl>
              </c:multiLvlStrCache>
            </c:multiLvlStrRef>
          </c:cat>
          <c:val>
            <c:numRef>
              <c:f>Sheet1!$F$31:$F$32</c:f>
              <c:numCache>
                <c:formatCode>0.0000</c:formatCode>
                <c:ptCount val="2"/>
                <c:pt idx="0">
                  <c:v>7.0696205396796399E-2</c:v>
                </c:pt>
                <c:pt idx="1">
                  <c:v>7.1036326935529498E-2</c:v>
                </c:pt>
              </c:numCache>
            </c:numRef>
          </c:val>
        </c:ser>
        <c:dLbls>
          <c:showLegendKey val="0"/>
          <c:showVal val="1"/>
          <c:showCatName val="0"/>
          <c:showSerName val="0"/>
          <c:showPercent val="0"/>
          <c:showBubbleSize val="0"/>
        </c:dLbls>
        <c:gapWidth val="100"/>
        <c:overlap val="100"/>
        <c:axId val="-1370098576"/>
        <c:axId val="-1370106736"/>
      </c:barChart>
      <c:catAx>
        <c:axId val="-137009857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70106736"/>
        <c:crosses val="autoZero"/>
        <c:auto val="1"/>
        <c:lblAlgn val="ctr"/>
        <c:lblOffset val="100"/>
        <c:noMultiLvlLbl val="0"/>
      </c:catAx>
      <c:valAx>
        <c:axId val="-13701067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70098576"/>
        <c:crosses val="autoZero"/>
        <c:crossBetween val="between"/>
      </c:valAx>
      <c:spPr>
        <a:noFill/>
        <a:ln>
          <a:noFill/>
        </a:ln>
        <a:effectLst/>
      </c:spPr>
    </c:plotArea>
    <c:legend>
      <c:legendPos val="r"/>
      <c:layout>
        <c:manualLayout>
          <c:xMode val="edge"/>
          <c:yMode val="edge"/>
          <c:x val="0.75754986876640396"/>
          <c:y val="0.54189778361038199"/>
          <c:w val="0.24245013123359599"/>
          <c:h val="7.812554680664919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Sheet1!$B$5:$C$6</c:f>
              <c:multiLvlStrCache>
                <c:ptCount val="2"/>
                <c:lvl>
                  <c:pt idx="0">
                    <c:v>2017-2018</c:v>
                  </c:pt>
                  <c:pt idx="1">
                    <c:v>2018-2019</c:v>
                  </c:pt>
                </c:lvl>
                <c:lvl>
                  <c:pt idx="0">
                    <c:v>City Bank</c:v>
                  </c:pt>
                </c:lvl>
              </c:multiLvlStrCache>
            </c:multiLvlStrRef>
          </c:cat>
          <c:val>
            <c:numRef>
              <c:f>Sheet1!$E$5:$E$6</c:f>
              <c:numCache>
                <c:formatCode>0.0000</c:formatCode>
                <c:ptCount val="2"/>
                <c:pt idx="0">
                  <c:v>8.26007639779165</c:v>
                </c:pt>
                <c:pt idx="1">
                  <c:v>9.72487928900029</c:v>
                </c:pt>
              </c:numCache>
            </c:numRef>
          </c:val>
        </c:ser>
        <c:dLbls>
          <c:showLegendKey val="0"/>
          <c:showVal val="1"/>
          <c:showCatName val="0"/>
          <c:showSerName val="0"/>
          <c:showPercent val="0"/>
          <c:showBubbleSize val="0"/>
        </c:dLbls>
        <c:axId val="-1491757568"/>
        <c:axId val="-1491763008"/>
      </c:areaChart>
      <c:catAx>
        <c:axId val="-1491757568"/>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91763008"/>
        <c:crosses val="autoZero"/>
        <c:auto val="1"/>
        <c:lblAlgn val="ctr"/>
        <c:lblOffset val="100"/>
        <c:noMultiLvlLbl val="0"/>
      </c:catAx>
      <c:valAx>
        <c:axId val="-1491763008"/>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917575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lang="en-US"/>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Sheet1!$B$31:$C$32</c:f>
              <c:multiLvlStrCache>
                <c:ptCount val="2"/>
                <c:lvl>
                  <c:pt idx="0">
                    <c:v>2017-2018</c:v>
                  </c:pt>
                  <c:pt idx="1">
                    <c:v>2018-2019</c:v>
                  </c:pt>
                </c:lvl>
                <c:lvl>
                  <c:pt idx="0">
                    <c:v>Premier Bank Limited</c:v>
                  </c:pt>
                </c:lvl>
              </c:multiLvlStrCache>
            </c:multiLvlStrRef>
          </c:cat>
          <c:val>
            <c:numRef>
              <c:f>Sheet1!$G$31:$G$32</c:f>
              <c:numCache>
                <c:formatCode>0.0000</c:formatCode>
                <c:ptCount val="2"/>
                <c:pt idx="0">
                  <c:v>0.96420215962614797</c:v>
                </c:pt>
                <c:pt idx="1">
                  <c:v>0.71014167798860495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2755314960629899"/>
          <c:y val="0.108935185185185"/>
          <c:w val="0.85855796150481201"/>
          <c:h val="0.52638123359580102"/>
        </c:manualLayout>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Sheet1!$B$33:$C$34</c:f>
              <c:multiLvlStrCache>
                <c:ptCount val="2"/>
                <c:lvl>
                  <c:pt idx="0">
                    <c:v>2017-2018</c:v>
                  </c:pt>
                  <c:pt idx="1">
                    <c:v>2018-2019</c:v>
                  </c:pt>
                </c:lvl>
                <c:lvl>
                  <c:pt idx="0">
                    <c:v>Trust Bank Limited</c:v>
                  </c:pt>
                </c:lvl>
              </c:multiLvlStrCache>
            </c:multiLvlStrRef>
          </c:cat>
          <c:val>
            <c:numRef>
              <c:f>Sheet1!$D$33:$D$34</c:f>
              <c:numCache>
                <c:formatCode>0.0000</c:formatCode>
                <c:ptCount val="2"/>
                <c:pt idx="0">
                  <c:v>0.72893002418555797</c:v>
                </c:pt>
                <c:pt idx="1">
                  <c:v>0.68891719511508498</c:v>
                </c:pt>
              </c:numCache>
            </c:numRef>
          </c:val>
        </c:ser>
        <c:dLbls>
          <c:showLegendKey val="0"/>
          <c:showVal val="0"/>
          <c:showCatName val="0"/>
          <c:showSerName val="0"/>
          <c:showPercent val="0"/>
          <c:showBubbleSize val="0"/>
        </c:dLbls>
        <c:gapWidth val="100"/>
        <c:overlap val="-24"/>
        <c:axId val="-1370112720"/>
        <c:axId val="-1370112176"/>
      </c:barChart>
      <c:catAx>
        <c:axId val="-1370112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112176"/>
        <c:crosses val="autoZero"/>
        <c:auto val="1"/>
        <c:lblAlgn val="ctr"/>
        <c:lblOffset val="100"/>
        <c:noMultiLvlLbl val="0"/>
      </c:catAx>
      <c:valAx>
        <c:axId val="-137011217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11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Sheet1!$B$33:$C$34</c:f>
              <c:multiLvlStrCache>
                <c:ptCount val="2"/>
                <c:lvl>
                  <c:pt idx="0">
                    <c:v>2017-2018</c:v>
                  </c:pt>
                  <c:pt idx="1">
                    <c:v>2018-2019</c:v>
                  </c:pt>
                </c:lvl>
                <c:lvl>
                  <c:pt idx="0">
                    <c:v>Trust Bank Limited</c:v>
                  </c:pt>
                </c:lvl>
              </c:multiLvlStrCache>
            </c:multiLvlStrRef>
          </c:cat>
          <c:val>
            <c:numRef>
              <c:f>Sheet1!$E$33:$E$34</c:f>
              <c:numCache>
                <c:formatCode>0.0000</c:formatCode>
                <c:ptCount val="2"/>
                <c:pt idx="0">
                  <c:v>14.685286122612499</c:v>
                </c:pt>
                <c:pt idx="1">
                  <c:v>13.598417139738499</c:v>
                </c:pt>
              </c:numCache>
            </c:numRef>
          </c:val>
        </c:ser>
        <c:dLbls>
          <c:showLegendKey val="0"/>
          <c:showVal val="1"/>
          <c:showCatName val="0"/>
          <c:showSerName val="0"/>
          <c:showPercent val="0"/>
          <c:showBubbleSize val="0"/>
        </c:dLbls>
        <c:axId val="-1370105104"/>
        <c:axId val="-1370108368"/>
      </c:areaChart>
      <c:catAx>
        <c:axId val="-137010510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108368"/>
        <c:crosses val="autoZero"/>
        <c:auto val="1"/>
        <c:lblAlgn val="ctr"/>
        <c:lblOffset val="100"/>
        <c:noMultiLvlLbl val="0"/>
      </c:catAx>
      <c:valAx>
        <c:axId val="-137010836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1051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Sheet1!$B$33:$C$34</c:f>
              <c:multiLvlStrCache>
                <c:ptCount val="2"/>
                <c:lvl>
                  <c:pt idx="0">
                    <c:v>2017-2018</c:v>
                  </c:pt>
                  <c:pt idx="1">
                    <c:v>2018-2019</c:v>
                  </c:pt>
                </c:lvl>
                <c:lvl>
                  <c:pt idx="0">
                    <c:v>Trust Bank Limited</c:v>
                  </c:pt>
                </c:lvl>
              </c:multiLvlStrCache>
            </c:multiLvlStrRef>
          </c:cat>
          <c:val>
            <c:numRef>
              <c:f>Sheet1!$F$33:$F$34</c:f>
              <c:numCache>
                <c:formatCode>0.0000</c:formatCode>
                <c:ptCount val="2"/>
                <c:pt idx="0">
                  <c:v>4.9636760094387798E-2</c:v>
                </c:pt>
                <c:pt idx="1">
                  <c:v>5.0661572448889497E-2</c:v>
                </c:pt>
              </c:numCache>
            </c:numRef>
          </c:val>
        </c:ser>
        <c:dLbls>
          <c:showLegendKey val="0"/>
          <c:showVal val="1"/>
          <c:showCatName val="0"/>
          <c:showSerName val="0"/>
          <c:showPercent val="0"/>
          <c:showBubbleSize val="0"/>
        </c:dLbls>
        <c:gapWidth val="100"/>
        <c:overlap val="100"/>
        <c:axId val="-1370111088"/>
        <c:axId val="-1370103472"/>
      </c:barChart>
      <c:catAx>
        <c:axId val="-137011108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70103472"/>
        <c:crosses val="autoZero"/>
        <c:auto val="1"/>
        <c:lblAlgn val="ctr"/>
        <c:lblOffset val="100"/>
        <c:noMultiLvlLbl val="0"/>
      </c:catAx>
      <c:valAx>
        <c:axId val="-137010347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70111088"/>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Sheet1!$B$33:$C$34</c:f>
              <c:multiLvlStrCache>
                <c:ptCount val="2"/>
                <c:lvl>
                  <c:pt idx="0">
                    <c:v>2017-2018</c:v>
                  </c:pt>
                  <c:pt idx="1">
                    <c:v>2018-2019</c:v>
                  </c:pt>
                </c:lvl>
                <c:lvl>
                  <c:pt idx="0">
                    <c:v>Trust Bank Limited</c:v>
                  </c:pt>
                </c:lvl>
              </c:multiLvlStrCache>
            </c:multiLvlStrRef>
          </c:cat>
          <c:val>
            <c:numRef>
              <c:f>Sheet1!$G$33:$G$34</c:f>
              <c:numCache>
                <c:formatCode>0.0000</c:formatCode>
                <c:ptCount val="2"/>
                <c:pt idx="0">
                  <c:v>1.62276163004761</c:v>
                </c:pt>
                <c:pt idx="1">
                  <c:v>1.3236349711256601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Sheet1!$B$35:$C$36</c:f>
              <c:multiLvlStrCache>
                <c:ptCount val="2"/>
                <c:lvl>
                  <c:pt idx="0">
                    <c:v>2017-2018</c:v>
                  </c:pt>
                  <c:pt idx="1">
                    <c:v>2018-2019</c:v>
                  </c:pt>
                </c:lvl>
                <c:lvl>
                  <c:pt idx="0">
                    <c:v>Jamuna Bank Limited</c:v>
                  </c:pt>
                </c:lvl>
              </c:multiLvlStrCache>
            </c:multiLvlStrRef>
          </c:cat>
          <c:val>
            <c:numRef>
              <c:f>Sheet1!$D$35:$D$36</c:f>
              <c:numCache>
                <c:formatCode>0.0000</c:formatCode>
                <c:ptCount val="2"/>
                <c:pt idx="0">
                  <c:v>1.0295584333444501</c:v>
                </c:pt>
                <c:pt idx="1">
                  <c:v>1.0735053208102401</c:v>
                </c:pt>
              </c:numCache>
            </c:numRef>
          </c:val>
        </c:ser>
        <c:dLbls>
          <c:showLegendKey val="0"/>
          <c:showVal val="0"/>
          <c:showCatName val="0"/>
          <c:showSerName val="0"/>
          <c:showPercent val="0"/>
          <c:showBubbleSize val="0"/>
        </c:dLbls>
        <c:gapWidth val="100"/>
        <c:overlap val="-24"/>
        <c:axId val="-1360927776"/>
        <c:axId val="-1360926688"/>
      </c:barChart>
      <c:catAx>
        <c:axId val="-13609277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26688"/>
        <c:crosses val="autoZero"/>
        <c:auto val="1"/>
        <c:lblAlgn val="ctr"/>
        <c:lblOffset val="100"/>
        <c:noMultiLvlLbl val="0"/>
      </c:catAx>
      <c:valAx>
        <c:axId val="-136092668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2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Sheet1!$B$35:$C$36</c:f>
              <c:multiLvlStrCache>
                <c:ptCount val="2"/>
                <c:lvl>
                  <c:pt idx="0">
                    <c:v>2017-2018</c:v>
                  </c:pt>
                  <c:pt idx="1">
                    <c:v>2018-2019</c:v>
                  </c:pt>
                </c:lvl>
                <c:lvl>
                  <c:pt idx="0">
                    <c:v>Jamuna Bank Limited</c:v>
                  </c:pt>
                </c:lvl>
              </c:multiLvlStrCache>
            </c:multiLvlStrRef>
          </c:cat>
          <c:val>
            <c:numRef>
              <c:f>Sheet1!$E$35:$E$36</c:f>
              <c:numCache>
                <c:formatCode>0.0000</c:formatCode>
                <c:ptCount val="2"/>
                <c:pt idx="0">
                  <c:v>12.818179676482901</c:v>
                </c:pt>
                <c:pt idx="1">
                  <c:v>15.1967415507306</c:v>
                </c:pt>
              </c:numCache>
            </c:numRef>
          </c:val>
        </c:ser>
        <c:dLbls>
          <c:showLegendKey val="0"/>
          <c:showVal val="1"/>
          <c:showCatName val="0"/>
          <c:showSerName val="0"/>
          <c:showPercent val="0"/>
          <c:showBubbleSize val="0"/>
        </c:dLbls>
        <c:axId val="-1360918528"/>
        <c:axId val="-1360928864"/>
      </c:areaChart>
      <c:catAx>
        <c:axId val="-136091852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28864"/>
        <c:crosses val="autoZero"/>
        <c:auto val="1"/>
        <c:lblAlgn val="r"/>
        <c:lblOffset val="100"/>
        <c:noMultiLvlLbl val="0"/>
      </c:catAx>
      <c:valAx>
        <c:axId val="-136092886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185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Sheet1!$B$35:$C$36</c:f>
              <c:multiLvlStrCache>
                <c:ptCount val="2"/>
                <c:lvl>
                  <c:pt idx="0">
                    <c:v>2017-2018</c:v>
                  </c:pt>
                  <c:pt idx="1">
                    <c:v>2018-2019</c:v>
                  </c:pt>
                </c:lvl>
                <c:lvl>
                  <c:pt idx="0">
                    <c:v>Jamuna Bank Limited</c:v>
                  </c:pt>
                </c:lvl>
              </c:multiLvlStrCache>
            </c:multiLvlStrRef>
          </c:cat>
          <c:val>
            <c:numRef>
              <c:f>Sheet1!$F$35:$F$36</c:f>
              <c:numCache>
                <c:formatCode>0.0000</c:formatCode>
                <c:ptCount val="2"/>
                <c:pt idx="0">
                  <c:v>8.0320174886715501E-2</c:v>
                </c:pt>
                <c:pt idx="1">
                  <c:v>7.0640493373306704E-2</c:v>
                </c:pt>
              </c:numCache>
            </c:numRef>
          </c:val>
        </c:ser>
        <c:dLbls>
          <c:showLegendKey val="0"/>
          <c:showVal val="1"/>
          <c:showCatName val="0"/>
          <c:showSerName val="0"/>
          <c:showPercent val="0"/>
          <c:showBubbleSize val="0"/>
        </c:dLbls>
        <c:gapWidth val="100"/>
        <c:overlap val="100"/>
        <c:axId val="-1360923968"/>
        <c:axId val="-1360917440"/>
      </c:barChart>
      <c:catAx>
        <c:axId val="-136092396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60917440"/>
        <c:crosses val="autoZero"/>
        <c:auto val="1"/>
        <c:lblAlgn val="ctr"/>
        <c:lblOffset val="100"/>
        <c:noMultiLvlLbl val="0"/>
      </c:catAx>
      <c:valAx>
        <c:axId val="-13609174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60923968"/>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Sheet1!$B$35:$C$36</c:f>
              <c:multiLvlStrCache>
                <c:ptCount val="2"/>
                <c:lvl>
                  <c:pt idx="0">
                    <c:v>2017-2018</c:v>
                  </c:pt>
                  <c:pt idx="1">
                    <c:v>2018-2019</c:v>
                  </c:pt>
                </c:lvl>
                <c:lvl>
                  <c:pt idx="0">
                    <c:v>Jamuna Bank Limited</c:v>
                  </c:pt>
                </c:lvl>
              </c:multiLvlStrCache>
            </c:multiLvlStrRef>
          </c:cat>
          <c:val>
            <c:numRef>
              <c:f>Sheet1!$G$35:$G$36</c:f>
              <c:numCache>
                <c:formatCode>0.0000</c:formatCode>
                <c:ptCount val="2"/>
                <c:pt idx="0">
                  <c:v>1.0171653093711499</c:v>
                </c:pt>
                <c:pt idx="1">
                  <c:v>0.96793623163946296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1909711286089198"/>
          <c:y val="4.6296296296296301E-2"/>
        </c:manualLayout>
      </c:layout>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Sheet1!$B$37:$C$38</c:f>
              <c:multiLvlStrCache>
                <c:ptCount val="2"/>
                <c:lvl>
                  <c:pt idx="0">
                    <c:v>2017-2018</c:v>
                  </c:pt>
                  <c:pt idx="1">
                    <c:v>2018-2019</c:v>
                  </c:pt>
                </c:lvl>
                <c:lvl>
                  <c:pt idx="0">
                    <c:v>National Bank Limited</c:v>
                  </c:pt>
                </c:lvl>
              </c:multiLvlStrCache>
            </c:multiLvlStrRef>
          </c:cat>
          <c:val>
            <c:numRef>
              <c:f>Sheet1!$D$37:$D$38</c:f>
              <c:numCache>
                <c:formatCode>0.0000</c:formatCode>
                <c:ptCount val="2"/>
                <c:pt idx="0">
                  <c:v>1.00688482848087</c:v>
                </c:pt>
                <c:pt idx="1">
                  <c:v>0.89831333188094398</c:v>
                </c:pt>
              </c:numCache>
            </c:numRef>
          </c:val>
        </c:ser>
        <c:dLbls>
          <c:showLegendKey val="0"/>
          <c:showVal val="0"/>
          <c:showCatName val="0"/>
          <c:showSerName val="0"/>
          <c:showPercent val="0"/>
          <c:showBubbleSize val="0"/>
        </c:dLbls>
        <c:gapWidth val="100"/>
        <c:overlap val="-24"/>
        <c:axId val="-1360915808"/>
        <c:axId val="-1360913632"/>
      </c:barChart>
      <c:catAx>
        <c:axId val="-13609158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13632"/>
        <c:crosses val="autoZero"/>
        <c:auto val="1"/>
        <c:lblAlgn val="ctr"/>
        <c:lblOffset val="100"/>
        <c:noMultiLvlLbl val="0"/>
      </c:catAx>
      <c:valAx>
        <c:axId val="-136091363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1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Sheet1!$B$5:$C$6</c:f>
              <c:multiLvlStrCache>
                <c:ptCount val="2"/>
                <c:lvl>
                  <c:pt idx="0">
                    <c:v>2017-2018</c:v>
                  </c:pt>
                  <c:pt idx="1">
                    <c:v>2018-2019</c:v>
                  </c:pt>
                </c:lvl>
                <c:lvl>
                  <c:pt idx="0">
                    <c:v>City Bank</c:v>
                  </c:pt>
                </c:lvl>
              </c:multiLvlStrCache>
            </c:multiLvlStrRef>
          </c:cat>
          <c:val>
            <c:numRef>
              <c:f>Sheet1!$F$5:$F$6</c:f>
              <c:numCache>
                <c:formatCode>0.0000</c:formatCode>
                <c:ptCount val="2"/>
                <c:pt idx="0">
                  <c:v>7.5219857098799206E-2</c:v>
                </c:pt>
                <c:pt idx="1">
                  <c:v>7.16561192546422E-2</c:v>
                </c:pt>
              </c:numCache>
            </c:numRef>
          </c:val>
        </c:ser>
        <c:dLbls>
          <c:showLegendKey val="0"/>
          <c:showVal val="1"/>
          <c:showCatName val="0"/>
          <c:showSerName val="0"/>
          <c:showPercent val="0"/>
          <c:showBubbleSize val="0"/>
        </c:dLbls>
        <c:gapWidth val="150"/>
        <c:overlap val="100"/>
        <c:axId val="-1491761920"/>
        <c:axId val="-1491759744"/>
      </c:barChart>
      <c:catAx>
        <c:axId val="-14917619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491759744"/>
        <c:crosses val="autoZero"/>
        <c:auto val="1"/>
        <c:lblAlgn val="ctr"/>
        <c:lblOffset val="100"/>
        <c:noMultiLvlLbl val="0"/>
      </c:catAx>
      <c:valAx>
        <c:axId val="-149175974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none"/>
        <c:minorTickMark val="none"/>
        <c:tickLblPos val="nextTo"/>
        <c:crossAx val="-14917619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Sheet1!$B$37:$C$38</c:f>
              <c:multiLvlStrCache>
                <c:ptCount val="2"/>
                <c:lvl>
                  <c:pt idx="0">
                    <c:v>2017-2018</c:v>
                  </c:pt>
                  <c:pt idx="1">
                    <c:v>2018-2019</c:v>
                  </c:pt>
                </c:lvl>
                <c:lvl>
                  <c:pt idx="0">
                    <c:v>National Bank Limited</c:v>
                  </c:pt>
                </c:lvl>
              </c:multiLvlStrCache>
            </c:multiLvlStrRef>
          </c:cat>
          <c:val>
            <c:numRef>
              <c:f>Sheet1!$E$37:$E$38</c:f>
              <c:numCache>
                <c:formatCode>0.0000</c:formatCode>
                <c:ptCount val="2"/>
                <c:pt idx="0">
                  <c:v>9.1505693886477601</c:v>
                </c:pt>
                <c:pt idx="1">
                  <c:v>8.4921724906657907</c:v>
                </c:pt>
              </c:numCache>
            </c:numRef>
          </c:val>
        </c:ser>
        <c:dLbls>
          <c:showLegendKey val="0"/>
          <c:showVal val="1"/>
          <c:showCatName val="0"/>
          <c:showSerName val="0"/>
          <c:showPercent val="0"/>
          <c:showBubbleSize val="0"/>
        </c:dLbls>
        <c:axId val="-1360925600"/>
        <c:axId val="-1360925056"/>
      </c:areaChart>
      <c:catAx>
        <c:axId val="-136092560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25056"/>
        <c:crosses val="autoZero"/>
        <c:auto val="1"/>
        <c:lblAlgn val="ctr"/>
        <c:lblOffset val="100"/>
        <c:noMultiLvlLbl val="0"/>
      </c:catAx>
      <c:valAx>
        <c:axId val="-136092505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609256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Sheet1!$B$37:$C$38</c:f>
              <c:multiLvlStrCache>
                <c:ptCount val="2"/>
                <c:lvl>
                  <c:pt idx="0">
                    <c:v>2017-2018</c:v>
                  </c:pt>
                  <c:pt idx="1">
                    <c:v>2018-2019</c:v>
                  </c:pt>
                </c:lvl>
                <c:lvl>
                  <c:pt idx="0">
                    <c:v>National Bank Limited</c:v>
                  </c:pt>
                </c:lvl>
              </c:multiLvlStrCache>
            </c:multiLvlStrRef>
          </c:cat>
          <c:val>
            <c:numRef>
              <c:f>Sheet1!$F$37:$F$38</c:f>
              <c:numCache>
                <c:formatCode>0.0000</c:formatCode>
                <c:ptCount val="2"/>
                <c:pt idx="0">
                  <c:v>0.11003521045696001</c:v>
                </c:pt>
                <c:pt idx="1">
                  <c:v>0.10578133367737499</c:v>
                </c:pt>
              </c:numCache>
            </c:numRef>
          </c:val>
        </c:ser>
        <c:dLbls>
          <c:showLegendKey val="0"/>
          <c:showVal val="1"/>
          <c:showCatName val="0"/>
          <c:showSerName val="0"/>
          <c:showPercent val="0"/>
          <c:showBubbleSize val="0"/>
        </c:dLbls>
        <c:gapWidth val="100"/>
        <c:overlap val="100"/>
        <c:axId val="-1360922336"/>
        <c:axId val="-1360921792"/>
      </c:barChart>
      <c:catAx>
        <c:axId val="-136092233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60921792"/>
        <c:crosses val="autoZero"/>
        <c:auto val="1"/>
        <c:lblAlgn val="ctr"/>
        <c:lblOffset val="100"/>
        <c:noMultiLvlLbl val="0"/>
      </c:catAx>
      <c:valAx>
        <c:axId val="-136092179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6092233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Sheet1!$B$37:$C$38</c:f>
              <c:multiLvlStrCache>
                <c:ptCount val="2"/>
                <c:lvl>
                  <c:pt idx="0">
                    <c:v>2017-2018</c:v>
                  </c:pt>
                  <c:pt idx="1">
                    <c:v>2018-2019</c:v>
                  </c:pt>
                </c:lvl>
                <c:lvl>
                  <c:pt idx="0">
                    <c:v>National Bank Limited</c:v>
                  </c:pt>
                </c:lvl>
              </c:multiLvlStrCache>
            </c:multiLvlStrRef>
          </c:cat>
          <c:val>
            <c:numRef>
              <c:f>Sheet1!$G$37:$G$38</c:f>
              <c:numCache>
                <c:formatCode>0.0000</c:formatCode>
                <c:ptCount val="2"/>
                <c:pt idx="0">
                  <c:v>0.19793048028920801</c:v>
                </c:pt>
                <c:pt idx="1">
                  <c:v>0.170027194647034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Lst>
            </c:dLbl>
            <c:dLbl>
              <c:idx val="1"/>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Sheet1!$B$39:$C$40</c:f>
              <c:multiLvlStrCache>
                <c:ptCount val="2"/>
                <c:lvl>
                  <c:pt idx="0">
                    <c:v>2017-2018</c:v>
                  </c:pt>
                  <c:pt idx="1">
                    <c:v>2018-2019</c:v>
                  </c:pt>
                </c:lvl>
                <c:lvl>
                  <c:pt idx="0">
                    <c:v>Eastern Bank limited</c:v>
                  </c:pt>
                </c:lvl>
              </c:multiLvlStrCache>
            </c:multiLvlStrRef>
          </c:cat>
          <c:val>
            <c:numRef>
              <c:f>Sheet1!$D$39:$D$40</c:f>
              <c:numCache>
                <c:formatCode>0.0000</c:formatCode>
                <c:ptCount val="2"/>
                <c:pt idx="0">
                  <c:v>1.0907298714840501</c:v>
                </c:pt>
                <c:pt idx="1">
                  <c:v>1.1958767917655799</c:v>
                </c:pt>
              </c:numCache>
            </c:numRef>
          </c:val>
        </c:ser>
        <c:dLbls>
          <c:showLegendKey val="0"/>
          <c:showVal val="0"/>
          <c:showCatName val="0"/>
          <c:showSerName val="0"/>
          <c:showPercent val="0"/>
          <c:showBubbleSize val="0"/>
        </c:dLbls>
        <c:gapWidth val="100"/>
        <c:overlap val="-24"/>
        <c:axId val="-1370406928"/>
        <c:axId val="-1370399856"/>
      </c:barChart>
      <c:catAx>
        <c:axId val="-1370406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399856"/>
        <c:crosses val="autoZero"/>
        <c:auto val="1"/>
        <c:lblAlgn val="ctr"/>
        <c:lblOffset val="100"/>
        <c:noMultiLvlLbl val="0"/>
      </c:catAx>
      <c:valAx>
        <c:axId val="-137039985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40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Sheet1!$B$39:$C$40</c:f>
              <c:multiLvlStrCache>
                <c:ptCount val="2"/>
                <c:lvl>
                  <c:pt idx="0">
                    <c:v>2017-2018</c:v>
                  </c:pt>
                  <c:pt idx="1">
                    <c:v>2018-2019</c:v>
                  </c:pt>
                </c:lvl>
                <c:lvl>
                  <c:pt idx="0">
                    <c:v>Eastern Bank limited</c:v>
                  </c:pt>
                </c:lvl>
              </c:multiLvlStrCache>
            </c:multiLvlStrRef>
          </c:cat>
          <c:val>
            <c:numRef>
              <c:f>Sheet1!$E$39:$E$40</c:f>
              <c:numCache>
                <c:formatCode>0.0000</c:formatCode>
                <c:ptCount val="2"/>
                <c:pt idx="0">
                  <c:v>13.4143609172047</c:v>
                </c:pt>
                <c:pt idx="1">
                  <c:v>15.676715614412499</c:v>
                </c:pt>
              </c:numCache>
            </c:numRef>
          </c:val>
        </c:ser>
        <c:dLbls>
          <c:showLegendKey val="0"/>
          <c:showVal val="1"/>
          <c:showCatName val="0"/>
          <c:showSerName val="0"/>
          <c:showPercent val="0"/>
          <c:showBubbleSize val="0"/>
        </c:dLbls>
        <c:axId val="-1370401488"/>
        <c:axId val="-1370399312"/>
      </c:areaChart>
      <c:catAx>
        <c:axId val="-137040148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399312"/>
        <c:crosses val="autoZero"/>
        <c:auto val="1"/>
        <c:lblAlgn val="ctr"/>
        <c:lblOffset val="100"/>
        <c:noMultiLvlLbl val="0"/>
      </c:catAx>
      <c:valAx>
        <c:axId val="-137039931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4014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Sheet1!$B$39:$C$40</c:f>
              <c:multiLvlStrCache>
                <c:ptCount val="2"/>
                <c:lvl>
                  <c:pt idx="0">
                    <c:v>2017-2018</c:v>
                  </c:pt>
                  <c:pt idx="1">
                    <c:v>2018-2019</c:v>
                  </c:pt>
                </c:lvl>
                <c:lvl>
                  <c:pt idx="0">
                    <c:v>Eastern Bank limited</c:v>
                  </c:pt>
                </c:lvl>
              </c:multiLvlStrCache>
            </c:multiLvlStrRef>
          </c:cat>
          <c:val>
            <c:numRef>
              <c:f>Sheet1!$F$39:$F$40</c:f>
              <c:numCache>
                <c:formatCode>0.0000</c:formatCode>
                <c:ptCount val="2"/>
                <c:pt idx="0">
                  <c:v>8.1310610189794394E-2</c:v>
                </c:pt>
                <c:pt idx="1">
                  <c:v>7.6283631162266205E-2</c:v>
                </c:pt>
              </c:numCache>
            </c:numRef>
          </c:val>
        </c:ser>
        <c:dLbls>
          <c:showLegendKey val="0"/>
          <c:showVal val="1"/>
          <c:showCatName val="0"/>
          <c:showSerName val="0"/>
          <c:showPercent val="0"/>
          <c:showBubbleSize val="0"/>
        </c:dLbls>
        <c:gapWidth val="100"/>
        <c:overlap val="100"/>
        <c:axId val="-1370396592"/>
        <c:axId val="-1370396048"/>
      </c:barChart>
      <c:catAx>
        <c:axId val="-1370396592"/>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70396048"/>
        <c:crosses val="autoZero"/>
        <c:auto val="1"/>
        <c:lblAlgn val="ctr"/>
        <c:lblOffset val="100"/>
        <c:noMultiLvlLbl val="0"/>
      </c:catAx>
      <c:valAx>
        <c:axId val="-13703960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7039659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Sheet1!$B$39:$C$40</c:f>
              <c:multiLvlStrCache>
                <c:ptCount val="2"/>
                <c:lvl>
                  <c:pt idx="0">
                    <c:v>2017-2018</c:v>
                  </c:pt>
                  <c:pt idx="1">
                    <c:v>2018-2019</c:v>
                  </c:pt>
                </c:lvl>
                <c:lvl>
                  <c:pt idx="0">
                    <c:v>Eastern Bank limited</c:v>
                  </c:pt>
                </c:lvl>
              </c:multiLvlStrCache>
            </c:multiLvlStrRef>
          </c:cat>
          <c:val>
            <c:numRef>
              <c:f>Sheet1!$G$39:$G$40</c:f>
              <c:numCache>
                <c:formatCode>0.0000</c:formatCode>
                <c:ptCount val="2"/>
                <c:pt idx="0">
                  <c:v>2.0348068470097802</c:v>
                </c:pt>
                <c:pt idx="1">
                  <c:v>1.98771156109417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Sheet1!$B$41:$C$42</c:f>
              <c:multiLvlStrCache>
                <c:ptCount val="2"/>
                <c:lvl>
                  <c:pt idx="0">
                    <c:v>2017-2018</c:v>
                  </c:pt>
                  <c:pt idx="1">
                    <c:v>2018-2019</c:v>
                  </c:pt>
                </c:lvl>
                <c:lvl>
                  <c:pt idx="0">
                    <c:v>Islami Bank Bangladesh Limited</c:v>
                  </c:pt>
                </c:lvl>
              </c:multiLvlStrCache>
            </c:multiLvlStrRef>
          </c:cat>
          <c:val>
            <c:numRef>
              <c:f>Sheet1!$E$41:$E$42</c:f>
              <c:numCache>
                <c:formatCode>0.0000</c:formatCode>
                <c:ptCount val="2"/>
                <c:pt idx="0">
                  <c:v>11.0665802908447</c:v>
                </c:pt>
                <c:pt idx="1">
                  <c:v>9.0848117626213192</c:v>
                </c:pt>
              </c:numCache>
            </c:numRef>
          </c:val>
        </c:ser>
        <c:dLbls>
          <c:showLegendKey val="0"/>
          <c:showVal val="1"/>
          <c:showCatName val="0"/>
          <c:showSerName val="0"/>
          <c:showPercent val="0"/>
          <c:showBubbleSize val="0"/>
        </c:dLbls>
        <c:axId val="-1370400944"/>
        <c:axId val="-1370400400"/>
      </c:areaChart>
      <c:catAx>
        <c:axId val="-137040094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400400"/>
        <c:crosses val="autoZero"/>
        <c:auto val="1"/>
        <c:lblAlgn val="ctr"/>
        <c:lblOffset val="100"/>
        <c:noMultiLvlLbl val="0"/>
      </c:catAx>
      <c:valAx>
        <c:axId val="-137040040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4009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Sheet1!$B$41:$C$42</c:f>
              <c:multiLvlStrCache>
                <c:ptCount val="2"/>
                <c:lvl>
                  <c:pt idx="0">
                    <c:v>2017-2018</c:v>
                  </c:pt>
                  <c:pt idx="1">
                    <c:v>2018-2019</c:v>
                  </c:pt>
                </c:lvl>
                <c:lvl>
                  <c:pt idx="0">
                    <c:v>Islami Bank Bangladesh Limited</c:v>
                  </c:pt>
                </c:lvl>
              </c:multiLvlStrCache>
            </c:multiLvlStrRef>
          </c:cat>
          <c:val>
            <c:numRef>
              <c:f>Sheet1!$D$41:$D$42</c:f>
              <c:numCache>
                <c:formatCode>0.0000</c:formatCode>
                <c:ptCount val="2"/>
                <c:pt idx="0">
                  <c:v>0.60907992794840604</c:v>
                </c:pt>
                <c:pt idx="1">
                  <c:v>0.46679167403185701</c:v>
                </c:pt>
              </c:numCache>
            </c:numRef>
          </c:val>
        </c:ser>
        <c:dLbls>
          <c:showLegendKey val="0"/>
          <c:showVal val="1"/>
          <c:showCatName val="0"/>
          <c:showSerName val="0"/>
          <c:showPercent val="0"/>
          <c:showBubbleSize val="0"/>
        </c:dLbls>
        <c:gapWidth val="100"/>
        <c:overlap val="-24"/>
        <c:axId val="-1370398224"/>
        <c:axId val="-1370391696"/>
      </c:barChart>
      <c:catAx>
        <c:axId val="-13703982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391696"/>
        <c:crosses val="autoZero"/>
        <c:auto val="1"/>
        <c:lblAlgn val="ctr"/>
        <c:lblOffset val="100"/>
        <c:noMultiLvlLbl val="0"/>
      </c:catAx>
      <c:valAx>
        <c:axId val="-137039169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039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Sheet1!$B$41:$C$42</c:f>
              <c:multiLvlStrCache>
                <c:ptCount val="2"/>
                <c:lvl>
                  <c:pt idx="0">
                    <c:v>2017-2018</c:v>
                  </c:pt>
                  <c:pt idx="1">
                    <c:v>2018-2019</c:v>
                  </c:pt>
                </c:lvl>
                <c:lvl>
                  <c:pt idx="0">
                    <c:v>Islami Bank Bangladesh Limited</c:v>
                  </c:pt>
                </c:lvl>
              </c:multiLvlStrCache>
            </c:multiLvlStrRef>
          </c:cat>
          <c:val>
            <c:numRef>
              <c:f>Sheet1!$F$41:$F$42</c:f>
              <c:numCache>
                <c:formatCode>0.0000</c:formatCode>
                <c:ptCount val="2"/>
                <c:pt idx="0">
                  <c:v>5.5037772459148301E-2</c:v>
                </c:pt>
                <c:pt idx="1">
                  <c:v>5.13815460604733E-2</c:v>
                </c:pt>
              </c:numCache>
            </c:numRef>
          </c:val>
        </c:ser>
        <c:dLbls>
          <c:showLegendKey val="0"/>
          <c:showVal val="1"/>
          <c:showCatName val="0"/>
          <c:showSerName val="0"/>
          <c:showPercent val="0"/>
          <c:showBubbleSize val="0"/>
        </c:dLbls>
        <c:gapWidth val="100"/>
        <c:overlap val="100"/>
        <c:axId val="-1370397136"/>
        <c:axId val="-1370394416"/>
      </c:barChart>
      <c:catAx>
        <c:axId val="-137039713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70394416"/>
        <c:crosses val="autoZero"/>
        <c:auto val="1"/>
        <c:lblAlgn val="ctr"/>
        <c:lblOffset val="100"/>
        <c:noMultiLvlLbl val="0"/>
      </c:catAx>
      <c:valAx>
        <c:axId val="-137039441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7039713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509C4425-48B3-482C-870E-75DF4C3276A6}"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Sheet1!$B$5:$C$6</c:f>
              <c:multiLvlStrCache>
                <c:ptCount val="2"/>
                <c:lvl>
                  <c:pt idx="0">
                    <c:v>2017-2018</c:v>
                  </c:pt>
                  <c:pt idx="1">
                    <c:v>2018-2019</c:v>
                  </c:pt>
                </c:lvl>
                <c:lvl>
                  <c:pt idx="0">
                    <c:v>City Bank</c:v>
                  </c:pt>
                </c:lvl>
              </c:multiLvlStrCache>
            </c:multiLvlStrRef>
          </c:cat>
          <c:val>
            <c:numRef>
              <c:f>Sheet1!$G$5:$G$6</c:f>
              <c:numCache>
                <c:formatCode>0.0000</c:formatCode>
                <c:ptCount val="2"/>
                <c:pt idx="0">
                  <c:v>0.36021393193670098</c:v>
                </c:pt>
                <c:pt idx="1">
                  <c:v>0.36198188643623902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Sheet1!$B$41:$C$42</c:f>
              <c:multiLvlStrCache>
                <c:ptCount val="2"/>
                <c:lvl>
                  <c:pt idx="0">
                    <c:v>2017-2018</c:v>
                  </c:pt>
                  <c:pt idx="1">
                    <c:v>2018-2019</c:v>
                  </c:pt>
                </c:lvl>
                <c:lvl>
                  <c:pt idx="0">
                    <c:v>Islami Bank Bangladesh Limited</c:v>
                  </c:pt>
                </c:lvl>
              </c:multiLvlStrCache>
            </c:multiLvlStrRef>
          </c:cat>
          <c:val>
            <c:numRef>
              <c:f>Sheet1!$G$41:$G$42</c:f>
              <c:numCache>
                <c:formatCode>0.0000</c:formatCode>
                <c:ptCount val="2"/>
                <c:pt idx="0">
                  <c:v>0.68883254768586799</c:v>
                </c:pt>
                <c:pt idx="1">
                  <c:v>0.49187036254834399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Sheet1!$B$43:$C$44</c:f>
              <c:multiLvlStrCache>
                <c:ptCount val="2"/>
                <c:lvl>
                  <c:pt idx="0">
                    <c:v>2017-2018</c:v>
                  </c:pt>
                  <c:pt idx="1">
                    <c:v>2018-2019</c:v>
                  </c:pt>
                </c:lvl>
                <c:lvl>
                  <c:pt idx="0">
                    <c:v>Uttara Bank Limited</c:v>
                  </c:pt>
                </c:lvl>
              </c:multiLvlStrCache>
            </c:multiLvlStrRef>
          </c:cat>
          <c:val>
            <c:numRef>
              <c:f>Sheet1!$D$43:$D$44</c:f>
              <c:numCache>
                <c:formatCode>0.0000</c:formatCode>
                <c:ptCount val="2"/>
                <c:pt idx="0">
                  <c:v>0.87898079777066995</c:v>
                </c:pt>
                <c:pt idx="1">
                  <c:v>0.97090834208755605</c:v>
                </c:pt>
              </c:numCache>
            </c:numRef>
          </c:val>
        </c:ser>
        <c:dLbls>
          <c:showLegendKey val="0"/>
          <c:showVal val="1"/>
          <c:showCatName val="0"/>
          <c:showSerName val="0"/>
          <c:showPercent val="0"/>
          <c:showBubbleSize val="0"/>
        </c:dLbls>
        <c:gapWidth val="100"/>
        <c:overlap val="-24"/>
        <c:axId val="-1374955024"/>
        <c:axId val="-1374963728"/>
      </c:barChart>
      <c:catAx>
        <c:axId val="-1374955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63728"/>
        <c:crosses val="autoZero"/>
        <c:auto val="1"/>
        <c:lblAlgn val="ctr"/>
        <c:lblOffset val="100"/>
        <c:noMultiLvlLbl val="0"/>
      </c:catAx>
      <c:valAx>
        <c:axId val="-137496372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5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Sheet1!$B$43:$C$44</c:f>
              <c:multiLvlStrCache>
                <c:ptCount val="2"/>
                <c:lvl>
                  <c:pt idx="0">
                    <c:v>2017-2018</c:v>
                  </c:pt>
                  <c:pt idx="1">
                    <c:v>2018-2019</c:v>
                  </c:pt>
                </c:lvl>
                <c:lvl>
                  <c:pt idx="0">
                    <c:v>Uttara Bank Limited</c:v>
                  </c:pt>
                </c:lvl>
              </c:multiLvlStrCache>
            </c:multiLvlStrRef>
          </c:cat>
          <c:val>
            <c:numRef>
              <c:f>Sheet1!$E$43:$E$44</c:f>
              <c:numCache>
                <c:formatCode>0.0000</c:formatCode>
                <c:ptCount val="2"/>
                <c:pt idx="0">
                  <c:v>11.3353705507844</c:v>
                </c:pt>
                <c:pt idx="1">
                  <c:v>11.9757366905725</c:v>
                </c:pt>
              </c:numCache>
            </c:numRef>
          </c:val>
        </c:ser>
        <c:dLbls>
          <c:showLegendKey val="0"/>
          <c:showVal val="1"/>
          <c:showCatName val="0"/>
          <c:showSerName val="0"/>
          <c:showPercent val="0"/>
          <c:showBubbleSize val="0"/>
        </c:dLbls>
        <c:axId val="-1374959920"/>
        <c:axId val="-1374962096"/>
      </c:areaChart>
      <c:catAx>
        <c:axId val="-137495992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62096"/>
        <c:crosses val="autoZero"/>
        <c:auto val="1"/>
        <c:lblAlgn val="ctr"/>
        <c:lblOffset val="100"/>
        <c:noMultiLvlLbl val="0"/>
      </c:catAx>
      <c:valAx>
        <c:axId val="-137496209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599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Sheet1!$B$43:$C$44</c:f>
              <c:multiLvlStrCache>
                <c:ptCount val="2"/>
                <c:lvl>
                  <c:pt idx="0">
                    <c:v>2017-2018</c:v>
                  </c:pt>
                  <c:pt idx="1">
                    <c:v>2018-2019</c:v>
                  </c:pt>
                </c:lvl>
                <c:lvl>
                  <c:pt idx="0">
                    <c:v>Uttara Bank Limited</c:v>
                  </c:pt>
                </c:lvl>
              </c:multiLvlStrCache>
            </c:multiLvlStrRef>
          </c:cat>
          <c:val>
            <c:numRef>
              <c:f>Sheet1!$F$43:$F$44</c:f>
              <c:numCache>
                <c:formatCode>0.0000</c:formatCode>
                <c:ptCount val="2"/>
                <c:pt idx="0">
                  <c:v>7.7543190479101007E-2</c:v>
                </c:pt>
                <c:pt idx="1">
                  <c:v>8.1072953353414107E-2</c:v>
                </c:pt>
              </c:numCache>
            </c:numRef>
          </c:val>
        </c:ser>
        <c:dLbls>
          <c:showLegendKey val="0"/>
          <c:showVal val="1"/>
          <c:showCatName val="0"/>
          <c:showSerName val="0"/>
          <c:showPercent val="0"/>
          <c:showBubbleSize val="0"/>
        </c:dLbls>
        <c:gapWidth val="100"/>
        <c:overlap val="100"/>
        <c:axId val="-1374965360"/>
        <c:axId val="-1374953936"/>
      </c:barChart>
      <c:catAx>
        <c:axId val="-137496536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74953936"/>
        <c:crosses val="autoZero"/>
        <c:auto val="1"/>
        <c:lblAlgn val="ctr"/>
        <c:lblOffset val="100"/>
        <c:noMultiLvlLbl val="0"/>
      </c:catAx>
      <c:valAx>
        <c:axId val="-13749539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7496536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Sheet1!$B$43:$C$44</c:f>
              <c:multiLvlStrCache>
                <c:ptCount val="2"/>
                <c:lvl>
                  <c:pt idx="0">
                    <c:v>2017-2018</c:v>
                  </c:pt>
                  <c:pt idx="1">
                    <c:v>2018-2019</c:v>
                  </c:pt>
                </c:lvl>
                <c:lvl>
                  <c:pt idx="0">
                    <c:v>Uttara Bank Limited</c:v>
                  </c:pt>
                </c:lvl>
              </c:multiLvlStrCache>
            </c:multiLvlStrRef>
          </c:cat>
          <c:val>
            <c:numRef>
              <c:f>Sheet1!$G$43:$G$44</c:f>
              <c:numCache>
                <c:formatCode>0.0000</c:formatCode>
                <c:ptCount val="2"/>
                <c:pt idx="0">
                  <c:v>0.37110420872448002</c:v>
                </c:pt>
                <c:pt idx="1">
                  <c:v>8.9033299004640701E-2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Sheet1!$B$45:$C$46</c:f>
              <c:multiLvlStrCache>
                <c:ptCount val="2"/>
                <c:lvl>
                  <c:pt idx="0">
                    <c:v>2017-2018</c:v>
                  </c:pt>
                  <c:pt idx="1">
                    <c:v>2018-2019</c:v>
                  </c:pt>
                </c:lvl>
                <c:lvl>
                  <c:pt idx="0">
                    <c:v>ICB Islamic Bank Limited</c:v>
                  </c:pt>
                </c:lvl>
              </c:multiLvlStrCache>
            </c:multiLvlStrRef>
          </c:cat>
          <c:val>
            <c:numRef>
              <c:f>Sheet1!$D$45:$D$46</c:f>
              <c:numCache>
                <c:formatCode>0.0000</c:formatCode>
                <c:ptCount val="2"/>
                <c:pt idx="0">
                  <c:v>-4.2489102067938003</c:v>
                </c:pt>
                <c:pt idx="1">
                  <c:v>-3.7699969466510699</c:v>
                </c:pt>
              </c:numCache>
            </c:numRef>
          </c:val>
        </c:ser>
        <c:dLbls>
          <c:showLegendKey val="0"/>
          <c:showVal val="1"/>
          <c:showCatName val="0"/>
          <c:showSerName val="0"/>
          <c:showPercent val="0"/>
          <c:showBubbleSize val="0"/>
        </c:dLbls>
        <c:gapWidth val="100"/>
        <c:overlap val="-24"/>
        <c:axId val="-1374968624"/>
        <c:axId val="-1374964272"/>
      </c:barChart>
      <c:catAx>
        <c:axId val="-13749686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64272"/>
        <c:crosses val="autoZero"/>
        <c:auto val="1"/>
        <c:lblAlgn val="ctr"/>
        <c:lblOffset val="100"/>
        <c:noMultiLvlLbl val="0"/>
      </c:catAx>
      <c:valAx>
        <c:axId val="-137496427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6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Sheet1!$B$45:$C$46</c:f>
              <c:multiLvlStrCache>
                <c:ptCount val="2"/>
                <c:lvl>
                  <c:pt idx="0">
                    <c:v>2017-2018</c:v>
                  </c:pt>
                  <c:pt idx="1">
                    <c:v>2018-2019</c:v>
                  </c:pt>
                </c:lvl>
                <c:lvl>
                  <c:pt idx="0">
                    <c:v>ICB Islamic Bank Limited</c:v>
                  </c:pt>
                </c:lvl>
              </c:multiLvlStrCache>
            </c:multiLvlStrRef>
          </c:cat>
          <c:val>
            <c:numRef>
              <c:f>Sheet1!$E$45:$E$46</c:f>
              <c:numCache>
                <c:formatCode>0.0000</c:formatCode>
                <c:ptCount val="2"/>
                <c:pt idx="0">
                  <c:v>4.4347948500666199</c:v>
                </c:pt>
                <c:pt idx="1">
                  <c:v>3.7255057748032798</c:v>
                </c:pt>
              </c:numCache>
            </c:numRef>
          </c:val>
        </c:ser>
        <c:dLbls>
          <c:showLegendKey val="0"/>
          <c:showVal val="1"/>
          <c:showCatName val="0"/>
          <c:showSerName val="0"/>
          <c:showPercent val="0"/>
          <c:showBubbleSize val="0"/>
        </c:dLbls>
        <c:axId val="-1374964816"/>
        <c:axId val="-1374963184"/>
      </c:areaChart>
      <c:catAx>
        <c:axId val="-137496481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63184"/>
        <c:crosses val="autoZero"/>
        <c:auto val="1"/>
        <c:lblAlgn val="ctr"/>
        <c:lblOffset val="100"/>
        <c:noMultiLvlLbl val="0"/>
      </c:catAx>
      <c:valAx>
        <c:axId val="-1374963184"/>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749648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Sheet1!$F$2</c:f>
              <c:strCache>
                <c:ptCount val="1"/>
                <c:pt idx="0">
                  <c:v>Equity Capital Ratio</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Sheet1!$B$45:$C$46</c:f>
              <c:multiLvlStrCache>
                <c:ptCount val="2"/>
                <c:lvl>
                  <c:pt idx="0">
                    <c:v>2017-2018</c:v>
                  </c:pt>
                  <c:pt idx="1">
                    <c:v>2018-2019</c:v>
                  </c:pt>
                </c:lvl>
                <c:lvl>
                  <c:pt idx="0">
                    <c:v>ICB Islamic Bank Limited</c:v>
                  </c:pt>
                </c:lvl>
              </c:multiLvlStrCache>
            </c:multiLvlStrRef>
          </c:cat>
          <c:val>
            <c:numRef>
              <c:f>Sheet1!$F$45:$F$46</c:f>
              <c:numCache>
                <c:formatCode>0.0000</c:formatCode>
                <c:ptCount val="2"/>
                <c:pt idx="0">
                  <c:v>-0.95808495103893598</c:v>
                </c:pt>
                <c:pt idx="1">
                  <c:v>-1.0119423172415101</c:v>
                </c:pt>
              </c:numCache>
            </c:numRef>
          </c:val>
        </c:ser>
        <c:dLbls>
          <c:showLegendKey val="0"/>
          <c:showVal val="1"/>
          <c:showCatName val="0"/>
          <c:showSerName val="0"/>
          <c:showPercent val="0"/>
          <c:showBubbleSize val="0"/>
        </c:dLbls>
        <c:gapWidth val="100"/>
        <c:axId val="-1374956112"/>
        <c:axId val="-1374962640"/>
      </c:barChart>
      <c:catAx>
        <c:axId val="-1374956112"/>
        <c:scaling>
          <c:orientation val="minMax"/>
        </c:scaling>
        <c:delete val="1"/>
        <c:axPos val="l"/>
        <c:numFmt formatCode="General" sourceLinked="1"/>
        <c:majorTickMark val="out"/>
        <c:minorTickMark val="none"/>
        <c:tickLblPos val="nextTo"/>
        <c:crossAx val="-1374962640"/>
        <c:crosses val="autoZero"/>
        <c:auto val="1"/>
        <c:lblAlgn val="ctr"/>
        <c:lblOffset val="100"/>
        <c:noMultiLvlLbl val="0"/>
      </c:catAx>
      <c:valAx>
        <c:axId val="-137496264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out"/>
        <c:minorTickMark val="none"/>
        <c:tickLblPos val="nextTo"/>
        <c:crossAx val="-137495611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Sheet1!$B$45:$C$46</c:f>
              <c:multiLvlStrCache>
                <c:ptCount val="2"/>
                <c:lvl>
                  <c:pt idx="0">
                    <c:v>2017-2018</c:v>
                  </c:pt>
                  <c:pt idx="1">
                    <c:v>2018-2019</c:v>
                  </c:pt>
                </c:lvl>
                <c:lvl>
                  <c:pt idx="0">
                    <c:v>ICB Islamic Bank Limited</c:v>
                  </c:pt>
                </c:lvl>
              </c:multiLvlStrCache>
            </c:multiLvlStrRef>
          </c:cat>
          <c:val>
            <c:numRef>
              <c:f>Sheet1!$G$45:$G$46</c:f>
              <c:numCache>
                <c:formatCode>0.0000</c:formatCode>
                <c:ptCount val="2"/>
                <c:pt idx="0">
                  <c:v>-0.44379858025594998</c:v>
                </c:pt>
                <c:pt idx="1">
                  <c:v>-0.42462733058037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Sheet1!$B$47:$C$48</c:f>
              <c:multiLvlStrCache>
                <c:ptCount val="2"/>
                <c:lvl>
                  <c:pt idx="0">
                    <c:v>2017-2018</c:v>
                  </c:pt>
                  <c:pt idx="1">
                    <c:v>2018-2019</c:v>
                  </c:pt>
                </c:lvl>
                <c:lvl>
                  <c:pt idx="0">
                    <c:v>Shahjalal Islami Bank Limited</c:v>
                  </c:pt>
                </c:lvl>
              </c:multiLvlStrCache>
            </c:multiLvlStrRef>
          </c:cat>
          <c:val>
            <c:numRef>
              <c:f>Sheet1!$D$47:$D$48</c:f>
              <c:numCache>
                <c:formatCode>0.0000</c:formatCode>
                <c:ptCount val="2"/>
                <c:pt idx="0">
                  <c:v>0.60378501752834501</c:v>
                </c:pt>
                <c:pt idx="1">
                  <c:v>0.645726336449991</c:v>
                </c:pt>
              </c:numCache>
            </c:numRef>
          </c:val>
        </c:ser>
        <c:dLbls>
          <c:showLegendKey val="0"/>
          <c:showVal val="1"/>
          <c:showCatName val="0"/>
          <c:showSerName val="0"/>
          <c:showPercent val="0"/>
          <c:showBubbleSize val="0"/>
        </c:dLbls>
        <c:gapWidth val="100"/>
        <c:overlap val="-24"/>
        <c:axId val="-1356688064"/>
        <c:axId val="-1356692416"/>
      </c:barChart>
      <c:catAx>
        <c:axId val="-13566880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92416"/>
        <c:crosses val="autoZero"/>
        <c:auto val="1"/>
        <c:lblAlgn val="ctr"/>
        <c:lblOffset val="100"/>
        <c:noMultiLvlLbl val="0"/>
      </c:catAx>
      <c:valAx>
        <c:axId val="-1356692416"/>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8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Sheet1!$B$7:$C$8</c:f>
              <c:multiLvlStrCache>
                <c:ptCount val="2"/>
                <c:lvl>
                  <c:pt idx="0">
                    <c:v>2017-2018</c:v>
                  </c:pt>
                  <c:pt idx="1">
                    <c:v>2018-2019</c:v>
                  </c:pt>
                </c:lvl>
                <c:lvl>
                  <c:pt idx="0">
                    <c:v>Bank Asia Limited</c:v>
                  </c:pt>
                </c:lvl>
              </c:multiLvlStrCache>
            </c:multiLvlStrRef>
          </c:cat>
          <c:val>
            <c:numRef>
              <c:f>Sheet1!$D$7:$D$8</c:f>
              <c:numCache>
                <c:formatCode>0.0000</c:formatCode>
                <c:ptCount val="2"/>
                <c:pt idx="0">
                  <c:v>0.73750094630031804</c:v>
                </c:pt>
                <c:pt idx="1">
                  <c:v>0.55421398217042805</c:v>
                </c:pt>
              </c:numCache>
            </c:numRef>
          </c:val>
        </c:ser>
        <c:dLbls>
          <c:showLegendKey val="0"/>
          <c:showVal val="0"/>
          <c:showCatName val="0"/>
          <c:showSerName val="0"/>
          <c:showPercent val="0"/>
          <c:showBubbleSize val="0"/>
        </c:dLbls>
        <c:gapWidth val="100"/>
        <c:overlap val="-24"/>
        <c:axId val="-1491758656"/>
        <c:axId val="-1478301792"/>
      </c:barChart>
      <c:catAx>
        <c:axId val="-14917586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78301792"/>
        <c:crosses val="autoZero"/>
        <c:auto val="1"/>
        <c:lblAlgn val="ctr"/>
        <c:lblOffset val="100"/>
        <c:noMultiLvlLbl val="0"/>
      </c:catAx>
      <c:valAx>
        <c:axId val="-147830179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49175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Sheet1!$B$47:$C$48</c:f>
              <c:multiLvlStrCache>
                <c:ptCount val="2"/>
                <c:lvl>
                  <c:pt idx="0">
                    <c:v>2017-2018</c:v>
                  </c:pt>
                  <c:pt idx="1">
                    <c:v>2018-2019</c:v>
                  </c:pt>
                </c:lvl>
                <c:lvl>
                  <c:pt idx="0">
                    <c:v>Shahjalal Islami Bank Limited</c:v>
                  </c:pt>
                </c:lvl>
              </c:multiLvlStrCache>
            </c:multiLvlStrRef>
          </c:cat>
          <c:val>
            <c:numRef>
              <c:f>Sheet1!$E$47:$E$48</c:f>
              <c:numCache>
                <c:formatCode>0.0000</c:formatCode>
                <c:ptCount val="2"/>
                <c:pt idx="0">
                  <c:v>9.9478351686863906</c:v>
                </c:pt>
                <c:pt idx="1">
                  <c:v>10.4093650942546</c:v>
                </c:pt>
              </c:numCache>
            </c:numRef>
          </c:val>
        </c:ser>
        <c:dLbls>
          <c:showLegendKey val="0"/>
          <c:showVal val="1"/>
          <c:showCatName val="0"/>
          <c:showSerName val="0"/>
          <c:showPercent val="0"/>
          <c:showBubbleSize val="0"/>
        </c:dLbls>
        <c:axId val="-1356689152"/>
        <c:axId val="-1356702208"/>
      </c:areaChart>
      <c:catAx>
        <c:axId val="-13566891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702208"/>
        <c:crosses val="autoZero"/>
        <c:auto val="1"/>
        <c:lblAlgn val="ctr"/>
        <c:lblOffset val="100"/>
        <c:noMultiLvlLbl val="0"/>
      </c:catAx>
      <c:valAx>
        <c:axId val="-135670220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89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lgn="just">
        <a:defRPr lang="en-US"/>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Sheet1!$F$2</c:f>
              <c:strCache>
                <c:ptCount val="1"/>
                <c:pt idx="0">
                  <c:v>Equity Capital Ratio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Sheet1!$B$47:$C$48</c:f>
              <c:multiLvlStrCache>
                <c:ptCount val="2"/>
                <c:lvl>
                  <c:pt idx="0">
                    <c:v>2017-2018</c:v>
                  </c:pt>
                  <c:pt idx="1">
                    <c:v>2018-2019</c:v>
                  </c:pt>
                </c:lvl>
                <c:lvl>
                  <c:pt idx="0">
                    <c:v>Shahjalal Islami Bank Limited</c:v>
                  </c:pt>
                </c:lvl>
              </c:multiLvlStrCache>
            </c:multiLvlStrRef>
          </c:cat>
          <c:val>
            <c:numRef>
              <c:f>Sheet1!$F$47:$F$48</c:f>
              <c:numCache>
                <c:formatCode>0.0000</c:formatCode>
                <c:ptCount val="2"/>
                <c:pt idx="0">
                  <c:v>6.0695116805807997E-2</c:v>
                </c:pt>
                <c:pt idx="1">
                  <c:v>6.2033210537153098E-2</c:v>
                </c:pt>
              </c:numCache>
            </c:numRef>
          </c:val>
        </c:ser>
        <c:dLbls>
          <c:showLegendKey val="0"/>
          <c:showVal val="1"/>
          <c:showCatName val="0"/>
          <c:showSerName val="0"/>
          <c:showPercent val="0"/>
          <c:showBubbleSize val="0"/>
        </c:dLbls>
        <c:gapWidth val="65"/>
        <c:axId val="-1356703840"/>
        <c:axId val="-1356697856"/>
      </c:barChart>
      <c:catAx>
        <c:axId val="-13567038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56697856"/>
        <c:crosses val="autoZero"/>
        <c:auto val="1"/>
        <c:lblAlgn val="ctr"/>
        <c:lblOffset val="100"/>
        <c:noMultiLvlLbl val="0"/>
      </c:catAx>
      <c:valAx>
        <c:axId val="-1356697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567038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Sheet1!$B$47:$C$48</c:f>
              <c:multiLvlStrCache>
                <c:ptCount val="2"/>
                <c:lvl>
                  <c:pt idx="0">
                    <c:v>2017-2018</c:v>
                  </c:pt>
                  <c:pt idx="1">
                    <c:v>2018-2019</c:v>
                  </c:pt>
                </c:lvl>
                <c:lvl>
                  <c:pt idx="0">
                    <c:v>Shahjalal Islami Bank Limited</c:v>
                  </c:pt>
                </c:lvl>
              </c:multiLvlStrCache>
            </c:multiLvlStrRef>
          </c:cat>
          <c:val>
            <c:numRef>
              <c:f>Sheet1!$G$47:$G$48</c:f>
              <c:numCache>
                <c:formatCode>0.0000</c:formatCode>
                <c:ptCount val="2"/>
                <c:pt idx="0">
                  <c:v>1.5866966179206099</c:v>
                </c:pt>
                <c:pt idx="1">
                  <c:v>0.68955060900784804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Sheet1!$B$49:$C$50</c:f>
              <c:multiLvlStrCache>
                <c:ptCount val="2"/>
                <c:lvl>
                  <c:pt idx="0">
                    <c:v>2017-2018</c:v>
                  </c:pt>
                  <c:pt idx="1">
                    <c:v>2018-2019</c:v>
                  </c:pt>
                </c:lvl>
                <c:lvl>
                  <c:pt idx="0">
                    <c:v>First Security Islami Bank Limited</c:v>
                  </c:pt>
                </c:lvl>
              </c:multiLvlStrCache>
            </c:multiLvlStrRef>
          </c:cat>
          <c:val>
            <c:numRef>
              <c:f>Sheet1!$D$49:$D$50</c:f>
              <c:numCache>
                <c:formatCode>0.0000</c:formatCode>
                <c:ptCount val="2"/>
                <c:pt idx="0">
                  <c:v>0.427214059122975</c:v>
                </c:pt>
                <c:pt idx="1">
                  <c:v>0.47051425694003901</c:v>
                </c:pt>
              </c:numCache>
            </c:numRef>
          </c:val>
        </c:ser>
        <c:dLbls>
          <c:showLegendKey val="0"/>
          <c:showVal val="1"/>
          <c:showCatName val="0"/>
          <c:showSerName val="0"/>
          <c:showPercent val="0"/>
          <c:showBubbleSize val="0"/>
        </c:dLbls>
        <c:gapWidth val="100"/>
        <c:overlap val="-24"/>
        <c:axId val="-1356704928"/>
        <c:axId val="-1356688608"/>
      </c:barChart>
      <c:catAx>
        <c:axId val="-1356704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88608"/>
        <c:crosses val="autoZero"/>
        <c:auto val="1"/>
        <c:lblAlgn val="ctr"/>
        <c:lblOffset val="100"/>
        <c:noMultiLvlLbl val="0"/>
      </c:catAx>
      <c:valAx>
        <c:axId val="-135668860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70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Sheet1!$B$49:$C$50</c:f>
              <c:multiLvlStrCache>
                <c:ptCount val="2"/>
                <c:lvl>
                  <c:pt idx="0">
                    <c:v>2017-2018</c:v>
                  </c:pt>
                  <c:pt idx="1">
                    <c:v>2018-2019</c:v>
                  </c:pt>
                </c:lvl>
                <c:lvl>
                  <c:pt idx="0">
                    <c:v>First Security Islami Bank Limited</c:v>
                  </c:pt>
                </c:lvl>
              </c:multiLvlStrCache>
            </c:multiLvlStrRef>
          </c:cat>
          <c:val>
            <c:numRef>
              <c:f>Sheet1!$E$49:$E$50</c:f>
              <c:numCache>
                <c:formatCode>0.0000</c:formatCode>
                <c:ptCount val="2"/>
                <c:pt idx="0">
                  <c:v>11.965528149547501</c:v>
                </c:pt>
                <c:pt idx="1">
                  <c:v>13.431147290276799</c:v>
                </c:pt>
              </c:numCache>
            </c:numRef>
          </c:val>
        </c:ser>
        <c:dLbls>
          <c:showLegendKey val="0"/>
          <c:showVal val="1"/>
          <c:showCatName val="0"/>
          <c:showSerName val="0"/>
          <c:showPercent val="0"/>
          <c:showBubbleSize val="0"/>
        </c:dLbls>
        <c:axId val="-1356714176"/>
        <c:axId val="-1356685888"/>
      </c:areaChart>
      <c:catAx>
        <c:axId val="-135671417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85888"/>
        <c:crosses val="autoZero"/>
        <c:auto val="1"/>
        <c:lblAlgn val="ctr"/>
        <c:lblOffset val="100"/>
        <c:noMultiLvlLbl val="0"/>
      </c:catAx>
      <c:valAx>
        <c:axId val="-1356685888"/>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714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Sheet1!$F$2</c:f>
              <c:strCache>
                <c:ptCount val="1"/>
                <c:pt idx="0">
                  <c:v>Equity Capital Ratio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Sheet1!$B$49:$C$50</c:f>
              <c:multiLvlStrCache>
                <c:ptCount val="2"/>
                <c:lvl>
                  <c:pt idx="0">
                    <c:v>2017-2018</c:v>
                  </c:pt>
                  <c:pt idx="1">
                    <c:v>2018-2019</c:v>
                  </c:pt>
                </c:lvl>
                <c:lvl>
                  <c:pt idx="0">
                    <c:v>First Security Islami Bank Limited</c:v>
                  </c:pt>
                </c:lvl>
              </c:multiLvlStrCache>
            </c:multiLvlStrRef>
          </c:cat>
          <c:val>
            <c:numRef>
              <c:f>Sheet1!$F$49:$F$50</c:f>
              <c:numCache>
                <c:formatCode>0.0000</c:formatCode>
                <c:ptCount val="2"/>
                <c:pt idx="0">
                  <c:v>3.5703736081146603E-2</c:v>
                </c:pt>
                <c:pt idx="1">
                  <c:v>3.50315759905825E-2</c:v>
                </c:pt>
              </c:numCache>
            </c:numRef>
          </c:val>
        </c:ser>
        <c:dLbls>
          <c:showLegendKey val="0"/>
          <c:showVal val="1"/>
          <c:showCatName val="0"/>
          <c:showSerName val="0"/>
          <c:showPercent val="0"/>
          <c:showBubbleSize val="0"/>
        </c:dLbls>
        <c:gapWidth val="65"/>
        <c:axId val="-1356706016"/>
        <c:axId val="-1356710368"/>
      </c:barChart>
      <c:catAx>
        <c:axId val="-135670601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56710368"/>
        <c:crosses val="autoZero"/>
        <c:auto val="1"/>
        <c:lblAlgn val="ctr"/>
        <c:lblOffset val="100"/>
        <c:noMultiLvlLbl val="0"/>
      </c:catAx>
      <c:valAx>
        <c:axId val="-135671036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56706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Sheet1!$G$2</c:f>
              <c:strCache>
                <c:ptCount val="1"/>
                <c:pt idx="0">
                  <c:v>Debt to Equity Ratio</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Sheet1!$B$49:$C$50</c:f>
              <c:multiLvlStrCache>
                <c:ptCount val="2"/>
                <c:lvl>
                  <c:pt idx="0">
                    <c:v>2017-2018</c:v>
                  </c:pt>
                  <c:pt idx="1">
                    <c:v>2018-2019</c:v>
                  </c:pt>
                </c:lvl>
                <c:lvl>
                  <c:pt idx="0">
                    <c:v>First Security Islami Bank Limited</c:v>
                  </c:pt>
                </c:lvl>
              </c:multiLvlStrCache>
            </c:multiLvlStrRef>
          </c:cat>
          <c:val>
            <c:numRef>
              <c:f>Sheet1!$G$49:$G$50</c:f>
              <c:numCache>
                <c:formatCode>0.0000</c:formatCode>
                <c:ptCount val="2"/>
                <c:pt idx="0">
                  <c:v>1.3227937283973701</c:v>
                </c:pt>
                <c:pt idx="1">
                  <c:v>0.86244381297392703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Sheet1!$D$2</c:f>
              <c:strCache>
                <c:ptCount val="1"/>
                <c:pt idx="0">
                  <c:v>Return on Asset(ROA)(%)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Sheet1!$B$51:$C$52</c:f>
              <c:multiLvlStrCache>
                <c:ptCount val="2"/>
                <c:lvl>
                  <c:pt idx="0">
                    <c:v>2017-2018</c:v>
                  </c:pt>
                  <c:pt idx="1">
                    <c:v>2018-2019</c:v>
                  </c:pt>
                </c:lvl>
                <c:lvl>
                  <c:pt idx="0">
                    <c:v>Standard Bnak Limited</c:v>
                  </c:pt>
                </c:lvl>
              </c:multiLvlStrCache>
            </c:multiLvlStrRef>
          </c:cat>
          <c:val>
            <c:numRef>
              <c:f>Sheet1!$D$51:$D$52</c:f>
              <c:numCache>
                <c:formatCode>0.0000</c:formatCode>
                <c:ptCount val="2"/>
                <c:pt idx="0">
                  <c:v>0.640942023243537</c:v>
                </c:pt>
                <c:pt idx="1">
                  <c:v>0.67992192934974005</c:v>
                </c:pt>
              </c:numCache>
            </c:numRef>
          </c:val>
        </c:ser>
        <c:dLbls>
          <c:showLegendKey val="0"/>
          <c:showVal val="1"/>
          <c:showCatName val="0"/>
          <c:showSerName val="0"/>
          <c:showPercent val="0"/>
          <c:showBubbleSize val="0"/>
        </c:dLbls>
        <c:gapWidth val="100"/>
        <c:overlap val="-24"/>
        <c:axId val="-1356712000"/>
        <c:axId val="-1356691872"/>
      </c:barChart>
      <c:catAx>
        <c:axId val="-1356712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91872"/>
        <c:crosses val="autoZero"/>
        <c:auto val="1"/>
        <c:lblAlgn val="ctr"/>
        <c:lblOffset val="100"/>
        <c:noMultiLvlLbl val="0"/>
      </c:catAx>
      <c:valAx>
        <c:axId val="-1356691872"/>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71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tx2"/>
              </a:solidFill>
              <a:latin typeface="+mn-lt"/>
              <a:ea typeface="+mn-ea"/>
              <a:cs typeface="+mn-cs"/>
            </a:defRPr>
          </a:pPr>
          <a:endParaRPr lang="en-US"/>
        </a:p>
      </c:txPr>
    </c:title>
    <c:autoTitleDeleted val="0"/>
    <c:plotArea>
      <c:layout/>
      <c:areaChart>
        <c:grouping val="standard"/>
        <c:varyColors val="0"/>
        <c:ser>
          <c:idx val="0"/>
          <c:order val="0"/>
          <c:tx>
            <c:strRef>
              <c:f>Sheet1!$E$2</c:f>
              <c:strCache>
                <c:ptCount val="1"/>
                <c:pt idx="0">
                  <c:v>Return on Equity(ROE)(%)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25400">
              <a:noFill/>
            </a:ln>
            <a:effectLst>
              <a:outerShdw blurRad="40000" dist="23000" dir="5400000" rotWithShape="0">
                <a:srgbClr val="000000">
                  <a:alpha val="35000"/>
                </a:srgbClr>
              </a:out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Sheet1!$B$51:$C$52</c:f>
              <c:multiLvlStrCache>
                <c:ptCount val="2"/>
                <c:lvl>
                  <c:pt idx="0">
                    <c:v>2017-2018</c:v>
                  </c:pt>
                  <c:pt idx="1">
                    <c:v>2018-2019</c:v>
                  </c:pt>
                </c:lvl>
                <c:lvl>
                  <c:pt idx="0">
                    <c:v>Standard Bnak Limited</c:v>
                  </c:pt>
                </c:lvl>
              </c:multiLvlStrCache>
            </c:multiLvlStrRef>
          </c:cat>
          <c:val>
            <c:numRef>
              <c:f>Sheet1!$E$51:$E$52</c:f>
              <c:numCache>
                <c:formatCode>0.0000</c:formatCode>
                <c:ptCount val="2"/>
                <c:pt idx="0">
                  <c:v>8.4604535764904991</c:v>
                </c:pt>
                <c:pt idx="1">
                  <c:v>9.2018027952761301</c:v>
                </c:pt>
              </c:numCache>
            </c:numRef>
          </c:val>
        </c:ser>
        <c:dLbls>
          <c:showLegendKey val="0"/>
          <c:showVal val="1"/>
          <c:showCatName val="0"/>
          <c:showSerName val="0"/>
          <c:showPercent val="0"/>
          <c:showBubbleSize val="0"/>
        </c:dLbls>
        <c:axId val="-1356692960"/>
        <c:axId val="-1356687520"/>
      </c:areaChart>
      <c:catAx>
        <c:axId val="-135669296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87520"/>
        <c:crosses val="autoZero"/>
        <c:auto val="1"/>
        <c:lblAlgn val="ctr"/>
        <c:lblOffset val="100"/>
        <c:noMultiLvlLbl val="0"/>
      </c:catAx>
      <c:valAx>
        <c:axId val="-1356687520"/>
        <c:scaling>
          <c:orientation val="minMax"/>
        </c:scaling>
        <c:delete val="0"/>
        <c:axPos val="l"/>
        <c:majorGridlines>
          <c:spPr>
            <a:ln w="9525" cap="flat" cmpd="sng" algn="ctr">
              <a:solidFill>
                <a:schemeClr val="tx2">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3566929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Sheet1!$F$2</c:f>
              <c:strCache>
                <c:ptCount val="1"/>
                <c:pt idx="0">
                  <c:v>Equity Capital Ratio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Sheet1!$B$51:$C$52</c:f>
              <c:multiLvlStrCache>
                <c:ptCount val="2"/>
                <c:lvl>
                  <c:pt idx="0">
                    <c:v>2017-2018</c:v>
                  </c:pt>
                  <c:pt idx="1">
                    <c:v>2018-2019</c:v>
                  </c:pt>
                </c:lvl>
                <c:lvl>
                  <c:pt idx="0">
                    <c:v>Standard Bnak Limited</c:v>
                  </c:pt>
                </c:lvl>
              </c:multiLvlStrCache>
            </c:multiLvlStrRef>
          </c:cat>
          <c:val>
            <c:numRef>
              <c:f>Sheet1!$F$51:$F$52</c:f>
              <c:numCache>
                <c:formatCode>0.0000</c:formatCode>
                <c:ptCount val="2"/>
                <c:pt idx="0">
                  <c:v>7.5757406792533705E-2</c:v>
                </c:pt>
                <c:pt idx="1">
                  <c:v>7.3890078333213996E-2</c:v>
                </c:pt>
              </c:numCache>
            </c:numRef>
          </c:val>
        </c:ser>
        <c:dLbls>
          <c:showLegendKey val="0"/>
          <c:showVal val="1"/>
          <c:showCatName val="0"/>
          <c:showSerName val="0"/>
          <c:showPercent val="0"/>
          <c:showBubbleSize val="0"/>
        </c:dLbls>
        <c:gapWidth val="65"/>
        <c:axId val="-1356686976"/>
        <c:axId val="-1356694048"/>
      </c:barChart>
      <c:catAx>
        <c:axId val="-13566869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lumMod val="75000"/>
                    <a:lumOff val="25000"/>
                  </a:schemeClr>
                </a:solidFill>
                <a:latin typeface="+mn-lt"/>
                <a:ea typeface="+mn-ea"/>
                <a:cs typeface="+mn-cs"/>
              </a:defRPr>
            </a:pPr>
            <a:endParaRPr lang="en-US"/>
          </a:p>
        </c:txPr>
        <c:crossAx val="-1356694048"/>
        <c:crosses val="autoZero"/>
        <c:auto val="1"/>
        <c:lblAlgn val="ctr"/>
        <c:lblOffset val="100"/>
        <c:noMultiLvlLbl val="0"/>
      </c:catAx>
      <c:valAx>
        <c:axId val="-13566940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crossAx val="-13566869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6">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6.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8.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2.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6.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0.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4.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8.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6">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2.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6.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0.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4.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7.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2.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6.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0.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4.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8.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1AE8F768-0B31-4909-B7ED-B6C3B1DA94D3}" type="doc">
      <dgm:prSet loTypeId="urn:microsoft.com/office/officeart/2005/8/layout/matrix2" loCatId="matrix" qsTypeId="urn:microsoft.com/office/officeart/2005/8/quickstyle/simple1#1" qsCatId="simple" csTypeId="urn:microsoft.com/office/officeart/2005/8/colors/accent1_2#1" csCatId="accent1" phldr="1"/>
      <dgm:spPr/>
      <dgm:t>
        <a:bodyPr/>
        <a:lstStyle/>
        <a:p>
          <a:endParaRPr lang="en-US"/>
        </a:p>
      </dgm:t>
    </dgm:pt>
    <dgm:pt modelId="{73E5077A-CE06-4339-A8E8-7C334FDAD65E}">
      <dgm:prSet phldrT="[Text]"/>
      <dgm:spPr/>
      <dgm:t>
        <a:bodyPr/>
        <a:lstStyle/>
        <a:p>
          <a:r>
            <a:rPr lang="en-US"/>
            <a:t>Credit Risk Recognition</a:t>
          </a:r>
        </a:p>
      </dgm:t>
    </dgm:pt>
    <dgm:pt modelId="{A009DAAC-529B-4F5D-A98C-4A980BAA59AF}" type="parTrans" cxnId="{B0403C1F-8E6C-4E0A-AC95-29CC1BFCC5D1}">
      <dgm:prSet/>
      <dgm:spPr/>
      <dgm:t>
        <a:bodyPr/>
        <a:lstStyle/>
        <a:p>
          <a:endParaRPr lang="en-US"/>
        </a:p>
      </dgm:t>
    </dgm:pt>
    <dgm:pt modelId="{81CDBBDF-4A8C-43A3-B617-BB4233B047ED}" type="sibTrans" cxnId="{B0403C1F-8E6C-4E0A-AC95-29CC1BFCC5D1}">
      <dgm:prSet/>
      <dgm:spPr/>
      <dgm:t>
        <a:bodyPr/>
        <a:lstStyle/>
        <a:p>
          <a:endParaRPr lang="en-US"/>
        </a:p>
      </dgm:t>
    </dgm:pt>
    <dgm:pt modelId="{5198C2EA-22D7-4DF6-A448-B0D4EB92E698}">
      <dgm:prSet phldrT="[Text]" phldr="1"/>
      <dgm:spPr/>
      <dgm:t>
        <a:bodyPr/>
        <a:lstStyle/>
        <a:p>
          <a:endParaRPr lang="en-US"/>
        </a:p>
      </dgm:t>
    </dgm:pt>
    <dgm:pt modelId="{A21513EF-78EF-46D1-B735-54DCF5C522E3}" type="parTrans" cxnId="{D9A4CFE2-3614-4457-A484-216CE0B2E787}">
      <dgm:prSet/>
      <dgm:spPr/>
      <dgm:t>
        <a:bodyPr/>
        <a:lstStyle/>
        <a:p>
          <a:endParaRPr lang="en-US"/>
        </a:p>
      </dgm:t>
    </dgm:pt>
    <dgm:pt modelId="{C768B779-906B-47CF-A598-D9727B39795D}" type="sibTrans" cxnId="{D9A4CFE2-3614-4457-A484-216CE0B2E787}">
      <dgm:prSet/>
      <dgm:spPr/>
      <dgm:t>
        <a:bodyPr/>
        <a:lstStyle/>
        <a:p>
          <a:endParaRPr lang="en-US"/>
        </a:p>
      </dgm:t>
    </dgm:pt>
    <dgm:pt modelId="{544595F7-FA30-4C68-AC41-C25218A0FF53}">
      <dgm:prSet phldrT="[Text]" phldr="1"/>
      <dgm:spPr/>
      <dgm:t>
        <a:bodyPr/>
        <a:lstStyle/>
        <a:p>
          <a:endParaRPr lang="en-US"/>
        </a:p>
      </dgm:t>
    </dgm:pt>
    <dgm:pt modelId="{339AA208-67AA-408E-BDBB-443EE4B3122E}" type="parTrans" cxnId="{CD696638-BBFD-48A0-9535-2144109C836C}">
      <dgm:prSet/>
      <dgm:spPr/>
      <dgm:t>
        <a:bodyPr/>
        <a:lstStyle/>
        <a:p>
          <a:endParaRPr lang="en-US"/>
        </a:p>
      </dgm:t>
    </dgm:pt>
    <dgm:pt modelId="{20438182-7A61-4562-BEB2-2D0DB329F5FE}" type="sibTrans" cxnId="{CD696638-BBFD-48A0-9535-2144109C836C}">
      <dgm:prSet/>
      <dgm:spPr/>
      <dgm:t>
        <a:bodyPr/>
        <a:lstStyle/>
        <a:p>
          <a:endParaRPr lang="en-US"/>
        </a:p>
      </dgm:t>
    </dgm:pt>
    <dgm:pt modelId="{F37D225A-1C84-444F-A189-DFC72D7302CC}">
      <dgm:prSet phldrT="[Text]" phldr="1"/>
      <dgm:spPr/>
      <dgm:t>
        <a:bodyPr/>
        <a:lstStyle/>
        <a:p>
          <a:endParaRPr lang="en-US"/>
        </a:p>
      </dgm:t>
    </dgm:pt>
    <dgm:pt modelId="{0926793C-1943-4F83-A072-1CEE1A87A14C}" type="parTrans" cxnId="{895FDD7F-21B9-46E2-8096-C87E521254A3}">
      <dgm:prSet/>
      <dgm:spPr/>
      <dgm:t>
        <a:bodyPr/>
        <a:lstStyle/>
        <a:p>
          <a:endParaRPr lang="en-US"/>
        </a:p>
      </dgm:t>
    </dgm:pt>
    <dgm:pt modelId="{3B18C5A3-C414-43D1-8B53-BECAE3D72024}" type="sibTrans" cxnId="{895FDD7F-21B9-46E2-8096-C87E521254A3}">
      <dgm:prSet/>
      <dgm:spPr/>
      <dgm:t>
        <a:bodyPr/>
        <a:lstStyle/>
        <a:p>
          <a:endParaRPr lang="en-US"/>
        </a:p>
      </dgm:t>
    </dgm:pt>
    <dgm:pt modelId="{7C514FBB-43EB-4ED6-94F8-D80D39F58542}">
      <dgm:prSet/>
      <dgm:spPr/>
      <dgm:t>
        <a:bodyPr/>
        <a:lstStyle/>
        <a:p>
          <a:endParaRPr lang="en-US"/>
        </a:p>
      </dgm:t>
    </dgm:pt>
    <dgm:pt modelId="{7DB63F50-33A1-4A37-A4D4-79105F76F3F7}" type="parTrans" cxnId="{A370959B-6336-4F87-9A9C-805982403FE9}">
      <dgm:prSet/>
      <dgm:spPr/>
      <dgm:t>
        <a:bodyPr/>
        <a:lstStyle/>
        <a:p>
          <a:endParaRPr lang="en-US"/>
        </a:p>
      </dgm:t>
    </dgm:pt>
    <dgm:pt modelId="{60F7024A-11F4-4496-8DB9-C9FDFD4B06FB}" type="sibTrans" cxnId="{A370959B-6336-4F87-9A9C-805982403FE9}">
      <dgm:prSet/>
      <dgm:spPr/>
      <dgm:t>
        <a:bodyPr/>
        <a:lstStyle/>
        <a:p>
          <a:endParaRPr lang="en-US"/>
        </a:p>
      </dgm:t>
    </dgm:pt>
    <dgm:pt modelId="{5EFD10C0-72F7-453D-AA4B-76DC2ACD04DA}">
      <dgm:prSet/>
      <dgm:spPr/>
      <dgm:t>
        <a:bodyPr/>
        <a:lstStyle/>
        <a:p>
          <a:r>
            <a:rPr lang="en-US"/>
            <a:t>Assessment of Credit Risk</a:t>
          </a:r>
        </a:p>
      </dgm:t>
    </dgm:pt>
    <dgm:pt modelId="{DBD57BD2-E9CE-41B4-BBC8-866028A00276}" type="parTrans" cxnId="{37CA9F29-3950-4010-BA20-34FE673400AC}">
      <dgm:prSet/>
      <dgm:spPr/>
      <dgm:t>
        <a:bodyPr/>
        <a:lstStyle/>
        <a:p>
          <a:endParaRPr lang="en-US"/>
        </a:p>
      </dgm:t>
    </dgm:pt>
    <dgm:pt modelId="{D979513B-DA2D-4956-9468-9B0F14AF8B11}" type="sibTrans" cxnId="{37CA9F29-3950-4010-BA20-34FE673400AC}">
      <dgm:prSet/>
      <dgm:spPr/>
      <dgm:t>
        <a:bodyPr/>
        <a:lstStyle/>
        <a:p>
          <a:endParaRPr lang="en-US"/>
        </a:p>
      </dgm:t>
    </dgm:pt>
    <dgm:pt modelId="{84094018-9BA3-4DB3-BAA4-6788CBEAB436}">
      <dgm:prSet/>
      <dgm:spPr/>
      <dgm:t>
        <a:bodyPr/>
        <a:lstStyle/>
        <a:p>
          <a:r>
            <a:rPr lang="en-US"/>
            <a:t>Mollification of Credit Risk</a:t>
          </a:r>
        </a:p>
      </dgm:t>
    </dgm:pt>
    <dgm:pt modelId="{0F64A6DF-93BB-4440-9068-5313652CAF73}" type="parTrans" cxnId="{07D38864-8ED9-48EE-AE87-DCFA4312894C}">
      <dgm:prSet/>
      <dgm:spPr/>
      <dgm:t>
        <a:bodyPr/>
        <a:lstStyle/>
        <a:p>
          <a:endParaRPr lang="en-US"/>
        </a:p>
      </dgm:t>
    </dgm:pt>
    <dgm:pt modelId="{396B1EC7-F908-419B-8777-FC10144CF81B}" type="sibTrans" cxnId="{07D38864-8ED9-48EE-AE87-DCFA4312894C}">
      <dgm:prSet/>
      <dgm:spPr/>
      <dgm:t>
        <a:bodyPr/>
        <a:lstStyle/>
        <a:p>
          <a:endParaRPr lang="en-US"/>
        </a:p>
      </dgm:t>
    </dgm:pt>
    <dgm:pt modelId="{7E3952D8-FDCD-4939-9FE8-B24F81AC2D61}">
      <dgm:prSet/>
      <dgm:spPr/>
      <dgm:t>
        <a:bodyPr/>
        <a:lstStyle/>
        <a:p>
          <a:r>
            <a:rPr lang="en-US"/>
            <a:t>Control of Credit Risk</a:t>
          </a:r>
        </a:p>
      </dgm:t>
    </dgm:pt>
    <dgm:pt modelId="{0CB55793-1EB0-4A39-92FE-7509F66DB99B}" type="parTrans" cxnId="{70CF4C5E-B40D-4864-9F2C-5136800168E9}">
      <dgm:prSet/>
      <dgm:spPr/>
      <dgm:t>
        <a:bodyPr/>
        <a:lstStyle/>
        <a:p>
          <a:endParaRPr lang="en-US"/>
        </a:p>
      </dgm:t>
    </dgm:pt>
    <dgm:pt modelId="{61767D60-6A27-4958-86CE-0A4B2D2B659E}" type="sibTrans" cxnId="{70CF4C5E-B40D-4864-9F2C-5136800168E9}">
      <dgm:prSet/>
      <dgm:spPr/>
      <dgm:t>
        <a:bodyPr/>
        <a:lstStyle/>
        <a:p>
          <a:endParaRPr lang="en-US"/>
        </a:p>
      </dgm:t>
    </dgm:pt>
    <dgm:pt modelId="{1205587A-AB45-453D-98DF-50BD3A8EE7B7}" type="pres">
      <dgm:prSet presAssocID="{1AE8F768-0B31-4909-B7ED-B6C3B1DA94D3}" presName="matrix" presStyleCnt="0">
        <dgm:presLayoutVars>
          <dgm:chMax val="1"/>
          <dgm:dir/>
          <dgm:resizeHandles val="exact"/>
        </dgm:presLayoutVars>
      </dgm:prSet>
      <dgm:spPr/>
      <dgm:t>
        <a:bodyPr/>
        <a:lstStyle/>
        <a:p>
          <a:endParaRPr lang="en-US"/>
        </a:p>
      </dgm:t>
    </dgm:pt>
    <dgm:pt modelId="{C5426DF4-2EE7-4296-89DE-D09A8BC6CE44}" type="pres">
      <dgm:prSet presAssocID="{1AE8F768-0B31-4909-B7ED-B6C3B1DA94D3}" presName="axisShape" presStyleLbl="bgShp" presStyleIdx="0" presStyleCnt="1"/>
      <dgm:spPr/>
    </dgm:pt>
    <dgm:pt modelId="{6826D084-4D87-43D6-9690-C65691CA5500}" type="pres">
      <dgm:prSet presAssocID="{1AE8F768-0B31-4909-B7ED-B6C3B1DA94D3}" presName="rect1" presStyleLbl="node1" presStyleIdx="0" presStyleCnt="4">
        <dgm:presLayoutVars>
          <dgm:chMax val="0"/>
          <dgm:chPref val="0"/>
          <dgm:bulletEnabled val="1"/>
        </dgm:presLayoutVars>
      </dgm:prSet>
      <dgm:spPr/>
      <dgm:t>
        <a:bodyPr/>
        <a:lstStyle/>
        <a:p>
          <a:endParaRPr lang="en-US"/>
        </a:p>
      </dgm:t>
    </dgm:pt>
    <dgm:pt modelId="{536111BD-80BA-49AC-861C-EFB2A5BB724E}" type="pres">
      <dgm:prSet presAssocID="{1AE8F768-0B31-4909-B7ED-B6C3B1DA94D3}" presName="rect2" presStyleLbl="node1" presStyleIdx="1" presStyleCnt="4">
        <dgm:presLayoutVars>
          <dgm:chMax val="0"/>
          <dgm:chPref val="0"/>
          <dgm:bulletEnabled val="1"/>
        </dgm:presLayoutVars>
      </dgm:prSet>
      <dgm:spPr/>
      <dgm:t>
        <a:bodyPr/>
        <a:lstStyle/>
        <a:p>
          <a:endParaRPr lang="en-US"/>
        </a:p>
      </dgm:t>
    </dgm:pt>
    <dgm:pt modelId="{782E6CF6-6B43-4721-ACC4-238A7CF610D7}" type="pres">
      <dgm:prSet presAssocID="{1AE8F768-0B31-4909-B7ED-B6C3B1DA94D3}" presName="rect3" presStyleLbl="node1" presStyleIdx="2" presStyleCnt="4">
        <dgm:presLayoutVars>
          <dgm:chMax val="0"/>
          <dgm:chPref val="0"/>
          <dgm:bulletEnabled val="1"/>
        </dgm:presLayoutVars>
      </dgm:prSet>
      <dgm:spPr/>
      <dgm:t>
        <a:bodyPr/>
        <a:lstStyle/>
        <a:p>
          <a:endParaRPr lang="en-US"/>
        </a:p>
      </dgm:t>
    </dgm:pt>
    <dgm:pt modelId="{DC6B2903-132C-4C27-9B7D-70BE1EB940CB}" type="pres">
      <dgm:prSet presAssocID="{1AE8F768-0B31-4909-B7ED-B6C3B1DA94D3}" presName="rect4" presStyleLbl="node1" presStyleIdx="3" presStyleCnt="4">
        <dgm:presLayoutVars>
          <dgm:chMax val="0"/>
          <dgm:chPref val="0"/>
          <dgm:bulletEnabled val="1"/>
        </dgm:presLayoutVars>
      </dgm:prSet>
      <dgm:spPr/>
      <dgm:t>
        <a:bodyPr/>
        <a:lstStyle/>
        <a:p>
          <a:endParaRPr lang="en-US"/>
        </a:p>
      </dgm:t>
    </dgm:pt>
  </dgm:ptLst>
  <dgm:cxnLst>
    <dgm:cxn modelId="{CA326C06-3993-4056-88C7-291767C9C7DA}" type="presOf" srcId="{73E5077A-CE06-4339-A8E8-7C334FDAD65E}" destId="{6826D084-4D87-43D6-9690-C65691CA5500}" srcOrd="0" destOrd="0" presId="urn:microsoft.com/office/officeart/2005/8/layout/matrix2"/>
    <dgm:cxn modelId="{37CA9F29-3950-4010-BA20-34FE673400AC}" srcId="{1AE8F768-0B31-4909-B7ED-B6C3B1DA94D3}" destId="{5EFD10C0-72F7-453D-AA4B-76DC2ACD04DA}" srcOrd="1" destOrd="0" parTransId="{DBD57BD2-E9CE-41B4-BBC8-866028A00276}" sibTransId="{D979513B-DA2D-4956-9468-9B0F14AF8B11}"/>
    <dgm:cxn modelId="{D9A4CFE2-3614-4457-A484-216CE0B2E787}" srcId="{1AE8F768-0B31-4909-B7ED-B6C3B1DA94D3}" destId="{5198C2EA-22D7-4DF6-A448-B0D4EB92E698}" srcOrd="5" destOrd="0" parTransId="{A21513EF-78EF-46D1-B735-54DCF5C522E3}" sibTransId="{C768B779-906B-47CF-A598-D9727B39795D}"/>
    <dgm:cxn modelId="{CD696638-BBFD-48A0-9535-2144109C836C}" srcId="{1AE8F768-0B31-4909-B7ED-B6C3B1DA94D3}" destId="{544595F7-FA30-4C68-AC41-C25218A0FF53}" srcOrd="6" destOrd="0" parTransId="{339AA208-67AA-408E-BDBB-443EE4B3122E}" sibTransId="{20438182-7A61-4562-BEB2-2D0DB329F5FE}"/>
    <dgm:cxn modelId="{B0403C1F-8E6C-4E0A-AC95-29CC1BFCC5D1}" srcId="{1AE8F768-0B31-4909-B7ED-B6C3B1DA94D3}" destId="{73E5077A-CE06-4339-A8E8-7C334FDAD65E}" srcOrd="0" destOrd="0" parTransId="{A009DAAC-529B-4F5D-A98C-4A980BAA59AF}" sibTransId="{81CDBBDF-4A8C-43A3-B617-BB4233B047ED}"/>
    <dgm:cxn modelId="{754DFA9B-8419-486E-AE4E-DCAA0BAC8A83}" type="presOf" srcId="{5EFD10C0-72F7-453D-AA4B-76DC2ACD04DA}" destId="{536111BD-80BA-49AC-861C-EFB2A5BB724E}" srcOrd="0" destOrd="0" presId="urn:microsoft.com/office/officeart/2005/8/layout/matrix2"/>
    <dgm:cxn modelId="{26EC7DD6-A961-4491-AC03-8141CB25A1F3}" type="presOf" srcId="{84094018-9BA3-4DB3-BAA4-6788CBEAB436}" destId="{DC6B2903-132C-4C27-9B7D-70BE1EB940CB}" srcOrd="0" destOrd="0" presId="urn:microsoft.com/office/officeart/2005/8/layout/matrix2"/>
    <dgm:cxn modelId="{FFAC1607-7DFB-4BB5-BEC4-3D2983377887}" type="presOf" srcId="{7E3952D8-FDCD-4939-9FE8-B24F81AC2D61}" destId="{782E6CF6-6B43-4721-ACC4-238A7CF610D7}" srcOrd="0" destOrd="0" presId="urn:microsoft.com/office/officeart/2005/8/layout/matrix2"/>
    <dgm:cxn modelId="{A370959B-6336-4F87-9A9C-805982403FE9}" srcId="{1AE8F768-0B31-4909-B7ED-B6C3B1DA94D3}" destId="{7C514FBB-43EB-4ED6-94F8-D80D39F58542}" srcOrd="4" destOrd="0" parTransId="{7DB63F50-33A1-4A37-A4D4-79105F76F3F7}" sibTransId="{60F7024A-11F4-4496-8DB9-C9FDFD4B06FB}"/>
    <dgm:cxn modelId="{895FDD7F-21B9-46E2-8096-C87E521254A3}" srcId="{1AE8F768-0B31-4909-B7ED-B6C3B1DA94D3}" destId="{F37D225A-1C84-444F-A189-DFC72D7302CC}" srcOrd="7" destOrd="0" parTransId="{0926793C-1943-4F83-A072-1CEE1A87A14C}" sibTransId="{3B18C5A3-C414-43D1-8B53-BECAE3D72024}"/>
    <dgm:cxn modelId="{07D38864-8ED9-48EE-AE87-DCFA4312894C}" srcId="{1AE8F768-0B31-4909-B7ED-B6C3B1DA94D3}" destId="{84094018-9BA3-4DB3-BAA4-6788CBEAB436}" srcOrd="3" destOrd="0" parTransId="{0F64A6DF-93BB-4440-9068-5313652CAF73}" sibTransId="{396B1EC7-F908-419B-8777-FC10144CF81B}"/>
    <dgm:cxn modelId="{70CF4C5E-B40D-4864-9F2C-5136800168E9}" srcId="{1AE8F768-0B31-4909-B7ED-B6C3B1DA94D3}" destId="{7E3952D8-FDCD-4939-9FE8-B24F81AC2D61}" srcOrd="2" destOrd="0" parTransId="{0CB55793-1EB0-4A39-92FE-7509F66DB99B}" sibTransId="{61767D60-6A27-4958-86CE-0A4B2D2B659E}"/>
    <dgm:cxn modelId="{2DC53213-E2B3-4246-A7A0-0BEB141E83E4}" type="presOf" srcId="{1AE8F768-0B31-4909-B7ED-B6C3B1DA94D3}" destId="{1205587A-AB45-453D-98DF-50BD3A8EE7B7}" srcOrd="0" destOrd="0" presId="urn:microsoft.com/office/officeart/2005/8/layout/matrix2"/>
    <dgm:cxn modelId="{E8BBD1A3-4E2F-489F-9283-6F1F9986C81C}" type="presParOf" srcId="{1205587A-AB45-453D-98DF-50BD3A8EE7B7}" destId="{C5426DF4-2EE7-4296-89DE-D09A8BC6CE44}" srcOrd="0" destOrd="0" presId="urn:microsoft.com/office/officeart/2005/8/layout/matrix2"/>
    <dgm:cxn modelId="{341512A5-D6BF-41FF-989B-893B8DE69747}" type="presParOf" srcId="{1205587A-AB45-453D-98DF-50BD3A8EE7B7}" destId="{6826D084-4D87-43D6-9690-C65691CA5500}" srcOrd="1" destOrd="0" presId="urn:microsoft.com/office/officeart/2005/8/layout/matrix2"/>
    <dgm:cxn modelId="{7EE862DA-97F7-41E1-ABB0-702A2EB2F18E}" type="presParOf" srcId="{1205587A-AB45-453D-98DF-50BD3A8EE7B7}" destId="{536111BD-80BA-49AC-861C-EFB2A5BB724E}" srcOrd="2" destOrd="0" presId="urn:microsoft.com/office/officeart/2005/8/layout/matrix2"/>
    <dgm:cxn modelId="{C21C1C2D-3B49-4C9A-90F2-115D9CE95EB7}" type="presParOf" srcId="{1205587A-AB45-453D-98DF-50BD3A8EE7B7}" destId="{782E6CF6-6B43-4721-ACC4-238A7CF610D7}" srcOrd="3" destOrd="0" presId="urn:microsoft.com/office/officeart/2005/8/layout/matrix2"/>
    <dgm:cxn modelId="{86328A0B-DBBF-463F-A83C-B0D8F2E1E20F}" type="presParOf" srcId="{1205587A-AB45-453D-98DF-50BD3A8EE7B7}" destId="{DC6B2903-132C-4C27-9B7D-70BE1EB940CB}" srcOrd="4" destOrd="0" presId="urn:microsoft.com/office/officeart/2005/8/layout/matrix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426DF4-2EE7-4296-89DE-D09A8BC6CE44}">
      <dsp:nvSpPr>
        <dsp:cNvPr id="0" name=""/>
        <dsp:cNvSpPr/>
      </dsp:nvSpPr>
      <dsp:spPr>
        <a:xfrm>
          <a:off x="1099502" y="0"/>
          <a:ext cx="2879090" cy="287909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826D084-4D87-43D6-9690-C65691CA5500}">
      <dsp:nvSpPr>
        <dsp:cNvPr id="0" name=""/>
        <dsp:cNvSpPr/>
      </dsp:nvSpPr>
      <dsp:spPr>
        <a:xfrm>
          <a:off x="1286643" y="187140"/>
          <a:ext cx="1151636" cy="11516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Credit Risk Recognition</a:t>
          </a:r>
        </a:p>
      </dsp:txBody>
      <dsp:txXfrm>
        <a:off x="1342861" y="243358"/>
        <a:ext cx="1039200" cy="1039200"/>
      </dsp:txXfrm>
    </dsp:sp>
    <dsp:sp modelId="{536111BD-80BA-49AC-861C-EFB2A5BB724E}">
      <dsp:nvSpPr>
        <dsp:cNvPr id="0" name=""/>
        <dsp:cNvSpPr/>
      </dsp:nvSpPr>
      <dsp:spPr>
        <a:xfrm>
          <a:off x="2639815" y="187140"/>
          <a:ext cx="1151636" cy="11516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Assessment of Credit Risk</a:t>
          </a:r>
        </a:p>
      </dsp:txBody>
      <dsp:txXfrm>
        <a:off x="2696033" y="243358"/>
        <a:ext cx="1039200" cy="1039200"/>
      </dsp:txXfrm>
    </dsp:sp>
    <dsp:sp modelId="{782E6CF6-6B43-4721-ACC4-238A7CF610D7}">
      <dsp:nvSpPr>
        <dsp:cNvPr id="0" name=""/>
        <dsp:cNvSpPr/>
      </dsp:nvSpPr>
      <dsp:spPr>
        <a:xfrm>
          <a:off x="1286643" y="1540313"/>
          <a:ext cx="1151636" cy="11516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Control of Credit Risk</a:t>
          </a:r>
        </a:p>
      </dsp:txBody>
      <dsp:txXfrm>
        <a:off x="1342861" y="1596531"/>
        <a:ext cx="1039200" cy="1039200"/>
      </dsp:txXfrm>
    </dsp:sp>
    <dsp:sp modelId="{DC6B2903-132C-4C27-9B7D-70BE1EB940CB}">
      <dsp:nvSpPr>
        <dsp:cNvPr id="0" name=""/>
        <dsp:cNvSpPr/>
      </dsp:nvSpPr>
      <dsp:spPr>
        <a:xfrm>
          <a:off x="2639815" y="1540313"/>
          <a:ext cx="1151636" cy="115163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Mollification of Credit Risk</a:t>
          </a:r>
        </a:p>
      </dsp:txBody>
      <dsp:txXfrm>
        <a:off x="2696033" y="1596531"/>
        <a:ext cx="1039200" cy="1039200"/>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4B074F-D6D8-48EF-87DD-5B2607DFF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9500</Words>
  <Characters>54156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RABBANI</dc:creator>
  <cp:lastModifiedBy>HP</cp:lastModifiedBy>
  <cp:revision>2</cp:revision>
  <dcterms:created xsi:type="dcterms:W3CDTF">2020-12-21T12:03:00Z</dcterms:created>
  <dcterms:modified xsi:type="dcterms:W3CDTF">2020-12-21T12:03:00Z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ies>
</file>