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b/>
          <w:sz w:val="24"/>
          <w:szCs w:val="24"/>
        </w:rPr>
        <w:id w:val="-1351014540"/>
        <w:docPartObj>
          <w:docPartGallery w:val="Cover Pages"/>
          <w:docPartUnique/>
        </w:docPartObj>
      </w:sdtPr>
      <w:sdtContent>
        <w:p w:rsidR="003F6C08" w:rsidRDefault="003F6C08" w:rsidP="00027826">
          <w:pPr>
            <w:spacing w:line="360" w:lineRule="auto"/>
            <w:rPr>
              <w:rFonts w:ascii="Times New Roman" w:hAnsi="Times New Roman" w:cs="Times New Roman"/>
              <w:b/>
              <w:sz w:val="24"/>
              <w:szCs w:val="24"/>
            </w:rPr>
          </w:pPr>
          <w:r w:rsidRPr="003F6C08">
            <w:rPr>
              <w:rFonts w:ascii="Times New Roman" w:hAnsi="Times New Roman" w:cs="Times New Roman"/>
              <w:b/>
              <w:noProof/>
              <w:color w:val="FFFFFF" w:themeColor="background1"/>
              <w:sz w:val="24"/>
              <w:szCs w:val="24"/>
            </w:rPr>
            <mc:AlternateContent>
              <mc:Choice Requires="wpg">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6858000" cy="9144000"/>
                    <wp:effectExtent l="0" t="0" r="2540" b="635"/>
                    <wp:wrapNone/>
                    <wp:docPr id="11" name="Group 11"/>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s:wsp>
                            <wps:cNvPr id="33" name="Rectangle 33"/>
                            <wps:cNvSpPr/>
                            <wps:spPr>
                              <a:xfrm>
                                <a:off x="228600" y="0"/>
                                <a:ext cx="6629400" cy="9144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ajorHAnsi" w:eastAsiaTheme="majorEastAsia" w:hAnsiTheme="majorHAnsi" w:cstheme="majorBidi"/>
                                      <w:color w:val="FFFFFF" w:themeColor="background1"/>
                                      <w:sz w:val="84"/>
                                      <w:szCs w:val="84"/>
                                    </w:rPr>
                                    <w:alias w:val="Title"/>
                                    <w:tag w:val=""/>
                                    <w:id w:val="-960264625"/>
                                    <w:dataBinding w:prefixMappings="xmlns:ns0='http://purl.org/dc/elements/1.1/' xmlns:ns1='http://schemas.openxmlformats.org/package/2006/metadata/core-properties' " w:xpath="/ns1:coreProperties[1]/ns0:title[1]" w:storeItemID="{6C3C8BC8-F283-45AE-878A-BAB7291924A1}"/>
                                    <w:text/>
                                  </w:sdtPr>
                                  <w:sdtContent>
                                    <w:p w:rsidR="003F6C08" w:rsidRDefault="003F6C08">
                                      <w:pPr>
                                        <w:pStyle w:val="NoSpacing"/>
                                        <w:spacing w:after="120"/>
                                        <w:rPr>
                                          <w:rFonts w:asciiTheme="majorHAnsi" w:eastAsiaTheme="majorEastAsia" w:hAnsiTheme="majorHAnsi" w:cstheme="majorBidi"/>
                                          <w:color w:val="FFFFFF" w:themeColor="background1"/>
                                          <w:sz w:val="84"/>
                                          <w:szCs w:val="84"/>
                                        </w:rPr>
                                      </w:pPr>
                                      <w:r>
                                        <w:rPr>
                                          <w:rFonts w:asciiTheme="majorHAnsi" w:eastAsiaTheme="majorEastAsia" w:hAnsiTheme="majorHAnsi" w:cstheme="majorBidi"/>
                                          <w:color w:val="FFFFFF" w:themeColor="background1"/>
                                          <w:sz w:val="84"/>
                                          <w:szCs w:val="84"/>
                                        </w:rPr>
                                        <w:t>SYSTEMIC RISK:</w:t>
                                      </w:r>
                                    </w:p>
                                  </w:sdtContent>
                                </w:sdt>
                                <w:sdt>
                                  <w:sdtPr>
                                    <w:rPr>
                                      <w:color w:val="FFFFFF" w:themeColor="background1"/>
                                      <w:sz w:val="28"/>
                                      <w:szCs w:val="28"/>
                                    </w:r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Content>
                                    <w:p w:rsidR="003F6C08" w:rsidRDefault="003F6C08">
                                      <w:pPr>
                                        <w:pStyle w:val="NoSpacing"/>
                                        <w:rPr>
                                          <w:color w:val="FFFFFF" w:themeColor="background1"/>
                                          <w:sz w:val="28"/>
                                          <w:szCs w:val="28"/>
                                        </w:rPr>
                                      </w:pPr>
                                      <w:r>
                                        <w:rPr>
                                          <w:color w:val="FFFFFF" w:themeColor="background1"/>
                                          <w:sz w:val="28"/>
                                          <w:szCs w:val="28"/>
                                        </w:rPr>
                                        <w:t xml:space="preserve">An in-depth look </w:t>
                                      </w:r>
                                    </w:p>
                                  </w:sdtContent>
                                </w:sdt>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Rectangle 34"/>
                            <wps:cNvSpPr/>
                            <wps:spPr>
                              <a:xfrm>
                                <a:off x="0" y="0"/>
                                <a:ext cx="228600" cy="914400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35"/>
                            <wps:cNvSpPr txBox="1"/>
                            <wps:spPr>
                              <a:xfrm>
                                <a:off x="228600" y="7162800"/>
                                <a:ext cx="6629400" cy="156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FFFFFF" w:themeColor="background1"/>
                                      <w:sz w:val="32"/>
                                      <w:szCs w:val="32"/>
                                    </w:rPr>
                                    <w:alias w:val="Author"/>
                                    <w:tag w:val=""/>
                                    <w:id w:val="-315646564"/>
                                    <w:dataBinding w:prefixMappings="xmlns:ns0='http://purl.org/dc/elements/1.1/' xmlns:ns1='http://schemas.openxmlformats.org/package/2006/metadata/core-properties' " w:xpath="/ns1:coreProperties[1]/ns0:creator[1]" w:storeItemID="{6C3C8BC8-F283-45AE-878A-BAB7291924A1}"/>
                                    <w:text/>
                                  </w:sdtPr>
                                  <w:sdtContent>
                                    <w:p w:rsidR="003F6C08" w:rsidRDefault="003F6C08">
                                      <w:pPr>
                                        <w:pStyle w:val="NoSpacing"/>
                                        <w:rPr>
                                          <w:color w:val="FFFFFF" w:themeColor="background1"/>
                                          <w:sz w:val="32"/>
                                          <w:szCs w:val="32"/>
                                        </w:rPr>
                                      </w:pPr>
                                      <w:r>
                                        <w:rPr>
                                          <w:color w:val="FFFFFF" w:themeColor="background1"/>
                                          <w:sz w:val="32"/>
                                          <w:szCs w:val="32"/>
                                        </w:rPr>
                                        <w:t>Abir Ahashan</w:t>
                                      </w:r>
                                    </w:p>
                                  </w:sdtContent>
                                </w:sdt>
                                <w:p w:rsidR="003F6C08" w:rsidRDefault="003F6C08">
                                  <w:pPr>
                                    <w:pStyle w:val="NoSpacing"/>
                                    <w:rPr>
                                      <w:color w:val="FFFFFF" w:themeColor="background1"/>
                                      <w:sz w:val="18"/>
                                      <w:szCs w:val="18"/>
                                    </w:rPr>
                                  </w:pPr>
                                </w:p>
                              </w:txbxContent>
                            </wps:txbx>
                            <wps:bodyPr rot="0" spcFirstLastPara="0" vertOverflow="overflow" horzOverflow="overflow" vert="horz" wrap="square" lIns="4572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Group 11" o:spid="_x0000_s1026" style="position:absolute;margin-left:0;margin-top:0;width:540pt;height:10in;z-index:251659264;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">
                    <v:rect id="Rectangle 33" o:spid="_x0000_s1027" style="position:absolute;left:2286;width:66294;height:9144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h8hcMA&#10;AADbAAAADwAAAGRycy9kb3ducmV2LnhtbESPT4vCMBTE74LfITxhb5qqKKXbVEQRPCyIf/D8bN62&#10;3W1eShNr99tvBMHjMDO/YdJVb2rRUesqywqmkwgEcW51xYWCy3k3jkE4j6yxtkwK/sjBKhsOUky0&#10;ffCRupMvRICwS1BB6X2TSOnykgy6iW2Ig/dtW4M+yLaQusVHgJtazqJoKQ1WHBZKbGhTUv57uhsF&#10;fbztFtxd78f17cBmu/u6/eSxUh+jfv0JwlPv3+FXe68VzOfw/BJ+gM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h8hcMAAADbAAAADwAAAAAAAAAAAAAAAACYAgAAZHJzL2Rv&#10;d25yZXYueG1sUEsFBgAAAAAEAAQA9QAAAIgDAAAAAA==&#10;" fillcolor="black [3213]" stroked="f" strokeweight="1pt">
                      <v:textbox inset="36pt,1in,1in,208.8pt">
                        <w:txbxContent>
                          <w:sdt>
                            <w:sdtPr>
                              <w:rPr>
                                <w:rFonts w:asciiTheme="majorHAnsi" w:eastAsiaTheme="majorEastAsia" w:hAnsiTheme="majorHAnsi" w:cstheme="majorBidi"/>
                                <w:color w:val="FFFFFF" w:themeColor="background1"/>
                                <w:sz w:val="84"/>
                                <w:szCs w:val="84"/>
                              </w:rPr>
                              <w:alias w:val="Title"/>
                              <w:tag w:val=""/>
                              <w:id w:val="-960264625"/>
                              <w:dataBinding w:prefixMappings="xmlns:ns0='http://purl.org/dc/elements/1.1/' xmlns:ns1='http://schemas.openxmlformats.org/package/2006/metadata/core-properties' " w:xpath="/ns1:coreProperties[1]/ns0:title[1]" w:storeItemID="{6C3C8BC8-F283-45AE-878A-BAB7291924A1}"/>
                              <w:text/>
                            </w:sdtPr>
                            <w:sdtContent>
                              <w:p w:rsidR="003F6C08" w:rsidRDefault="003F6C08">
                                <w:pPr>
                                  <w:pStyle w:val="NoSpacing"/>
                                  <w:spacing w:after="120"/>
                                  <w:rPr>
                                    <w:rFonts w:asciiTheme="majorHAnsi" w:eastAsiaTheme="majorEastAsia" w:hAnsiTheme="majorHAnsi" w:cstheme="majorBidi"/>
                                    <w:color w:val="FFFFFF" w:themeColor="background1"/>
                                    <w:sz w:val="84"/>
                                    <w:szCs w:val="84"/>
                                  </w:rPr>
                                </w:pPr>
                                <w:r>
                                  <w:rPr>
                                    <w:rFonts w:asciiTheme="majorHAnsi" w:eastAsiaTheme="majorEastAsia" w:hAnsiTheme="majorHAnsi" w:cstheme="majorBidi"/>
                                    <w:color w:val="FFFFFF" w:themeColor="background1"/>
                                    <w:sz w:val="84"/>
                                    <w:szCs w:val="84"/>
                                  </w:rPr>
                                  <w:t>SYSTEMIC RISK:</w:t>
                                </w:r>
                              </w:p>
                            </w:sdtContent>
                          </w:sdt>
                          <w:sdt>
                            <w:sdtPr>
                              <w:rPr>
                                <w:color w:val="FFFFFF" w:themeColor="background1"/>
                                <w:sz w:val="28"/>
                                <w:szCs w:val="28"/>
                              </w:r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Content>
                              <w:p w:rsidR="003F6C08" w:rsidRDefault="003F6C08">
                                <w:pPr>
                                  <w:pStyle w:val="NoSpacing"/>
                                  <w:rPr>
                                    <w:color w:val="FFFFFF" w:themeColor="background1"/>
                                    <w:sz w:val="28"/>
                                    <w:szCs w:val="28"/>
                                  </w:rPr>
                                </w:pPr>
                                <w:r>
                                  <w:rPr>
                                    <w:color w:val="FFFFFF" w:themeColor="background1"/>
                                    <w:sz w:val="28"/>
                                    <w:szCs w:val="28"/>
                                  </w:rPr>
                                  <w:t xml:space="preserve">An in-depth look </w:t>
                                </w:r>
                              </w:p>
                            </w:sdtContent>
                          </w:sdt>
                        </w:txbxContent>
                      </v:textbox>
                    </v:rect>
                    <v:rect id="Rectangle 34" o:spid="_x0000_s1028" style="position:absolute;width:2286;height:9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uVHsQA&#10;AADbAAAADwAAAGRycy9kb3ducmV2LnhtbESPQWvCQBSE74X+h+UVehHdWItI6ioaUAQpaBTp8ZF9&#10;JsHs25hdTfz33YLQ4zAz3zDTeWcqcafGlZYVDAcRCOLM6pJzBcfDqj8B4TyyxsoyKXiQg/ns9WWK&#10;sbYt7+me+lwECLsYFRTe17GULivIoBvYmjh4Z9sY9EE2udQNtgFuKvkRRWNpsOSwUGBNSUHZJb0Z&#10;Bb2f0zZZev19uSY1ne1u3S5To9T7W7f4AuGp8//hZ3ujFYw+4e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7lR7EAAAA2wAAAA8AAAAAAAAAAAAAAAAAmAIAAGRycy9k&#10;b3ducmV2LnhtbFBLBQYAAAAABAAEAPUAAACJAwAAAAA=&#10;" fillcolor="gray [1629]" stroked="f" strokeweight="1pt"/>
                    <v:shapetype id="_x0000_t202" coordsize="21600,21600" o:spt="202" path="m,l,21600r21600,l21600,xe">
                      <v:stroke joinstyle="miter"/>
                      <v:path gradientshapeok="t" o:connecttype="rect"/>
                    </v:shapetype>
                    <v:shape id="Text Box 35" o:spid="_x0000_s1029" type="#_x0000_t202" style="position:absolute;left:2286;top:71628;width:66294;height:15614;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nysQA&#10;AADbAAAADwAAAGRycy9kb3ducmV2LnhtbESPT2vCQBTE74LfYXlCb7qx1aLRVdpCS6le/HPx9sg+&#10;k2D2bZp9Nem3d4VCj8PM/IZZrjtXqSs1ofRsYDxKQBFn3pacGzge3oczUEGQLVaeycAvBViv+r0l&#10;pta3vKPrXnIVIRxSNFCI1KnWISvIYRj5mjh6Z984lCibXNsG2wh3lX5MkmftsOS4UGBNbwVll/2P&#10;M3D63n6Fyaadu1ee4i6ZyMd2LMY8DLqXBSihTv7Df+1Pa+BpCvcv8Qf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x58rEAAAA2wAAAA8AAAAAAAAAAAAAAAAAmAIAAGRycy9k&#10;b3ducmV2LnhtbFBLBQYAAAAABAAEAPUAAACJAwAAAAA=&#10;" filled="f" stroked="f" strokeweight=".5pt">
                      <v:textbox inset="36pt,0,1in,0">
                        <w:txbxContent>
                          <w:sdt>
                            <w:sdtPr>
                              <w:rPr>
                                <w:color w:val="FFFFFF" w:themeColor="background1"/>
                                <w:sz w:val="32"/>
                                <w:szCs w:val="32"/>
                              </w:rPr>
                              <w:alias w:val="Author"/>
                              <w:tag w:val=""/>
                              <w:id w:val="-315646564"/>
                              <w:dataBinding w:prefixMappings="xmlns:ns0='http://purl.org/dc/elements/1.1/' xmlns:ns1='http://schemas.openxmlformats.org/package/2006/metadata/core-properties' " w:xpath="/ns1:coreProperties[1]/ns0:creator[1]" w:storeItemID="{6C3C8BC8-F283-45AE-878A-BAB7291924A1}"/>
                              <w:text/>
                            </w:sdtPr>
                            <w:sdtContent>
                              <w:p w:rsidR="003F6C08" w:rsidRDefault="003F6C08">
                                <w:pPr>
                                  <w:pStyle w:val="NoSpacing"/>
                                  <w:rPr>
                                    <w:color w:val="FFFFFF" w:themeColor="background1"/>
                                    <w:sz w:val="32"/>
                                    <w:szCs w:val="32"/>
                                  </w:rPr>
                                </w:pPr>
                                <w:r>
                                  <w:rPr>
                                    <w:color w:val="FFFFFF" w:themeColor="background1"/>
                                    <w:sz w:val="32"/>
                                    <w:szCs w:val="32"/>
                                  </w:rPr>
                                  <w:t>Abir Ahashan</w:t>
                                </w:r>
                              </w:p>
                            </w:sdtContent>
                          </w:sdt>
                          <w:p w:rsidR="003F6C08" w:rsidRDefault="003F6C08">
                            <w:pPr>
                              <w:pStyle w:val="NoSpacing"/>
                              <w:rPr>
                                <w:color w:val="FFFFFF" w:themeColor="background1"/>
                                <w:sz w:val="18"/>
                                <w:szCs w:val="18"/>
                              </w:rPr>
                            </w:pPr>
                          </w:p>
                        </w:txbxContent>
                      </v:textbox>
                    </v:shape>
                    <w10:wrap anchorx="page" anchory="page"/>
                  </v:group>
                </w:pict>
              </mc:Fallback>
            </mc:AlternateContent>
          </w:r>
          <w:r>
            <w:rPr>
              <w:rFonts w:ascii="Times New Roman" w:hAnsi="Times New Roman" w:cs="Times New Roman"/>
              <w:b/>
              <w:sz w:val="24"/>
              <w:szCs w:val="24"/>
            </w:rPr>
            <w:br w:type="page"/>
          </w:r>
        </w:p>
      </w:sdtContent>
    </w:sdt>
    <w:p w:rsidR="003F6C08" w:rsidRPr="003F6C08" w:rsidRDefault="003F6C08" w:rsidP="00027826">
      <w:pPr>
        <w:pStyle w:val="NoSpacing"/>
        <w:spacing w:line="360" w:lineRule="auto"/>
        <w:jc w:val="center"/>
        <w:rPr>
          <w:rFonts w:ascii="Times New Roman" w:hAnsi="Times New Roman" w:cs="Times New Roman"/>
          <w:b/>
          <w:sz w:val="24"/>
          <w:szCs w:val="24"/>
        </w:rPr>
      </w:pPr>
      <w:r w:rsidRPr="003F6C08">
        <w:rPr>
          <w:rFonts w:ascii="Times New Roman" w:hAnsi="Times New Roman" w:cs="Times New Roman"/>
          <w:b/>
          <w:sz w:val="24"/>
          <w:szCs w:val="24"/>
        </w:rPr>
        <w:lastRenderedPageBreak/>
        <w:t>Report on</w:t>
      </w:r>
    </w:p>
    <w:p w:rsidR="003F6C08" w:rsidRPr="003F6C08" w:rsidRDefault="003F6C08" w:rsidP="00027826">
      <w:pPr>
        <w:pStyle w:val="NoSpacing"/>
        <w:spacing w:line="360" w:lineRule="auto"/>
        <w:jc w:val="center"/>
        <w:rPr>
          <w:rFonts w:ascii="Times New Roman" w:hAnsi="Times New Roman" w:cs="Times New Roman"/>
          <w:i/>
          <w:sz w:val="24"/>
          <w:szCs w:val="24"/>
        </w:rPr>
      </w:pPr>
      <w:r w:rsidRPr="003F6C08">
        <w:rPr>
          <w:rFonts w:ascii="Times New Roman" w:hAnsi="Times New Roman" w:cs="Times New Roman"/>
          <w:i/>
          <w:sz w:val="24"/>
          <w:szCs w:val="24"/>
        </w:rPr>
        <w:t>Systemic Risk: an in-depth look</w:t>
      </w:r>
    </w:p>
    <w:p w:rsidR="003F6C08" w:rsidRDefault="003F6C08" w:rsidP="00027826">
      <w:pPr>
        <w:pStyle w:val="NoSpacing"/>
        <w:spacing w:line="360" w:lineRule="auto"/>
        <w:jc w:val="center"/>
        <w:rPr>
          <w:rFonts w:ascii="Times New Roman" w:hAnsi="Times New Roman" w:cs="Times New Roman"/>
          <w:b/>
          <w:sz w:val="24"/>
          <w:szCs w:val="24"/>
        </w:rPr>
      </w:pPr>
    </w:p>
    <w:p w:rsidR="003F6C08" w:rsidRDefault="003F6C08" w:rsidP="00027826">
      <w:pPr>
        <w:pStyle w:val="NoSpacing"/>
        <w:spacing w:line="360" w:lineRule="auto"/>
        <w:jc w:val="center"/>
        <w:rPr>
          <w:rFonts w:ascii="Times New Roman" w:hAnsi="Times New Roman" w:cs="Times New Roman"/>
          <w:b/>
          <w:sz w:val="24"/>
          <w:szCs w:val="24"/>
        </w:rPr>
      </w:pPr>
    </w:p>
    <w:p w:rsidR="003F6C08" w:rsidRDefault="003F6C08" w:rsidP="00027826">
      <w:pPr>
        <w:pStyle w:val="NoSpacing"/>
        <w:spacing w:line="360" w:lineRule="auto"/>
        <w:jc w:val="center"/>
        <w:rPr>
          <w:rFonts w:ascii="Times New Roman" w:hAnsi="Times New Roman" w:cs="Times New Roman"/>
          <w:b/>
          <w:sz w:val="24"/>
          <w:szCs w:val="24"/>
        </w:rPr>
      </w:pPr>
    </w:p>
    <w:p w:rsidR="003F6C08" w:rsidRDefault="003F6C08" w:rsidP="00027826">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Submitted to</w:t>
      </w:r>
    </w:p>
    <w:p w:rsidR="003F6C08" w:rsidRDefault="003F6C08" w:rsidP="00027826">
      <w:pPr>
        <w:pStyle w:val="NoSpacing"/>
        <w:spacing w:line="360" w:lineRule="auto"/>
        <w:jc w:val="center"/>
        <w:rPr>
          <w:rFonts w:ascii="Times New Roman" w:hAnsi="Times New Roman" w:cs="Times New Roman"/>
          <w:i/>
          <w:sz w:val="24"/>
          <w:szCs w:val="24"/>
        </w:rPr>
      </w:pPr>
      <w:r>
        <w:rPr>
          <w:rFonts w:ascii="Times New Roman" w:hAnsi="Times New Roman" w:cs="Times New Roman"/>
          <w:i/>
          <w:sz w:val="24"/>
          <w:szCs w:val="24"/>
        </w:rPr>
        <w:t>MS. Nusrat Farzana</w:t>
      </w:r>
    </w:p>
    <w:p w:rsidR="003F6C08" w:rsidRDefault="003F6C08" w:rsidP="00027826">
      <w:pPr>
        <w:pStyle w:val="NoSpacing"/>
        <w:spacing w:line="360" w:lineRule="auto"/>
        <w:jc w:val="center"/>
        <w:rPr>
          <w:rFonts w:ascii="Times New Roman" w:hAnsi="Times New Roman" w:cs="Times New Roman"/>
          <w:i/>
          <w:sz w:val="24"/>
          <w:szCs w:val="24"/>
        </w:rPr>
      </w:pPr>
      <w:r>
        <w:rPr>
          <w:rFonts w:ascii="Times New Roman" w:hAnsi="Times New Roman" w:cs="Times New Roman"/>
          <w:i/>
          <w:sz w:val="24"/>
          <w:szCs w:val="24"/>
        </w:rPr>
        <w:t>Assistant Professor</w:t>
      </w:r>
    </w:p>
    <w:p w:rsidR="003F6C08" w:rsidRDefault="003F6C08" w:rsidP="00027826">
      <w:pPr>
        <w:pStyle w:val="NoSpacing"/>
        <w:spacing w:line="360" w:lineRule="auto"/>
        <w:jc w:val="center"/>
        <w:rPr>
          <w:rFonts w:ascii="Times New Roman" w:hAnsi="Times New Roman" w:cs="Times New Roman"/>
          <w:i/>
          <w:sz w:val="24"/>
          <w:szCs w:val="24"/>
        </w:rPr>
      </w:pPr>
      <w:r>
        <w:rPr>
          <w:rFonts w:ascii="Times New Roman" w:hAnsi="Times New Roman" w:cs="Times New Roman"/>
          <w:i/>
          <w:sz w:val="24"/>
          <w:szCs w:val="24"/>
        </w:rPr>
        <w:t>SoBE, UIU</w:t>
      </w:r>
    </w:p>
    <w:p w:rsidR="003F6C08" w:rsidRDefault="003F6C08" w:rsidP="00027826">
      <w:pPr>
        <w:pStyle w:val="NoSpacing"/>
        <w:spacing w:line="360" w:lineRule="auto"/>
        <w:jc w:val="center"/>
        <w:rPr>
          <w:rFonts w:ascii="Times New Roman" w:hAnsi="Times New Roman" w:cs="Times New Roman"/>
          <w:i/>
          <w:sz w:val="24"/>
          <w:szCs w:val="24"/>
        </w:rPr>
      </w:pPr>
    </w:p>
    <w:p w:rsidR="003F6C08" w:rsidRDefault="003F6C08" w:rsidP="00027826">
      <w:pPr>
        <w:pStyle w:val="NoSpacing"/>
        <w:spacing w:line="360" w:lineRule="auto"/>
        <w:jc w:val="center"/>
        <w:rPr>
          <w:rFonts w:ascii="Times New Roman" w:hAnsi="Times New Roman" w:cs="Times New Roman"/>
          <w:i/>
          <w:sz w:val="24"/>
          <w:szCs w:val="24"/>
        </w:rPr>
      </w:pPr>
    </w:p>
    <w:p w:rsidR="003F6C08" w:rsidRDefault="003F6C08" w:rsidP="00027826">
      <w:pPr>
        <w:pStyle w:val="NoSpacing"/>
        <w:spacing w:line="360" w:lineRule="auto"/>
        <w:jc w:val="center"/>
        <w:rPr>
          <w:rFonts w:ascii="Times New Roman" w:hAnsi="Times New Roman" w:cs="Times New Roman"/>
          <w:i/>
          <w:sz w:val="24"/>
          <w:szCs w:val="24"/>
        </w:rPr>
      </w:pPr>
    </w:p>
    <w:p w:rsidR="003F6C08" w:rsidRDefault="003F6C08" w:rsidP="00027826">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Submitted by</w:t>
      </w:r>
    </w:p>
    <w:p w:rsidR="003F6C08" w:rsidRPr="003F6C08" w:rsidRDefault="003F6C08" w:rsidP="00027826">
      <w:pPr>
        <w:pStyle w:val="NoSpacing"/>
        <w:spacing w:line="360" w:lineRule="auto"/>
        <w:jc w:val="center"/>
        <w:rPr>
          <w:rFonts w:ascii="Times New Roman" w:hAnsi="Times New Roman" w:cs="Times New Roman"/>
          <w:i/>
          <w:sz w:val="24"/>
          <w:szCs w:val="24"/>
        </w:rPr>
      </w:pPr>
      <w:r w:rsidRPr="003F6C08">
        <w:rPr>
          <w:rFonts w:ascii="Times New Roman" w:hAnsi="Times New Roman" w:cs="Times New Roman"/>
          <w:i/>
          <w:sz w:val="24"/>
          <w:szCs w:val="24"/>
        </w:rPr>
        <w:t>Abir Ahashan</w:t>
      </w:r>
    </w:p>
    <w:p w:rsidR="003F6C08" w:rsidRDefault="003F6C08" w:rsidP="00027826">
      <w:pPr>
        <w:pStyle w:val="NoSpacing"/>
        <w:spacing w:line="360" w:lineRule="auto"/>
        <w:jc w:val="center"/>
        <w:rPr>
          <w:rFonts w:ascii="Times New Roman" w:hAnsi="Times New Roman" w:cs="Times New Roman"/>
          <w:i/>
          <w:sz w:val="24"/>
          <w:szCs w:val="24"/>
        </w:rPr>
      </w:pPr>
      <w:r w:rsidRPr="003F6C08">
        <w:rPr>
          <w:rFonts w:ascii="Times New Roman" w:hAnsi="Times New Roman" w:cs="Times New Roman"/>
          <w:i/>
          <w:sz w:val="24"/>
          <w:szCs w:val="24"/>
        </w:rPr>
        <w:t>111 143 044</w:t>
      </w:r>
    </w:p>
    <w:p w:rsidR="003F6C08" w:rsidRDefault="003F6C08" w:rsidP="00027826">
      <w:pPr>
        <w:pStyle w:val="NoSpacing"/>
        <w:spacing w:line="360" w:lineRule="auto"/>
        <w:jc w:val="center"/>
        <w:rPr>
          <w:rFonts w:ascii="Times New Roman" w:hAnsi="Times New Roman" w:cs="Times New Roman"/>
          <w:sz w:val="24"/>
          <w:szCs w:val="24"/>
        </w:rPr>
      </w:pPr>
    </w:p>
    <w:p w:rsidR="003F6C08" w:rsidRDefault="003F6C08" w:rsidP="00027826">
      <w:pPr>
        <w:pStyle w:val="NoSpacing"/>
        <w:spacing w:line="360" w:lineRule="auto"/>
        <w:jc w:val="center"/>
        <w:rPr>
          <w:rFonts w:ascii="Times New Roman" w:hAnsi="Times New Roman" w:cs="Times New Roman"/>
          <w:sz w:val="24"/>
          <w:szCs w:val="24"/>
        </w:rPr>
      </w:pPr>
    </w:p>
    <w:p w:rsidR="003F6C08" w:rsidRDefault="003F6C08" w:rsidP="00027826">
      <w:pPr>
        <w:pStyle w:val="NoSpacing"/>
        <w:spacing w:line="360" w:lineRule="auto"/>
        <w:jc w:val="center"/>
        <w:rPr>
          <w:rFonts w:ascii="Times New Roman" w:hAnsi="Times New Roman" w:cs="Times New Roman"/>
          <w:sz w:val="24"/>
          <w:szCs w:val="24"/>
        </w:rPr>
      </w:pPr>
    </w:p>
    <w:p w:rsidR="003F6C08" w:rsidRDefault="003F6C08" w:rsidP="00027826">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April 23, 2019</w:t>
      </w:r>
    </w:p>
    <w:p w:rsidR="003F6C08" w:rsidRDefault="003F6C08" w:rsidP="00027826">
      <w:pPr>
        <w:pStyle w:val="NoSpacing"/>
        <w:spacing w:line="360" w:lineRule="auto"/>
        <w:jc w:val="center"/>
        <w:rPr>
          <w:rFonts w:ascii="Times New Roman" w:hAnsi="Times New Roman" w:cs="Times New Roman"/>
          <w:sz w:val="24"/>
          <w:szCs w:val="24"/>
        </w:rPr>
      </w:pPr>
    </w:p>
    <w:p w:rsidR="003F6C08" w:rsidRDefault="003F6C08" w:rsidP="00027826">
      <w:pPr>
        <w:pStyle w:val="NoSpacing"/>
        <w:spacing w:line="360" w:lineRule="auto"/>
        <w:jc w:val="center"/>
        <w:rPr>
          <w:rFonts w:ascii="Times New Roman" w:hAnsi="Times New Roman" w:cs="Times New Roman"/>
          <w:sz w:val="24"/>
          <w:szCs w:val="24"/>
        </w:rPr>
      </w:pPr>
    </w:p>
    <w:p w:rsidR="003F6C08" w:rsidRDefault="003F6C08" w:rsidP="00027826">
      <w:pPr>
        <w:pStyle w:val="NoSpacing"/>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B67D14E" wp14:editId="38D580D7">
            <wp:extent cx="5863562" cy="866775"/>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eader-logo.png"/>
                    <pic:cNvPicPr/>
                  </pic:nvPicPr>
                  <pic:blipFill>
                    <a:blip r:embed="rId8">
                      <a:extLst>
                        <a:ext uri="{28A0092B-C50C-407E-A947-70E740481C1C}">
                          <a14:useLocalDpi xmlns:a14="http://schemas.microsoft.com/office/drawing/2010/main" val="0"/>
                        </a:ext>
                      </a:extLst>
                    </a:blip>
                    <a:stretch>
                      <a:fillRect/>
                    </a:stretch>
                  </pic:blipFill>
                  <pic:spPr>
                    <a:xfrm>
                      <a:off x="0" y="0"/>
                      <a:ext cx="5912564" cy="874019"/>
                    </a:xfrm>
                    <a:prstGeom prst="rect">
                      <a:avLst/>
                    </a:prstGeom>
                  </pic:spPr>
                </pic:pic>
              </a:graphicData>
            </a:graphic>
          </wp:inline>
        </w:drawing>
      </w:r>
    </w:p>
    <w:p w:rsidR="00EB16AB" w:rsidRDefault="00EB16AB" w:rsidP="00027826">
      <w:pPr>
        <w:pStyle w:val="NoSpacing"/>
        <w:spacing w:line="360" w:lineRule="auto"/>
        <w:rPr>
          <w:rFonts w:ascii="Times New Roman" w:hAnsi="Times New Roman" w:cs="Times New Roman"/>
          <w:sz w:val="24"/>
          <w:szCs w:val="24"/>
        </w:rPr>
      </w:pPr>
    </w:p>
    <w:p w:rsidR="00EB16AB" w:rsidRDefault="00EB16AB" w:rsidP="00027826">
      <w:pPr>
        <w:pStyle w:val="NoSpacing"/>
        <w:spacing w:line="360" w:lineRule="auto"/>
        <w:rPr>
          <w:rFonts w:ascii="Times New Roman" w:hAnsi="Times New Roman" w:cs="Times New Roman"/>
          <w:sz w:val="24"/>
          <w:szCs w:val="24"/>
        </w:rPr>
      </w:pPr>
    </w:p>
    <w:p w:rsidR="00EB16AB" w:rsidRDefault="00EB16AB" w:rsidP="00027826">
      <w:pPr>
        <w:pStyle w:val="NoSpacing"/>
        <w:spacing w:line="360" w:lineRule="auto"/>
        <w:rPr>
          <w:rFonts w:ascii="Times New Roman" w:hAnsi="Times New Roman" w:cs="Times New Roman"/>
          <w:sz w:val="24"/>
          <w:szCs w:val="24"/>
        </w:rPr>
      </w:pPr>
    </w:p>
    <w:p w:rsidR="00EB16AB" w:rsidRDefault="00EB16AB" w:rsidP="00027826">
      <w:pPr>
        <w:pStyle w:val="NoSpacing"/>
        <w:spacing w:line="360" w:lineRule="auto"/>
        <w:rPr>
          <w:rFonts w:ascii="Times New Roman" w:hAnsi="Times New Roman" w:cs="Times New Roman"/>
          <w:sz w:val="24"/>
          <w:szCs w:val="24"/>
        </w:rPr>
      </w:pPr>
    </w:p>
    <w:p w:rsidR="00EB16AB" w:rsidRDefault="00EB16AB" w:rsidP="00027826">
      <w:pPr>
        <w:pStyle w:val="NoSpacing"/>
        <w:spacing w:line="360" w:lineRule="auto"/>
        <w:rPr>
          <w:rFonts w:ascii="Times New Roman" w:hAnsi="Times New Roman" w:cs="Times New Roman"/>
          <w:sz w:val="24"/>
          <w:szCs w:val="24"/>
        </w:rPr>
      </w:pPr>
    </w:p>
    <w:p w:rsidR="00EB16AB" w:rsidRDefault="00EB16AB" w:rsidP="00027826">
      <w:pPr>
        <w:pStyle w:val="NoSpacing"/>
        <w:spacing w:line="360" w:lineRule="auto"/>
        <w:rPr>
          <w:rFonts w:ascii="Times New Roman" w:hAnsi="Times New Roman" w:cs="Times New Roman"/>
          <w:sz w:val="24"/>
          <w:szCs w:val="24"/>
        </w:rPr>
      </w:pPr>
    </w:p>
    <w:p w:rsidR="003F6C08" w:rsidRPr="003F6C08" w:rsidRDefault="003F6C08" w:rsidP="0027736C">
      <w:pPr>
        <w:pStyle w:val="NoSpacing"/>
        <w:spacing w:line="360" w:lineRule="auto"/>
        <w:rPr>
          <w:rFonts w:ascii="Times New Roman" w:hAnsi="Times New Roman" w:cs="Times New Roman"/>
          <w:sz w:val="24"/>
          <w:szCs w:val="24"/>
        </w:rPr>
      </w:pPr>
    </w:p>
    <w:sdt>
      <w:sdtPr>
        <w:id w:val="-1599553350"/>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4F7074" w:rsidRDefault="004F7074">
          <w:pPr>
            <w:pStyle w:val="TOCHeading"/>
          </w:pPr>
          <w:r>
            <w:t>Table of Contents</w:t>
          </w:r>
        </w:p>
        <w:p w:rsidR="00186FAF" w:rsidRDefault="004F7074">
          <w:pPr>
            <w:pStyle w:val="TOC1"/>
            <w:tabs>
              <w:tab w:val="left" w:pos="660"/>
              <w:tab w:val="right" w:leader="dot" w:pos="9350"/>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6873763" w:history="1">
            <w:r w:rsidR="00186FAF" w:rsidRPr="00971D79">
              <w:rPr>
                <w:rStyle w:val="Hyperlink"/>
                <w:noProof/>
              </w:rPr>
              <w:t>1.0</w:t>
            </w:r>
            <w:r w:rsidR="00186FAF">
              <w:rPr>
                <w:rFonts w:eastAsiaTheme="minorEastAsia"/>
                <w:noProof/>
              </w:rPr>
              <w:tab/>
            </w:r>
            <w:r w:rsidR="00186FAF" w:rsidRPr="00971D79">
              <w:rPr>
                <w:rStyle w:val="Hyperlink"/>
                <w:noProof/>
              </w:rPr>
              <w:t>Introduction</w:t>
            </w:r>
            <w:r w:rsidR="00186FAF">
              <w:rPr>
                <w:noProof/>
                <w:webHidden/>
              </w:rPr>
              <w:tab/>
            </w:r>
            <w:r w:rsidR="00186FAF">
              <w:rPr>
                <w:noProof/>
                <w:webHidden/>
              </w:rPr>
              <w:fldChar w:fldCharType="begin"/>
            </w:r>
            <w:r w:rsidR="00186FAF">
              <w:rPr>
                <w:noProof/>
                <w:webHidden/>
              </w:rPr>
              <w:instrText xml:space="preserve"> PAGEREF _Toc6873763 \h </w:instrText>
            </w:r>
            <w:r w:rsidR="00186FAF">
              <w:rPr>
                <w:noProof/>
                <w:webHidden/>
              </w:rPr>
            </w:r>
            <w:r w:rsidR="00186FAF">
              <w:rPr>
                <w:noProof/>
                <w:webHidden/>
              </w:rPr>
              <w:fldChar w:fldCharType="separate"/>
            </w:r>
            <w:r w:rsidR="00186FAF">
              <w:rPr>
                <w:noProof/>
                <w:webHidden/>
              </w:rPr>
              <w:t>1</w:t>
            </w:r>
            <w:r w:rsidR="00186FAF">
              <w:rPr>
                <w:noProof/>
                <w:webHidden/>
              </w:rPr>
              <w:fldChar w:fldCharType="end"/>
            </w:r>
          </w:hyperlink>
        </w:p>
        <w:p w:rsidR="00186FAF" w:rsidRDefault="00186FAF">
          <w:pPr>
            <w:pStyle w:val="TOC2"/>
            <w:tabs>
              <w:tab w:val="right" w:leader="dot" w:pos="9350"/>
            </w:tabs>
            <w:rPr>
              <w:rFonts w:eastAsiaTheme="minorEastAsia"/>
              <w:noProof/>
            </w:rPr>
          </w:pPr>
          <w:hyperlink w:anchor="_Toc6873764" w:history="1">
            <w:r w:rsidRPr="00971D79">
              <w:rPr>
                <w:rStyle w:val="Hyperlink"/>
                <w:noProof/>
              </w:rPr>
              <w:t>1.1 Methodology</w:t>
            </w:r>
            <w:r>
              <w:rPr>
                <w:noProof/>
                <w:webHidden/>
              </w:rPr>
              <w:tab/>
            </w:r>
            <w:r>
              <w:rPr>
                <w:noProof/>
                <w:webHidden/>
              </w:rPr>
              <w:fldChar w:fldCharType="begin"/>
            </w:r>
            <w:r>
              <w:rPr>
                <w:noProof/>
                <w:webHidden/>
              </w:rPr>
              <w:instrText xml:space="preserve"> PAGEREF _Toc6873764 \h </w:instrText>
            </w:r>
            <w:r>
              <w:rPr>
                <w:noProof/>
                <w:webHidden/>
              </w:rPr>
            </w:r>
            <w:r>
              <w:rPr>
                <w:noProof/>
                <w:webHidden/>
              </w:rPr>
              <w:fldChar w:fldCharType="separate"/>
            </w:r>
            <w:r>
              <w:rPr>
                <w:noProof/>
                <w:webHidden/>
              </w:rPr>
              <w:t>2</w:t>
            </w:r>
            <w:r>
              <w:rPr>
                <w:noProof/>
                <w:webHidden/>
              </w:rPr>
              <w:fldChar w:fldCharType="end"/>
            </w:r>
          </w:hyperlink>
        </w:p>
        <w:p w:rsidR="00186FAF" w:rsidRDefault="00186FAF">
          <w:pPr>
            <w:pStyle w:val="TOC2"/>
            <w:tabs>
              <w:tab w:val="right" w:leader="dot" w:pos="9350"/>
            </w:tabs>
            <w:rPr>
              <w:rFonts w:eastAsiaTheme="minorEastAsia"/>
              <w:noProof/>
            </w:rPr>
          </w:pPr>
          <w:hyperlink w:anchor="_Toc6873765" w:history="1">
            <w:r w:rsidRPr="00971D79">
              <w:rPr>
                <w:rStyle w:val="Hyperlink"/>
                <w:noProof/>
              </w:rPr>
              <w:t>1.2 Strength &amp; Limitation</w:t>
            </w:r>
            <w:r>
              <w:rPr>
                <w:noProof/>
                <w:webHidden/>
              </w:rPr>
              <w:tab/>
            </w:r>
            <w:r>
              <w:rPr>
                <w:noProof/>
                <w:webHidden/>
              </w:rPr>
              <w:fldChar w:fldCharType="begin"/>
            </w:r>
            <w:r>
              <w:rPr>
                <w:noProof/>
                <w:webHidden/>
              </w:rPr>
              <w:instrText xml:space="preserve"> PAGEREF _Toc6873765 \h </w:instrText>
            </w:r>
            <w:r>
              <w:rPr>
                <w:noProof/>
                <w:webHidden/>
              </w:rPr>
            </w:r>
            <w:r>
              <w:rPr>
                <w:noProof/>
                <w:webHidden/>
              </w:rPr>
              <w:fldChar w:fldCharType="separate"/>
            </w:r>
            <w:r>
              <w:rPr>
                <w:noProof/>
                <w:webHidden/>
              </w:rPr>
              <w:t>2</w:t>
            </w:r>
            <w:r>
              <w:rPr>
                <w:noProof/>
                <w:webHidden/>
              </w:rPr>
              <w:fldChar w:fldCharType="end"/>
            </w:r>
          </w:hyperlink>
        </w:p>
        <w:p w:rsidR="00186FAF" w:rsidRDefault="00186FAF">
          <w:pPr>
            <w:pStyle w:val="TOC2"/>
            <w:tabs>
              <w:tab w:val="right" w:leader="dot" w:pos="9350"/>
            </w:tabs>
            <w:rPr>
              <w:rFonts w:eastAsiaTheme="minorEastAsia"/>
              <w:noProof/>
            </w:rPr>
          </w:pPr>
          <w:hyperlink w:anchor="_Toc6873766" w:history="1">
            <w:r w:rsidRPr="00971D79">
              <w:rPr>
                <w:rStyle w:val="Hyperlink"/>
                <w:noProof/>
              </w:rPr>
              <w:t>1.3 Literature Review</w:t>
            </w:r>
            <w:r>
              <w:rPr>
                <w:noProof/>
                <w:webHidden/>
              </w:rPr>
              <w:tab/>
            </w:r>
            <w:r>
              <w:rPr>
                <w:noProof/>
                <w:webHidden/>
              </w:rPr>
              <w:fldChar w:fldCharType="begin"/>
            </w:r>
            <w:r>
              <w:rPr>
                <w:noProof/>
                <w:webHidden/>
              </w:rPr>
              <w:instrText xml:space="preserve"> PAGEREF _Toc6873766 \h </w:instrText>
            </w:r>
            <w:r>
              <w:rPr>
                <w:noProof/>
                <w:webHidden/>
              </w:rPr>
            </w:r>
            <w:r>
              <w:rPr>
                <w:noProof/>
                <w:webHidden/>
              </w:rPr>
              <w:fldChar w:fldCharType="separate"/>
            </w:r>
            <w:r>
              <w:rPr>
                <w:noProof/>
                <w:webHidden/>
              </w:rPr>
              <w:t>3</w:t>
            </w:r>
            <w:r>
              <w:rPr>
                <w:noProof/>
                <w:webHidden/>
              </w:rPr>
              <w:fldChar w:fldCharType="end"/>
            </w:r>
          </w:hyperlink>
        </w:p>
        <w:p w:rsidR="00186FAF" w:rsidRDefault="00186FAF">
          <w:pPr>
            <w:pStyle w:val="TOC1"/>
            <w:tabs>
              <w:tab w:val="right" w:leader="dot" w:pos="9350"/>
            </w:tabs>
            <w:rPr>
              <w:rFonts w:eastAsiaTheme="minorEastAsia"/>
              <w:noProof/>
            </w:rPr>
          </w:pPr>
          <w:hyperlink w:anchor="_Toc6873767" w:history="1">
            <w:r w:rsidRPr="00971D79">
              <w:rPr>
                <w:rStyle w:val="Hyperlink"/>
                <w:b/>
                <w:noProof/>
              </w:rPr>
              <w:t>2.0 Systemic Risk Sources</w:t>
            </w:r>
            <w:r>
              <w:rPr>
                <w:noProof/>
                <w:webHidden/>
              </w:rPr>
              <w:tab/>
            </w:r>
            <w:r>
              <w:rPr>
                <w:noProof/>
                <w:webHidden/>
              </w:rPr>
              <w:fldChar w:fldCharType="begin"/>
            </w:r>
            <w:r>
              <w:rPr>
                <w:noProof/>
                <w:webHidden/>
              </w:rPr>
              <w:instrText xml:space="preserve"> PAGEREF _Toc6873767 \h </w:instrText>
            </w:r>
            <w:r>
              <w:rPr>
                <w:noProof/>
                <w:webHidden/>
              </w:rPr>
            </w:r>
            <w:r>
              <w:rPr>
                <w:noProof/>
                <w:webHidden/>
              </w:rPr>
              <w:fldChar w:fldCharType="separate"/>
            </w:r>
            <w:r>
              <w:rPr>
                <w:noProof/>
                <w:webHidden/>
              </w:rPr>
              <w:t>4</w:t>
            </w:r>
            <w:r>
              <w:rPr>
                <w:noProof/>
                <w:webHidden/>
              </w:rPr>
              <w:fldChar w:fldCharType="end"/>
            </w:r>
          </w:hyperlink>
        </w:p>
        <w:p w:rsidR="00186FAF" w:rsidRDefault="00186FAF">
          <w:pPr>
            <w:pStyle w:val="TOC1"/>
            <w:tabs>
              <w:tab w:val="right" w:leader="dot" w:pos="9350"/>
            </w:tabs>
            <w:rPr>
              <w:rFonts w:eastAsiaTheme="minorEastAsia"/>
              <w:noProof/>
            </w:rPr>
          </w:pPr>
          <w:hyperlink w:anchor="_Toc6873768" w:history="1">
            <w:r w:rsidRPr="00971D79">
              <w:rPr>
                <w:rStyle w:val="Hyperlink"/>
                <w:noProof/>
              </w:rPr>
              <w:t>2.1 Transmission channels of systemic risk</w:t>
            </w:r>
            <w:r>
              <w:rPr>
                <w:noProof/>
                <w:webHidden/>
              </w:rPr>
              <w:tab/>
            </w:r>
            <w:r>
              <w:rPr>
                <w:noProof/>
                <w:webHidden/>
              </w:rPr>
              <w:fldChar w:fldCharType="begin"/>
            </w:r>
            <w:r>
              <w:rPr>
                <w:noProof/>
                <w:webHidden/>
              </w:rPr>
              <w:instrText xml:space="preserve"> PAGEREF _Toc6873768 \h </w:instrText>
            </w:r>
            <w:r>
              <w:rPr>
                <w:noProof/>
                <w:webHidden/>
              </w:rPr>
            </w:r>
            <w:r>
              <w:rPr>
                <w:noProof/>
                <w:webHidden/>
              </w:rPr>
              <w:fldChar w:fldCharType="separate"/>
            </w:r>
            <w:r>
              <w:rPr>
                <w:noProof/>
                <w:webHidden/>
              </w:rPr>
              <w:t>9</w:t>
            </w:r>
            <w:r>
              <w:rPr>
                <w:noProof/>
                <w:webHidden/>
              </w:rPr>
              <w:fldChar w:fldCharType="end"/>
            </w:r>
          </w:hyperlink>
        </w:p>
        <w:p w:rsidR="00186FAF" w:rsidRDefault="00186FAF">
          <w:pPr>
            <w:pStyle w:val="TOC1"/>
            <w:tabs>
              <w:tab w:val="right" w:leader="dot" w:pos="9350"/>
            </w:tabs>
            <w:rPr>
              <w:rFonts w:eastAsiaTheme="minorEastAsia"/>
              <w:noProof/>
            </w:rPr>
          </w:pPr>
          <w:hyperlink w:anchor="_Toc6873769" w:history="1">
            <w:r w:rsidRPr="00971D79">
              <w:rPr>
                <w:rStyle w:val="Hyperlink"/>
                <w:noProof/>
              </w:rPr>
              <w:t>3.0 Measurement of systemic risk</w:t>
            </w:r>
            <w:r>
              <w:rPr>
                <w:noProof/>
                <w:webHidden/>
              </w:rPr>
              <w:tab/>
            </w:r>
            <w:r>
              <w:rPr>
                <w:noProof/>
                <w:webHidden/>
              </w:rPr>
              <w:fldChar w:fldCharType="begin"/>
            </w:r>
            <w:r>
              <w:rPr>
                <w:noProof/>
                <w:webHidden/>
              </w:rPr>
              <w:instrText xml:space="preserve"> PAGEREF _Toc6873769 \h </w:instrText>
            </w:r>
            <w:r>
              <w:rPr>
                <w:noProof/>
                <w:webHidden/>
              </w:rPr>
            </w:r>
            <w:r>
              <w:rPr>
                <w:noProof/>
                <w:webHidden/>
              </w:rPr>
              <w:fldChar w:fldCharType="separate"/>
            </w:r>
            <w:r>
              <w:rPr>
                <w:noProof/>
                <w:webHidden/>
              </w:rPr>
              <w:t>12</w:t>
            </w:r>
            <w:r>
              <w:rPr>
                <w:noProof/>
                <w:webHidden/>
              </w:rPr>
              <w:fldChar w:fldCharType="end"/>
            </w:r>
          </w:hyperlink>
        </w:p>
        <w:p w:rsidR="00186FAF" w:rsidRDefault="00186FAF">
          <w:pPr>
            <w:pStyle w:val="TOC2"/>
            <w:tabs>
              <w:tab w:val="right" w:leader="dot" w:pos="9350"/>
            </w:tabs>
            <w:rPr>
              <w:rFonts w:eastAsiaTheme="minorEastAsia"/>
              <w:noProof/>
            </w:rPr>
          </w:pPr>
          <w:hyperlink w:anchor="_Toc6873770" w:history="1">
            <w:r w:rsidRPr="00971D79">
              <w:rPr>
                <w:rStyle w:val="Hyperlink"/>
                <w:noProof/>
              </w:rPr>
              <w:t>3.0.1 Systemic Contingent Claim Analysis</w:t>
            </w:r>
            <w:r>
              <w:rPr>
                <w:noProof/>
                <w:webHidden/>
              </w:rPr>
              <w:tab/>
            </w:r>
            <w:r>
              <w:rPr>
                <w:noProof/>
                <w:webHidden/>
              </w:rPr>
              <w:fldChar w:fldCharType="begin"/>
            </w:r>
            <w:r>
              <w:rPr>
                <w:noProof/>
                <w:webHidden/>
              </w:rPr>
              <w:instrText xml:space="preserve"> PAGEREF _Toc6873770 \h </w:instrText>
            </w:r>
            <w:r>
              <w:rPr>
                <w:noProof/>
                <w:webHidden/>
              </w:rPr>
            </w:r>
            <w:r>
              <w:rPr>
                <w:noProof/>
                <w:webHidden/>
              </w:rPr>
              <w:fldChar w:fldCharType="separate"/>
            </w:r>
            <w:r>
              <w:rPr>
                <w:noProof/>
                <w:webHidden/>
              </w:rPr>
              <w:t>12</w:t>
            </w:r>
            <w:r>
              <w:rPr>
                <w:noProof/>
                <w:webHidden/>
              </w:rPr>
              <w:fldChar w:fldCharType="end"/>
            </w:r>
          </w:hyperlink>
        </w:p>
        <w:p w:rsidR="00186FAF" w:rsidRDefault="00186FAF">
          <w:pPr>
            <w:pStyle w:val="TOC2"/>
            <w:tabs>
              <w:tab w:val="right" w:leader="dot" w:pos="9350"/>
            </w:tabs>
            <w:rPr>
              <w:rFonts w:eastAsiaTheme="minorEastAsia"/>
              <w:noProof/>
            </w:rPr>
          </w:pPr>
          <w:hyperlink w:anchor="_Toc6873771" w:history="1">
            <w:r w:rsidRPr="00971D79">
              <w:rPr>
                <w:rStyle w:val="Hyperlink"/>
                <w:noProof/>
              </w:rPr>
              <w:t>3.0.2 SRISK</w:t>
            </w:r>
            <w:r>
              <w:rPr>
                <w:noProof/>
                <w:webHidden/>
              </w:rPr>
              <w:tab/>
            </w:r>
            <w:r>
              <w:rPr>
                <w:noProof/>
                <w:webHidden/>
              </w:rPr>
              <w:fldChar w:fldCharType="begin"/>
            </w:r>
            <w:r>
              <w:rPr>
                <w:noProof/>
                <w:webHidden/>
              </w:rPr>
              <w:instrText xml:space="preserve"> PAGEREF _Toc6873771 \h </w:instrText>
            </w:r>
            <w:r>
              <w:rPr>
                <w:noProof/>
                <w:webHidden/>
              </w:rPr>
            </w:r>
            <w:r>
              <w:rPr>
                <w:noProof/>
                <w:webHidden/>
              </w:rPr>
              <w:fldChar w:fldCharType="separate"/>
            </w:r>
            <w:r>
              <w:rPr>
                <w:noProof/>
                <w:webHidden/>
              </w:rPr>
              <w:t>14</w:t>
            </w:r>
            <w:r>
              <w:rPr>
                <w:noProof/>
                <w:webHidden/>
              </w:rPr>
              <w:fldChar w:fldCharType="end"/>
            </w:r>
          </w:hyperlink>
        </w:p>
        <w:p w:rsidR="00186FAF" w:rsidRDefault="00186FAF">
          <w:pPr>
            <w:pStyle w:val="TOC2"/>
            <w:tabs>
              <w:tab w:val="right" w:leader="dot" w:pos="9350"/>
            </w:tabs>
            <w:rPr>
              <w:rFonts w:eastAsiaTheme="minorEastAsia"/>
              <w:noProof/>
            </w:rPr>
          </w:pPr>
          <w:hyperlink w:anchor="_Toc6873772" w:history="1">
            <w:r w:rsidRPr="00971D79">
              <w:rPr>
                <w:rStyle w:val="Hyperlink"/>
                <w:noProof/>
              </w:rPr>
              <w:t>3.0.3 CoVaR</w:t>
            </w:r>
            <w:r>
              <w:rPr>
                <w:noProof/>
                <w:webHidden/>
              </w:rPr>
              <w:tab/>
            </w:r>
            <w:r>
              <w:rPr>
                <w:noProof/>
                <w:webHidden/>
              </w:rPr>
              <w:fldChar w:fldCharType="begin"/>
            </w:r>
            <w:r>
              <w:rPr>
                <w:noProof/>
                <w:webHidden/>
              </w:rPr>
              <w:instrText xml:space="preserve"> PAGEREF _Toc6873772 \h </w:instrText>
            </w:r>
            <w:r>
              <w:rPr>
                <w:noProof/>
                <w:webHidden/>
              </w:rPr>
            </w:r>
            <w:r>
              <w:rPr>
                <w:noProof/>
                <w:webHidden/>
              </w:rPr>
              <w:fldChar w:fldCharType="separate"/>
            </w:r>
            <w:r>
              <w:rPr>
                <w:noProof/>
                <w:webHidden/>
              </w:rPr>
              <w:t>15</w:t>
            </w:r>
            <w:r>
              <w:rPr>
                <w:noProof/>
                <w:webHidden/>
              </w:rPr>
              <w:fldChar w:fldCharType="end"/>
            </w:r>
          </w:hyperlink>
        </w:p>
        <w:p w:rsidR="00186FAF" w:rsidRDefault="00186FAF">
          <w:pPr>
            <w:pStyle w:val="TOC2"/>
            <w:tabs>
              <w:tab w:val="right" w:leader="dot" w:pos="9350"/>
            </w:tabs>
            <w:rPr>
              <w:rFonts w:eastAsiaTheme="minorEastAsia"/>
              <w:noProof/>
            </w:rPr>
          </w:pPr>
          <w:hyperlink w:anchor="_Toc6873773" w:history="1">
            <w:r w:rsidRPr="00971D79">
              <w:rPr>
                <w:rStyle w:val="Hyperlink"/>
                <w:bCs/>
                <w:noProof/>
              </w:rPr>
              <w:t>3.0.4 Default Intensity Model</w:t>
            </w:r>
            <w:r>
              <w:rPr>
                <w:noProof/>
                <w:webHidden/>
              </w:rPr>
              <w:tab/>
            </w:r>
            <w:r>
              <w:rPr>
                <w:noProof/>
                <w:webHidden/>
              </w:rPr>
              <w:fldChar w:fldCharType="begin"/>
            </w:r>
            <w:r>
              <w:rPr>
                <w:noProof/>
                <w:webHidden/>
              </w:rPr>
              <w:instrText xml:space="preserve"> PAGEREF _Toc6873773 \h </w:instrText>
            </w:r>
            <w:r>
              <w:rPr>
                <w:noProof/>
                <w:webHidden/>
              </w:rPr>
            </w:r>
            <w:r>
              <w:rPr>
                <w:noProof/>
                <w:webHidden/>
              </w:rPr>
              <w:fldChar w:fldCharType="separate"/>
            </w:r>
            <w:r>
              <w:rPr>
                <w:noProof/>
                <w:webHidden/>
              </w:rPr>
              <w:t>17</w:t>
            </w:r>
            <w:r>
              <w:rPr>
                <w:noProof/>
                <w:webHidden/>
              </w:rPr>
              <w:fldChar w:fldCharType="end"/>
            </w:r>
          </w:hyperlink>
        </w:p>
        <w:p w:rsidR="00186FAF" w:rsidRDefault="00186FAF">
          <w:pPr>
            <w:pStyle w:val="TOC2"/>
            <w:tabs>
              <w:tab w:val="right" w:leader="dot" w:pos="9350"/>
            </w:tabs>
            <w:rPr>
              <w:rFonts w:eastAsiaTheme="minorEastAsia"/>
              <w:noProof/>
            </w:rPr>
          </w:pPr>
          <w:hyperlink w:anchor="_Toc6873774" w:history="1">
            <w:r w:rsidRPr="00971D79">
              <w:rPr>
                <w:rStyle w:val="Hyperlink"/>
                <w:noProof/>
              </w:rPr>
              <w:t>3.0.5 CoRisk</w:t>
            </w:r>
            <w:r>
              <w:rPr>
                <w:noProof/>
                <w:webHidden/>
              </w:rPr>
              <w:tab/>
            </w:r>
            <w:r>
              <w:rPr>
                <w:noProof/>
                <w:webHidden/>
              </w:rPr>
              <w:fldChar w:fldCharType="begin"/>
            </w:r>
            <w:r>
              <w:rPr>
                <w:noProof/>
                <w:webHidden/>
              </w:rPr>
              <w:instrText xml:space="preserve"> PAGEREF _Toc6873774 \h </w:instrText>
            </w:r>
            <w:r>
              <w:rPr>
                <w:noProof/>
                <w:webHidden/>
              </w:rPr>
            </w:r>
            <w:r>
              <w:rPr>
                <w:noProof/>
                <w:webHidden/>
              </w:rPr>
              <w:fldChar w:fldCharType="separate"/>
            </w:r>
            <w:r>
              <w:rPr>
                <w:noProof/>
                <w:webHidden/>
              </w:rPr>
              <w:t>18</w:t>
            </w:r>
            <w:r>
              <w:rPr>
                <w:noProof/>
                <w:webHidden/>
              </w:rPr>
              <w:fldChar w:fldCharType="end"/>
            </w:r>
          </w:hyperlink>
        </w:p>
        <w:p w:rsidR="00186FAF" w:rsidRDefault="00186FAF">
          <w:pPr>
            <w:pStyle w:val="TOC1"/>
            <w:tabs>
              <w:tab w:val="right" w:leader="dot" w:pos="9350"/>
            </w:tabs>
            <w:rPr>
              <w:rFonts w:eastAsiaTheme="minorEastAsia"/>
              <w:noProof/>
            </w:rPr>
          </w:pPr>
          <w:hyperlink w:anchor="_Toc6873775" w:history="1">
            <w:r w:rsidRPr="00971D79">
              <w:rPr>
                <w:rStyle w:val="Hyperlink"/>
                <w:noProof/>
              </w:rPr>
              <w:t>4.0 Managing Systemic Risk</w:t>
            </w:r>
            <w:r>
              <w:rPr>
                <w:noProof/>
                <w:webHidden/>
              </w:rPr>
              <w:tab/>
            </w:r>
            <w:r>
              <w:rPr>
                <w:noProof/>
                <w:webHidden/>
              </w:rPr>
              <w:fldChar w:fldCharType="begin"/>
            </w:r>
            <w:r>
              <w:rPr>
                <w:noProof/>
                <w:webHidden/>
              </w:rPr>
              <w:instrText xml:space="preserve"> PAGEREF _Toc6873775 \h </w:instrText>
            </w:r>
            <w:r>
              <w:rPr>
                <w:noProof/>
                <w:webHidden/>
              </w:rPr>
            </w:r>
            <w:r>
              <w:rPr>
                <w:noProof/>
                <w:webHidden/>
              </w:rPr>
              <w:fldChar w:fldCharType="separate"/>
            </w:r>
            <w:r>
              <w:rPr>
                <w:noProof/>
                <w:webHidden/>
              </w:rPr>
              <w:t>20</w:t>
            </w:r>
            <w:r>
              <w:rPr>
                <w:noProof/>
                <w:webHidden/>
              </w:rPr>
              <w:fldChar w:fldCharType="end"/>
            </w:r>
          </w:hyperlink>
        </w:p>
        <w:p w:rsidR="00186FAF" w:rsidRDefault="00186FAF">
          <w:pPr>
            <w:pStyle w:val="TOC2"/>
            <w:tabs>
              <w:tab w:val="right" w:leader="dot" w:pos="9350"/>
            </w:tabs>
            <w:rPr>
              <w:rFonts w:eastAsiaTheme="minorEastAsia"/>
              <w:noProof/>
            </w:rPr>
          </w:pPr>
          <w:hyperlink w:anchor="_Toc6873776" w:history="1">
            <w:r w:rsidRPr="00971D79">
              <w:rPr>
                <w:rStyle w:val="Hyperlink"/>
                <w:noProof/>
              </w:rPr>
              <w:t>4.1 Approaches to managing systemic risk</w:t>
            </w:r>
            <w:r>
              <w:rPr>
                <w:noProof/>
                <w:webHidden/>
              </w:rPr>
              <w:tab/>
            </w:r>
            <w:r>
              <w:rPr>
                <w:noProof/>
                <w:webHidden/>
              </w:rPr>
              <w:fldChar w:fldCharType="begin"/>
            </w:r>
            <w:r>
              <w:rPr>
                <w:noProof/>
                <w:webHidden/>
              </w:rPr>
              <w:instrText xml:space="preserve"> PAGEREF _Toc6873776 \h </w:instrText>
            </w:r>
            <w:r>
              <w:rPr>
                <w:noProof/>
                <w:webHidden/>
              </w:rPr>
            </w:r>
            <w:r>
              <w:rPr>
                <w:noProof/>
                <w:webHidden/>
              </w:rPr>
              <w:fldChar w:fldCharType="separate"/>
            </w:r>
            <w:r>
              <w:rPr>
                <w:noProof/>
                <w:webHidden/>
              </w:rPr>
              <w:t>21</w:t>
            </w:r>
            <w:r>
              <w:rPr>
                <w:noProof/>
                <w:webHidden/>
              </w:rPr>
              <w:fldChar w:fldCharType="end"/>
            </w:r>
          </w:hyperlink>
        </w:p>
        <w:p w:rsidR="00186FAF" w:rsidRDefault="00186FAF">
          <w:pPr>
            <w:pStyle w:val="TOC3"/>
            <w:tabs>
              <w:tab w:val="right" w:leader="dot" w:pos="9350"/>
            </w:tabs>
            <w:rPr>
              <w:rFonts w:eastAsiaTheme="minorEastAsia"/>
              <w:noProof/>
            </w:rPr>
          </w:pPr>
          <w:hyperlink w:anchor="_Toc6873777" w:history="1">
            <w:r w:rsidRPr="00971D79">
              <w:rPr>
                <w:rStyle w:val="Hyperlink"/>
                <w:noProof/>
              </w:rPr>
              <w:t>4.1.1 Policy initiatives to reduce systemic risk</w:t>
            </w:r>
            <w:r>
              <w:rPr>
                <w:noProof/>
                <w:webHidden/>
              </w:rPr>
              <w:tab/>
            </w:r>
            <w:r>
              <w:rPr>
                <w:noProof/>
                <w:webHidden/>
              </w:rPr>
              <w:fldChar w:fldCharType="begin"/>
            </w:r>
            <w:r>
              <w:rPr>
                <w:noProof/>
                <w:webHidden/>
              </w:rPr>
              <w:instrText xml:space="preserve"> PAGEREF _Toc6873777 \h </w:instrText>
            </w:r>
            <w:r>
              <w:rPr>
                <w:noProof/>
                <w:webHidden/>
              </w:rPr>
            </w:r>
            <w:r>
              <w:rPr>
                <w:noProof/>
                <w:webHidden/>
              </w:rPr>
              <w:fldChar w:fldCharType="separate"/>
            </w:r>
            <w:r>
              <w:rPr>
                <w:noProof/>
                <w:webHidden/>
              </w:rPr>
              <w:t>21</w:t>
            </w:r>
            <w:r>
              <w:rPr>
                <w:noProof/>
                <w:webHidden/>
              </w:rPr>
              <w:fldChar w:fldCharType="end"/>
            </w:r>
          </w:hyperlink>
        </w:p>
        <w:p w:rsidR="00186FAF" w:rsidRDefault="00186FAF">
          <w:pPr>
            <w:pStyle w:val="TOC3"/>
            <w:tabs>
              <w:tab w:val="right" w:leader="dot" w:pos="9350"/>
            </w:tabs>
            <w:rPr>
              <w:rFonts w:eastAsiaTheme="minorEastAsia"/>
              <w:noProof/>
            </w:rPr>
          </w:pPr>
          <w:hyperlink w:anchor="_Toc6873778" w:history="1">
            <w:r w:rsidRPr="00971D79">
              <w:rPr>
                <w:rStyle w:val="Hyperlink"/>
                <w:noProof/>
              </w:rPr>
              <w:t>4.1.2 Preparing crisis strategies</w:t>
            </w:r>
            <w:r>
              <w:rPr>
                <w:noProof/>
                <w:webHidden/>
              </w:rPr>
              <w:tab/>
            </w:r>
            <w:r>
              <w:rPr>
                <w:noProof/>
                <w:webHidden/>
              </w:rPr>
              <w:fldChar w:fldCharType="begin"/>
            </w:r>
            <w:r>
              <w:rPr>
                <w:noProof/>
                <w:webHidden/>
              </w:rPr>
              <w:instrText xml:space="preserve"> PAGEREF _Toc6873778 \h </w:instrText>
            </w:r>
            <w:r>
              <w:rPr>
                <w:noProof/>
                <w:webHidden/>
              </w:rPr>
            </w:r>
            <w:r>
              <w:rPr>
                <w:noProof/>
                <w:webHidden/>
              </w:rPr>
              <w:fldChar w:fldCharType="separate"/>
            </w:r>
            <w:r>
              <w:rPr>
                <w:noProof/>
                <w:webHidden/>
              </w:rPr>
              <w:t>23</w:t>
            </w:r>
            <w:r>
              <w:rPr>
                <w:noProof/>
                <w:webHidden/>
              </w:rPr>
              <w:fldChar w:fldCharType="end"/>
            </w:r>
          </w:hyperlink>
        </w:p>
        <w:p w:rsidR="00186FAF" w:rsidRDefault="00186FAF">
          <w:pPr>
            <w:pStyle w:val="TOC3"/>
            <w:tabs>
              <w:tab w:val="right" w:leader="dot" w:pos="9350"/>
            </w:tabs>
            <w:rPr>
              <w:rFonts w:eastAsiaTheme="minorEastAsia"/>
              <w:noProof/>
            </w:rPr>
          </w:pPr>
          <w:hyperlink w:anchor="_Toc6873779" w:history="1">
            <w:r w:rsidRPr="00971D79">
              <w:rPr>
                <w:rStyle w:val="Hyperlink"/>
                <w:noProof/>
              </w:rPr>
              <w:t>4.1.3 Calibrating tail risk</w:t>
            </w:r>
            <w:r>
              <w:rPr>
                <w:noProof/>
                <w:webHidden/>
              </w:rPr>
              <w:tab/>
            </w:r>
            <w:r>
              <w:rPr>
                <w:noProof/>
                <w:webHidden/>
              </w:rPr>
              <w:fldChar w:fldCharType="begin"/>
            </w:r>
            <w:r>
              <w:rPr>
                <w:noProof/>
                <w:webHidden/>
              </w:rPr>
              <w:instrText xml:space="preserve"> PAGEREF _Toc6873779 \h </w:instrText>
            </w:r>
            <w:r>
              <w:rPr>
                <w:noProof/>
                <w:webHidden/>
              </w:rPr>
            </w:r>
            <w:r>
              <w:rPr>
                <w:noProof/>
                <w:webHidden/>
              </w:rPr>
              <w:fldChar w:fldCharType="separate"/>
            </w:r>
            <w:r>
              <w:rPr>
                <w:noProof/>
                <w:webHidden/>
              </w:rPr>
              <w:t>25</w:t>
            </w:r>
            <w:r>
              <w:rPr>
                <w:noProof/>
                <w:webHidden/>
              </w:rPr>
              <w:fldChar w:fldCharType="end"/>
            </w:r>
          </w:hyperlink>
        </w:p>
        <w:p w:rsidR="00186FAF" w:rsidRDefault="00186FAF">
          <w:pPr>
            <w:pStyle w:val="TOC3"/>
            <w:tabs>
              <w:tab w:val="right" w:leader="dot" w:pos="9350"/>
            </w:tabs>
            <w:rPr>
              <w:rFonts w:eastAsiaTheme="minorEastAsia"/>
              <w:noProof/>
            </w:rPr>
          </w:pPr>
          <w:hyperlink w:anchor="_Toc6873780" w:history="1">
            <w:r w:rsidRPr="00971D79">
              <w:rPr>
                <w:rStyle w:val="Hyperlink"/>
                <w:noProof/>
              </w:rPr>
              <w:t>4.1.4 Exchanging market risk information</w:t>
            </w:r>
            <w:r>
              <w:rPr>
                <w:noProof/>
                <w:webHidden/>
              </w:rPr>
              <w:tab/>
            </w:r>
            <w:r>
              <w:rPr>
                <w:noProof/>
                <w:webHidden/>
              </w:rPr>
              <w:fldChar w:fldCharType="begin"/>
            </w:r>
            <w:r>
              <w:rPr>
                <w:noProof/>
                <w:webHidden/>
              </w:rPr>
              <w:instrText xml:space="preserve"> PAGEREF _Toc6873780 \h </w:instrText>
            </w:r>
            <w:r>
              <w:rPr>
                <w:noProof/>
                <w:webHidden/>
              </w:rPr>
            </w:r>
            <w:r>
              <w:rPr>
                <w:noProof/>
                <w:webHidden/>
              </w:rPr>
              <w:fldChar w:fldCharType="separate"/>
            </w:r>
            <w:r>
              <w:rPr>
                <w:noProof/>
                <w:webHidden/>
              </w:rPr>
              <w:t>26</w:t>
            </w:r>
            <w:r>
              <w:rPr>
                <w:noProof/>
                <w:webHidden/>
              </w:rPr>
              <w:fldChar w:fldCharType="end"/>
            </w:r>
          </w:hyperlink>
        </w:p>
        <w:p w:rsidR="00186FAF" w:rsidRDefault="00186FAF">
          <w:pPr>
            <w:pStyle w:val="TOC3"/>
            <w:tabs>
              <w:tab w:val="right" w:leader="dot" w:pos="9350"/>
            </w:tabs>
            <w:rPr>
              <w:rFonts w:eastAsiaTheme="minorEastAsia"/>
              <w:noProof/>
            </w:rPr>
          </w:pPr>
          <w:hyperlink w:anchor="_Toc6873781" w:history="1">
            <w:r w:rsidRPr="00971D79">
              <w:rPr>
                <w:rStyle w:val="Hyperlink"/>
                <w:noProof/>
              </w:rPr>
              <w:t>4.1.5 Fiscal buffers and tax policy</w:t>
            </w:r>
            <w:r>
              <w:rPr>
                <w:noProof/>
                <w:webHidden/>
              </w:rPr>
              <w:tab/>
            </w:r>
            <w:r>
              <w:rPr>
                <w:noProof/>
                <w:webHidden/>
              </w:rPr>
              <w:fldChar w:fldCharType="begin"/>
            </w:r>
            <w:r>
              <w:rPr>
                <w:noProof/>
                <w:webHidden/>
              </w:rPr>
              <w:instrText xml:space="preserve"> PAGEREF _Toc6873781 \h </w:instrText>
            </w:r>
            <w:r>
              <w:rPr>
                <w:noProof/>
                <w:webHidden/>
              </w:rPr>
            </w:r>
            <w:r>
              <w:rPr>
                <w:noProof/>
                <w:webHidden/>
              </w:rPr>
              <w:fldChar w:fldCharType="separate"/>
            </w:r>
            <w:r>
              <w:rPr>
                <w:noProof/>
                <w:webHidden/>
              </w:rPr>
              <w:t>27</w:t>
            </w:r>
            <w:r>
              <w:rPr>
                <w:noProof/>
                <w:webHidden/>
              </w:rPr>
              <w:fldChar w:fldCharType="end"/>
            </w:r>
          </w:hyperlink>
        </w:p>
        <w:p w:rsidR="00186FAF" w:rsidRDefault="00186FAF">
          <w:pPr>
            <w:pStyle w:val="TOC2"/>
            <w:tabs>
              <w:tab w:val="right" w:leader="dot" w:pos="9350"/>
            </w:tabs>
            <w:rPr>
              <w:rFonts w:eastAsiaTheme="minorEastAsia"/>
              <w:noProof/>
            </w:rPr>
          </w:pPr>
          <w:hyperlink w:anchor="_Toc6873782" w:history="1">
            <w:r w:rsidRPr="00971D79">
              <w:rPr>
                <w:rStyle w:val="Hyperlink"/>
                <w:noProof/>
              </w:rPr>
              <w:t>4.2 The institutional framework of systemic regulation</w:t>
            </w:r>
            <w:r>
              <w:rPr>
                <w:noProof/>
                <w:webHidden/>
              </w:rPr>
              <w:tab/>
            </w:r>
            <w:r>
              <w:rPr>
                <w:noProof/>
                <w:webHidden/>
              </w:rPr>
              <w:fldChar w:fldCharType="begin"/>
            </w:r>
            <w:r>
              <w:rPr>
                <w:noProof/>
                <w:webHidden/>
              </w:rPr>
              <w:instrText xml:space="preserve"> PAGEREF _Toc6873782 \h </w:instrText>
            </w:r>
            <w:r>
              <w:rPr>
                <w:noProof/>
                <w:webHidden/>
              </w:rPr>
            </w:r>
            <w:r>
              <w:rPr>
                <w:noProof/>
                <w:webHidden/>
              </w:rPr>
              <w:fldChar w:fldCharType="separate"/>
            </w:r>
            <w:r>
              <w:rPr>
                <w:noProof/>
                <w:webHidden/>
              </w:rPr>
              <w:t>28</w:t>
            </w:r>
            <w:r>
              <w:rPr>
                <w:noProof/>
                <w:webHidden/>
              </w:rPr>
              <w:fldChar w:fldCharType="end"/>
            </w:r>
          </w:hyperlink>
        </w:p>
        <w:p w:rsidR="00186FAF" w:rsidRDefault="00186FAF">
          <w:pPr>
            <w:pStyle w:val="TOC2"/>
            <w:tabs>
              <w:tab w:val="right" w:leader="dot" w:pos="9350"/>
            </w:tabs>
            <w:rPr>
              <w:rFonts w:eastAsiaTheme="minorEastAsia"/>
              <w:noProof/>
            </w:rPr>
          </w:pPr>
          <w:hyperlink w:anchor="_Toc6873783" w:history="1">
            <w:r w:rsidRPr="00971D79">
              <w:rPr>
                <w:rStyle w:val="Hyperlink"/>
                <w:noProof/>
              </w:rPr>
              <w:t>4.3 REGULATORY APPROACHES TO SYSTEMIC RISK: The Dodd-Frank Act</w:t>
            </w:r>
            <w:r>
              <w:rPr>
                <w:noProof/>
                <w:webHidden/>
              </w:rPr>
              <w:tab/>
            </w:r>
            <w:r>
              <w:rPr>
                <w:noProof/>
                <w:webHidden/>
              </w:rPr>
              <w:fldChar w:fldCharType="begin"/>
            </w:r>
            <w:r>
              <w:rPr>
                <w:noProof/>
                <w:webHidden/>
              </w:rPr>
              <w:instrText xml:space="preserve"> PAGEREF _Toc6873783 \h </w:instrText>
            </w:r>
            <w:r>
              <w:rPr>
                <w:noProof/>
                <w:webHidden/>
              </w:rPr>
            </w:r>
            <w:r>
              <w:rPr>
                <w:noProof/>
                <w:webHidden/>
              </w:rPr>
              <w:fldChar w:fldCharType="separate"/>
            </w:r>
            <w:r>
              <w:rPr>
                <w:noProof/>
                <w:webHidden/>
              </w:rPr>
              <w:t>31</w:t>
            </w:r>
            <w:r>
              <w:rPr>
                <w:noProof/>
                <w:webHidden/>
              </w:rPr>
              <w:fldChar w:fldCharType="end"/>
            </w:r>
          </w:hyperlink>
        </w:p>
        <w:p w:rsidR="00186FAF" w:rsidRDefault="00186FAF">
          <w:pPr>
            <w:pStyle w:val="TOC1"/>
            <w:tabs>
              <w:tab w:val="right" w:leader="dot" w:pos="9350"/>
            </w:tabs>
            <w:rPr>
              <w:rFonts w:eastAsiaTheme="minorEastAsia"/>
              <w:noProof/>
            </w:rPr>
          </w:pPr>
          <w:hyperlink w:anchor="_Toc6873784" w:history="1">
            <w:r w:rsidRPr="00971D79">
              <w:rPr>
                <w:rStyle w:val="Hyperlink"/>
                <w:noProof/>
              </w:rPr>
              <w:t>5.0 BASEL ACCORD IN MINIMIZING SYTEMIC RISK</w:t>
            </w:r>
            <w:r>
              <w:rPr>
                <w:noProof/>
                <w:webHidden/>
              </w:rPr>
              <w:tab/>
            </w:r>
            <w:r>
              <w:rPr>
                <w:noProof/>
                <w:webHidden/>
              </w:rPr>
              <w:fldChar w:fldCharType="begin"/>
            </w:r>
            <w:r>
              <w:rPr>
                <w:noProof/>
                <w:webHidden/>
              </w:rPr>
              <w:instrText xml:space="preserve"> PAGEREF _Toc6873784 \h </w:instrText>
            </w:r>
            <w:r>
              <w:rPr>
                <w:noProof/>
                <w:webHidden/>
              </w:rPr>
            </w:r>
            <w:r>
              <w:rPr>
                <w:noProof/>
                <w:webHidden/>
              </w:rPr>
              <w:fldChar w:fldCharType="separate"/>
            </w:r>
            <w:r>
              <w:rPr>
                <w:noProof/>
                <w:webHidden/>
              </w:rPr>
              <w:t>36</w:t>
            </w:r>
            <w:r>
              <w:rPr>
                <w:noProof/>
                <w:webHidden/>
              </w:rPr>
              <w:fldChar w:fldCharType="end"/>
            </w:r>
          </w:hyperlink>
        </w:p>
        <w:p w:rsidR="00186FAF" w:rsidRDefault="00186FAF">
          <w:pPr>
            <w:pStyle w:val="TOC2"/>
            <w:tabs>
              <w:tab w:val="right" w:leader="dot" w:pos="9350"/>
            </w:tabs>
            <w:rPr>
              <w:rFonts w:eastAsiaTheme="minorEastAsia"/>
              <w:noProof/>
            </w:rPr>
          </w:pPr>
          <w:hyperlink w:anchor="_Toc6873785" w:history="1">
            <w:r w:rsidRPr="00971D79">
              <w:rPr>
                <w:rStyle w:val="Hyperlink"/>
                <w:noProof/>
              </w:rPr>
              <w:t>5.0.1 Elements of Risk Management as propounded in Basel- I</w:t>
            </w:r>
            <w:r>
              <w:rPr>
                <w:noProof/>
                <w:webHidden/>
              </w:rPr>
              <w:tab/>
            </w:r>
            <w:r>
              <w:rPr>
                <w:noProof/>
                <w:webHidden/>
              </w:rPr>
              <w:fldChar w:fldCharType="begin"/>
            </w:r>
            <w:r>
              <w:rPr>
                <w:noProof/>
                <w:webHidden/>
              </w:rPr>
              <w:instrText xml:space="preserve"> PAGEREF _Toc6873785 \h </w:instrText>
            </w:r>
            <w:r>
              <w:rPr>
                <w:noProof/>
                <w:webHidden/>
              </w:rPr>
            </w:r>
            <w:r>
              <w:rPr>
                <w:noProof/>
                <w:webHidden/>
              </w:rPr>
              <w:fldChar w:fldCharType="separate"/>
            </w:r>
            <w:r>
              <w:rPr>
                <w:noProof/>
                <w:webHidden/>
              </w:rPr>
              <w:t>36</w:t>
            </w:r>
            <w:r>
              <w:rPr>
                <w:noProof/>
                <w:webHidden/>
              </w:rPr>
              <w:fldChar w:fldCharType="end"/>
            </w:r>
          </w:hyperlink>
        </w:p>
        <w:p w:rsidR="00186FAF" w:rsidRDefault="00186FAF">
          <w:pPr>
            <w:pStyle w:val="TOC2"/>
            <w:tabs>
              <w:tab w:val="right" w:leader="dot" w:pos="9350"/>
            </w:tabs>
            <w:rPr>
              <w:rFonts w:eastAsiaTheme="minorEastAsia"/>
              <w:noProof/>
            </w:rPr>
          </w:pPr>
          <w:hyperlink w:anchor="_Toc6873786" w:history="1">
            <w:r w:rsidRPr="00971D79">
              <w:rPr>
                <w:rStyle w:val="Hyperlink"/>
                <w:noProof/>
              </w:rPr>
              <w:t>5.0.2 Macro-Prudential tools in Basel-III to counter systemic risk</w:t>
            </w:r>
            <w:r>
              <w:rPr>
                <w:noProof/>
                <w:webHidden/>
              </w:rPr>
              <w:tab/>
            </w:r>
            <w:r>
              <w:rPr>
                <w:noProof/>
                <w:webHidden/>
              </w:rPr>
              <w:fldChar w:fldCharType="begin"/>
            </w:r>
            <w:r>
              <w:rPr>
                <w:noProof/>
                <w:webHidden/>
              </w:rPr>
              <w:instrText xml:space="preserve"> PAGEREF _Toc6873786 \h </w:instrText>
            </w:r>
            <w:r>
              <w:rPr>
                <w:noProof/>
                <w:webHidden/>
              </w:rPr>
            </w:r>
            <w:r>
              <w:rPr>
                <w:noProof/>
                <w:webHidden/>
              </w:rPr>
              <w:fldChar w:fldCharType="separate"/>
            </w:r>
            <w:r>
              <w:rPr>
                <w:noProof/>
                <w:webHidden/>
              </w:rPr>
              <w:t>40</w:t>
            </w:r>
            <w:r>
              <w:rPr>
                <w:noProof/>
                <w:webHidden/>
              </w:rPr>
              <w:fldChar w:fldCharType="end"/>
            </w:r>
          </w:hyperlink>
        </w:p>
        <w:p w:rsidR="00186FAF" w:rsidRDefault="00186FAF">
          <w:pPr>
            <w:pStyle w:val="TOC2"/>
            <w:tabs>
              <w:tab w:val="right" w:leader="dot" w:pos="9350"/>
            </w:tabs>
            <w:rPr>
              <w:rFonts w:eastAsiaTheme="minorEastAsia"/>
              <w:noProof/>
            </w:rPr>
          </w:pPr>
          <w:hyperlink w:anchor="_Toc6873787" w:history="1">
            <w:r w:rsidRPr="00971D79">
              <w:rPr>
                <w:rStyle w:val="Hyperlink"/>
                <w:noProof/>
              </w:rPr>
              <w:t>5.0.3 Systemic Risk Management/ Macro-Prudential Measures of Basel-III</w:t>
            </w:r>
            <w:r>
              <w:rPr>
                <w:noProof/>
                <w:webHidden/>
              </w:rPr>
              <w:tab/>
            </w:r>
            <w:r>
              <w:rPr>
                <w:noProof/>
                <w:webHidden/>
              </w:rPr>
              <w:fldChar w:fldCharType="begin"/>
            </w:r>
            <w:r>
              <w:rPr>
                <w:noProof/>
                <w:webHidden/>
              </w:rPr>
              <w:instrText xml:space="preserve"> PAGEREF _Toc6873787 \h </w:instrText>
            </w:r>
            <w:r>
              <w:rPr>
                <w:noProof/>
                <w:webHidden/>
              </w:rPr>
            </w:r>
            <w:r>
              <w:rPr>
                <w:noProof/>
                <w:webHidden/>
              </w:rPr>
              <w:fldChar w:fldCharType="separate"/>
            </w:r>
            <w:r>
              <w:rPr>
                <w:noProof/>
                <w:webHidden/>
              </w:rPr>
              <w:t>40</w:t>
            </w:r>
            <w:r>
              <w:rPr>
                <w:noProof/>
                <w:webHidden/>
              </w:rPr>
              <w:fldChar w:fldCharType="end"/>
            </w:r>
          </w:hyperlink>
        </w:p>
        <w:p w:rsidR="00186FAF" w:rsidRDefault="00186FAF">
          <w:pPr>
            <w:pStyle w:val="TOC1"/>
            <w:tabs>
              <w:tab w:val="right" w:leader="dot" w:pos="9350"/>
            </w:tabs>
            <w:rPr>
              <w:rFonts w:eastAsiaTheme="minorEastAsia"/>
              <w:noProof/>
            </w:rPr>
          </w:pPr>
          <w:hyperlink w:anchor="_Toc6873788" w:history="1">
            <w:r w:rsidRPr="00971D79">
              <w:rPr>
                <w:rStyle w:val="Hyperlink"/>
                <w:noProof/>
              </w:rPr>
              <w:t>5.1 Shortcomings of the Existing Reform Proposal</w:t>
            </w:r>
            <w:r>
              <w:rPr>
                <w:noProof/>
                <w:webHidden/>
              </w:rPr>
              <w:tab/>
            </w:r>
            <w:r>
              <w:rPr>
                <w:noProof/>
                <w:webHidden/>
              </w:rPr>
              <w:fldChar w:fldCharType="begin"/>
            </w:r>
            <w:r>
              <w:rPr>
                <w:noProof/>
                <w:webHidden/>
              </w:rPr>
              <w:instrText xml:space="preserve"> PAGEREF _Toc6873788 \h </w:instrText>
            </w:r>
            <w:r>
              <w:rPr>
                <w:noProof/>
                <w:webHidden/>
              </w:rPr>
            </w:r>
            <w:r>
              <w:rPr>
                <w:noProof/>
                <w:webHidden/>
              </w:rPr>
              <w:fldChar w:fldCharType="separate"/>
            </w:r>
            <w:r>
              <w:rPr>
                <w:noProof/>
                <w:webHidden/>
              </w:rPr>
              <w:t>42</w:t>
            </w:r>
            <w:r>
              <w:rPr>
                <w:noProof/>
                <w:webHidden/>
              </w:rPr>
              <w:fldChar w:fldCharType="end"/>
            </w:r>
          </w:hyperlink>
        </w:p>
        <w:p w:rsidR="00186FAF" w:rsidRDefault="00186FAF">
          <w:pPr>
            <w:pStyle w:val="TOC1"/>
            <w:tabs>
              <w:tab w:val="right" w:leader="dot" w:pos="9350"/>
            </w:tabs>
            <w:rPr>
              <w:rFonts w:eastAsiaTheme="minorEastAsia"/>
              <w:noProof/>
            </w:rPr>
          </w:pPr>
          <w:hyperlink w:anchor="_Toc6873789" w:history="1">
            <w:r w:rsidRPr="00971D79">
              <w:rPr>
                <w:rStyle w:val="Hyperlink"/>
                <w:noProof/>
              </w:rPr>
              <w:t>6.0 Conclusion</w:t>
            </w:r>
            <w:r>
              <w:rPr>
                <w:noProof/>
                <w:webHidden/>
              </w:rPr>
              <w:tab/>
            </w:r>
            <w:r>
              <w:rPr>
                <w:noProof/>
                <w:webHidden/>
              </w:rPr>
              <w:fldChar w:fldCharType="begin"/>
            </w:r>
            <w:r>
              <w:rPr>
                <w:noProof/>
                <w:webHidden/>
              </w:rPr>
              <w:instrText xml:space="preserve"> PAGEREF _Toc6873789 \h </w:instrText>
            </w:r>
            <w:r>
              <w:rPr>
                <w:noProof/>
                <w:webHidden/>
              </w:rPr>
            </w:r>
            <w:r>
              <w:rPr>
                <w:noProof/>
                <w:webHidden/>
              </w:rPr>
              <w:fldChar w:fldCharType="separate"/>
            </w:r>
            <w:r>
              <w:rPr>
                <w:noProof/>
                <w:webHidden/>
              </w:rPr>
              <w:t>45</w:t>
            </w:r>
            <w:r>
              <w:rPr>
                <w:noProof/>
                <w:webHidden/>
              </w:rPr>
              <w:fldChar w:fldCharType="end"/>
            </w:r>
          </w:hyperlink>
        </w:p>
        <w:p w:rsidR="004F7074" w:rsidRDefault="004F7074">
          <w:r>
            <w:rPr>
              <w:b/>
              <w:bCs/>
              <w:noProof/>
            </w:rPr>
            <w:fldChar w:fldCharType="end"/>
          </w:r>
        </w:p>
      </w:sdtContent>
    </w:sdt>
    <w:p w:rsidR="0027736C" w:rsidRDefault="0027736C" w:rsidP="00027826">
      <w:pPr>
        <w:pStyle w:val="NoSpacing"/>
        <w:spacing w:line="360" w:lineRule="auto"/>
        <w:jc w:val="center"/>
        <w:rPr>
          <w:rFonts w:ascii="Times New Roman" w:hAnsi="Times New Roman" w:cs="Times New Roman"/>
          <w:b/>
          <w:sz w:val="24"/>
          <w:szCs w:val="24"/>
        </w:rPr>
      </w:pPr>
    </w:p>
    <w:p w:rsidR="0027736C" w:rsidRDefault="0027736C" w:rsidP="00027826">
      <w:pPr>
        <w:pStyle w:val="NoSpacing"/>
        <w:spacing w:line="360" w:lineRule="auto"/>
        <w:jc w:val="center"/>
        <w:rPr>
          <w:rFonts w:ascii="Times New Roman" w:hAnsi="Times New Roman" w:cs="Times New Roman"/>
          <w:b/>
          <w:sz w:val="24"/>
          <w:szCs w:val="24"/>
        </w:rPr>
      </w:pPr>
    </w:p>
    <w:p w:rsidR="0027736C" w:rsidRDefault="0027736C" w:rsidP="00027826">
      <w:pPr>
        <w:pStyle w:val="NoSpacing"/>
        <w:spacing w:line="360" w:lineRule="auto"/>
        <w:jc w:val="center"/>
        <w:rPr>
          <w:rFonts w:ascii="Times New Roman" w:hAnsi="Times New Roman" w:cs="Times New Roman"/>
          <w:b/>
          <w:sz w:val="24"/>
          <w:szCs w:val="24"/>
        </w:rPr>
      </w:pPr>
    </w:p>
    <w:p w:rsidR="0027736C" w:rsidRDefault="0027736C" w:rsidP="004F7074">
      <w:pPr>
        <w:pStyle w:val="NoSpacing"/>
        <w:spacing w:line="360" w:lineRule="auto"/>
        <w:rPr>
          <w:rFonts w:ascii="Times New Roman" w:hAnsi="Times New Roman" w:cs="Times New Roman"/>
          <w:b/>
          <w:sz w:val="24"/>
          <w:szCs w:val="24"/>
        </w:rPr>
      </w:pPr>
    </w:p>
    <w:p w:rsidR="00DC70AE" w:rsidRPr="003F6C08" w:rsidRDefault="00DC70AE" w:rsidP="00027826">
      <w:pPr>
        <w:pStyle w:val="NoSpacing"/>
        <w:spacing w:line="360" w:lineRule="auto"/>
        <w:jc w:val="center"/>
        <w:rPr>
          <w:rFonts w:ascii="Times New Roman" w:hAnsi="Times New Roman" w:cs="Times New Roman"/>
          <w:b/>
          <w:sz w:val="24"/>
          <w:szCs w:val="24"/>
        </w:rPr>
      </w:pPr>
      <w:r w:rsidRPr="003F6C08">
        <w:rPr>
          <w:rFonts w:ascii="Times New Roman" w:hAnsi="Times New Roman" w:cs="Times New Roman"/>
          <w:b/>
          <w:sz w:val="24"/>
          <w:szCs w:val="24"/>
        </w:rPr>
        <w:lastRenderedPageBreak/>
        <w:t>Letter of Transmittal</w:t>
      </w:r>
    </w:p>
    <w:p w:rsidR="00DC70AE" w:rsidRPr="001A01F0" w:rsidRDefault="00DC70A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Date</w:t>
      </w:r>
      <w:r w:rsidR="004F7074">
        <w:rPr>
          <w:rFonts w:ascii="Times New Roman" w:hAnsi="Times New Roman" w:cs="Times New Roman"/>
          <w:sz w:val="24"/>
          <w:szCs w:val="24"/>
        </w:rPr>
        <w:t>: April 23, 2019</w:t>
      </w:r>
      <w:bookmarkStart w:id="0" w:name="_GoBack"/>
      <w:bookmarkEnd w:id="0"/>
    </w:p>
    <w:p w:rsidR="00DC70AE" w:rsidRPr="001A01F0" w:rsidRDefault="00DC70A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Ms. Nusrat Farzana</w:t>
      </w:r>
    </w:p>
    <w:p w:rsidR="00DC70AE" w:rsidRPr="001A01F0" w:rsidRDefault="00DC70A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School of Business and Economics</w:t>
      </w:r>
    </w:p>
    <w:p w:rsidR="00DC70AE" w:rsidRPr="001A01F0" w:rsidRDefault="00DC70A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United International University</w:t>
      </w: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r w:rsidRPr="001A01F0">
        <w:rPr>
          <w:rFonts w:ascii="Times New Roman" w:hAnsi="Times New Roman" w:cs="Times New Roman"/>
          <w:sz w:val="24"/>
          <w:szCs w:val="24"/>
          <w:shd w:val="clear" w:color="auto" w:fill="FFFFFF"/>
        </w:rPr>
        <w:t>United City, Madani Ave, Dhaka 1212</w:t>
      </w: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r w:rsidRPr="001A01F0">
        <w:rPr>
          <w:rFonts w:ascii="Times New Roman" w:hAnsi="Times New Roman" w:cs="Times New Roman"/>
          <w:sz w:val="24"/>
          <w:szCs w:val="24"/>
          <w:shd w:val="clear" w:color="auto" w:fill="FFFFFF"/>
        </w:rPr>
        <w:t>Sub:</w:t>
      </w:r>
      <w:r w:rsidR="00622A64" w:rsidRPr="001A01F0">
        <w:rPr>
          <w:rFonts w:ascii="Times New Roman" w:hAnsi="Times New Roman" w:cs="Times New Roman"/>
          <w:sz w:val="24"/>
          <w:szCs w:val="24"/>
          <w:shd w:val="clear" w:color="auto" w:fill="FFFFFF"/>
        </w:rPr>
        <w:t xml:space="preserve"> Submission of project report.</w:t>
      </w: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r w:rsidRPr="001A01F0">
        <w:rPr>
          <w:rFonts w:ascii="Times New Roman" w:hAnsi="Times New Roman" w:cs="Times New Roman"/>
          <w:sz w:val="24"/>
          <w:szCs w:val="24"/>
          <w:shd w:val="clear" w:color="auto" w:fill="FFFFFF"/>
        </w:rPr>
        <w:t>Dear Madam</w:t>
      </w: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r w:rsidRPr="001A01F0">
        <w:rPr>
          <w:rFonts w:ascii="Times New Roman" w:hAnsi="Times New Roman" w:cs="Times New Roman"/>
          <w:sz w:val="24"/>
          <w:szCs w:val="24"/>
          <w:shd w:val="clear" w:color="auto" w:fill="FFFFFF"/>
        </w:rPr>
        <w:t>It is indeed a pleasure for me to be able to hand over the report, which is required as an integral part for the completion of the BBA program, to you. This has been a very erudite experience for me to have the opportunity to work under your supervision.</w:t>
      </w: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r w:rsidRPr="001A01F0">
        <w:rPr>
          <w:rFonts w:ascii="Times New Roman" w:hAnsi="Times New Roman" w:cs="Times New Roman"/>
          <w:sz w:val="24"/>
          <w:szCs w:val="24"/>
          <w:shd w:val="clear" w:color="auto" w:fill="FFFFFF"/>
        </w:rPr>
        <w:t>I tried my best to keep the report informative and cogent. The information that has been used</w:t>
      </w:r>
      <w:r w:rsidR="00E52B46" w:rsidRPr="001A01F0">
        <w:rPr>
          <w:rFonts w:ascii="Times New Roman" w:hAnsi="Times New Roman" w:cs="Times New Roman"/>
          <w:sz w:val="24"/>
          <w:szCs w:val="24"/>
          <w:shd w:val="clear" w:color="auto" w:fill="FFFFFF"/>
        </w:rPr>
        <w:t xml:space="preserve"> in preparing the report</w:t>
      </w:r>
      <w:r w:rsidRPr="001A01F0">
        <w:rPr>
          <w:rFonts w:ascii="Times New Roman" w:hAnsi="Times New Roman" w:cs="Times New Roman"/>
          <w:sz w:val="24"/>
          <w:szCs w:val="24"/>
          <w:shd w:val="clear" w:color="auto" w:fill="FFFFFF"/>
        </w:rPr>
        <w:t xml:space="preserve"> is mainly collected from secondary sources.</w:t>
      </w: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r w:rsidRPr="001A01F0">
        <w:rPr>
          <w:rFonts w:ascii="Times New Roman" w:hAnsi="Times New Roman" w:cs="Times New Roman"/>
          <w:sz w:val="24"/>
          <w:szCs w:val="24"/>
          <w:shd w:val="clear" w:color="auto" w:fill="FFFFFF"/>
        </w:rPr>
        <w:t xml:space="preserve">I, sincerely hope that you would find the report worth reading, and so would others. I also hope that you would appreciate my hard-work and excuse minor errors, if there is any. </w:t>
      </w: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p>
    <w:p w:rsidR="00DC70AE" w:rsidRPr="001A01F0" w:rsidRDefault="00DC70AE" w:rsidP="00027826">
      <w:pPr>
        <w:pStyle w:val="NoSpacing"/>
        <w:spacing w:line="360" w:lineRule="auto"/>
        <w:jc w:val="both"/>
        <w:rPr>
          <w:rFonts w:ascii="Times New Roman" w:hAnsi="Times New Roman" w:cs="Times New Roman"/>
          <w:sz w:val="24"/>
          <w:szCs w:val="24"/>
          <w:shd w:val="clear" w:color="auto" w:fill="FFFFFF"/>
        </w:rPr>
      </w:pPr>
      <w:r w:rsidRPr="001A01F0">
        <w:rPr>
          <w:rFonts w:ascii="Times New Roman" w:hAnsi="Times New Roman" w:cs="Times New Roman"/>
          <w:sz w:val="24"/>
          <w:szCs w:val="24"/>
          <w:shd w:val="clear" w:color="auto" w:fill="FFFFFF"/>
        </w:rPr>
        <w:t>Sincerely Yours</w:t>
      </w:r>
    </w:p>
    <w:p w:rsidR="0078191E" w:rsidRDefault="00EB16AB" w:rsidP="00027826">
      <w:pPr>
        <w:pStyle w:val="NoSpacing"/>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Abir </w:t>
      </w:r>
      <w:r w:rsidR="00DC70AE" w:rsidRPr="001A01F0">
        <w:rPr>
          <w:rFonts w:ascii="Times New Roman" w:hAnsi="Times New Roman" w:cs="Times New Roman"/>
          <w:sz w:val="24"/>
          <w:szCs w:val="24"/>
          <w:shd w:val="clear" w:color="auto" w:fill="FFFFFF"/>
        </w:rPr>
        <w:t>Ahashan</w:t>
      </w:r>
      <w:r w:rsidR="00DC70AE" w:rsidRPr="001A01F0">
        <w:rPr>
          <w:rFonts w:ascii="Times New Roman" w:hAnsi="Times New Roman" w:cs="Times New Roman"/>
          <w:sz w:val="24"/>
          <w:szCs w:val="24"/>
          <w:shd w:val="clear" w:color="auto" w:fill="FFFFFF"/>
        </w:rPr>
        <w:br/>
        <w:t>111 143 044</w:t>
      </w:r>
    </w:p>
    <w:p w:rsidR="00EB16AB" w:rsidRDefault="00EB16AB"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Pr="004002E3" w:rsidRDefault="0027736C" w:rsidP="00027826">
      <w:pPr>
        <w:pStyle w:val="NoSpacing"/>
        <w:spacing w:line="360" w:lineRule="auto"/>
        <w:jc w:val="both"/>
        <w:rPr>
          <w:rFonts w:ascii="Times New Roman" w:hAnsi="Times New Roman" w:cs="Times New Roman"/>
          <w:sz w:val="24"/>
          <w:szCs w:val="24"/>
        </w:rPr>
      </w:pPr>
    </w:p>
    <w:p w:rsidR="0078191E" w:rsidRPr="003F6C08" w:rsidRDefault="0078191E" w:rsidP="00027826">
      <w:pPr>
        <w:pStyle w:val="NoSpacing"/>
        <w:spacing w:line="360" w:lineRule="auto"/>
        <w:jc w:val="center"/>
        <w:rPr>
          <w:rFonts w:ascii="Times New Roman" w:hAnsi="Times New Roman" w:cs="Times New Roman"/>
          <w:b/>
          <w:sz w:val="24"/>
          <w:szCs w:val="24"/>
        </w:rPr>
      </w:pPr>
      <w:r w:rsidRPr="003F6C08">
        <w:rPr>
          <w:rFonts w:ascii="Times New Roman" w:hAnsi="Times New Roman" w:cs="Times New Roman"/>
          <w:b/>
          <w:sz w:val="24"/>
          <w:szCs w:val="24"/>
        </w:rPr>
        <w:lastRenderedPageBreak/>
        <w:t>Acknowledgement</w:t>
      </w: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I would like to express my deepest appreciation to all those who have enabled me to get through this report by providing me with a myriad of information and by guiding me towards the right direction while I was working on the report. A very special gratitude of mine goes to my project supervisor, Ms. Nusrat Farzana ma’am, without her very insightful guidance it might have not been possible to complete the report.</w:t>
      </w:r>
    </w:p>
    <w:p w:rsidR="0078191E" w:rsidRPr="001A01F0" w:rsidRDefault="0078191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I would also like thank my friends Md. Rupak Islam, Mahmuda Jannat, and Shaheen whose continuous support and encouragement was of great help.</w:t>
      </w:r>
    </w:p>
    <w:p w:rsidR="0078191E" w:rsidRPr="001A01F0" w:rsidRDefault="0078191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Last but not the least, I would  like to acknowledge the cooperativeness of the UIU library staff </w:t>
      </w:r>
      <w:r w:rsidR="00E52B46" w:rsidRPr="001A01F0">
        <w:rPr>
          <w:rFonts w:ascii="Times New Roman" w:hAnsi="Times New Roman" w:cs="Times New Roman"/>
          <w:sz w:val="24"/>
          <w:szCs w:val="24"/>
        </w:rPr>
        <w:t>that they has shown</w:t>
      </w:r>
      <w:r w:rsidRPr="001A01F0">
        <w:rPr>
          <w:rFonts w:ascii="Times New Roman" w:hAnsi="Times New Roman" w:cs="Times New Roman"/>
          <w:sz w:val="24"/>
          <w:szCs w:val="24"/>
        </w:rPr>
        <w:t xml:space="preserve"> me throughout the period by allowing me</w:t>
      </w:r>
      <w:r w:rsidR="009D3D0A" w:rsidRPr="001A01F0">
        <w:rPr>
          <w:rFonts w:ascii="Times New Roman" w:hAnsi="Times New Roman" w:cs="Times New Roman"/>
          <w:sz w:val="24"/>
          <w:szCs w:val="24"/>
        </w:rPr>
        <w:t xml:space="preserve"> access</w:t>
      </w:r>
      <w:r w:rsidRPr="001A01F0">
        <w:rPr>
          <w:rFonts w:ascii="Times New Roman" w:hAnsi="Times New Roman" w:cs="Times New Roman"/>
          <w:sz w:val="24"/>
          <w:szCs w:val="24"/>
        </w:rPr>
        <w:t xml:space="preserve"> to all the necessary materials that I need</w:t>
      </w:r>
      <w:r w:rsidR="00CC1C32" w:rsidRPr="001A01F0">
        <w:rPr>
          <w:rFonts w:ascii="Times New Roman" w:hAnsi="Times New Roman" w:cs="Times New Roman"/>
          <w:sz w:val="24"/>
          <w:szCs w:val="24"/>
        </w:rPr>
        <w:t>ed</w:t>
      </w:r>
      <w:r w:rsidRPr="001A01F0">
        <w:rPr>
          <w:rFonts w:ascii="Times New Roman" w:hAnsi="Times New Roman" w:cs="Times New Roman"/>
          <w:sz w:val="24"/>
          <w:szCs w:val="24"/>
        </w:rPr>
        <w:t xml:space="preserve"> related to the literature. </w:t>
      </w: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5249A5" w:rsidRPr="001A01F0" w:rsidRDefault="005249A5" w:rsidP="00027826">
      <w:pPr>
        <w:pStyle w:val="NoSpacing"/>
        <w:spacing w:line="360" w:lineRule="auto"/>
        <w:jc w:val="both"/>
        <w:rPr>
          <w:rFonts w:ascii="Times New Roman" w:hAnsi="Times New Roman" w:cs="Times New Roman"/>
          <w:sz w:val="24"/>
          <w:szCs w:val="24"/>
        </w:rPr>
      </w:pPr>
    </w:p>
    <w:p w:rsidR="00506EBF" w:rsidRDefault="00506EBF" w:rsidP="00027826">
      <w:pPr>
        <w:pStyle w:val="NoSpacing"/>
        <w:spacing w:line="360" w:lineRule="auto"/>
        <w:jc w:val="center"/>
        <w:rPr>
          <w:rFonts w:ascii="Times New Roman" w:hAnsi="Times New Roman" w:cs="Times New Roman"/>
          <w:b/>
          <w:sz w:val="24"/>
          <w:szCs w:val="24"/>
        </w:rPr>
      </w:pPr>
    </w:p>
    <w:p w:rsidR="00506EBF" w:rsidRDefault="00506EBF" w:rsidP="00027826">
      <w:pPr>
        <w:pStyle w:val="NoSpacing"/>
        <w:spacing w:line="360" w:lineRule="auto"/>
        <w:jc w:val="center"/>
        <w:rPr>
          <w:rFonts w:ascii="Times New Roman" w:hAnsi="Times New Roman" w:cs="Times New Roman"/>
          <w:b/>
          <w:sz w:val="24"/>
          <w:szCs w:val="24"/>
        </w:rPr>
      </w:pPr>
    </w:p>
    <w:p w:rsidR="00027826" w:rsidRDefault="00027826" w:rsidP="00027826">
      <w:pPr>
        <w:pStyle w:val="NoSpacing"/>
        <w:spacing w:line="360" w:lineRule="auto"/>
        <w:rPr>
          <w:rFonts w:ascii="Times New Roman" w:hAnsi="Times New Roman" w:cs="Times New Roman"/>
          <w:b/>
          <w:sz w:val="24"/>
          <w:szCs w:val="24"/>
        </w:rPr>
      </w:pPr>
    </w:p>
    <w:p w:rsidR="0027736C" w:rsidRDefault="0027736C" w:rsidP="00027826">
      <w:pPr>
        <w:pStyle w:val="NoSpacing"/>
        <w:spacing w:line="360" w:lineRule="auto"/>
        <w:rPr>
          <w:rFonts w:ascii="Times New Roman" w:hAnsi="Times New Roman" w:cs="Times New Roman"/>
          <w:b/>
          <w:sz w:val="24"/>
          <w:szCs w:val="24"/>
        </w:rPr>
      </w:pPr>
    </w:p>
    <w:p w:rsidR="0027736C" w:rsidRDefault="0027736C" w:rsidP="00027826">
      <w:pPr>
        <w:pStyle w:val="NoSpacing"/>
        <w:spacing w:line="360" w:lineRule="auto"/>
        <w:rPr>
          <w:rFonts w:ascii="Times New Roman" w:hAnsi="Times New Roman" w:cs="Times New Roman"/>
          <w:b/>
          <w:sz w:val="24"/>
          <w:szCs w:val="24"/>
        </w:rPr>
      </w:pPr>
    </w:p>
    <w:p w:rsidR="0027736C" w:rsidRDefault="0027736C" w:rsidP="00027826">
      <w:pPr>
        <w:pStyle w:val="NoSpacing"/>
        <w:spacing w:line="360" w:lineRule="auto"/>
        <w:rPr>
          <w:rFonts w:ascii="Times New Roman" w:hAnsi="Times New Roman" w:cs="Times New Roman"/>
          <w:b/>
          <w:sz w:val="24"/>
          <w:szCs w:val="24"/>
        </w:rPr>
      </w:pPr>
    </w:p>
    <w:p w:rsidR="0027736C" w:rsidRDefault="0027736C" w:rsidP="00027826">
      <w:pPr>
        <w:pStyle w:val="NoSpacing"/>
        <w:spacing w:line="360" w:lineRule="auto"/>
        <w:rPr>
          <w:rFonts w:ascii="Times New Roman" w:hAnsi="Times New Roman" w:cs="Times New Roman"/>
          <w:b/>
          <w:sz w:val="24"/>
          <w:szCs w:val="24"/>
        </w:rPr>
      </w:pPr>
    </w:p>
    <w:p w:rsidR="0027736C" w:rsidRDefault="0027736C" w:rsidP="00027826">
      <w:pPr>
        <w:pStyle w:val="NoSpacing"/>
        <w:spacing w:line="360" w:lineRule="auto"/>
        <w:rPr>
          <w:rFonts w:ascii="Times New Roman" w:hAnsi="Times New Roman" w:cs="Times New Roman"/>
          <w:b/>
          <w:sz w:val="24"/>
          <w:szCs w:val="24"/>
        </w:rPr>
      </w:pPr>
    </w:p>
    <w:p w:rsidR="0027736C" w:rsidRDefault="0027736C" w:rsidP="00027826">
      <w:pPr>
        <w:pStyle w:val="NoSpacing"/>
        <w:spacing w:line="360" w:lineRule="auto"/>
        <w:rPr>
          <w:rFonts w:ascii="Times New Roman" w:hAnsi="Times New Roman" w:cs="Times New Roman"/>
          <w:b/>
          <w:sz w:val="24"/>
          <w:szCs w:val="24"/>
        </w:rPr>
      </w:pPr>
    </w:p>
    <w:p w:rsidR="0027736C" w:rsidRDefault="0027736C" w:rsidP="00027826">
      <w:pPr>
        <w:pStyle w:val="NoSpacing"/>
        <w:spacing w:line="360" w:lineRule="auto"/>
        <w:rPr>
          <w:rFonts w:ascii="Times New Roman" w:hAnsi="Times New Roman" w:cs="Times New Roman"/>
          <w:b/>
          <w:sz w:val="24"/>
          <w:szCs w:val="24"/>
        </w:rPr>
      </w:pPr>
    </w:p>
    <w:p w:rsidR="0027736C" w:rsidRDefault="0027736C" w:rsidP="00027826">
      <w:pPr>
        <w:pStyle w:val="NoSpacing"/>
        <w:spacing w:line="360" w:lineRule="auto"/>
        <w:rPr>
          <w:rFonts w:ascii="Times New Roman" w:hAnsi="Times New Roman" w:cs="Times New Roman"/>
          <w:b/>
          <w:sz w:val="24"/>
          <w:szCs w:val="24"/>
        </w:rPr>
      </w:pPr>
    </w:p>
    <w:p w:rsidR="0027736C" w:rsidRDefault="0027736C" w:rsidP="00027826">
      <w:pPr>
        <w:pStyle w:val="NoSpacing"/>
        <w:spacing w:line="360" w:lineRule="auto"/>
        <w:rPr>
          <w:rFonts w:ascii="Times New Roman" w:hAnsi="Times New Roman" w:cs="Times New Roman"/>
          <w:b/>
          <w:sz w:val="24"/>
          <w:szCs w:val="24"/>
        </w:rPr>
      </w:pPr>
    </w:p>
    <w:p w:rsidR="005249A5" w:rsidRPr="003F6C08" w:rsidRDefault="005249A5" w:rsidP="00027826">
      <w:pPr>
        <w:pStyle w:val="NoSpacing"/>
        <w:spacing w:line="360" w:lineRule="auto"/>
        <w:jc w:val="center"/>
        <w:rPr>
          <w:rFonts w:ascii="Times New Roman" w:hAnsi="Times New Roman" w:cs="Times New Roman"/>
          <w:b/>
          <w:sz w:val="24"/>
          <w:szCs w:val="24"/>
        </w:rPr>
      </w:pPr>
      <w:r w:rsidRPr="003F6C08">
        <w:rPr>
          <w:rFonts w:ascii="Times New Roman" w:hAnsi="Times New Roman" w:cs="Times New Roman"/>
          <w:b/>
          <w:sz w:val="24"/>
          <w:szCs w:val="24"/>
        </w:rPr>
        <w:t>Abstract</w:t>
      </w:r>
    </w:p>
    <w:p w:rsidR="005249A5" w:rsidRPr="001A01F0" w:rsidRDefault="005249A5" w:rsidP="00027826">
      <w:pPr>
        <w:pStyle w:val="NoSpacing"/>
        <w:spacing w:line="360" w:lineRule="auto"/>
        <w:jc w:val="both"/>
        <w:rPr>
          <w:rFonts w:ascii="Times New Roman" w:hAnsi="Times New Roman" w:cs="Times New Roman"/>
          <w:sz w:val="24"/>
          <w:szCs w:val="24"/>
        </w:rPr>
      </w:pPr>
    </w:p>
    <w:p w:rsidR="005249A5" w:rsidRPr="001A01F0" w:rsidRDefault="005249A5" w:rsidP="00027826">
      <w:pPr>
        <w:pStyle w:val="NoSpacing"/>
        <w:spacing w:line="360" w:lineRule="auto"/>
        <w:jc w:val="both"/>
        <w:rPr>
          <w:rFonts w:ascii="Times New Roman" w:hAnsi="Times New Roman" w:cs="Times New Roman"/>
          <w:sz w:val="24"/>
          <w:szCs w:val="24"/>
        </w:rPr>
      </w:pPr>
    </w:p>
    <w:p w:rsidR="005249A5" w:rsidRPr="001A01F0" w:rsidRDefault="005249A5" w:rsidP="00027826">
      <w:pPr>
        <w:pStyle w:val="NoSpacing"/>
        <w:spacing w:line="360" w:lineRule="auto"/>
        <w:jc w:val="both"/>
        <w:rPr>
          <w:rFonts w:ascii="Times New Roman" w:hAnsi="Times New Roman" w:cs="Times New Roman"/>
          <w:sz w:val="24"/>
          <w:szCs w:val="24"/>
        </w:rPr>
      </w:pPr>
    </w:p>
    <w:p w:rsidR="005249A5" w:rsidRPr="001A01F0" w:rsidRDefault="006823B7"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Systemic risk now a major headache for financial economists results in a cascading effect of failure. The elusive nature of the risk makes it difficult to identify risk sources and thus counter the risk. </w:t>
      </w:r>
      <w:r w:rsidR="002C72AC" w:rsidRPr="001A01F0">
        <w:rPr>
          <w:rFonts w:ascii="Times New Roman" w:hAnsi="Times New Roman" w:cs="Times New Roman"/>
          <w:sz w:val="24"/>
          <w:szCs w:val="24"/>
        </w:rPr>
        <w:t>However</w:t>
      </w:r>
      <w:r w:rsidR="00A93FF5" w:rsidRPr="001A01F0">
        <w:rPr>
          <w:rFonts w:ascii="Times New Roman" w:hAnsi="Times New Roman" w:cs="Times New Roman"/>
          <w:sz w:val="24"/>
          <w:szCs w:val="24"/>
        </w:rPr>
        <w:t>,</w:t>
      </w:r>
      <w:r w:rsidR="002C72AC" w:rsidRPr="001A01F0">
        <w:rPr>
          <w:rFonts w:ascii="Times New Roman" w:hAnsi="Times New Roman" w:cs="Times New Roman"/>
          <w:sz w:val="24"/>
          <w:szCs w:val="24"/>
        </w:rPr>
        <w:t xml:space="preserve"> many careful</w:t>
      </w:r>
      <w:r w:rsidRPr="001A01F0">
        <w:rPr>
          <w:rFonts w:ascii="Times New Roman" w:hAnsi="Times New Roman" w:cs="Times New Roman"/>
          <w:sz w:val="24"/>
          <w:szCs w:val="24"/>
        </w:rPr>
        <w:t xml:space="preserve"> analyses by many scholars </w:t>
      </w:r>
      <w:r w:rsidR="002C72AC" w:rsidRPr="001A01F0">
        <w:rPr>
          <w:rFonts w:ascii="Times New Roman" w:hAnsi="Times New Roman" w:cs="Times New Roman"/>
          <w:sz w:val="24"/>
          <w:szCs w:val="24"/>
        </w:rPr>
        <w:t>have left us with identification of some very plausible risk sources. Bank run, contagion, sovereign bond default are few of those sources to mention.</w:t>
      </w:r>
      <w:r w:rsidR="00B859FD" w:rsidRPr="001A01F0">
        <w:rPr>
          <w:rFonts w:ascii="Times New Roman" w:hAnsi="Times New Roman" w:cs="Times New Roman"/>
          <w:sz w:val="24"/>
          <w:szCs w:val="24"/>
        </w:rPr>
        <w:t xml:space="preserve"> Scholars have also devised some method so as to quantify risk exposures for an institution due to systemic risk. One such method is called “SRISK” which calculate capital shortfall- the amount of capital that</w:t>
      </w:r>
      <w:r w:rsidR="008760E7" w:rsidRPr="001A01F0">
        <w:rPr>
          <w:rFonts w:ascii="Times New Roman" w:hAnsi="Times New Roman" w:cs="Times New Roman"/>
          <w:sz w:val="24"/>
          <w:szCs w:val="24"/>
        </w:rPr>
        <w:t xml:space="preserve"> would be required by a firm to withstand an economic downturn-</w:t>
      </w:r>
      <w:r w:rsidR="00B859FD" w:rsidRPr="001A01F0">
        <w:rPr>
          <w:rFonts w:ascii="Times New Roman" w:hAnsi="Times New Roman" w:cs="Times New Roman"/>
          <w:sz w:val="24"/>
          <w:szCs w:val="24"/>
        </w:rPr>
        <w:t xml:space="preserve"> for a particular firm. </w:t>
      </w:r>
      <w:r w:rsidR="008760E7" w:rsidRPr="001A01F0">
        <w:rPr>
          <w:rFonts w:ascii="Times New Roman" w:hAnsi="Times New Roman" w:cs="Times New Roman"/>
          <w:sz w:val="24"/>
          <w:szCs w:val="24"/>
        </w:rPr>
        <w:t>Besides SRISK CoVar, CoRisk, TBTF</w:t>
      </w:r>
      <w:r w:rsidR="003A053E" w:rsidRPr="001A01F0">
        <w:rPr>
          <w:rFonts w:ascii="Times New Roman" w:hAnsi="Times New Roman" w:cs="Times New Roman"/>
          <w:sz w:val="24"/>
          <w:szCs w:val="24"/>
        </w:rPr>
        <w:t xml:space="preserve"> etc. are some other prevalent methods for assessing systemic risk.</w:t>
      </w:r>
      <w:r w:rsidR="002E0A7A" w:rsidRPr="001A01F0">
        <w:rPr>
          <w:rFonts w:ascii="Times New Roman" w:hAnsi="Times New Roman" w:cs="Times New Roman"/>
          <w:sz w:val="24"/>
          <w:szCs w:val="24"/>
        </w:rPr>
        <w:t xml:space="preserve"> Tackling systemic risk might seem to be paradoxical as systemic risk can result from both endogenous and exogenous sources. However, to counter systemic risk in the banking sector BASEL in its BASEL III accord has stipulated few measures to be taken by banks to avoid systemic risk.</w:t>
      </w:r>
    </w:p>
    <w:p w:rsidR="005249A5" w:rsidRPr="001A01F0" w:rsidRDefault="005249A5" w:rsidP="00027826">
      <w:pPr>
        <w:pStyle w:val="NoSpacing"/>
        <w:spacing w:line="360" w:lineRule="auto"/>
        <w:jc w:val="both"/>
        <w:rPr>
          <w:rFonts w:ascii="Times New Roman" w:hAnsi="Times New Roman" w:cs="Times New Roman"/>
          <w:sz w:val="24"/>
          <w:szCs w:val="24"/>
        </w:rPr>
      </w:pPr>
    </w:p>
    <w:p w:rsidR="005249A5" w:rsidRDefault="005249A5" w:rsidP="00027826">
      <w:pPr>
        <w:pStyle w:val="NoSpacing"/>
        <w:spacing w:line="360" w:lineRule="auto"/>
        <w:jc w:val="both"/>
        <w:rPr>
          <w:rFonts w:ascii="Times New Roman" w:hAnsi="Times New Roman" w:cs="Times New Roman"/>
          <w:sz w:val="24"/>
          <w:szCs w:val="24"/>
        </w:rPr>
      </w:pPr>
    </w:p>
    <w:p w:rsidR="004D1EB8" w:rsidRDefault="004D1EB8" w:rsidP="00027826">
      <w:pPr>
        <w:pStyle w:val="NoSpacing"/>
        <w:spacing w:line="360" w:lineRule="auto"/>
        <w:jc w:val="both"/>
        <w:rPr>
          <w:rFonts w:ascii="Times New Roman" w:hAnsi="Times New Roman" w:cs="Times New Roman"/>
          <w:sz w:val="24"/>
          <w:szCs w:val="24"/>
        </w:rPr>
      </w:pPr>
    </w:p>
    <w:p w:rsidR="004D1EB8" w:rsidRDefault="004D1EB8" w:rsidP="00027826">
      <w:pPr>
        <w:pStyle w:val="NoSpacing"/>
        <w:spacing w:line="360" w:lineRule="auto"/>
        <w:jc w:val="both"/>
        <w:rPr>
          <w:rFonts w:ascii="Times New Roman" w:hAnsi="Times New Roman" w:cs="Times New Roman"/>
          <w:sz w:val="24"/>
          <w:szCs w:val="24"/>
        </w:rPr>
      </w:pPr>
    </w:p>
    <w:p w:rsidR="004D1EB8" w:rsidRDefault="004D1EB8" w:rsidP="00027826">
      <w:pPr>
        <w:pStyle w:val="NoSpacing"/>
        <w:spacing w:line="360" w:lineRule="auto"/>
        <w:jc w:val="both"/>
        <w:rPr>
          <w:rFonts w:ascii="Times New Roman" w:hAnsi="Times New Roman" w:cs="Times New Roman"/>
          <w:sz w:val="24"/>
          <w:szCs w:val="24"/>
        </w:rPr>
      </w:pPr>
    </w:p>
    <w:p w:rsidR="004D1EB8" w:rsidRPr="001A01F0" w:rsidRDefault="004D1EB8" w:rsidP="00027826">
      <w:pPr>
        <w:pStyle w:val="NoSpacing"/>
        <w:spacing w:line="360" w:lineRule="auto"/>
        <w:jc w:val="both"/>
        <w:rPr>
          <w:rFonts w:ascii="Times New Roman" w:hAnsi="Times New Roman" w:cs="Times New Roman"/>
          <w:sz w:val="24"/>
          <w:szCs w:val="24"/>
        </w:rPr>
      </w:pPr>
    </w:p>
    <w:p w:rsidR="00EB16AB" w:rsidRDefault="00EB16AB" w:rsidP="00027826">
      <w:pPr>
        <w:pStyle w:val="NoSpacing"/>
        <w:spacing w:line="360" w:lineRule="auto"/>
        <w:jc w:val="both"/>
        <w:rPr>
          <w:rFonts w:ascii="Times New Roman" w:hAnsi="Times New Roman" w:cs="Times New Roman"/>
          <w:b/>
          <w:sz w:val="24"/>
          <w:szCs w:val="24"/>
        </w:rPr>
        <w:sectPr w:rsidR="00EB16AB" w:rsidSect="00EB16AB">
          <w:pgSz w:w="12240" w:h="15840"/>
          <w:pgMar w:top="1440" w:right="1440" w:bottom="1440" w:left="1440" w:header="720" w:footer="720" w:gutter="0"/>
          <w:pgNumType w:start="0"/>
          <w:cols w:space="720"/>
          <w:docGrid w:linePitch="360"/>
        </w:sectPr>
      </w:pPr>
    </w:p>
    <w:p w:rsidR="00027826" w:rsidRDefault="00027826" w:rsidP="007049F4">
      <w:pPr>
        <w:pStyle w:val="Heading1"/>
        <w:numPr>
          <w:ilvl w:val="0"/>
          <w:numId w:val="22"/>
        </w:numPr>
        <w:spacing w:line="360" w:lineRule="auto"/>
      </w:pPr>
      <w:bookmarkStart w:id="1" w:name="_Toc6873763"/>
      <w:r>
        <w:lastRenderedPageBreak/>
        <w:t>Introduction</w:t>
      </w:r>
      <w:bookmarkEnd w:id="1"/>
    </w:p>
    <w:p w:rsidR="00374E74" w:rsidRPr="00027826" w:rsidRDefault="005A4010" w:rsidP="00027826">
      <w:pPr>
        <w:pStyle w:val="NoSpacing"/>
        <w:spacing w:line="360" w:lineRule="auto"/>
        <w:jc w:val="both"/>
        <w:rPr>
          <w:rFonts w:ascii="Times New Roman" w:hAnsi="Times New Roman" w:cs="Times New Roman"/>
          <w:b/>
          <w:sz w:val="24"/>
          <w:szCs w:val="24"/>
        </w:rPr>
      </w:pPr>
      <w:r w:rsidRPr="001A01F0">
        <w:rPr>
          <w:rFonts w:ascii="Times New Roman" w:hAnsi="Times New Roman" w:cs="Times New Roman"/>
          <w:sz w:val="24"/>
          <w:szCs w:val="24"/>
        </w:rPr>
        <w:t xml:space="preserve">Systemic risk has been one of </w:t>
      </w:r>
      <w:r w:rsidR="003227CB" w:rsidRPr="001A01F0">
        <w:rPr>
          <w:rFonts w:ascii="Times New Roman" w:hAnsi="Times New Roman" w:cs="Times New Roman"/>
          <w:sz w:val="24"/>
          <w:szCs w:val="24"/>
        </w:rPr>
        <w:t>the most talked about phenomena</w:t>
      </w:r>
      <w:r w:rsidRPr="001A01F0">
        <w:rPr>
          <w:rFonts w:ascii="Times New Roman" w:hAnsi="Times New Roman" w:cs="Times New Roman"/>
          <w:sz w:val="24"/>
          <w:szCs w:val="24"/>
        </w:rPr>
        <w:t xml:space="preserve"> in the field of finance and banking for the scholars since the financial crisis of 2007-2008 that stemmed from a crisis in the subprime mortgage market in the United States. The</w:t>
      </w:r>
      <w:r w:rsidR="00374E74" w:rsidRPr="001A01F0">
        <w:rPr>
          <w:rFonts w:ascii="Times New Roman" w:hAnsi="Times New Roman" w:cs="Times New Roman"/>
          <w:sz w:val="24"/>
          <w:szCs w:val="24"/>
        </w:rPr>
        <w:t xml:space="preserve"> incident later turned out to be a full-fledge banking crisis, affecting many countries’ financial system, as the investment bank Lehman brothers collapsed leading to a cascading failure.</w:t>
      </w:r>
      <w:r w:rsidR="004C36BE" w:rsidRPr="001A01F0">
        <w:rPr>
          <w:rFonts w:ascii="Times New Roman" w:hAnsi="Times New Roman" w:cs="Times New Roman"/>
          <w:sz w:val="24"/>
          <w:szCs w:val="24"/>
        </w:rPr>
        <w:t xml:space="preserve"> Despite the dangers associated with systemic risk, we are yet to develop a sophisticated financial regulation system so as to pre-empt the reoccurrence of market failure triggered by systemic risk. Scholars</w:t>
      </w:r>
      <w:r w:rsidR="00374E74" w:rsidRPr="001A01F0">
        <w:rPr>
          <w:rFonts w:ascii="Times New Roman" w:hAnsi="Times New Roman" w:cs="Times New Roman"/>
          <w:sz w:val="24"/>
          <w:szCs w:val="24"/>
        </w:rPr>
        <w:t xml:space="preserve"> have struggled to come up with a universal definition for SYSTEMIC RISK. However, as this report purport</w:t>
      </w:r>
      <w:r w:rsidR="00D15713" w:rsidRPr="001A01F0">
        <w:rPr>
          <w:rFonts w:ascii="Times New Roman" w:hAnsi="Times New Roman" w:cs="Times New Roman"/>
          <w:sz w:val="24"/>
          <w:szCs w:val="24"/>
        </w:rPr>
        <w:t>s</w:t>
      </w:r>
      <w:r w:rsidR="00374E74" w:rsidRPr="001A01F0">
        <w:rPr>
          <w:rFonts w:ascii="Times New Roman" w:hAnsi="Times New Roman" w:cs="Times New Roman"/>
          <w:sz w:val="24"/>
          <w:szCs w:val="24"/>
        </w:rPr>
        <w:t xml:space="preserve"> to deal intensively on systemic</w:t>
      </w:r>
      <w:r w:rsidR="00D15713" w:rsidRPr="001A01F0">
        <w:rPr>
          <w:rFonts w:ascii="Times New Roman" w:hAnsi="Times New Roman" w:cs="Times New Roman"/>
          <w:sz w:val="24"/>
          <w:szCs w:val="24"/>
        </w:rPr>
        <w:t xml:space="preserve"> risk</w:t>
      </w:r>
      <w:r w:rsidR="00374E74" w:rsidRPr="001A01F0">
        <w:rPr>
          <w:rFonts w:ascii="Times New Roman" w:hAnsi="Times New Roman" w:cs="Times New Roman"/>
          <w:sz w:val="24"/>
          <w:szCs w:val="24"/>
        </w:rPr>
        <w:t xml:space="preserve">, it would be </w:t>
      </w:r>
      <w:r w:rsidR="00D15713" w:rsidRPr="001A01F0">
        <w:rPr>
          <w:rFonts w:ascii="Times New Roman" w:hAnsi="Times New Roman" w:cs="Times New Roman"/>
          <w:sz w:val="24"/>
          <w:szCs w:val="24"/>
        </w:rPr>
        <w:t>a misdemeanor not even to try to define it.</w:t>
      </w:r>
      <w:r w:rsidR="00D926A8" w:rsidRPr="001A01F0">
        <w:rPr>
          <w:rFonts w:ascii="Times New Roman" w:hAnsi="Times New Roman" w:cs="Times New Roman"/>
          <w:sz w:val="24"/>
          <w:szCs w:val="24"/>
        </w:rPr>
        <w:t xml:space="preserve"> Before moving onto the action of defining systemic risk it is important to note that very often many failed to distinguish between systemic risk and systematic risk.</w:t>
      </w:r>
      <w:r w:rsidR="00D15713" w:rsidRPr="001A01F0">
        <w:rPr>
          <w:rFonts w:ascii="Times New Roman" w:hAnsi="Times New Roman" w:cs="Times New Roman"/>
          <w:sz w:val="24"/>
          <w:szCs w:val="24"/>
        </w:rPr>
        <w:t xml:space="preserve"> </w:t>
      </w:r>
      <w:r w:rsidR="00D926A8" w:rsidRPr="001A01F0">
        <w:rPr>
          <w:rFonts w:ascii="Times New Roman" w:hAnsi="Times New Roman" w:cs="Times New Roman"/>
          <w:sz w:val="24"/>
          <w:szCs w:val="24"/>
        </w:rPr>
        <w:t>Though systematic risk, a type of risk inherent to the entire market, could trigger a systemic risk to take place, these however are not the same.</w:t>
      </w:r>
      <w:r w:rsidR="00597C4F" w:rsidRPr="001A01F0">
        <w:rPr>
          <w:rFonts w:ascii="Times New Roman" w:hAnsi="Times New Roman" w:cs="Times New Roman"/>
          <w:sz w:val="24"/>
          <w:szCs w:val="24"/>
        </w:rPr>
        <w:t xml:space="preserve"> </w:t>
      </w:r>
      <w:r w:rsidR="00D15713" w:rsidRPr="001A01F0">
        <w:rPr>
          <w:rFonts w:ascii="Times New Roman" w:hAnsi="Times New Roman" w:cs="Times New Roman"/>
          <w:sz w:val="24"/>
          <w:szCs w:val="24"/>
        </w:rPr>
        <w:t>Systemic risk can be defined as risk</w:t>
      </w:r>
      <w:r w:rsidR="00E25012" w:rsidRPr="001A01F0">
        <w:rPr>
          <w:rFonts w:ascii="Times New Roman" w:hAnsi="Times New Roman" w:cs="Times New Roman"/>
          <w:sz w:val="24"/>
          <w:szCs w:val="24"/>
        </w:rPr>
        <w:t>s</w:t>
      </w:r>
      <w:r w:rsidR="00D15713" w:rsidRPr="001A01F0">
        <w:rPr>
          <w:rFonts w:ascii="Times New Roman" w:hAnsi="Times New Roman" w:cs="Times New Roman"/>
          <w:sz w:val="24"/>
          <w:szCs w:val="24"/>
        </w:rPr>
        <w:t xml:space="preserve"> that arise at the company level </w:t>
      </w:r>
      <w:r w:rsidR="00E25012" w:rsidRPr="001A01F0">
        <w:rPr>
          <w:rFonts w:ascii="Times New Roman" w:hAnsi="Times New Roman" w:cs="Times New Roman"/>
          <w:sz w:val="24"/>
          <w:szCs w:val="24"/>
        </w:rPr>
        <w:t xml:space="preserve">triggering a collapse of the entire financial system as an effect. The Systemic Risk Centre, based at the London School of Economics and Political Science, defines systemic risk as </w:t>
      </w:r>
      <w:r w:rsidR="00B827E4" w:rsidRPr="001A01F0">
        <w:rPr>
          <w:rFonts w:ascii="Times New Roman" w:hAnsi="Times New Roman" w:cs="Times New Roman"/>
          <w:sz w:val="24"/>
          <w:szCs w:val="24"/>
        </w:rPr>
        <w:t>“the</w:t>
      </w:r>
      <w:r w:rsidR="00E25012" w:rsidRPr="001A01F0">
        <w:rPr>
          <w:rFonts w:ascii="Times New Roman" w:hAnsi="Times New Roman" w:cs="Times New Roman"/>
          <w:sz w:val="24"/>
          <w:szCs w:val="24"/>
        </w:rPr>
        <w:t xml:space="preserve"> risk of a breakdown of an entire system rather than simply the failure of individual parts. In a financial context, it captures the risk of a cascading failure in the financial sector, caused by interlinkages within the financial system, resultin</w:t>
      </w:r>
      <w:r w:rsidR="00874716" w:rsidRPr="001A01F0">
        <w:rPr>
          <w:rFonts w:ascii="Times New Roman" w:hAnsi="Times New Roman" w:cs="Times New Roman"/>
          <w:sz w:val="24"/>
          <w:szCs w:val="24"/>
        </w:rPr>
        <w:t>g in a severe economic downturn</w:t>
      </w:r>
      <w:r w:rsidR="00B827E4" w:rsidRPr="001A01F0">
        <w:rPr>
          <w:rFonts w:ascii="Times New Roman" w:hAnsi="Times New Roman" w:cs="Times New Roman"/>
          <w:sz w:val="24"/>
          <w:szCs w:val="24"/>
        </w:rPr>
        <w:t>”</w:t>
      </w:r>
      <w:sdt>
        <w:sdtPr>
          <w:rPr>
            <w:rFonts w:ascii="Times New Roman" w:hAnsi="Times New Roman" w:cs="Times New Roman"/>
            <w:sz w:val="24"/>
            <w:szCs w:val="24"/>
          </w:rPr>
          <w:id w:val="2053882672"/>
          <w:citation/>
        </w:sdtPr>
        <w:sdtContent>
          <w:r w:rsidR="00B827E4" w:rsidRPr="001A01F0">
            <w:rPr>
              <w:rFonts w:ascii="Times New Roman" w:hAnsi="Times New Roman" w:cs="Times New Roman"/>
              <w:sz w:val="24"/>
              <w:szCs w:val="24"/>
            </w:rPr>
            <w:fldChar w:fldCharType="begin"/>
          </w:r>
          <w:r w:rsidR="00B827E4" w:rsidRPr="001A01F0">
            <w:rPr>
              <w:rFonts w:ascii="Times New Roman" w:hAnsi="Times New Roman" w:cs="Times New Roman"/>
              <w:sz w:val="24"/>
              <w:szCs w:val="24"/>
            </w:rPr>
            <w:instrText xml:space="preserve"> CITATION Sys \l 1033 </w:instrText>
          </w:r>
          <w:r w:rsidR="00B827E4"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(Systemic Risk Centre, n.d.)</w:t>
          </w:r>
          <w:r w:rsidR="00B827E4" w:rsidRPr="001A01F0">
            <w:rPr>
              <w:rFonts w:ascii="Times New Roman" w:hAnsi="Times New Roman" w:cs="Times New Roman"/>
              <w:sz w:val="24"/>
              <w:szCs w:val="24"/>
            </w:rPr>
            <w:fldChar w:fldCharType="end"/>
          </w:r>
        </w:sdtContent>
      </w:sdt>
      <w:r w:rsidR="00874716" w:rsidRPr="001A01F0">
        <w:rPr>
          <w:rFonts w:ascii="Times New Roman" w:hAnsi="Times New Roman" w:cs="Times New Roman"/>
          <w:sz w:val="24"/>
          <w:szCs w:val="24"/>
        </w:rPr>
        <w:t xml:space="preserve">. </w:t>
      </w:r>
      <w:r w:rsidR="003161B2" w:rsidRPr="001A01F0">
        <w:rPr>
          <w:rFonts w:ascii="Times New Roman" w:hAnsi="Times New Roman" w:cs="Times New Roman"/>
          <w:sz w:val="24"/>
          <w:szCs w:val="24"/>
        </w:rPr>
        <w:t xml:space="preserve">The G10 Report on Consolidation in the Financial Sector suggested a definition: </w:t>
      </w:r>
      <w:r w:rsidR="003161B2" w:rsidRPr="001A01F0">
        <w:rPr>
          <w:rStyle w:val="Emphasis"/>
          <w:rFonts w:ascii="Times New Roman" w:hAnsi="Times New Roman" w:cs="Times New Roman"/>
          <w:color w:val="000000"/>
          <w:sz w:val="24"/>
          <w:szCs w:val="24"/>
          <w:shd w:val="clear" w:color="auto" w:fill="FFFFFF"/>
        </w:rPr>
        <w:t>"</w:t>
      </w:r>
      <w:r w:rsidR="003161B2" w:rsidRPr="001A01F0">
        <w:rPr>
          <w:rFonts w:ascii="Times New Roman" w:hAnsi="Times New Roman" w:cs="Times New Roman"/>
          <w:sz w:val="24"/>
          <w:szCs w:val="24"/>
        </w:rPr>
        <w:t xml:space="preserve">Systemic financial risk is the risk that an event will trigger a loss of economic value or confidence in, and attendant increases in uncertainly [sic] about, a substantial portion of the financial system that is serious enough to quite probably have significant adverse effects on the real economy." </w:t>
      </w:r>
      <w:r w:rsidR="00874716" w:rsidRPr="001A01F0">
        <w:rPr>
          <w:rFonts w:ascii="Times New Roman" w:hAnsi="Times New Roman" w:cs="Times New Roman"/>
          <w:sz w:val="24"/>
          <w:szCs w:val="24"/>
        </w:rPr>
        <w:t>Many researches have been done trying to identify</w:t>
      </w:r>
      <w:r w:rsidR="003161B2" w:rsidRPr="001A01F0">
        <w:rPr>
          <w:rFonts w:ascii="Times New Roman" w:hAnsi="Times New Roman" w:cs="Times New Roman"/>
          <w:sz w:val="24"/>
          <w:szCs w:val="24"/>
        </w:rPr>
        <w:t xml:space="preserve"> sources of systemic risk</w:t>
      </w:r>
      <w:r w:rsidR="00874716" w:rsidRPr="001A01F0">
        <w:rPr>
          <w:rFonts w:ascii="Times New Roman" w:hAnsi="Times New Roman" w:cs="Times New Roman"/>
          <w:sz w:val="24"/>
          <w:szCs w:val="24"/>
        </w:rPr>
        <w:t xml:space="preserve"> and</w:t>
      </w:r>
      <w:r w:rsidR="00597C4F" w:rsidRPr="001A01F0">
        <w:rPr>
          <w:rFonts w:ascii="Times New Roman" w:hAnsi="Times New Roman" w:cs="Times New Roman"/>
          <w:sz w:val="24"/>
          <w:szCs w:val="24"/>
        </w:rPr>
        <w:t xml:space="preserve"> to</w:t>
      </w:r>
      <w:r w:rsidR="00874716" w:rsidRPr="001A01F0">
        <w:rPr>
          <w:rFonts w:ascii="Times New Roman" w:hAnsi="Times New Roman" w:cs="Times New Roman"/>
          <w:sz w:val="24"/>
          <w:szCs w:val="24"/>
        </w:rPr>
        <w:t xml:space="preserve"> </w:t>
      </w:r>
      <w:r w:rsidR="003161B2" w:rsidRPr="001A01F0">
        <w:rPr>
          <w:rFonts w:ascii="Times New Roman" w:hAnsi="Times New Roman" w:cs="Times New Roman"/>
          <w:sz w:val="24"/>
          <w:szCs w:val="24"/>
        </w:rPr>
        <w:t>figure out ways to mitigate</w:t>
      </w:r>
      <w:r w:rsidR="00874716" w:rsidRPr="001A01F0">
        <w:rPr>
          <w:rFonts w:ascii="Times New Roman" w:hAnsi="Times New Roman" w:cs="Times New Roman"/>
          <w:sz w:val="24"/>
          <w:szCs w:val="24"/>
        </w:rPr>
        <w:t xml:space="preserve"> </w:t>
      </w:r>
      <w:r w:rsidR="003161B2" w:rsidRPr="001A01F0">
        <w:rPr>
          <w:rFonts w:ascii="Times New Roman" w:hAnsi="Times New Roman" w:cs="Times New Roman"/>
          <w:sz w:val="24"/>
          <w:szCs w:val="24"/>
        </w:rPr>
        <w:t xml:space="preserve">such </w:t>
      </w:r>
      <w:r w:rsidR="00874716" w:rsidRPr="001A01F0">
        <w:rPr>
          <w:rFonts w:ascii="Times New Roman" w:hAnsi="Times New Roman" w:cs="Times New Roman"/>
          <w:sz w:val="24"/>
          <w:szCs w:val="24"/>
        </w:rPr>
        <w:t>risk exposures faced by financial institutions.</w:t>
      </w:r>
      <w:r w:rsidR="00903F2B" w:rsidRPr="001A01F0">
        <w:rPr>
          <w:rFonts w:ascii="Times New Roman" w:hAnsi="Times New Roman" w:cs="Times New Roman"/>
          <w:sz w:val="24"/>
          <w:szCs w:val="24"/>
        </w:rPr>
        <w:t xml:space="preserve"> To the much consternation of theorists, it is obscure whether risk has increased or decreased giving rise to theories that are conflicting. Given the extreme mobility of capital, integration of financial institution and other market structure have rendered specialist to presume that a collapse in even in a less developed nation can find its way into the developed markets with an amplified effect. </w:t>
      </w:r>
      <w:r w:rsidR="00F35328" w:rsidRPr="001A01F0">
        <w:rPr>
          <w:rFonts w:ascii="Times New Roman" w:hAnsi="Times New Roman" w:cs="Times New Roman"/>
          <w:sz w:val="24"/>
          <w:szCs w:val="24"/>
        </w:rPr>
        <w:t xml:space="preserve">In </w:t>
      </w:r>
      <w:r w:rsidR="00CC66B4" w:rsidRPr="001A01F0">
        <w:rPr>
          <w:rFonts w:ascii="Times New Roman" w:hAnsi="Times New Roman" w:cs="Times New Roman"/>
          <w:sz w:val="24"/>
          <w:szCs w:val="24"/>
        </w:rPr>
        <w:t xml:space="preserve">contrast, others </w:t>
      </w:r>
      <w:r w:rsidR="00F35328" w:rsidRPr="001A01F0">
        <w:rPr>
          <w:rFonts w:ascii="Times New Roman" w:hAnsi="Times New Roman" w:cs="Times New Roman"/>
          <w:sz w:val="24"/>
          <w:szCs w:val="24"/>
        </w:rPr>
        <w:t>have argued that recent financ</w:t>
      </w:r>
      <w:r w:rsidR="00CC66B4" w:rsidRPr="001A01F0">
        <w:rPr>
          <w:rFonts w:ascii="Times New Roman" w:hAnsi="Times New Roman" w:cs="Times New Roman"/>
          <w:sz w:val="24"/>
          <w:szCs w:val="24"/>
        </w:rPr>
        <w:t>ial innovations</w:t>
      </w:r>
      <w:r w:rsidR="00F35328" w:rsidRPr="001A01F0">
        <w:rPr>
          <w:rFonts w:ascii="Times New Roman" w:hAnsi="Times New Roman" w:cs="Times New Roman"/>
          <w:sz w:val="24"/>
          <w:szCs w:val="24"/>
        </w:rPr>
        <w:t xml:space="preserve"> and the increased activity of non-ba</w:t>
      </w:r>
      <w:r w:rsidR="00CC66B4" w:rsidRPr="001A01F0">
        <w:rPr>
          <w:rFonts w:ascii="Times New Roman" w:hAnsi="Times New Roman" w:cs="Times New Roman"/>
          <w:sz w:val="24"/>
          <w:szCs w:val="24"/>
        </w:rPr>
        <w:t>nking financial intermediaries</w:t>
      </w:r>
      <w:r w:rsidR="00F35328" w:rsidRPr="001A01F0">
        <w:rPr>
          <w:rFonts w:ascii="Times New Roman" w:hAnsi="Times New Roman" w:cs="Times New Roman"/>
          <w:sz w:val="24"/>
          <w:szCs w:val="24"/>
        </w:rPr>
        <w:t xml:space="preserve"> may have lessened the risk that </w:t>
      </w:r>
      <w:r w:rsidR="00F35328" w:rsidRPr="001A01F0">
        <w:rPr>
          <w:rFonts w:ascii="Times New Roman" w:hAnsi="Times New Roman" w:cs="Times New Roman"/>
          <w:sz w:val="24"/>
          <w:szCs w:val="24"/>
        </w:rPr>
        <w:lastRenderedPageBreak/>
        <w:t>systemic shocks are transmitted throughout the global banking system. Indeed, much of the acrimonious argument over Basel II credit allocation rules has focused upon the ability of large financial institutions to internally measure and manage the risk of credit crises without transmitting such shocks to other banks, and whether such measures will be adequate to forestall insolvencies in the wake of a major macroeconomic dislocation.</w:t>
      </w:r>
      <w:r w:rsidR="00CC66B4" w:rsidRPr="001A01F0">
        <w:rPr>
          <w:rFonts w:ascii="Times New Roman" w:hAnsi="Times New Roman" w:cs="Times New Roman"/>
          <w:sz w:val="24"/>
          <w:szCs w:val="24"/>
        </w:rPr>
        <w:t xml:space="preserve"> Thus systemic risk remains an involved and seemingly insurmountable problem to this </w:t>
      </w:r>
      <w:r w:rsidR="00E91D7C" w:rsidRPr="001A01F0">
        <w:rPr>
          <w:rFonts w:ascii="Times New Roman" w:hAnsi="Times New Roman" w:cs="Times New Roman"/>
          <w:sz w:val="24"/>
          <w:szCs w:val="24"/>
        </w:rPr>
        <w:t>date. This</w:t>
      </w:r>
      <w:r w:rsidR="003161B2" w:rsidRPr="001A01F0">
        <w:rPr>
          <w:rFonts w:ascii="Times New Roman" w:hAnsi="Times New Roman" w:cs="Times New Roman"/>
          <w:sz w:val="24"/>
          <w:szCs w:val="24"/>
        </w:rPr>
        <w:t xml:space="preserve"> report offers to its reader an overall overview on systemic risk in the backdrop of banking system in Bangladesh. </w:t>
      </w:r>
    </w:p>
    <w:p w:rsidR="0078191E" w:rsidRPr="00E349DE" w:rsidRDefault="0078191E" w:rsidP="00027826">
      <w:pPr>
        <w:pStyle w:val="NoSpacing"/>
        <w:spacing w:line="360" w:lineRule="auto"/>
        <w:jc w:val="both"/>
        <w:rPr>
          <w:rFonts w:ascii="Times New Roman" w:hAnsi="Times New Roman" w:cs="Times New Roman"/>
          <w:b/>
          <w:sz w:val="24"/>
          <w:szCs w:val="24"/>
        </w:rPr>
      </w:pPr>
    </w:p>
    <w:p w:rsidR="0078191E" w:rsidRPr="00E349DE" w:rsidRDefault="00E349DE" w:rsidP="00027826">
      <w:pPr>
        <w:pStyle w:val="Heading2"/>
        <w:spacing w:line="360" w:lineRule="auto"/>
      </w:pPr>
      <w:bookmarkStart w:id="2" w:name="_Toc6873764"/>
      <w:r>
        <w:t xml:space="preserve">1.1 </w:t>
      </w:r>
      <w:r w:rsidR="0078191E" w:rsidRPr="00E349DE">
        <w:t>Methodology</w:t>
      </w:r>
      <w:bookmarkEnd w:id="2"/>
    </w:p>
    <w:p w:rsidR="0078191E" w:rsidRPr="001A01F0" w:rsidRDefault="0078191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The report is based mainly on qualitative data collected from the secondary sources. No firsthand data was used in preparing this report. Information from numerous articles, journals, web document, and books has been used with proper citation. </w:t>
      </w:r>
    </w:p>
    <w:p w:rsidR="0078191E" w:rsidRPr="001A01F0" w:rsidRDefault="0078191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However, the report has also incorporated some quantitative data that has been collected from secondary sources- Bangladesh Bank, International Monetary Fund etc. - as such.</w:t>
      </w: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E349DE" w:rsidRDefault="00EB16AB" w:rsidP="00027826">
      <w:pPr>
        <w:pStyle w:val="NoSpacing"/>
        <w:tabs>
          <w:tab w:val="left" w:pos="7080"/>
        </w:tabs>
        <w:spacing w:line="360" w:lineRule="auto"/>
        <w:jc w:val="both"/>
        <w:rPr>
          <w:rFonts w:ascii="Times New Roman" w:hAnsi="Times New Roman" w:cs="Times New Roman"/>
          <w:b/>
          <w:sz w:val="24"/>
          <w:szCs w:val="24"/>
        </w:rPr>
      </w:pPr>
      <w:r>
        <w:rPr>
          <w:rFonts w:ascii="Times New Roman" w:hAnsi="Times New Roman" w:cs="Times New Roman"/>
          <w:b/>
          <w:sz w:val="24"/>
          <w:szCs w:val="24"/>
        </w:rPr>
        <w:tab/>
      </w:r>
    </w:p>
    <w:p w:rsidR="0078191E" w:rsidRPr="00E349DE" w:rsidRDefault="00E349DE" w:rsidP="00027826">
      <w:pPr>
        <w:pStyle w:val="Heading2"/>
      </w:pPr>
      <w:bookmarkStart w:id="3" w:name="_Toc6873765"/>
      <w:r>
        <w:t xml:space="preserve">1.2 </w:t>
      </w:r>
      <w:r w:rsidR="0078191E" w:rsidRPr="00E349DE">
        <w:t>Strength &amp; Limitation</w:t>
      </w:r>
      <w:bookmarkEnd w:id="3"/>
    </w:p>
    <w:p w:rsidR="0078191E" w:rsidRPr="001A01F0" w:rsidRDefault="0078191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The report will not provide any sophisticated technique to counter the systemic risk associated with any particular industry, or any industry to be clear. However, the report will surely provide its readers with a very clear insight into the complex phenomenon of systemic risk thus enabling its readers to deal with the issue more methodically. </w:t>
      </w: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Default="0078191E" w:rsidP="00027826">
      <w:pPr>
        <w:pStyle w:val="NoSpacing"/>
        <w:spacing w:line="360" w:lineRule="auto"/>
        <w:jc w:val="both"/>
        <w:rPr>
          <w:rFonts w:ascii="Times New Roman" w:hAnsi="Times New Roman" w:cs="Times New Roman"/>
          <w:sz w:val="24"/>
          <w:szCs w:val="24"/>
        </w:rPr>
      </w:pPr>
    </w:p>
    <w:p w:rsidR="00186FAF" w:rsidRDefault="00186FAF" w:rsidP="00027826">
      <w:pPr>
        <w:pStyle w:val="NoSpacing"/>
        <w:spacing w:line="360" w:lineRule="auto"/>
        <w:jc w:val="both"/>
        <w:rPr>
          <w:rFonts w:ascii="Times New Roman" w:hAnsi="Times New Roman" w:cs="Times New Roman"/>
          <w:sz w:val="24"/>
          <w:szCs w:val="24"/>
        </w:rPr>
      </w:pPr>
    </w:p>
    <w:p w:rsidR="00186FAF" w:rsidRDefault="00186FAF" w:rsidP="00027826">
      <w:pPr>
        <w:pStyle w:val="NoSpacing"/>
        <w:spacing w:line="360" w:lineRule="auto"/>
        <w:jc w:val="both"/>
        <w:rPr>
          <w:rFonts w:ascii="Times New Roman" w:hAnsi="Times New Roman" w:cs="Times New Roman"/>
          <w:sz w:val="24"/>
          <w:szCs w:val="24"/>
        </w:rPr>
      </w:pPr>
    </w:p>
    <w:p w:rsidR="00186FAF" w:rsidRDefault="00186FAF" w:rsidP="00027826">
      <w:pPr>
        <w:pStyle w:val="NoSpacing"/>
        <w:spacing w:line="360" w:lineRule="auto"/>
        <w:jc w:val="both"/>
        <w:rPr>
          <w:rFonts w:ascii="Times New Roman" w:hAnsi="Times New Roman" w:cs="Times New Roman"/>
          <w:sz w:val="24"/>
          <w:szCs w:val="24"/>
        </w:rPr>
      </w:pPr>
    </w:p>
    <w:p w:rsidR="00186FAF" w:rsidRPr="001A01F0" w:rsidRDefault="00186FAF" w:rsidP="00027826">
      <w:pPr>
        <w:pStyle w:val="NoSpacing"/>
        <w:spacing w:line="360" w:lineRule="auto"/>
        <w:jc w:val="both"/>
        <w:rPr>
          <w:rFonts w:ascii="Times New Roman" w:hAnsi="Times New Roman" w:cs="Times New Roman"/>
          <w:sz w:val="24"/>
          <w:szCs w:val="24"/>
        </w:rPr>
      </w:pPr>
    </w:p>
    <w:p w:rsidR="0078191E" w:rsidRPr="00E349DE" w:rsidRDefault="00E349DE" w:rsidP="0027736C">
      <w:pPr>
        <w:pStyle w:val="Heading2"/>
      </w:pPr>
      <w:bookmarkStart w:id="4" w:name="_Toc6873766"/>
      <w:r>
        <w:lastRenderedPageBreak/>
        <w:t xml:space="preserve">1.3 </w:t>
      </w:r>
      <w:r w:rsidR="0078191E" w:rsidRPr="00E349DE">
        <w:t>Literature Review</w:t>
      </w:r>
      <w:bookmarkEnd w:id="4"/>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Financial economists in academia, central banks, and international organizations alike have intensely studied various facets of the recent financial crises in Latin America, Asia, and Russia. It is believed that we have come to know a great deal about systemic risk since the 2008 global recession that stemmed from USA, however, our current knowledge is not enough to successfully tackle the problem according to many experts. While theoretical models analyze systemic risk in interbank lending relationships, most empirical work focuses not on systemic risk per se, but on contagion effects in order to identify the mechanics and channels through which these crises spread across markets and countries. There are quite a few theoretical and mathematical models. However it is safe to say that none of the reports are actually fully capable of measuring, assessing and suggesting an effective way to deal with the problem efficiently. Conceptually, a systemic failure in the global banking system could be defined as gridlock in the global inter-bank payment system or a loss of confidence in banks which results in a global ‘bank-run’. For example, payment failures could mean that banks not receiving payments on loans (explicit or implicit) would become technically insolvent. Cascading bank insolvencies and bank-runs could cause additional financial and economic spillovers such as rapid credit reduction, and ultimately, macroeconomic contraction Prior research has discussed how different types of shocks might cause systemic risk. Other researchers have distinguished between credit and operational risks. Since there does not exist an easy or accepted way of classifying shocks by type, however, this study does not attempt to draw conclusions about how different types of shocks affect changes in systemic risk probabilities. To counter act the issue of systemic risk many studies have come up with some sophisticated measures that are thought to be effective in managing systemic risk in many industries. BASEL committee in its BASEL III accord has suggested various measures to be taken by banks to preempt the problem. As more and more studies are being focused on systemic risk, it is only a matter of time till that we come up with very viable and most effective of ways to manage the risk very successfully. It is to be noted that some experts have voiced reservation over finding a way that would be able to forestall the risk entirely because the very nature of the risk.</w:t>
      </w:r>
    </w:p>
    <w:p w:rsidR="0078191E" w:rsidRPr="001A01F0" w:rsidRDefault="0078191E" w:rsidP="00027826">
      <w:pPr>
        <w:pStyle w:val="NoSpacing"/>
        <w:spacing w:line="360" w:lineRule="auto"/>
        <w:jc w:val="both"/>
        <w:rPr>
          <w:rFonts w:ascii="Times New Roman" w:hAnsi="Times New Roman" w:cs="Times New Roman"/>
          <w:sz w:val="24"/>
          <w:szCs w:val="24"/>
        </w:rPr>
      </w:pPr>
    </w:p>
    <w:p w:rsidR="0078191E" w:rsidRPr="001A01F0" w:rsidRDefault="0078191E" w:rsidP="00027826">
      <w:pPr>
        <w:pStyle w:val="NoSpacing"/>
        <w:spacing w:line="360" w:lineRule="auto"/>
        <w:jc w:val="both"/>
        <w:rPr>
          <w:rFonts w:ascii="Times New Roman" w:hAnsi="Times New Roman" w:cs="Times New Roman"/>
          <w:sz w:val="24"/>
          <w:szCs w:val="24"/>
        </w:rPr>
      </w:pPr>
    </w:p>
    <w:p w:rsidR="00E91D7C" w:rsidRPr="001A01F0" w:rsidRDefault="00E91D7C" w:rsidP="0027736C">
      <w:pPr>
        <w:pStyle w:val="Heading1"/>
      </w:pPr>
    </w:p>
    <w:p w:rsidR="004D1EB8" w:rsidRDefault="004D1EB8" w:rsidP="0027736C">
      <w:pPr>
        <w:pStyle w:val="Heading1"/>
      </w:pPr>
      <w:bookmarkStart w:id="5" w:name="_Toc6873767"/>
      <w:r>
        <w:rPr>
          <w:b/>
        </w:rPr>
        <w:t xml:space="preserve">2.0 </w:t>
      </w:r>
      <w:r w:rsidR="004104F9" w:rsidRPr="004D1EB8">
        <w:rPr>
          <w:b/>
        </w:rPr>
        <w:t>Systemic Risk Sources</w:t>
      </w:r>
      <w:bookmarkEnd w:id="5"/>
    </w:p>
    <w:p w:rsidR="00784792" w:rsidRPr="001A01F0" w:rsidRDefault="00B31637"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Systemic risk is mainly endemic to banking sector due to the very nature of the industry. Here, nature of the industry alludes to the fact that today’s banking system is highly interlinked. This elaborate interlinkage makes the industry vulnerable to systemic risk more than any other industry. The intricate system of banks and the interdependency among each other leads to the much feared cascading failure. Systemic risk could happen from sources that are somewhat difficult to identify. The Systemic Risk Centre has identified endogenous </w:t>
      </w:r>
      <w:r w:rsidR="00FA00E7" w:rsidRPr="001A01F0">
        <w:rPr>
          <w:rFonts w:ascii="Times New Roman" w:hAnsi="Times New Roman" w:cs="Times New Roman"/>
          <w:sz w:val="24"/>
          <w:szCs w:val="24"/>
        </w:rPr>
        <w:t xml:space="preserve">risks to be the leading cause of systemic risk. It also accused interlinkage of main contributor to the rippling effects of failure. “Systemic risk becomes a problem when there are very close interlinkages between different elements of the financial system. These form mechanisms that create vicious feedback loops that can turn relatively minor events into major crises. We term these amplification mechanisms” </w:t>
      </w:r>
      <w:sdt>
        <w:sdtPr>
          <w:rPr>
            <w:rFonts w:ascii="Times New Roman" w:hAnsi="Times New Roman" w:cs="Times New Roman"/>
            <w:sz w:val="24"/>
            <w:szCs w:val="24"/>
          </w:rPr>
          <w:id w:val="-1020231810"/>
          <w:citation/>
        </w:sdtPr>
        <w:sdtContent>
          <w:r w:rsidR="00FA00E7" w:rsidRPr="001A01F0">
            <w:rPr>
              <w:rFonts w:ascii="Times New Roman" w:hAnsi="Times New Roman" w:cs="Times New Roman"/>
              <w:sz w:val="24"/>
              <w:szCs w:val="24"/>
            </w:rPr>
            <w:fldChar w:fldCharType="begin"/>
          </w:r>
          <w:r w:rsidR="00FA00E7" w:rsidRPr="001A01F0">
            <w:rPr>
              <w:rFonts w:ascii="Times New Roman" w:hAnsi="Times New Roman" w:cs="Times New Roman"/>
              <w:sz w:val="24"/>
              <w:szCs w:val="24"/>
            </w:rPr>
            <w:instrText xml:space="preserve"> CITATION Sys \l 1033 </w:instrText>
          </w:r>
          <w:r w:rsidR="00FA00E7" w:rsidRPr="001A01F0">
            <w:rPr>
              <w:rFonts w:ascii="Times New Roman" w:hAnsi="Times New Roman" w:cs="Times New Roman"/>
              <w:sz w:val="24"/>
              <w:szCs w:val="24"/>
            </w:rPr>
            <w:fldChar w:fldCharType="separate"/>
          </w:r>
          <w:r w:rsidR="00B83DB3" w:rsidRPr="00B83DB3">
            <w:rPr>
              <w:rFonts w:ascii="Times New Roman" w:hAnsi="Times New Roman" w:cs="Times New Roman"/>
              <w:noProof/>
              <w:sz w:val="24"/>
              <w:szCs w:val="24"/>
            </w:rPr>
            <w:t>(Systemic Risk Centre, n.d.)</w:t>
          </w:r>
          <w:r w:rsidR="00FA00E7" w:rsidRPr="001A01F0">
            <w:rPr>
              <w:rFonts w:ascii="Times New Roman" w:hAnsi="Times New Roman" w:cs="Times New Roman"/>
              <w:sz w:val="24"/>
              <w:szCs w:val="24"/>
            </w:rPr>
            <w:fldChar w:fldCharType="end"/>
          </w:r>
        </w:sdtContent>
      </w:sdt>
      <w:r w:rsidR="00784792" w:rsidRPr="001A01F0">
        <w:rPr>
          <w:rFonts w:ascii="Times New Roman" w:hAnsi="Times New Roman" w:cs="Times New Roman"/>
          <w:sz w:val="24"/>
          <w:szCs w:val="24"/>
        </w:rPr>
        <w:t>. With some ingenuity and thorough research, however, it is possible to pinpoint few sources that could be major contributors to systemic risk occurrence.</w:t>
      </w:r>
    </w:p>
    <w:p w:rsidR="00E91D7C" w:rsidRPr="004D1EB8" w:rsidRDefault="00784792" w:rsidP="00027826">
      <w:pPr>
        <w:pStyle w:val="NoSpacing"/>
        <w:spacing w:line="360" w:lineRule="auto"/>
        <w:jc w:val="both"/>
        <w:rPr>
          <w:rFonts w:ascii="Times New Roman" w:hAnsi="Times New Roman" w:cs="Times New Roman"/>
          <w:b/>
          <w:sz w:val="24"/>
          <w:szCs w:val="24"/>
        </w:rPr>
      </w:pPr>
      <w:r w:rsidRPr="001A01F0">
        <w:rPr>
          <w:rFonts w:ascii="Times New Roman" w:hAnsi="Times New Roman" w:cs="Times New Roman"/>
          <w:sz w:val="24"/>
          <w:szCs w:val="24"/>
        </w:rPr>
        <w:t xml:space="preserve"> </w:t>
      </w:r>
    </w:p>
    <w:p w:rsidR="00821CD7" w:rsidRPr="001A01F0" w:rsidRDefault="00784792" w:rsidP="007049F4">
      <w:pPr>
        <w:pStyle w:val="NoSpacing"/>
        <w:numPr>
          <w:ilvl w:val="0"/>
          <w:numId w:val="1"/>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Bank runs:</w:t>
      </w:r>
      <w:r w:rsidRPr="001A01F0">
        <w:rPr>
          <w:rFonts w:ascii="Times New Roman" w:hAnsi="Times New Roman" w:cs="Times New Roman"/>
          <w:sz w:val="24"/>
          <w:szCs w:val="24"/>
        </w:rPr>
        <w:t xml:space="preserve"> </w:t>
      </w:r>
      <w:r w:rsidR="003C4D75" w:rsidRPr="001A01F0">
        <w:rPr>
          <w:rFonts w:ascii="Times New Roman" w:hAnsi="Times New Roman" w:cs="Times New Roman"/>
          <w:sz w:val="24"/>
          <w:szCs w:val="24"/>
        </w:rPr>
        <w:t>Bank run can engender cascading effect of failure leading to syst</w:t>
      </w:r>
      <w:r w:rsidR="004B7EE8" w:rsidRPr="001A01F0">
        <w:rPr>
          <w:rFonts w:ascii="Times New Roman" w:hAnsi="Times New Roman" w:cs="Times New Roman"/>
          <w:sz w:val="24"/>
          <w:szCs w:val="24"/>
        </w:rPr>
        <w:t>em</w:t>
      </w:r>
      <w:r w:rsidR="003C4D75" w:rsidRPr="001A01F0">
        <w:rPr>
          <w:rFonts w:ascii="Times New Roman" w:hAnsi="Times New Roman" w:cs="Times New Roman"/>
          <w:sz w:val="24"/>
          <w:szCs w:val="24"/>
        </w:rPr>
        <w:t>ic risk. Not all bank runs affect the entire system. However, if the victim bank is too big and have significant extent of linkage with many other banks then it is more likely that failure of any such bank will affect many other banks badly. Which in turn can magnify the initial effect by a great degree forcing a system towards failure.</w:t>
      </w:r>
      <w:r w:rsidR="007E68E3" w:rsidRPr="001A01F0">
        <w:rPr>
          <w:rFonts w:ascii="Times New Roman" w:hAnsi="Times New Roman" w:cs="Times New Roman"/>
          <w:sz w:val="24"/>
          <w:szCs w:val="24"/>
        </w:rPr>
        <w:t xml:space="preserve"> n. A systemic bank run is a situation, in which early liquidity withdrawals by long-term depositors at some bank are larger and a bank run more likely, if other banks are affected by liquidity withdrawals too, i.e. the market interaction of the distressed banks is crucial. This is different from a system-wide run, which may occur if all depositors view their banks as not viable, regardless of whether the depositors at other banks do to</w:t>
      </w:r>
      <w:sdt>
        <w:sdtPr>
          <w:rPr>
            <w:rFonts w:ascii="Times New Roman" w:hAnsi="Times New Roman" w:cs="Times New Roman"/>
            <w:sz w:val="24"/>
            <w:szCs w:val="24"/>
          </w:rPr>
          <w:id w:val="-1193229126"/>
          <w:citation/>
        </w:sdtPr>
        <w:sdtContent>
          <w:r w:rsidR="007E68E3" w:rsidRPr="001A01F0">
            <w:rPr>
              <w:rFonts w:ascii="Times New Roman" w:hAnsi="Times New Roman" w:cs="Times New Roman"/>
              <w:sz w:val="24"/>
              <w:szCs w:val="24"/>
            </w:rPr>
            <w:fldChar w:fldCharType="begin"/>
          </w:r>
          <w:r w:rsidR="007E68E3" w:rsidRPr="001A01F0">
            <w:rPr>
              <w:rFonts w:ascii="Times New Roman" w:hAnsi="Times New Roman" w:cs="Times New Roman"/>
              <w:sz w:val="24"/>
              <w:szCs w:val="24"/>
            </w:rPr>
            <w:instrText xml:space="preserve"> CITATION Uhl09 \l 1033 </w:instrText>
          </w:r>
          <w:r w:rsidR="007E68E3"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(Uhlig, September 24, 2009)</w:t>
          </w:r>
          <w:r w:rsidR="007E68E3" w:rsidRPr="001A01F0">
            <w:rPr>
              <w:rFonts w:ascii="Times New Roman" w:hAnsi="Times New Roman" w:cs="Times New Roman"/>
              <w:sz w:val="24"/>
              <w:szCs w:val="24"/>
            </w:rPr>
            <w:fldChar w:fldCharType="end"/>
          </w:r>
        </w:sdtContent>
      </w:sdt>
      <w:r w:rsidR="007E68E3" w:rsidRPr="001A01F0">
        <w:rPr>
          <w:rFonts w:ascii="Times New Roman" w:hAnsi="Times New Roman" w:cs="Times New Roman"/>
          <w:sz w:val="24"/>
          <w:szCs w:val="24"/>
        </w:rPr>
        <w:t xml:space="preserve">. </w:t>
      </w:r>
      <w:r w:rsidR="00B37937" w:rsidRPr="001A01F0">
        <w:rPr>
          <w:rFonts w:ascii="Times New Roman" w:hAnsi="Times New Roman" w:cs="Times New Roman"/>
          <w:sz w:val="24"/>
          <w:szCs w:val="24"/>
        </w:rPr>
        <w:t xml:space="preserve"> “</w:t>
      </w:r>
      <w:r w:rsidR="005D65EC" w:rsidRPr="001A01F0">
        <w:rPr>
          <w:rFonts w:ascii="Times New Roman" w:hAnsi="Times New Roman" w:cs="Times New Roman"/>
          <w:sz w:val="24"/>
          <w:szCs w:val="24"/>
        </w:rPr>
        <w:t>These i</w:t>
      </w:r>
      <w:r w:rsidR="007F793D">
        <w:rPr>
          <w:rFonts w:ascii="Times New Roman" w:hAnsi="Times New Roman" w:cs="Times New Roman"/>
          <w:sz w:val="24"/>
          <w:szCs w:val="24"/>
        </w:rPr>
        <w:t>nterlinkages and the potential clustering</w:t>
      </w:r>
      <w:r w:rsidR="005D65EC" w:rsidRPr="001A01F0">
        <w:rPr>
          <w:rFonts w:ascii="Times New Roman" w:hAnsi="Times New Roman" w:cs="Times New Roman"/>
          <w:sz w:val="24"/>
          <w:szCs w:val="24"/>
        </w:rPr>
        <w:t xml:space="preserve"> of bank runs are the issues which policy makers consider when addressing the issue of protecting a system against systemic risk.</w:t>
      </w:r>
      <w:r w:rsidR="005D65EC" w:rsidRPr="001A01F0">
        <w:rPr>
          <w:rFonts w:ascii="Times New Roman" w:hAnsi="Times New Roman" w:cs="Times New Roman"/>
          <w:sz w:val="24"/>
          <w:szCs w:val="24"/>
          <w:vertAlign w:val="superscript"/>
        </w:rPr>
        <w:t xml:space="preserve"> </w:t>
      </w:r>
      <w:r w:rsidR="005D65EC" w:rsidRPr="001A01F0">
        <w:rPr>
          <w:rFonts w:ascii="Times New Roman" w:hAnsi="Times New Roman" w:cs="Times New Roman"/>
          <w:sz w:val="24"/>
          <w:szCs w:val="24"/>
        </w:rPr>
        <w:t xml:space="preserve">Governments and market monitoring institutions often try to put policies and rules in place with the justification of safeguarding the interests of the market as a whole, claiming that the trading participants </w:t>
      </w:r>
      <w:r w:rsidR="005D65EC" w:rsidRPr="001A01F0">
        <w:rPr>
          <w:rFonts w:ascii="Times New Roman" w:hAnsi="Times New Roman" w:cs="Times New Roman"/>
          <w:sz w:val="24"/>
          <w:szCs w:val="24"/>
        </w:rPr>
        <w:lastRenderedPageBreak/>
        <w:t>in financial markets are entangled in a web of dependencies arising from their interlinkage.</w:t>
      </w:r>
      <w:r w:rsidR="00B37937" w:rsidRPr="001A01F0">
        <w:rPr>
          <w:rFonts w:ascii="Times New Roman" w:hAnsi="Times New Roman" w:cs="Times New Roman"/>
          <w:sz w:val="24"/>
          <w:szCs w:val="24"/>
        </w:rPr>
        <w:t>”</w:t>
      </w:r>
      <w:sdt>
        <w:sdtPr>
          <w:rPr>
            <w:rFonts w:ascii="Times New Roman" w:hAnsi="Times New Roman" w:cs="Times New Roman"/>
            <w:sz w:val="24"/>
            <w:szCs w:val="24"/>
          </w:rPr>
          <w:id w:val="1335342072"/>
          <w:citation/>
        </w:sdtPr>
        <w:sdtContent>
          <w:r w:rsidR="00B37937" w:rsidRPr="001A01F0">
            <w:rPr>
              <w:rFonts w:ascii="Times New Roman" w:hAnsi="Times New Roman" w:cs="Times New Roman"/>
              <w:sz w:val="24"/>
              <w:szCs w:val="24"/>
            </w:rPr>
            <w:fldChar w:fldCharType="begin"/>
          </w:r>
          <w:r w:rsidR="00B37937" w:rsidRPr="001A01F0">
            <w:rPr>
              <w:rFonts w:ascii="Times New Roman" w:hAnsi="Times New Roman" w:cs="Times New Roman"/>
              <w:sz w:val="24"/>
              <w:szCs w:val="24"/>
            </w:rPr>
            <w:instrText xml:space="preserve"> CITATION Azi17 \l 1033 </w:instrText>
          </w:r>
          <w:r w:rsidR="00B37937"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(Aziroff, 2017)</w:t>
          </w:r>
          <w:r w:rsidR="00B37937" w:rsidRPr="001A01F0">
            <w:rPr>
              <w:rFonts w:ascii="Times New Roman" w:hAnsi="Times New Roman" w:cs="Times New Roman"/>
              <w:sz w:val="24"/>
              <w:szCs w:val="24"/>
            </w:rPr>
            <w:fldChar w:fldCharType="end"/>
          </w:r>
        </w:sdtContent>
      </w:sdt>
    </w:p>
    <w:p w:rsidR="00857A15" w:rsidRPr="001A01F0" w:rsidRDefault="00857A15" w:rsidP="00027826">
      <w:pPr>
        <w:pStyle w:val="NoSpacing"/>
        <w:spacing w:line="360" w:lineRule="auto"/>
        <w:jc w:val="both"/>
        <w:rPr>
          <w:rFonts w:ascii="Times New Roman" w:hAnsi="Times New Roman" w:cs="Times New Roman"/>
          <w:sz w:val="24"/>
          <w:szCs w:val="24"/>
        </w:rPr>
      </w:pPr>
    </w:p>
    <w:p w:rsidR="00821CD7" w:rsidRPr="001A01F0" w:rsidRDefault="00821CD7" w:rsidP="007049F4">
      <w:pPr>
        <w:pStyle w:val="NoSpacing"/>
        <w:numPr>
          <w:ilvl w:val="0"/>
          <w:numId w:val="2"/>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Falling asset prices:</w:t>
      </w:r>
      <w:r w:rsidR="004B7EE8" w:rsidRPr="001A01F0">
        <w:rPr>
          <w:rFonts w:ascii="Times New Roman" w:hAnsi="Times New Roman" w:cs="Times New Roman"/>
          <w:sz w:val="24"/>
          <w:szCs w:val="24"/>
        </w:rPr>
        <w:t xml:space="preserve"> Boom-and-Burst of asset prices often lead to systemic failure of financial system. Banks often inadvertently invest in assets that are precarious in the market. Some assets </w:t>
      </w:r>
      <w:r w:rsidR="00A8526A" w:rsidRPr="001A01F0">
        <w:rPr>
          <w:rFonts w:ascii="Times New Roman" w:hAnsi="Times New Roman" w:cs="Times New Roman"/>
          <w:sz w:val="24"/>
          <w:szCs w:val="24"/>
        </w:rPr>
        <w:t>seems very profitable to invest in only speciously. Therefore, sometimes it attracts huge investments creating bubbles in that particular market. When these price bubbles burst firms that invested heavily on that particular assets find itself in a precarious position which can lead to systemic failure of the financial system. Historical evidence suggests that the severity of crises after the burst of a bubble depends on the involvement of the financial system. Moreover, disturbances in small market segments may be amplified through the financial sector. The US subprime mortgage market accounted for only 4 percent of the US mortgage market at the time of the burst of the bubble</w:t>
      </w:r>
      <w:sdt>
        <w:sdtPr>
          <w:rPr>
            <w:rFonts w:ascii="Times New Roman" w:hAnsi="Times New Roman" w:cs="Times New Roman"/>
            <w:sz w:val="24"/>
            <w:szCs w:val="24"/>
          </w:rPr>
          <w:id w:val="-1986919147"/>
          <w:citation/>
        </w:sdtPr>
        <w:sdtContent>
          <w:r w:rsidR="003F0A10" w:rsidRPr="001A01F0">
            <w:rPr>
              <w:rFonts w:ascii="Times New Roman" w:hAnsi="Times New Roman" w:cs="Times New Roman"/>
              <w:sz w:val="24"/>
              <w:szCs w:val="24"/>
            </w:rPr>
            <w:fldChar w:fldCharType="begin"/>
          </w:r>
          <w:r w:rsidR="003F0A10" w:rsidRPr="001A01F0">
            <w:rPr>
              <w:rFonts w:ascii="Times New Roman" w:hAnsi="Times New Roman" w:cs="Times New Roman"/>
              <w:sz w:val="24"/>
              <w:szCs w:val="24"/>
            </w:rPr>
            <w:instrText xml:space="preserve"> CITATION Mar13 \l 1033 </w:instrText>
          </w:r>
          <w:r w:rsidR="003F0A10"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(Markus K. Brunnermeier, 2013)</w:t>
          </w:r>
          <w:r w:rsidR="003F0A10" w:rsidRPr="001A01F0">
            <w:rPr>
              <w:rFonts w:ascii="Times New Roman" w:hAnsi="Times New Roman" w:cs="Times New Roman"/>
              <w:sz w:val="24"/>
              <w:szCs w:val="24"/>
            </w:rPr>
            <w:fldChar w:fldCharType="end"/>
          </w:r>
        </w:sdtContent>
      </w:sdt>
      <w:r w:rsidR="00A8526A" w:rsidRPr="001A01F0">
        <w:rPr>
          <w:rFonts w:ascii="Times New Roman" w:hAnsi="Times New Roman" w:cs="Times New Roman"/>
          <w:sz w:val="24"/>
          <w:szCs w:val="24"/>
        </w:rPr>
        <w:t>. Yet, the burst of the subprime housing bubble gave rise to one of the biggest financial crises because the initial shock was amplified by the materialization of imbalances that had built up in the financial sector. While the impact of asset price bubbles on macroeconomic variables has been well-documented little is known about the role of individual financial institutions in the build-up of systemic risk in response to asset price bubbles. However, such knowledge is crucial if one wants to understand the channels through which asset price bubbles affect systemic risk and if one wants to design appropriate policy responses.</w:t>
      </w:r>
    </w:p>
    <w:p w:rsidR="00857A15" w:rsidRPr="001A01F0" w:rsidRDefault="00857A15" w:rsidP="00027826">
      <w:pPr>
        <w:pStyle w:val="NoSpacing"/>
        <w:spacing w:line="360" w:lineRule="auto"/>
        <w:jc w:val="both"/>
        <w:rPr>
          <w:rFonts w:ascii="Times New Roman" w:hAnsi="Times New Roman" w:cs="Times New Roman"/>
          <w:sz w:val="24"/>
          <w:szCs w:val="24"/>
        </w:rPr>
      </w:pPr>
    </w:p>
    <w:p w:rsidR="00821CD7" w:rsidRPr="001A01F0" w:rsidRDefault="00821CD7" w:rsidP="007049F4">
      <w:pPr>
        <w:pStyle w:val="NoSpacing"/>
        <w:numPr>
          <w:ilvl w:val="0"/>
          <w:numId w:val="3"/>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Contagion</w:t>
      </w:r>
      <w:r w:rsidR="003F0A10" w:rsidRPr="004D1EB8">
        <w:rPr>
          <w:rFonts w:ascii="Times New Roman" w:hAnsi="Times New Roman" w:cs="Times New Roman"/>
          <w:b/>
          <w:sz w:val="24"/>
          <w:szCs w:val="24"/>
        </w:rPr>
        <w:t>:</w:t>
      </w:r>
      <w:r w:rsidR="005761B8" w:rsidRPr="001A01F0">
        <w:rPr>
          <w:rFonts w:ascii="Times New Roman" w:hAnsi="Times New Roman" w:cs="Times New Roman"/>
          <w:sz w:val="24"/>
          <w:szCs w:val="24"/>
        </w:rPr>
        <w:t xml:space="preserve"> Contagion across financial institutions plays an important role in the realization of systemic risk.</w:t>
      </w:r>
      <w:sdt>
        <w:sdtPr>
          <w:rPr>
            <w:rFonts w:ascii="Times New Roman" w:hAnsi="Times New Roman" w:cs="Times New Roman"/>
            <w:sz w:val="24"/>
            <w:szCs w:val="24"/>
          </w:rPr>
          <w:id w:val="446124794"/>
          <w:citation/>
        </w:sdtPr>
        <w:sdtContent>
          <w:r w:rsidR="005761B8" w:rsidRPr="001A01F0">
            <w:rPr>
              <w:rFonts w:ascii="Times New Roman" w:hAnsi="Times New Roman" w:cs="Times New Roman"/>
              <w:sz w:val="24"/>
              <w:szCs w:val="24"/>
            </w:rPr>
            <w:fldChar w:fldCharType="begin"/>
          </w:r>
          <w:r w:rsidR="005761B8" w:rsidRPr="001A01F0">
            <w:rPr>
              <w:rFonts w:ascii="Times New Roman" w:hAnsi="Times New Roman" w:cs="Times New Roman"/>
              <w:sz w:val="24"/>
              <w:szCs w:val="24"/>
            </w:rPr>
            <w:instrText xml:space="preserve"> CITATION Mon14 \l 1033 </w:instrText>
          </w:r>
          <w:r w:rsidR="005761B8"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(Monetary and Capital Markets, September 2014)</w:t>
          </w:r>
          <w:r w:rsidR="005761B8" w:rsidRPr="001A01F0">
            <w:rPr>
              <w:rFonts w:ascii="Times New Roman" w:hAnsi="Times New Roman" w:cs="Times New Roman"/>
              <w:sz w:val="24"/>
              <w:szCs w:val="24"/>
            </w:rPr>
            <w:fldChar w:fldCharType="end"/>
          </w:r>
        </w:sdtContent>
      </w:sdt>
      <w:r w:rsidR="005761B8" w:rsidRPr="001A01F0">
        <w:rPr>
          <w:rFonts w:ascii="Times New Roman" w:hAnsi="Times New Roman" w:cs="Times New Roman"/>
          <w:sz w:val="24"/>
          <w:szCs w:val="24"/>
        </w:rPr>
        <w:t xml:space="preserve">. The recent crisis underlined that proper estimation of contagion risks among financial institutions (FIs) in a financial system is essential for effective financial stability assessment. Clearly, the realization of simultaneous large losses in various FIs would affect a financial system’s stability, and thus represents a major concern for authorities. Contagion happened at the time of unpredictability overflowing from one country under financial crisis to the financial sector of another countries and when fundamentals could not explain co-developments. Contagion and shift contagion occurred when there was a distinctive transmission channel </w:t>
      </w:r>
      <w:r w:rsidR="005761B8" w:rsidRPr="001A01F0">
        <w:rPr>
          <w:rFonts w:ascii="Times New Roman" w:hAnsi="Times New Roman" w:cs="Times New Roman"/>
          <w:sz w:val="24"/>
          <w:szCs w:val="24"/>
        </w:rPr>
        <w:lastRenderedPageBreak/>
        <w:t>aftermarket shock. It was a powerful increment in co-development of prices and amounts across market, restrictive to an emergency happening in a given market or a group of market. These definitions were formulated according to the contagion phenomena.</w:t>
      </w:r>
    </w:p>
    <w:p w:rsidR="00857A15" w:rsidRPr="001A01F0" w:rsidRDefault="00857A15" w:rsidP="00027826">
      <w:pPr>
        <w:pStyle w:val="NoSpacing"/>
        <w:spacing w:line="360" w:lineRule="auto"/>
        <w:jc w:val="both"/>
        <w:rPr>
          <w:rFonts w:ascii="Times New Roman" w:hAnsi="Times New Roman" w:cs="Times New Roman"/>
          <w:sz w:val="24"/>
          <w:szCs w:val="24"/>
        </w:rPr>
      </w:pPr>
    </w:p>
    <w:p w:rsidR="00821CD7" w:rsidRPr="001A01F0" w:rsidRDefault="00E235F5" w:rsidP="007049F4">
      <w:pPr>
        <w:pStyle w:val="NoSpacing"/>
        <w:numPr>
          <w:ilvl w:val="0"/>
          <w:numId w:val="4"/>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Sovereign bond</w:t>
      </w:r>
      <w:r w:rsidR="00821CD7" w:rsidRPr="004D1EB8">
        <w:rPr>
          <w:rFonts w:ascii="Times New Roman" w:hAnsi="Times New Roman" w:cs="Times New Roman"/>
          <w:b/>
          <w:sz w:val="24"/>
          <w:szCs w:val="24"/>
        </w:rPr>
        <w:t xml:space="preserve"> defaults</w:t>
      </w:r>
      <w:r w:rsidR="005761B8" w:rsidRPr="004D1EB8">
        <w:rPr>
          <w:rFonts w:ascii="Times New Roman" w:hAnsi="Times New Roman" w:cs="Times New Roman"/>
          <w:b/>
          <w:sz w:val="24"/>
          <w:szCs w:val="24"/>
        </w:rPr>
        <w:t>:</w:t>
      </w:r>
      <w:r w:rsidR="005761B8" w:rsidRPr="001A01F0">
        <w:rPr>
          <w:rFonts w:ascii="Times New Roman" w:hAnsi="Times New Roman" w:cs="Times New Roman"/>
          <w:sz w:val="24"/>
          <w:szCs w:val="24"/>
        </w:rPr>
        <w:t xml:space="preserve"> In late 2011, the European financial system appeared to be on the brink of a major crisis. Investors were faced with the possibility of a Greek default while European leaders wrestled with a fiscal situation that had no clear precedent. As contagion fears spread to Italy and Spain, market participants began to consider the worst-case scenarios. One of the greatest concerns was the systemic risk of the European banking system.</w:t>
      </w:r>
      <w:r w:rsidRPr="001A01F0">
        <w:rPr>
          <w:rFonts w:ascii="Times New Roman" w:hAnsi="Times New Roman" w:cs="Times New Roman"/>
          <w:sz w:val="24"/>
          <w:szCs w:val="24"/>
        </w:rPr>
        <w:t xml:space="preserve"> Since the default of sovereign debt could affect a country’s banking system negatively and thus spill the negative effect over to other countries’ banking system due to close interconnectedness. Although the probability of sovereign default is low but the result of sovereign debt default could be disastrous. Thus sovereign debt default remains a major sources for systemic default of banking system.</w:t>
      </w:r>
    </w:p>
    <w:p w:rsidR="00857A15" w:rsidRPr="001A01F0" w:rsidRDefault="00857A15" w:rsidP="00027826">
      <w:pPr>
        <w:pStyle w:val="NoSpacing"/>
        <w:spacing w:line="360" w:lineRule="auto"/>
        <w:jc w:val="both"/>
        <w:rPr>
          <w:rFonts w:ascii="Times New Roman" w:hAnsi="Times New Roman" w:cs="Times New Roman"/>
          <w:sz w:val="24"/>
          <w:szCs w:val="24"/>
        </w:rPr>
      </w:pPr>
    </w:p>
    <w:p w:rsidR="00821CD7" w:rsidRPr="001A01F0" w:rsidRDefault="00821CD7" w:rsidP="007049F4">
      <w:pPr>
        <w:pStyle w:val="NoSpacing"/>
        <w:numPr>
          <w:ilvl w:val="0"/>
          <w:numId w:val="5"/>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Collapse of payment system</w:t>
      </w:r>
      <w:r w:rsidR="00E235F5" w:rsidRPr="004D1EB8">
        <w:rPr>
          <w:rFonts w:ascii="Times New Roman" w:hAnsi="Times New Roman" w:cs="Times New Roman"/>
          <w:b/>
          <w:sz w:val="24"/>
          <w:szCs w:val="24"/>
        </w:rPr>
        <w:t xml:space="preserve">: </w:t>
      </w:r>
      <w:r w:rsidR="00E76A5B" w:rsidRPr="001A01F0">
        <w:rPr>
          <w:rFonts w:ascii="Times New Roman" w:hAnsi="Times New Roman" w:cs="Times New Roman"/>
          <w:sz w:val="24"/>
          <w:szCs w:val="24"/>
        </w:rPr>
        <w:t>Payment system consists of the value channels for facilitating transactions needs for various personal or institutional requirements.</w:t>
      </w:r>
      <w:sdt>
        <w:sdtPr>
          <w:rPr>
            <w:rFonts w:ascii="Times New Roman" w:hAnsi="Times New Roman" w:cs="Times New Roman"/>
            <w:sz w:val="24"/>
            <w:szCs w:val="24"/>
          </w:rPr>
          <w:id w:val="943275319"/>
          <w:citation/>
        </w:sdtPr>
        <w:sdtContent>
          <w:r w:rsidR="00E76A5B" w:rsidRPr="001A01F0">
            <w:rPr>
              <w:rFonts w:ascii="Times New Roman" w:hAnsi="Times New Roman" w:cs="Times New Roman"/>
              <w:sz w:val="24"/>
              <w:szCs w:val="24"/>
            </w:rPr>
            <w:fldChar w:fldCharType="begin"/>
          </w:r>
          <w:r w:rsidR="00E76A5B" w:rsidRPr="001A01F0">
            <w:rPr>
              <w:rFonts w:ascii="Times New Roman" w:hAnsi="Times New Roman" w:cs="Times New Roman"/>
              <w:sz w:val="24"/>
              <w:szCs w:val="24"/>
            </w:rPr>
            <w:instrText xml:space="preserve"> CITATION Ban \l 1033 </w:instrText>
          </w:r>
          <w:r w:rsidR="00E76A5B"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(Bangladesh Bank, n.d.)</w:t>
          </w:r>
          <w:r w:rsidR="00E76A5B" w:rsidRPr="001A01F0">
            <w:rPr>
              <w:rFonts w:ascii="Times New Roman" w:hAnsi="Times New Roman" w:cs="Times New Roman"/>
              <w:sz w:val="24"/>
              <w:szCs w:val="24"/>
            </w:rPr>
            <w:fldChar w:fldCharType="end"/>
          </w:r>
        </w:sdtContent>
      </w:sdt>
      <w:r w:rsidR="00E76A5B" w:rsidRPr="001A01F0">
        <w:rPr>
          <w:rFonts w:ascii="Times New Roman" w:hAnsi="Times New Roman" w:cs="Times New Roman"/>
          <w:sz w:val="24"/>
          <w:szCs w:val="24"/>
        </w:rPr>
        <w:t xml:space="preserve"> If one or more components of the payment system fail, the spillover effects can spread through domestic and international financial systems and markets. Such failure(s) may threaten the stability of the currency and the financial markets. The failure of a system or a participant can cause other participants to fail and is thus able to transmit shocks within the financial infrastructure.</w:t>
      </w:r>
      <w:r w:rsidR="00E76A5B" w:rsidRPr="001A01F0">
        <w:rPr>
          <w:rFonts w:ascii="Times New Roman" w:hAnsi="Times New Roman" w:cs="Times New Roman"/>
          <w:color w:val="101010"/>
          <w:sz w:val="24"/>
          <w:szCs w:val="24"/>
          <w:shd w:val="clear" w:color="auto" w:fill="FFFFFF"/>
        </w:rPr>
        <w:t xml:space="preserve"> Due to payment systems, a large number of financial linkages are established between participants. These linkages can be instrumental in spreading risks throughout the financial system. The risks can be greater and banks may be required to hold a large amount of liquidity with them in an uncertain environment. The ability to complete transactions, and confidence in counterparties to do likewise, underpins the smooth functioning of the payment systems. Inevitably, therefore, the payment system itself is a key channel for the transmission of shocks across institutions and markets. It is primarily the real costs associated with a systemic payment system crisis that explains public concern for the safety and soundness of the financial system in general, and the payment system in particular. Humphrey (1986) conducted a pilot study of </w:t>
      </w:r>
      <w:r w:rsidR="00E76A5B" w:rsidRPr="001A01F0">
        <w:rPr>
          <w:rFonts w:ascii="Times New Roman" w:hAnsi="Times New Roman" w:cs="Times New Roman"/>
          <w:color w:val="101010"/>
          <w:sz w:val="24"/>
          <w:szCs w:val="24"/>
          <w:shd w:val="clear" w:color="auto" w:fill="FFFFFF"/>
        </w:rPr>
        <w:lastRenderedPageBreak/>
        <w:t>systemic risk in net settlement systems. He found that default of one bank could lead to default of other banks, leading to a systemic crisis.</w:t>
      </w:r>
    </w:p>
    <w:p w:rsidR="00857A15" w:rsidRPr="001A01F0" w:rsidRDefault="00857A15" w:rsidP="00027826">
      <w:pPr>
        <w:pStyle w:val="NoSpacing"/>
        <w:spacing w:line="360" w:lineRule="auto"/>
        <w:jc w:val="both"/>
        <w:rPr>
          <w:rFonts w:ascii="Times New Roman" w:hAnsi="Times New Roman" w:cs="Times New Roman"/>
          <w:sz w:val="24"/>
          <w:szCs w:val="24"/>
        </w:rPr>
      </w:pPr>
    </w:p>
    <w:p w:rsidR="00821CD7" w:rsidRPr="001A01F0" w:rsidRDefault="00821CD7" w:rsidP="007049F4">
      <w:pPr>
        <w:pStyle w:val="NoSpacing"/>
        <w:numPr>
          <w:ilvl w:val="0"/>
          <w:numId w:val="6"/>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Interbank market and repo market</w:t>
      </w:r>
      <w:r w:rsidR="00AE12B3" w:rsidRPr="004D1EB8">
        <w:rPr>
          <w:rFonts w:ascii="Times New Roman" w:hAnsi="Times New Roman" w:cs="Times New Roman"/>
          <w:b/>
          <w:sz w:val="24"/>
          <w:szCs w:val="24"/>
        </w:rPr>
        <w:t xml:space="preserve">: </w:t>
      </w:r>
      <w:r w:rsidR="00AE12B3" w:rsidRPr="001A01F0">
        <w:rPr>
          <w:rFonts w:ascii="Times New Roman" w:hAnsi="Times New Roman" w:cs="Times New Roman"/>
          <w:bCs/>
          <w:color w:val="000000"/>
          <w:sz w:val="24"/>
          <w:szCs w:val="24"/>
          <w:shd w:val="clear" w:color="auto" w:fill="FFFFFF"/>
        </w:rPr>
        <w:t>To help banks transfer the surplus and deficit amongst one another, interbank lending markets exist</w:t>
      </w:r>
      <w:r w:rsidR="00AE12B3" w:rsidRPr="001A01F0">
        <w:rPr>
          <w:rFonts w:ascii="Times New Roman" w:hAnsi="Times New Roman" w:cs="Times New Roman"/>
          <w:color w:val="000000"/>
          <w:sz w:val="24"/>
          <w:szCs w:val="24"/>
          <w:shd w:val="clear" w:color="auto" w:fill="FFFFFF"/>
        </w:rPr>
        <w:t>.</w:t>
      </w:r>
      <w:sdt>
        <w:sdtPr>
          <w:rPr>
            <w:rFonts w:ascii="Times New Roman" w:hAnsi="Times New Roman" w:cs="Times New Roman"/>
            <w:color w:val="000000"/>
            <w:sz w:val="24"/>
            <w:szCs w:val="24"/>
            <w:shd w:val="clear" w:color="auto" w:fill="FFFFFF"/>
          </w:rPr>
          <w:id w:val="2079327503"/>
          <w:citation/>
        </w:sdtPr>
        <w:sdtContent>
          <w:r w:rsidR="00AE12B3" w:rsidRPr="001A01F0">
            <w:rPr>
              <w:rFonts w:ascii="Times New Roman" w:hAnsi="Times New Roman" w:cs="Times New Roman"/>
              <w:color w:val="000000"/>
              <w:sz w:val="24"/>
              <w:szCs w:val="24"/>
              <w:shd w:val="clear" w:color="auto" w:fill="FFFFFF"/>
            </w:rPr>
            <w:fldChar w:fldCharType="begin"/>
          </w:r>
          <w:r w:rsidR="00AE12B3" w:rsidRPr="001A01F0">
            <w:rPr>
              <w:rFonts w:ascii="Times New Roman" w:hAnsi="Times New Roman" w:cs="Times New Roman"/>
              <w:color w:val="000000"/>
              <w:sz w:val="24"/>
              <w:szCs w:val="24"/>
              <w:shd w:val="clear" w:color="auto" w:fill="FFFFFF"/>
            </w:rPr>
            <w:instrText xml:space="preserve"> CITATION MSN \l 1033 </w:instrText>
          </w:r>
          <w:r w:rsidR="00AE12B3" w:rsidRPr="001A01F0">
            <w:rPr>
              <w:rFonts w:ascii="Times New Roman" w:hAnsi="Times New Roman" w:cs="Times New Roman"/>
              <w:color w:val="000000"/>
              <w:sz w:val="24"/>
              <w:szCs w:val="24"/>
              <w:shd w:val="clear" w:color="auto" w:fill="FFFFFF"/>
            </w:rPr>
            <w:fldChar w:fldCharType="separate"/>
          </w:r>
          <w:r w:rsidR="00B83DB3">
            <w:rPr>
              <w:rFonts w:ascii="Times New Roman" w:hAnsi="Times New Roman" w:cs="Times New Roman"/>
              <w:noProof/>
              <w:color w:val="000000"/>
              <w:sz w:val="24"/>
              <w:szCs w:val="24"/>
              <w:shd w:val="clear" w:color="auto" w:fill="FFFFFF"/>
            </w:rPr>
            <w:t xml:space="preserve"> </w:t>
          </w:r>
          <w:r w:rsidR="00B83DB3" w:rsidRPr="00B83DB3">
            <w:rPr>
              <w:rFonts w:ascii="Times New Roman" w:hAnsi="Times New Roman" w:cs="Times New Roman"/>
              <w:noProof/>
              <w:color w:val="000000"/>
              <w:sz w:val="24"/>
              <w:szCs w:val="24"/>
              <w:shd w:val="clear" w:color="auto" w:fill="FFFFFF"/>
            </w:rPr>
            <w:t>(MSN, n.d.)</w:t>
          </w:r>
          <w:r w:rsidR="00AE12B3" w:rsidRPr="001A01F0">
            <w:rPr>
              <w:rFonts w:ascii="Times New Roman" w:hAnsi="Times New Roman" w:cs="Times New Roman"/>
              <w:color w:val="000000"/>
              <w:sz w:val="24"/>
              <w:szCs w:val="24"/>
              <w:shd w:val="clear" w:color="auto" w:fill="FFFFFF"/>
            </w:rPr>
            <w:fldChar w:fldCharType="end"/>
          </w:r>
        </w:sdtContent>
      </w:sdt>
      <w:r w:rsidR="00AE12B3" w:rsidRPr="001A01F0">
        <w:rPr>
          <w:rFonts w:ascii="Times New Roman" w:hAnsi="Times New Roman" w:cs="Times New Roman"/>
          <w:color w:val="000000"/>
          <w:sz w:val="24"/>
          <w:szCs w:val="24"/>
          <w:shd w:val="clear" w:color="auto" w:fill="FFFFFF"/>
        </w:rPr>
        <w:t>.</w:t>
      </w:r>
      <w:r w:rsidR="00AE12B3" w:rsidRPr="001A01F0">
        <w:rPr>
          <w:rFonts w:ascii="Times New Roman" w:hAnsi="Times New Roman" w:cs="Times New Roman"/>
          <w:bCs/>
          <w:color w:val="000000"/>
          <w:sz w:val="24"/>
          <w:szCs w:val="24"/>
          <w:shd w:val="clear" w:color="auto" w:fill="FFFFFF"/>
        </w:rPr>
        <w:t xml:space="preserve"> Repurchase agreements are an alternative to borrowing in the interbank market</w:t>
      </w:r>
      <w:r w:rsidR="00AE12B3" w:rsidRPr="001A01F0">
        <w:rPr>
          <w:rFonts w:ascii="Times New Roman" w:hAnsi="Times New Roman" w:cs="Times New Roman"/>
          <w:color w:val="000000"/>
          <w:sz w:val="24"/>
          <w:szCs w:val="24"/>
          <w:shd w:val="clear" w:color="auto" w:fill="FFFFFF"/>
        </w:rPr>
        <w:t>. When banks do not want to borrow from each other, they can also borrow from the central bank. In such cases, the central bank usually lends money via a repurchase agreement or a repo.</w:t>
      </w:r>
      <w:sdt>
        <w:sdtPr>
          <w:rPr>
            <w:rFonts w:ascii="Times New Roman" w:hAnsi="Times New Roman" w:cs="Times New Roman"/>
            <w:color w:val="000000"/>
            <w:sz w:val="24"/>
            <w:szCs w:val="24"/>
            <w:shd w:val="clear" w:color="auto" w:fill="FFFFFF"/>
          </w:rPr>
          <w:id w:val="-1583219341"/>
          <w:citation/>
        </w:sdtPr>
        <w:sdtContent>
          <w:r w:rsidR="00AE12B3" w:rsidRPr="001A01F0">
            <w:rPr>
              <w:rFonts w:ascii="Times New Roman" w:hAnsi="Times New Roman" w:cs="Times New Roman"/>
              <w:color w:val="000000"/>
              <w:sz w:val="24"/>
              <w:szCs w:val="24"/>
              <w:shd w:val="clear" w:color="auto" w:fill="FFFFFF"/>
            </w:rPr>
            <w:fldChar w:fldCharType="begin"/>
          </w:r>
          <w:r w:rsidR="00AE12B3" w:rsidRPr="001A01F0">
            <w:rPr>
              <w:rFonts w:ascii="Times New Roman" w:hAnsi="Times New Roman" w:cs="Times New Roman"/>
              <w:color w:val="000000"/>
              <w:sz w:val="24"/>
              <w:szCs w:val="24"/>
              <w:shd w:val="clear" w:color="auto" w:fill="FFFFFF"/>
            </w:rPr>
            <w:instrText xml:space="preserve"> CITATION MSN \l 1033 </w:instrText>
          </w:r>
          <w:r w:rsidR="00AE12B3" w:rsidRPr="001A01F0">
            <w:rPr>
              <w:rFonts w:ascii="Times New Roman" w:hAnsi="Times New Roman" w:cs="Times New Roman"/>
              <w:color w:val="000000"/>
              <w:sz w:val="24"/>
              <w:szCs w:val="24"/>
              <w:shd w:val="clear" w:color="auto" w:fill="FFFFFF"/>
            </w:rPr>
            <w:fldChar w:fldCharType="separate"/>
          </w:r>
          <w:r w:rsidR="00B83DB3">
            <w:rPr>
              <w:rFonts w:ascii="Times New Roman" w:hAnsi="Times New Roman" w:cs="Times New Roman"/>
              <w:noProof/>
              <w:color w:val="000000"/>
              <w:sz w:val="24"/>
              <w:szCs w:val="24"/>
              <w:shd w:val="clear" w:color="auto" w:fill="FFFFFF"/>
            </w:rPr>
            <w:t xml:space="preserve"> </w:t>
          </w:r>
          <w:r w:rsidR="00B83DB3" w:rsidRPr="00B83DB3">
            <w:rPr>
              <w:rFonts w:ascii="Times New Roman" w:hAnsi="Times New Roman" w:cs="Times New Roman"/>
              <w:noProof/>
              <w:color w:val="000000"/>
              <w:sz w:val="24"/>
              <w:szCs w:val="24"/>
              <w:shd w:val="clear" w:color="auto" w:fill="FFFFFF"/>
            </w:rPr>
            <w:t>(MSN, n.d.)</w:t>
          </w:r>
          <w:r w:rsidR="00AE12B3" w:rsidRPr="001A01F0">
            <w:rPr>
              <w:rFonts w:ascii="Times New Roman" w:hAnsi="Times New Roman" w:cs="Times New Roman"/>
              <w:color w:val="000000"/>
              <w:sz w:val="24"/>
              <w:szCs w:val="24"/>
              <w:shd w:val="clear" w:color="auto" w:fill="FFFFFF"/>
            </w:rPr>
            <w:fldChar w:fldCharType="end"/>
          </w:r>
        </w:sdtContent>
      </w:sdt>
      <w:r w:rsidR="00AE12B3" w:rsidRPr="001A01F0">
        <w:rPr>
          <w:rFonts w:ascii="Times New Roman" w:hAnsi="Times New Roman" w:cs="Times New Roman"/>
          <w:color w:val="000000"/>
          <w:sz w:val="24"/>
          <w:szCs w:val="24"/>
          <w:shd w:val="clear" w:color="auto" w:fill="FFFFFF"/>
        </w:rPr>
        <w:t xml:space="preserve">. Since both the action involve monetary transactions, it is easy to comprehend why these are the possible sources of systemic risk. Default by a bank in any of the two cases can trigger a financial difficulty in the banking system eventually leading to systemic failure.  </w:t>
      </w:r>
      <w:r w:rsidR="007F793D">
        <w:rPr>
          <w:rFonts w:ascii="Times New Roman" w:hAnsi="Times New Roman" w:cs="Times New Roman"/>
          <w:color w:val="000000"/>
          <w:sz w:val="24"/>
          <w:szCs w:val="24"/>
          <w:shd w:val="clear" w:color="auto" w:fill="FFFFFF"/>
        </w:rPr>
        <w:t>”</w:t>
      </w:r>
      <w:r w:rsidR="00C12E03" w:rsidRPr="001A01F0">
        <w:rPr>
          <w:rFonts w:ascii="Times New Roman" w:hAnsi="Times New Roman" w:cs="Times New Roman"/>
          <w:sz w:val="24"/>
          <w:szCs w:val="24"/>
        </w:rPr>
        <w:t>Banks lend to each other at short maturities. In this interbank network, financial stress can spread via insolvency or illiquidity. In terms of insolvency, one bank’s liability is another’s asset. Default reduces the value of the lending bank’s asset, moving it closer to insolvency, and potentially generating a cascade of counterparty defaults. In terms of illiquidity, one bank’s outflow of cash is another’s inflow. Failure to roll-over short-term funding or repay obligations when they fall due reduces counterparties’ cash inflows, potentially generating a cascade of funding shortfalls—even if banks remain solvent.</w:t>
      </w:r>
      <w:r w:rsidR="007F793D">
        <w:rPr>
          <w:rFonts w:ascii="Times New Roman" w:hAnsi="Times New Roman" w:cs="Times New Roman"/>
          <w:sz w:val="24"/>
          <w:szCs w:val="24"/>
        </w:rPr>
        <w:t>”</w:t>
      </w:r>
      <w:sdt>
        <w:sdtPr>
          <w:rPr>
            <w:rFonts w:ascii="Times New Roman" w:hAnsi="Times New Roman" w:cs="Times New Roman"/>
            <w:sz w:val="24"/>
            <w:szCs w:val="24"/>
          </w:rPr>
          <w:id w:val="-592236087"/>
          <w:citation/>
        </w:sdtPr>
        <w:sdtContent>
          <w:r w:rsidR="00C12E03" w:rsidRPr="001A01F0">
            <w:rPr>
              <w:rFonts w:ascii="Times New Roman" w:hAnsi="Times New Roman" w:cs="Times New Roman"/>
              <w:sz w:val="24"/>
              <w:szCs w:val="24"/>
            </w:rPr>
            <w:fldChar w:fldCharType="begin"/>
          </w:r>
          <w:r w:rsidR="00C12E03" w:rsidRPr="001A01F0">
            <w:rPr>
              <w:rFonts w:ascii="Times New Roman" w:hAnsi="Times New Roman" w:cs="Times New Roman"/>
              <w:sz w:val="24"/>
              <w:szCs w:val="24"/>
            </w:rPr>
            <w:instrText xml:space="preserve"> CITATION Ger18 \l 1033 </w:instrText>
          </w:r>
          <w:r w:rsidR="00C12E03"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(Gerardo Ferrara, November 2018)</w:t>
          </w:r>
          <w:r w:rsidR="00C12E03" w:rsidRPr="001A01F0">
            <w:rPr>
              <w:rFonts w:ascii="Times New Roman" w:hAnsi="Times New Roman" w:cs="Times New Roman"/>
              <w:sz w:val="24"/>
              <w:szCs w:val="24"/>
            </w:rPr>
            <w:fldChar w:fldCharType="end"/>
          </w:r>
        </w:sdtContent>
      </w:sdt>
    </w:p>
    <w:p w:rsidR="00C12E03" w:rsidRPr="001A01F0" w:rsidRDefault="00C12E03" w:rsidP="00027826">
      <w:pPr>
        <w:pStyle w:val="NoSpacing"/>
        <w:spacing w:line="360" w:lineRule="auto"/>
        <w:jc w:val="both"/>
        <w:rPr>
          <w:rFonts w:ascii="Times New Roman" w:hAnsi="Times New Roman" w:cs="Times New Roman"/>
          <w:sz w:val="24"/>
          <w:szCs w:val="24"/>
        </w:rPr>
      </w:pPr>
    </w:p>
    <w:p w:rsidR="00C41AF8" w:rsidRPr="001A01F0" w:rsidRDefault="00821CD7" w:rsidP="007049F4">
      <w:pPr>
        <w:pStyle w:val="NoSpacing"/>
        <w:numPr>
          <w:ilvl w:val="0"/>
          <w:numId w:val="7"/>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Government policies</w:t>
      </w:r>
      <w:r w:rsidR="00C12E03" w:rsidRPr="004D1EB8">
        <w:rPr>
          <w:rFonts w:ascii="Times New Roman" w:hAnsi="Times New Roman" w:cs="Times New Roman"/>
          <w:b/>
          <w:sz w:val="24"/>
          <w:szCs w:val="24"/>
        </w:rPr>
        <w:t>:</w:t>
      </w:r>
      <w:r w:rsidR="00C12E03" w:rsidRPr="001A01F0">
        <w:rPr>
          <w:rFonts w:ascii="Times New Roman" w:hAnsi="Times New Roman" w:cs="Times New Roman"/>
          <w:sz w:val="24"/>
          <w:szCs w:val="24"/>
        </w:rPr>
        <w:t xml:space="preserve"> </w:t>
      </w:r>
      <w:r w:rsidR="00C41AF8" w:rsidRPr="001A01F0">
        <w:rPr>
          <w:rFonts w:ascii="Times New Roman" w:hAnsi="Times New Roman" w:cs="Times New Roman"/>
          <w:sz w:val="24"/>
          <w:szCs w:val="24"/>
        </w:rPr>
        <w:t>Governments are the Primary creators of systemic risk.</w:t>
      </w:r>
      <w:sdt>
        <w:sdtPr>
          <w:rPr>
            <w:rFonts w:ascii="Times New Roman" w:hAnsi="Times New Roman" w:cs="Times New Roman"/>
            <w:sz w:val="24"/>
            <w:szCs w:val="24"/>
          </w:rPr>
          <w:id w:val="-623078433"/>
          <w:citation/>
        </w:sdtPr>
        <w:sdtContent>
          <w:r w:rsidR="00C41AF8" w:rsidRPr="001A01F0">
            <w:rPr>
              <w:rFonts w:ascii="Times New Roman" w:hAnsi="Times New Roman" w:cs="Times New Roman"/>
              <w:sz w:val="24"/>
              <w:szCs w:val="24"/>
            </w:rPr>
            <w:fldChar w:fldCharType="begin"/>
          </w:r>
          <w:r w:rsidR="00C41AF8" w:rsidRPr="001A01F0">
            <w:rPr>
              <w:rFonts w:ascii="Times New Roman" w:hAnsi="Times New Roman" w:cs="Times New Roman"/>
              <w:sz w:val="24"/>
              <w:szCs w:val="24"/>
            </w:rPr>
            <w:instrText xml:space="preserve"> CITATION Cha11 \l 1033 </w:instrText>
          </w:r>
          <w:r w:rsidR="00C41AF8"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(kadlec, may 16, 2011)</w:t>
          </w:r>
          <w:r w:rsidR="00C41AF8" w:rsidRPr="001A01F0">
            <w:rPr>
              <w:rFonts w:ascii="Times New Roman" w:hAnsi="Times New Roman" w:cs="Times New Roman"/>
              <w:sz w:val="24"/>
              <w:szCs w:val="24"/>
            </w:rPr>
            <w:fldChar w:fldCharType="end"/>
          </w:r>
        </w:sdtContent>
      </w:sdt>
      <w:r w:rsidR="00C41AF8" w:rsidRPr="001A01F0">
        <w:rPr>
          <w:rFonts w:ascii="Times New Roman" w:hAnsi="Times New Roman" w:cs="Times New Roman"/>
          <w:sz w:val="24"/>
          <w:szCs w:val="24"/>
        </w:rPr>
        <w:t xml:space="preserve">. Most discussions about systemic risk and the need for additional monitoring and data collection have focused on private-sector financial institutions. However, the U.S. federal government is the world’s largest and most interconnected financial institution, and through its activities—as a banker, rule-maker, and regulator—arguably represents a major source of systemic risk. </w:t>
      </w:r>
      <w:r w:rsidR="00FD178B">
        <w:rPr>
          <w:rFonts w:ascii="Times New Roman" w:hAnsi="Times New Roman" w:cs="Times New Roman"/>
          <w:sz w:val="24"/>
          <w:szCs w:val="24"/>
        </w:rPr>
        <w:t>“</w:t>
      </w:r>
      <w:r w:rsidR="00C41AF8" w:rsidRPr="001A01F0">
        <w:rPr>
          <w:rFonts w:ascii="Times New Roman" w:hAnsi="Times New Roman" w:cs="Times New Roman"/>
          <w:sz w:val="24"/>
          <w:szCs w:val="24"/>
        </w:rPr>
        <w:t>The government is subject to little market discipline because its counterparties and creditors assume that they will be sh</w:t>
      </w:r>
      <w:r w:rsidR="00C12834" w:rsidRPr="001A01F0">
        <w:rPr>
          <w:rFonts w:ascii="Times New Roman" w:hAnsi="Times New Roman" w:cs="Times New Roman"/>
          <w:sz w:val="24"/>
          <w:szCs w:val="24"/>
        </w:rPr>
        <w:t>ielded from losses by taxpayers. In some respects federal financial institutions are less transparent and more lightly scrutinized than their counterparts in the private sector. The financial activities of state and local governments also may pose risks to the broader financial system.</w:t>
      </w:r>
      <w:r w:rsidR="00FD178B">
        <w:rPr>
          <w:rFonts w:ascii="Times New Roman" w:hAnsi="Times New Roman" w:cs="Times New Roman"/>
          <w:sz w:val="24"/>
          <w:szCs w:val="24"/>
        </w:rPr>
        <w:t>”</w:t>
      </w:r>
      <w:r w:rsidR="00C12834" w:rsidRPr="001A01F0">
        <w:rPr>
          <w:rFonts w:ascii="Times New Roman" w:hAnsi="Times New Roman" w:cs="Times New Roman"/>
          <w:sz w:val="24"/>
          <w:szCs w:val="24"/>
        </w:rPr>
        <w:t xml:space="preserve"> </w:t>
      </w:r>
      <w:sdt>
        <w:sdtPr>
          <w:rPr>
            <w:rFonts w:ascii="Times New Roman" w:hAnsi="Times New Roman" w:cs="Times New Roman"/>
            <w:sz w:val="24"/>
            <w:szCs w:val="24"/>
          </w:rPr>
          <w:id w:val="-1123605996"/>
          <w:citation/>
        </w:sdtPr>
        <w:sdtContent>
          <w:r w:rsidR="00C41AF8" w:rsidRPr="001A01F0">
            <w:rPr>
              <w:rFonts w:ascii="Times New Roman" w:hAnsi="Times New Roman" w:cs="Times New Roman"/>
              <w:sz w:val="24"/>
              <w:szCs w:val="24"/>
            </w:rPr>
            <w:fldChar w:fldCharType="begin"/>
          </w:r>
          <w:r w:rsidR="00C41AF8" w:rsidRPr="001A01F0">
            <w:rPr>
              <w:rFonts w:ascii="Times New Roman" w:hAnsi="Times New Roman" w:cs="Times New Roman"/>
              <w:sz w:val="24"/>
              <w:szCs w:val="24"/>
            </w:rPr>
            <w:instrText xml:space="preserve"> CITATION Deb14 \l 1033 </w:instrText>
          </w:r>
          <w:r w:rsidR="00C41AF8" w:rsidRPr="001A01F0">
            <w:rPr>
              <w:rFonts w:ascii="Times New Roman" w:hAnsi="Times New Roman" w:cs="Times New Roman"/>
              <w:sz w:val="24"/>
              <w:szCs w:val="24"/>
            </w:rPr>
            <w:fldChar w:fldCharType="separate"/>
          </w:r>
          <w:r w:rsidR="00B83DB3" w:rsidRPr="00B83DB3">
            <w:rPr>
              <w:rFonts w:ascii="Times New Roman" w:hAnsi="Times New Roman" w:cs="Times New Roman"/>
              <w:noProof/>
              <w:sz w:val="24"/>
              <w:szCs w:val="24"/>
            </w:rPr>
            <w:t>(Lucas, 2014)</w:t>
          </w:r>
          <w:r w:rsidR="00C41AF8" w:rsidRPr="001A01F0">
            <w:rPr>
              <w:rFonts w:ascii="Times New Roman" w:hAnsi="Times New Roman" w:cs="Times New Roman"/>
              <w:sz w:val="24"/>
              <w:szCs w:val="24"/>
            </w:rPr>
            <w:fldChar w:fldCharType="end"/>
          </w:r>
        </w:sdtContent>
      </w:sdt>
      <w:r w:rsidR="00C12834" w:rsidRPr="001A01F0">
        <w:rPr>
          <w:rFonts w:ascii="Times New Roman" w:hAnsi="Times New Roman" w:cs="Times New Roman"/>
          <w:sz w:val="24"/>
          <w:szCs w:val="24"/>
        </w:rPr>
        <w:t xml:space="preserve">. Several factors support the contention that the government is a significant source of systemic risk. </w:t>
      </w:r>
      <w:r w:rsidR="00C12834" w:rsidRPr="001A01F0">
        <w:rPr>
          <w:rFonts w:ascii="Times New Roman" w:hAnsi="Times New Roman" w:cs="Times New Roman"/>
          <w:sz w:val="24"/>
          <w:szCs w:val="24"/>
        </w:rPr>
        <w:lastRenderedPageBreak/>
        <w:t>The most obvious is its sheer size as a financial institution (or more accurately, a collection of loosely affiliated financial institutions). In addition to these, inept handling of critical financial situations and inefficacious regulations can precipitate systemic failure of financial system.</w:t>
      </w:r>
      <w:r w:rsidR="00AC667B" w:rsidRPr="001A01F0">
        <w:rPr>
          <w:rFonts w:ascii="Times New Roman" w:hAnsi="Times New Roman" w:cs="Times New Roman"/>
          <w:sz w:val="24"/>
          <w:szCs w:val="24"/>
        </w:rPr>
        <w:t xml:space="preserve"> It is well understood that the federal government engages in a broad range of activities involving the assumption of credit and other financial risks, but relatively little attention has been paid to its aggregate size as a financial institution or its consolidated credit risk exposure.</w:t>
      </w:r>
    </w:p>
    <w:p w:rsidR="00607034" w:rsidRPr="001A01F0" w:rsidRDefault="00607034" w:rsidP="007049F4">
      <w:pPr>
        <w:pStyle w:val="NoSpacing"/>
        <w:numPr>
          <w:ilvl w:val="0"/>
          <w:numId w:val="8"/>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Maturity and foreign exchange mismatch:</w:t>
      </w:r>
      <w:r w:rsidRPr="001A01F0">
        <w:rPr>
          <w:rFonts w:ascii="Times New Roman" w:hAnsi="Times New Roman" w:cs="Times New Roman"/>
          <w:sz w:val="24"/>
          <w:szCs w:val="24"/>
        </w:rPr>
        <w:t xml:space="preserve"> “A maturity mismatch is a financial situation of a financial institution or company in which assets held to meet future liabilities are not aligned in terms of maturity time.”</w:t>
      </w:r>
      <w:sdt>
        <w:sdtPr>
          <w:rPr>
            <w:rFonts w:ascii="Times New Roman" w:hAnsi="Times New Roman" w:cs="Times New Roman"/>
            <w:sz w:val="24"/>
            <w:szCs w:val="24"/>
          </w:rPr>
          <w:id w:val="-2060472891"/>
          <w:citation/>
        </w:sdtPr>
        <w:sdtContent>
          <w:r w:rsidRPr="001A01F0">
            <w:rPr>
              <w:rFonts w:ascii="Times New Roman" w:hAnsi="Times New Roman" w:cs="Times New Roman"/>
              <w:sz w:val="24"/>
              <w:szCs w:val="24"/>
            </w:rPr>
            <w:fldChar w:fldCharType="begin"/>
          </w:r>
          <w:r w:rsidRPr="001A01F0">
            <w:rPr>
              <w:rFonts w:ascii="Times New Roman" w:hAnsi="Times New Roman" w:cs="Times New Roman"/>
              <w:sz w:val="24"/>
              <w:szCs w:val="24"/>
            </w:rPr>
            <w:instrText xml:space="preserve"> CITATION WIL18 \l 1033 </w:instrText>
          </w:r>
          <w:r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(WILL KENTON, 2018)</w:t>
          </w:r>
          <w:r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w:t>
      </w:r>
      <w:r w:rsidRPr="001A01F0">
        <w:rPr>
          <w:rFonts w:ascii="Times New Roman" w:hAnsi="Times New Roman" w:cs="Times New Roman"/>
          <w:color w:val="111111"/>
          <w:sz w:val="24"/>
          <w:szCs w:val="24"/>
          <w:shd w:val="clear" w:color="auto" w:fill="FFFFFF"/>
        </w:rPr>
        <w:t xml:space="preserve"> </w:t>
      </w:r>
      <w:r w:rsidRPr="001A01F0">
        <w:rPr>
          <w:rFonts w:ascii="Times New Roman" w:hAnsi="Times New Roman" w:cs="Times New Roman"/>
          <w:sz w:val="24"/>
          <w:szCs w:val="24"/>
        </w:rPr>
        <w:t>Currency mismatch can expose an emerging economy to systemic risks through balance sheet vulnerabilities. Currency mismatch has been one of the key vulnerabilities leading to crises in emerging economies (i.e., Mexico 1994 and East Asian 1997–98). It also reached unprecedented levels during the economic boom before the recent crisis in emerging Europe</w:t>
      </w:r>
      <w:sdt>
        <w:sdtPr>
          <w:rPr>
            <w:rFonts w:ascii="Times New Roman" w:hAnsi="Times New Roman" w:cs="Times New Roman"/>
            <w:sz w:val="24"/>
            <w:szCs w:val="24"/>
          </w:rPr>
          <w:id w:val="568083601"/>
          <w:citation/>
        </w:sdtPr>
        <w:sdtContent>
          <w:r w:rsidRPr="001A01F0">
            <w:rPr>
              <w:rFonts w:ascii="Times New Roman" w:hAnsi="Times New Roman" w:cs="Times New Roman"/>
              <w:sz w:val="24"/>
              <w:szCs w:val="24"/>
            </w:rPr>
            <w:fldChar w:fldCharType="begin"/>
          </w:r>
          <w:r w:rsidRPr="001A01F0">
            <w:rPr>
              <w:rFonts w:ascii="Times New Roman" w:hAnsi="Times New Roman" w:cs="Times New Roman"/>
              <w:sz w:val="24"/>
              <w:szCs w:val="24"/>
            </w:rPr>
            <w:instrText xml:space="preserve"> CITATION Rom10 \l 1033 </w:instrText>
          </w:r>
          <w:r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(Romain Ranciere, November 2010 )</w:t>
          </w:r>
          <w:r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The importance of currency and maturity mismatches in the debt structure of emerging markets is an issue that can hardly be overemphasized. For example, sizeable currency and maturity mismatches were found to have played a central role in the Asian Önancial crisis of the 1990s. Yet, while many papers have explained how imbalances in the asset and liability structure of emerging markets can cause currency and Önancial crises, the factors that trigger such imbalances in the Örst place have received relatively little attention so far. In particular, few papers have considered the possibility that the causality between currency volatility and debt structure may be running in the opposite direction. Instead of the more prevalent view that currency and maturity mismatches lead to volatile exchange rates, we stress that high actual or anticipated exchange rate uncertainty may induce shifts of the debt proÖle towards short-term debt, thereby increasing the vulnerability of the borrowing countries to Önancial crises. Exchange-rate risk is an aggregate risk and currency risk is not distributed independently across developing countries if there is the potential of contagion. Given that exchange rates follow a non-stationary stochastic process as speciÖed below, the law of large numbers does not ensure that foreign risk-neutral lenders can eliminate all risk and break-even at every point in time if borrowers can default.</w:t>
      </w:r>
      <w:sdt>
        <w:sdtPr>
          <w:rPr>
            <w:rFonts w:ascii="Times New Roman" w:hAnsi="Times New Roman" w:cs="Times New Roman"/>
            <w:sz w:val="24"/>
            <w:szCs w:val="24"/>
          </w:rPr>
          <w:id w:val="1596977452"/>
          <w:citation/>
        </w:sdtPr>
        <w:sdtContent>
          <w:r w:rsidRPr="001A01F0">
            <w:rPr>
              <w:rFonts w:ascii="Times New Roman" w:hAnsi="Times New Roman" w:cs="Times New Roman"/>
              <w:sz w:val="24"/>
              <w:szCs w:val="24"/>
            </w:rPr>
            <w:fldChar w:fldCharType="begin"/>
          </w:r>
          <w:r w:rsidRPr="001A01F0">
            <w:rPr>
              <w:rFonts w:ascii="Times New Roman" w:hAnsi="Times New Roman" w:cs="Times New Roman"/>
              <w:sz w:val="24"/>
              <w:szCs w:val="24"/>
            </w:rPr>
            <w:instrText xml:space="preserve"> CITATION Mat04 \l 1033 </w:instrText>
          </w:r>
          <w:r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(Matthieu Bussière, 2004)</w:t>
          </w:r>
          <w:r w:rsidRPr="001A01F0">
            <w:rPr>
              <w:rFonts w:ascii="Times New Roman" w:hAnsi="Times New Roman" w:cs="Times New Roman"/>
              <w:sz w:val="24"/>
              <w:szCs w:val="24"/>
            </w:rPr>
            <w:fldChar w:fldCharType="end"/>
          </w:r>
        </w:sdtContent>
      </w:sdt>
    </w:p>
    <w:p w:rsidR="00607034" w:rsidRPr="001A01F0" w:rsidRDefault="00607034" w:rsidP="00027826">
      <w:pPr>
        <w:pStyle w:val="NoSpacing"/>
        <w:spacing w:line="360" w:lineRule="auto"/>
        <w:jc w:val="both"/>
        <w:rPr>
          <w:rFonts w:ascii="Times New Roman" w:hAnsi="Times New Roman" w:cs="Times New Roman"/>
          <w:sz w:val="24"/>
          <w:szCs w:val="24"/>
        </w:rPr>
      </w:pPr>
    </w:p>
    <w:p w:rsidR="00607034" w:rsidRPr="001A01F0" w:rsidRDefault="00607034" w:rsidP="007049F4">
      <w:pPr>
        <w:pStyle w:val="NoSpacing"/>
        <w:numPr>
          <w:ilvl w:val="0"/>
          <w:numId w:val="9"/>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Other sources of systemic risk:</w:t>
      </w:r>
      <w:r w:rsidRPr="001A01F0">
        <w:rPr>
          <w:rFonts w:ascii="Times New Roman" w:hAnsi="Times New Roman" w:cs="Times New Roman"/>
          <w:sz w:val="24"/>
          <w:szCs w:val="24"/>
        </w:rPr>
        <w:t xml:space="preserve"> There is a range of different risks that cannot easily be classified into the other categories but that may lead to a systemic impact. The addition of this category is a reflection of the time-varying nature of syst</w:t>
      </w:r>
      <w:r w:rsidR="00B95885" w:rsidRPr="001A01F0">
        <w:rPr>
          <w:rFonts w:ascii="Times New Roman" w:hAnsi="Times New Roman" w:cs="Times New Roman"/>
          <w:sz w:val="24"/>
          <w:szCs w:val="24"/>
        </w:rPr>
        <w:t>emic risk.</w:t>
      </w:r>
      <w:r w:rsidRPr="001A01F0">
        <w:rPr>
          <w:rFonts w:ascii="Times New Roman" w:hAnsi="Times New Roman" w:cs="Times New Roman"/>
          <w:sz w:val="24"/>
          <w:szCs w:val="24"/>
        </w:rPr>
        <w:t xml:space="preserve"> One example relates to cyber risk. For insurers, cyber security incidents can harm the ability to conduct business, compromise the protection of commercial and personal data, and undermine confidence in the sector. Also, insurers may be affected in cases where they provide specific insurance coverage for cyber risk themselves, or have inherent cyber risk exposure in their existing insurance portfolios. In 2016, the IAIS published an Issues Paper that describes cyber risk to the insurance sector and the mitigation of such risks.  As discussed in the Issues Paper, potential adverse consequences resulting from insurance sector cybersecurity incidents may include: loss or corruption of confidential or sensitive data, disruption of business due to own system failures or due to failures of service provider (such as outsourced services like IT and common platforms), physical loss (eg, damage to hardware), financial loss and reputational damage. Also, insurers may be affected in cases where they provide insurance coverage for cyber risk. Cyber losses tend to be correlated and do not necessarily diversify across geographies or industries. Moreover, cyber risk is a relatively new field for insurance and actuarial techniques are relatively underdeveloped compared to other risks. The resulting difficulties in pricing can leave gaps in</w:t>
      </w:r>
    </w:p>
    <w:p w:rsidR="004D1EB8" w:rsidRPr="004D1EB8" w:rsidRDefault="004D1EB8" w:rsidP="0027736C">
      <w:pPr>
        <w:pStyle w:val="Heading1"/>
      </w:pPr>
      <w:bookmarkStart w:id="6" w:name="_Toc6873768"/>
      <w:r>
        <w:t xml:space="preserve">2.1 </w:t>
      </w:r>
      <w:r w:rsidR="00607034" w:rsidRPr="004D1EB8">
        <w:t>Transmission channels of systemic risk</w:t>
      </w:r>
      <w:bookmarkEnd w:id="6"/>
    </w:p>
    <w:p w:rsidR="004104F9" w:rsidRPr="001A01F0" w:rsidRDefault="0060703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The IAIS identified as the main transmission channels: asset liquidation, exposure channel, and critical functions.</w:t>
      </w:r>
      <w:sdt>
        <w:sdtPr>
          <w:rPr>
            <w:rFonts w:ascii="Times New Roman" w:hAnsi="Times New Roman" w:cs="Times New Roman"/>
            <w:sz w:val="24"/>
            <w:szCs w:val="24"/>
          </w:rPr>
          <w:id w:val="-1541285970"/>
          <w:citation/>
        </w:sdtPr>
        <w:sdtContent>
          <w:r w:rsidR="00E72B92" w:rsidRPr="001A01F0">
            <w:rPr>
              <w:rFonts w:ascii="Times New Roman" w:hAnsi="Times New Roman" w:cs="Times New Roman"/>
              <w:sz w:val="24"/>
              <w:szCs w:val="24"/>
            </w:rPr>
            <w:fldChar w:fldCharType="begin"/>
          </w:r>
          <w:r w:rsidR="00E72B92" w:rsidRPr="001A01F0">
            <w:rPr>
              <w:rFonts w:ascii="Times New Roman" w:hAnsi="Times New Roman" w:cs="Times New Roman"/>
              <w:sz w:val="24"/>
              <w:szCs w:val="24"/>
            </w:rPr>
            <w:instrText xml:space="preserve"> CITATION IAI18 \l 1033 </w:instrText>
          </w:r>
          <w:r w:rsidR="00E72B92"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(IAIS, 2018)</w:t>
          </w:r>
          <w:r w:rsidR="00E72B92"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xml:space="preserve"> Potential systemic risk may propagate simultaneously through multiple channels. Even if certain transmission channels dominate for a particular vulnerability (eg asset liquidation for liquidity risk), they are not mutually exclusive and could often work as an exacerbating factor to one another.</w:t>
      </w:r>
    </w:p>
    <w:p w:rsidR="00E72B92" w:rsidRPr="001A01F0" w:rsidRDefault="00E72B92" w:rsidP="007049F4">
      <w:pPr>
        <w:pStyle w:val="NoSpacing"/>
        <w:numPr>
          <w:ilvl w:val="0"/>
          <w:numId w:val="10"/>
        </w:numPr>
        <w:spacing w:line="360" w:lineRule="auto"/>
        <w:jc w:val="both"/>
        <w:rPr>
          <w:rFonts w:ascii="Times New Roman" w:hAnsi="Times New Roman" w:cs="Times New Roman"/>
          <w:sz w:val="24"/>
          <w:szCs w:val="24"/>
        </w:rPr>
      </w:pPr>
      <w:r w:rsidRPr="004D1EB8">
        <w:rPr>
          <w:rFonts w:ascii="Times New Roman" w:hAnsi="Times New Roman" w:cs="Times New Roman"/>
          <w:b/>
          <w:sz w:val="24"/>
          <w:szCs w:val="24"/>
        </w:rPr>
        <w:t>Asset liquidation</w:t>
      </w:r>
      <w:r w:rsidRPr="001A01F0">
        <w:rPr>
          <w:rFonts w:ascii="Times New Roman" w:hAnsi="Times New Roman" w:cs="Times New Roman"/>
          <w:sz w:val="24"/>
          <w:szCs w:val="24"/>
        </w:rPr>
        <w:t>, as the name suggests, refers to the sudden sale of assets on a large scale that could trigger a decrease in asset prices and significantly disrupt trading or funding in key financial markets or cause significant losses or funding problems for other firms with similar holdings. Such behavior may have a more significant impact for smaller, less liquid markets or in a stressed environment.</w:t>
      </w:r>
    </w:p>
    <w:p w:rsidR="00E72B92" w:rsidRPr="001A01F0" w:rsidRDefault="00E72B92" w:rsidP="007049F4">
      <w:pPr>
        <w:pStyle w:val="NoSpacing"/>
        <w:numPr>
          <w:ilvl w:val="0"/>
          <w:numId w:val="10"/>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lastRenderedPageBreak/>
        <w:t xml:space="preserve">If </w:t>
      </w:r>
      <w:r w:rsidRPr="004D1EB8">
        <w:rPr>
          <w:rFonts w:ascii="Times New Roman" w:hAnsi="Times New Roman" w:cs="Times New Roman"/>
          <w:b/>
          <w:sz w:val="24"/>
          <w:szCs w:val="24"/>
        </w:rPr>
        <w:t>liquidity risk</w:t>
      </w:r>
      <w:r w:rsidRPr="001A01F0">
        <w:rPr>
          <w:rFonts w:ascii="Times New Roman" w:hAnsi="Times New Roman" w:cs="Times New Roman"/>
          <w:sz w:val="24"/>
          <w:szCs w:val="24"/>
        </w:rPr>
        <w:t xml:space="preserve"> materializes for a banker or a group of bankers, this could trigger a downward spiral in the financial markets. If insurers have to accept sizeable haircuts on their assets to satisfy outflows, they could face losses and may even be forced to sell additional assets, which could aggravate the systemic impact. Through these price impacts, shocks could be transmitted to other parts of financial markets and the real economy by triggering write-downs on similar assets at other firms, distorting the signaling function of prices or impacting the ability of firms to fund activities.</w:t>
      </w:r>
    </w:p>
    <w:p w:rsidR="00E72B92" w:rsidRPr="001A01F0" w:rsidRDefault="00E72B92" w:rsidP="00027826">
      <w:pPr>
        <w:pStyle w:val="NoSpacing"/>
        <w:spacing w:line="360" w:lineRule="auto"/>
        <w:jc w:val="both"/>
        <w:rPr>
          <w:rFonts w:ascii="Times New Roman" w:hAnsi="Times New Roman" w:cs="Times New Roman"/>
          <w:sz w:val="24"/>
          <w:szCs w:val="24"/>
        </w:rPr>
      </w:pPr>
    </w:p>
    <w:p w:rsidR="00E72B92" w:rsidRPr="001A01F0" w:rsidRDefault="00E72B92" w:rsidP="007049F4">
      <w:pPr>
        <w:pStyle w:val="NoSpacing"/>
        <w:numPr>
          <w:ilvl w:val="0"/>
          <w:numId w:val="10"/>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Additionally, </w:t>
      </w:r>
      <w:r w:rsidRPr="004D1EB8">
        <w:rPr>
          <w:rFonts w:ascii="Times New Roman" w:hAnsi="Times New Roman" w:cs="Times New Roman"/>
          <w:b/>
          <w:sz w:val="24"/>
          <w:szCs w:val="24"/>
        </w:rPr>
        <w:t>macroeconomic exposure</w:t>
      </w:r>
      <w:r w:rsidRPr="001A01F0">
        <w:rPr>
          <w:rFonts w:ascii="Times New Roman" w:hAnsi="Times New Roman" w:cs="Times New Roman"/>
          <w:sz w:val="24"/>
          <w:szCs w:val="24"/>
        </w:rPr>
        <w:t xml:space="preserve"> may contribute to procyclicality and may compound the transmission through assets liquidation when bankers reduce exposures during business cycle downturns or when conditions trigger automatic asset sales through increases in market volatility.</w:t>
      </w:r>
    </w:p>
    <w:p w:rsidR="00D7565C" w:rsidRPr="001A01F0" w:rsidRDefault="00D7565C" w:rsidP="00027826">
      <w:pPr>
        <w:pStyle w:val="NoSpacing"/>
        <w:spacing w:line="360" w:lineRule="auto"/>
        <w:jc w:val="both"/>
        <w:rPr>
          <w:rFonts w:ascii="Times New Roman" w:hAnsi="Times New Roman" w:cs="Times New Roman"/>
          <w:sz w:val="24"/>
          <w:szCs w:val="24"/>
        </w:rPr>
      </w:pPr>
    </w:p>
    <w:p w:rsidR="00D7565C" w:rsidRPr="001A01F0" w:rsidRDefault="00D7565C" w:rsidP="00027826">
      <w:pPr>
        <w:pStyle w:val="NoSpacing"/>
        <w:spacing w:line="360" w:lineRule="auto"/>
        <w:jc w:val="both"/>
        <w:rPr>
          <w:rFonts w:ascii="Times New Roman" w:hAnsi="Times New Roman" w:cs="Times New Roman"/>
          <w:sz w:val="24"/>
          <w:szCs w:val="24"/>
        </w:rPr>
      </w:pPr>
    </w:p>
    <w:p w:rsidR="00B95885" w:rsidRPr="001A01F0" w:rsidRDefault="00D7565C"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noProof/>
          <w:sz w:val="24"/>
          <w:szCs w:val="24"/>
        </w:rPr>
        <w:drawing>
          <wp:inline distT="0" distB="0" distL="0" distR="0">
            <wp:extent cx="5124091" cy="3818433"/>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png"/>
                    <pic:cNvPicPr/>
                  </pic:nvPicPr>
                  <pic:blipFill>
                    <a:blip r:embed="rId9">
                      <a:extLst>
                        <a:ext uri="{28A0092B-C50C-407E-A947-70E740481C1C}">
                          <a14:useLocalDpi xmlns:a14="http://schemas.microsoft.com/office/drawing/2010/main" val="0"/>
                        </a:ext>
                      </a:extLst>
                    </a:blip>
                    <a:stretch>
                      <a:fillRect/>
                    </a:stretch>
                  </pic:blipFill>
                  <pic:spPr>
                    <a:xfrm>
                      <a:off x="0" y="0"/>
                      <a:ext cx="5131208" cy="3823736"/>
                    </a:xfrm>
                    <a:prstGeom prst="rect">
                      <a:avLst/>
                    </a:prstGeom>
                  </pic:spPr>
                </pic:pic>
              </a:graphicData>
            </a:graphic>
          </wp:inline>
        </w:drawing>
      </w:r>
    </w:p>
    <w:p w:rsidR="00D7565C" w:rsidRPr="001A01F0" w:rsidRDefault="00B9588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                 Figure </w:t>
      </w:r>
      <w:r w:rsidRPr="001A01F0">
        <w:rPr>
          <w:rFonts w:ascii="Times New Roman" w:hAnsi="Times New Roman" w:cs="Times New Roman"/>
          <w:sz w:val="24"/>
          <w:szCs w:val="24"/>
        </w:rPr>
        <w:fldChar w:fldCharType="begin"/>
      </w:r>
      <w:r w:rsidRPr="001A01F0">
        <w:rPr>
          <w:rFonts w:ascii="Times New Roman" w:hAnsi="Times New Roman" w:cs="Times New Roman"/>
          <w:sz w:val="24"/>
          <w:szCs w:val="24"/>
        </w:rPr>
        <w:instrText xml:space="preserve"> SEQ Figure \* ARABIC </w:instrText>
      </w:r>
      <w:r w:rsidRPr="001A01F0">
        <w:rPr>
          <w:rFonts w:ascii="Times New Roman" w:hAnsi="Times New Roman" w:cs="Times New Roman"/>
          <w:sz w:val="24"/>
          <w:szCs w:val="24"/>
        </w:rPr>
        <w:fldChar w:fldCharType="separate"/>
      </w:r>
      <w:r w:rsidR="004B3610" w:rsidRPr="001A01F0">
        <w:rPr>
          <w:rFonts w:ascii="Times New Roman" w:hAnsi="Times New Roman" w:cs="Times New Roman"/>
          <w:noProof/>
          <w:sz w:val="24"/>
          <w:szCs w:val="24"/>
        </w:rPr>
        <w:t>1</w:t>
      </w:r>
      <w:r w:rsidRPr="001A01F0">
        <w:rPr>
          <w:rFonts w:ascii="Times New Roman" w:hAnsi="Times New Roman" w:cs="Times New Roman"/>
          <w:sz w:val="24"/>
          <w:szCs w:val="24"/>
        </w:rPr>
        <w:fldChar w:fldCharType="end"/>
      </w:r>
      <w:r w:rsidRPr="001A01F0">
        <w:rPr>
          <w:rFonts w:ascii="Times New Roman" w:hAnsi="Times New Roman" w:cs="Times New Roman"/>
          <w:sz w:val="24"/>
          <w:szCs w:val="24"/>
        </w:rPr>
        <w:t>: Linkage between bank and other institutes</w:t>
      </w:r>
    </w:p>
    <w:p w:rsidR="00B95885" w:rsidRPr="001A01F0" w:rsidRDefault="00B95885" w:rsidP="00027826">
      <w:pPr>
        <w:pStyle w:val="NoSpacing"/>
        <w:spacing w:line="360" w:lineRule="auto"/>
        <w:jc w:val="both"/>
        <w:rPr>
          <w:rFonts w:ascii="Times New Roman" w:hAnsi="Times New Roman" w:cs="Times New Roman"/>
          <w:sz w:val="24"/>
          <w:szCs w:val="24"/>
        </w:rPr>
      </w:pPr>
    </w:p>
    <w:p w:rsidR="00B95885" w:rsidRPr="001A01F0" w:rsidRDefault="00B95885" w:rsidP="00027826">
      <w:pPr>
        <w:pStyle w:val="NoSpacing"/>
        <w:spacing w:line="360" w:lineRule="auto"/>
        <w:jc w:val="both"/>
        <w:rPr>
          <w:rFonts w:ascii="Times New Roman" w:hAnsi="Times New Roman" w:cs="Times New Roman"/>
          <w:sz w:val="24"/>
          <w:szCs w:val="24"/>
        </w:rPr>
      </w:pPr>
    </w:p>
    <w:p w:rsidR="00B95885" w:rsidRPr="001A01F0" w:rsidRDefault="00B95885" w:rsidP="00027826">
      <w:pPr>
        <w:pStyle w:val="NoSpacing"/>
        <w:spacing w:line="360" w:lineRule="auto"/>
        <w:jc w:val="both"/>
        <w:rPr>
          <w:rFonts w:ascii="Times New Roman" w:hAnsi="Times New Roman" w:cs="Times New Roman"/>
          <w:sz w:val="24"/>
          <w:szCs w:val="24"/>
        </w:rPr>
      </w:pPr>
    </w:p>
    <w:p w:rsidR="00B95885" w:rsidRPr="001A01F0" w:rsidRDefault="00B95885" w:rsidP="00027826">
      <w:pPr>
        <w:pStyle w:val="NoSpacing"/>
        <w:spacing w:line="360" w:lineRule="auto"/>
        <w:jc w:val="both"/>
        <w:rPr>
          <w:rFonts w:ascii="Times New Roman" w:hAnsi="Times New Roman" w:cs="Times New Roman"/>
          <w:sz w:val="24"/>
          <w:szCs w:val="24"/>
        </w:rPr>
      </w:pPr>
    </w:p>
    <w:p w:rsidR="004104F9" w:rsidRPr="001A01F0" w:rsidRDefault="004104F9" w:rsidP="00027826">
      <w:pPr>
        <w:pStyle w:val="NoSpacing"/>
        <w:spacing w:line="360" w:lineRule="auto"/>
        <w:jc w:val="both"/>
        <w:rPr>
          <w:rFonts w:ascii="Times New Roman" w:hAnsi="Times New Roman" w:cs="Times New Roman"/>
          <w:sz w:val="24"/>
          <w:szCs w:val="24"/>
        </w:rPr>
      </w:pPr>
    </w:p>
    <w:p w:rsidR="004104F9" w:rsidRPr="001A01F0" w:rsidRDefault="00B9588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A banker with significant macroeconomic exposure can indirectly spread distress to the global financial system through its funding of other financial intermediaries and businesses. </w:t>
      </w:r>
      <w:r w:rsidR="00363D35" w:rsidRPr="001A01F0">
        <w:rPr>
          <w:rFonts w:ascii="Times New Roman" w:hAnsi="Times New Roman" w:cs="Times New Roman"/>
          <w:sz w:val="24"/>
          <w:szCs w:val="24"/>
        </w:rPr>
        <w:t>Bankers</w:t>
      </w:r>
      <w:r w:rsidRPr="001A01F0">
        <w:rPr>
          <w:rFonts w:ascii="Times New Roman" w:hAnsi="Times New Roman" w:cs="Times New Roman"/>
          <w:sz w:val="24"/>
          <w:szCs w:val="24"/>
        </w:rPr>
        <w:t xml:space="preserve"> may react to macroeconomic shocks by actively de-leveraging/de-risking by retrenching and suspending their purchases of particular asset classes such as equities or corporate bonds. This could, for example, lead to reduced funding available for firms that rely on those instruments. Counterparty exposure can directly transmit stress originating from a banker to its counterparties such as insurance company or other banks. This can take several forms such as price declines in the bank’s or other (re-)insurer’s asset portfolio, potential failure to meet claims or failure to fulfil existing contracts, eg SFTs, such as securities lending or repurchase agreements, or derivative contracts. In all those circumstances, counterparties would suffer losses on their claims, which could then create potential negative impacts beyond the insurance sector.</w:t>
      </w:r>
    </w:p>
    <w:p w:rsidR="004104F9" w:rsidRPr="001A01F0" w:rsidRDefault="004104F9"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noProof/>
          <w:sz w:val="24"/>
          <w:szCs w:val="24"/>
        </w:rPr>
        <w:drawing>
          <wp:inline distT="0" distB="0" distL="0" distR="0">
            <wp:extent cx="5752531" cy="289900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ystmemicjhgvhjcgduvhfychmbcgcmgvkhcvkhfck.jpg"/>
                    <pic:cNvPicPr/>
                  </pic:nvPicPr>
                  <pic:blipFill>
                    <a:blip r:embed="rId10">
                      <a:extLst>
                        <a:ext uri="{28A0092B-C50C-407E-A947-70E740481C1C}">
                          <a14:useLocalDpi xmlns:a14="http://schemas.microsoft.com/office/drawing/2010/main" val="0"/>
                        </a:ext>
                      </a:extLst>
                    </a:blip>
                    <a:stretch>
                      <a:fillRect/>
                    </a:stretch>
                  </pic:blipFill>
                  <pic:spPr>
                    <a:xfrm>
                      <a:off x="0" y="0"/>
                      <a:ext cx="5755877" cy="2900691"/>
                    </a:xfrm>
                    <a:prstGeom prst="rect">
                      <a:avLst/>
                    </a:prstGeom>
                  </pic:spPr>
                </pic:pic>
              </a:graphicData>
            </a:graphic>
          </wp:inline>
        </w:drawing>
      </w:r>
    </w:p>
    <w:p w:rsidR="00C12E03" w:rsidRPr="001A01F0" w:rsidRDefault="004104F9"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                </w:t>
      </w:r>
      <w:r w:rsidR="00607034" w:rsidRPr="001A01F0">
        <w:rPr>
          <w:rFonts w:ascii="Times New Roman" w:hAnsi="Times New Roman" w:cs="Times New Roman"/>
          <w:sz w:val="24"/>
          <w:szCs w:val="24"/>
        </w:rPr>
        <w:t xml:space="preserve"> </w:t>
      </w:r>
      <w:r w:rsidRPr="001A01F0">
        <w:rPr>
          <w:rFonts w:ascii="Times New Roman" w:hAnsi="Times New Roman" w:cs="Times New Roman"/>
          <w:sz w:val="24"/>
          <w:szCs w:val="24"/>
        </w:rPr>
        <w:t>Figure</w:t>
      </w:r>
      <w:r w:rsidR="00B95885" w:rsidRPr="001A01F0">
        <w:rPr>
          <w:rFonts w:ascii="Times New Roman" w:hAnsi="Times New Roman" w:cs="Times New Roman"/>
          <w:sz w:val="24"/>
          <w:szCs w:val="24"/>
        </w:rPr>
        <w:t>2</w:t>
      </w:r>
      <w:r w:rsidRPr="001A01F0">
        <w:rPr>
          <w:rFonts w:ascii="Times New Roman" w:hAnsi="Times New Roman" w:cs="Times New Roman"/>
          <w:sz w:val="24"/>
          <w:szCs w:val="24"/>
        </w:rPr>
        <w:t>: Systemic risk transmission mechanism</w:t>
      </w:r>
    </w:p>
    <w:p w:rsidR="008712C4" w:rsidRPr="001A01F0" w:rsidRDefault="008712C4" w:rsidP="00027826">
      <w:pPr>
        <w:pStyle w:val="NoSpacing"/>
        <w:spacing w:line="360" w:lineRule="auto"/>
        <w:jc w:val="both"/>
        <w:rPr>
          <w:rFonts w:ascii="Times New Roman" w:hAnsi="Times New Roman" w:cs="Times New Roman"/>
          <w:sz w:val="24"/>
          <w:szCs w:val="24"/>
        </w:rPr>
      </w:pPr>
    </w:p>
    <w:p w:rsidR="00607034" w:rsidRPr="00E009D9" w:rsidRDefault="00607034" w:rsidP="00027826">
      <w:pPr>
        <w:pStyle w:val="NoSpacing"/>
        <w:spacing w:line="360" w:lineRule="auto"/>
        <w:jc w:val="both"/>
        <w:rPr>
          <w:rFonts w:ascii="Times New Roman" w:hAnsi="Times New Roman" w:cs="Times New Roman"/>
          <w:b/>
          <w:sz w:val="24"/>
          <w:szCs w:val="24"/>
        </w:rPr>
      </w:pPr>
    </w:p>
    <w:p w:rsidR="00E009D9" w:rsidRDefault="00E009D9" w:rsidP="0027736C">
      <w:pPr>
        <w:pStyle w:val="Heading1"/>
      </w:pPr>
      <w:bookmarkStart w:id="7" w:name="_Toc6873769"/>
      <w:r>
        <w:lastRenderedPageBreak/>
        <w:t xml:space="preserve">3.0 </w:t>
      </w:r>
      <w:r w:rsidR="008712C4" w:rsidRPr="00E009D9">
        <w:t>Measurement of systemic risk</w:t>
      </w:r>
      <w:bookmarkEnd w:id="7"/>
    </w:p>
    <w:p w:rsidR="008712C4" w:rsidRPr="001A01F0" w:rsidRDefault="008712C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What is the most apposite tool for measuring systemic risk is a topic for argument for scholars of finance and economics. Systemic risk arises from the risks that are endogenous to the industry/firm as well as it can arise from exogenous factors rendering the measurement of systemic risk very difficult. The unpredictable nature of the market and the very complicated and vast interconnectedness that today’s financial institution has make the task of systemic risk assessment all th</w:t>
      </w:r>
      <w:r w:rsidR="00504E2B" w:rsidRPr="001A01F0">
        <w:rPr>
          <w:rFonts w:ascii="Times New Roman" w:hAnsi="Times New Roman" w:cs="Times New Roman"/>
          <w:sz w:val="24"/>
          <w:szCs w:val="24"/>
        </w:rPr>
        <w:t xml:space="preserve">e more cumbersome. In the time of financial downturn or any adversity of the sort what attributes should a firm possess to withstand these untoward events is ambiguous in many cases. There are myriad of reasons that may precipitate a </w:t>
      </w:r>
      <w:r w:rsidR="00180565" w:rsidRPr="001A01F0">
        <w:rPr>
          <w:rFonts w:ascii="Times New Roman" w:hAnsi="Times New Roman" w:cs="Times New Roman"/>
          <w:sz w:val="24"/>
          <w:szCs w:val="24"/>
        </w:rPr>
        <w:t>systemic failure. We are yet to develop a mathematically sophisticated enough technique that accounts for all possible untoward events. There has been though a number of techniques developed to account for the measurement of systemic risk as effectively as possible. SRISK, CoVaR, TICTF, and TBTF are such few leading technique to measure systemic risk.</w:t>
      </w:r>
    </w:p>
    <w:p w:rsidR="00076A7D" w:rsidRPr="00716D83" w:rsidRDefault="00716D83" w:rsidP="0027736C">
      <w:pPr>
        <w:pStyle w:val="Heading2"/>
      </w:pPr>
      <w:bookmarkStart w:id="8" w:name="_Toc6873770"/>
      <w:r>
        <w:t xml:space="preserve">3.0.1 </w:t>
      </w:r>
      <w:r w:rsidR="00076A7D" w:rsidRPr="00716D83">
        <w:t>Systemic Contingent Claim Analysis</w:t>
      </w:r>
      <w:bookmarkEnd w:id="8"/>
    </w:p>
    <w:p w:rsidR="00076A7D" w:rsidRPr="001A01F0" w:rsidRDefault="00076A7D"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“Systemic Contingent Claim Analysis was proposed…as a new measure of systemic risk founded on two main theories: contingent claim analysis and extreme value theory…Contingent claim analysis is a generalization of the option pricing theory… which is necessary in order to estimate each firm’s expected losses. Extreme value theory is used to combine the individual firms’ expected losses through a dependence measure in order to derive the joint expected losses as a measurement of systemic riskiness.”</w:t>
      </w:r>
      <w:sdt>
        <w:sdtPr>
          <w:rPr>
            <w:rFonts w:ascii="Times New Roman" w:hAnsi="Times New Roman" w:cs="Times New Roman"/>
            <w:sz w:val="24"/>
            <w:szCs w:val="24"/>
          </w:rPr>
          <w:id w:val="201292339"/>
          <w:citation/>
        </w:sdtPr>
        <w:sdtContent>
          <w:r w:rsidRPr="001A01F0">
            <w:rPr>
              <w:rFonts w:ascii="Times New Roman" w:hAnsi="Times New Roman" w:cs="Times New Roman"/>
              <w:sz w:val="24"/>
              <w:szCs w:val="24"/>
            </w:rPr>
            <w:fldChar w:fldCharType="begin"/>
          </w:r>
          <w:r w:rsidRPr="001A01F0">
            <w:rPr>
              <w:rFonts w:ascii="Times New Roman" w:hAnsi="Times New Roman" w:cs="Times New Roman"/>
              <w:sz w:val="24"/>
              <w:szCs w:val="24"/>
            </w:rPr>
            <w:instrText xml:space="preserve"> CITATION And13 \l 1033 </w:instrText>
          </w:r>
          <w:r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(Gray, Feb 2013)</w:t>
          </w:r>
          <w:r w:rsidRPr="001A01F0">
            <w:rPr>
              <w:rFonts w:ascii="Times New Roman" w:hAnsi="Times New Roman" w:cs="Times New Roman"/>
              <w:sz w:val="24"/>
              <w:szCs w:val="24"/>
            </w:rPr>
            <w:fldChar w:fldCharType="end"/>
          </w:r>
        </w:sdtContent>
      </w:sdt>
    </w:p>
    <w:p w:rsidR="00076A7D" w:rsidRPr="001A01F0" w:rsidRDefault="00076A7D"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“More in detail, contingent claim analysis is a risk-adjusted balance-sheet framework based on three main principles: i) the values of liabilities can be derived from the value of assets; ii) assets follow a stochastic process; and iii) liabilities have different seniorities. These principles allow one to compute the value of equity as the value of an implicit call option on assets, and the value of risky debt as the difference between default-free debt and a guarantee against default. This guarantee can be calculated as the value of a put option on assets.”</w:t>
      </w:r>
      <w:sdt>
        <w:sdtPr>
          <w:rPr>
            <w:rFonts w:ascii="Times New Roman" w:hAnsi="Times New Roman" w:cs="Times New Roman"/>
            <w:sz w:val="24"/>
            <w:szCs w:val="24"/>
          </w:rPr>
          <w:id w:val="10417881"/>
          <w:citation/>
        </w:sdtPr>
        <w:sdtContent>
          <w:r w:rsidRPr="001A01F0">
            <w:rPr>
              <w:rFonts w:ascii="Times New Roman" w:hAnsi="Times New Roman" w:cs="Times New Roman"/>
              <w:sz w:val="24"/>
              <w:szCs w:val="24"/>
            </w:rPr>
            <w:fldChar w:fldCharType="begin"/>
          </w:r>
          <w:r w:rsidRPr="001A01F0">
            <w:rPr>
              <w:rFonts w:ascii="Times New Roman" w:hAnsi="Times New Roman" w:cs="Times New Roman"/>
              <w:sz w:val="24"/>
              <w:szCs w:val="24"/>
            </w:rPr>
            <w:instrText xml:space="preserve"> CITATION And13 \l 1033 </w:instrText>
          </w:r>
          <w:r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(Gray, Feb 2013)</w:t>
          </w:r>
          <w:r w:rsidRPr="001A01F0">
            <w:rPr>
              <w:rFonts w:ascii="Times New Roman" w:hAnsi="Times New Roman" w:cs="Times New Roman"/>
              <w:sz w:val="24"/>
              <w:szCs w:val="24"/>
            </w:rPr>
            <w:fldChar w:fldCharType="end"/>
          </w:r>
        </w:sdtContent>
      </w:sdt>
    </w:p>
    <w:p w:rsidR="00076A7D" w:rsidRPr="001A01F0" w:rsidRDefault="00076A7D"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“The main strengths of Systemic Contingent Claim Analysis are that it can be used to derive market-implied expected losses and that it endogenizes the loss given default. On the other hand, the major drawbacks are that it is not easy to calculate and that it relies on the specification of the option pricing model.”</w:t>
      </w:r>
    </w:p>
    <w:p w:rsidR="00076A7D" w:rsidRPr="001A01F0" w:rsidRDefault="00076A7D" w:rsidP="00027826">
      <w:pPr>
        <w:pStyle w:val="NoSpacing"/>
        <w:spacing w:line="360" w:lineRule="auto"/>
        <w:jc w:val="both"/>
        <w:rPr>
          <w:rFonts w:ascii="Times New Roman" w:hAnsi="Times New Roman" w:cs="Times New Roman"/>
          <w:sz w:val="24"/>
          <w:szCs w:val="24"/>
        </w:rPr>
      </w:pPr>
    </w:p>
    <w:p w:rsidR="00076A7D" w:rsidRPr="001A01F0" w:rsidRDefault="00076A7D"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lastRenderedPageBreak/>
        <w:t>“[</w:t>
      </w:r>
      <w:r w:rsidRPr="001A01F0">
        <w:rPr>
          <w:rFonts w:ascii="Times New Roman" w:hAnsi="Times New Roman" w:cs="Times New Roman"/>
          <w:i/>
          <w:iCs/>
          <w:sz w:val="24"/>
          <w:szCs w:val="24"/>
        </w:rPr>
        <w:t>The figure below</w:t>
      </w:r>
      <w:r w:rsidRPr="001A01F0">
        <w:rPr>
          <w:rFonts w:ascii="Times New Roman" w:hAnsi="Times New Roman" w:cs="Times New Roman"/>
          <w:sz w:val="24"/>
          <w:szCs w:val="24"/>
        </w:rPr>
        <w:t>] exhibits the total contingent liabilities of thirty-six US financial institutions. The blue line shows the total level of contingent liabilities, which reflects `the concurrent realization of individual distress at an average degree of severity.”</w:t>
      </w:r>
    </w:p>
    <w:p w:rsidR="0078191E" w:rsidRPr="001A01F0" w:rsidRDefault="00076A7D" w:rsidP="00027826">
      <w:pPr>
        <w:pStyle w:val="NoSpacing"/>
        <w:spacing w:line="360" w:lineRule="auto"/>
        <w:jc w:val="both"/>
        <w:rPr>
          <w:rFonts w:ascii="Times New Roman" w:eastAsia="Times New Roman" w:hAnsi="Times New Roman" w:cs="Times New Roman"/>
          <w:noProof/>
          <w:color w:val="222222"/>
          <w:sz w:val="24"/>
          <w:szCs w:val="24"/>
        </w:rPr>
      </w:pPr>
      <w:r w:rsidRPr="001A01F0">
        <w:rPr>
          <w:rFonts w:ascii="Times New Roman" w:eastAsia="Times New Roman" w:hAnsi="Times New Roman" w:cs="Times New Roman"/>
          <w:noProof/>
          <w:color w:val="222222"/>
          <w:sz w:val="24"/>
          <w:szCs w:val="24"/>
        </w:rPr>
        <w:t xml:space="preserve">              </w:t>
      </w:r>
    </w:p>
    <w:p w:rsidR="0078191E" w:rsidRPr="001A01F0" w:rsidRDefault="0078191E" w:rsidP="00027826">
      <w:pPr>
        <w:pStyle w:val="NoSpacing"/>
        <w:spacing w:line="360" w:lineRule="auto"/>
        <w:jc w:val="both"/>
        <w:rPr>
          <w:rFonts w:ascii="Times New Roman" w:eastAsia="Times New Roman" w:hAnsi="Times New Roman" w:cs="Times New Roman"/>
          <w:noProof/>
          <w:color w:val="222222"/>
          <w:sz w:val="24"/>
          <w:szCs w:val="24"/>
        </w:rPr>
      </w:pPr>
    </w:p>
    <w:p w:rsidR="0078191E" w:rsidRPr="001A01F0" w:rsidRDefault="0078191E" w:rsidP="00027826">
      <w:pPr>
        <w:pStyle w:val="NoSpacing"/>
        <w:spacing w:line="360" w:lineRule="auto"/>
        <w:jc w:val="both"/>
        <w:rPr>
          <w:rFonts w:ascii="Times New Roman" w:eastAsia="Times New Roman" w:hAnsi="Times New Roman" w:cs="Times New Roman"/>
          <w:noProof/>
          <w:color w:val="222222"/>
          <w:sz w:val="24"/>
          <w:szCs w:val="24"/>
        </w:rPr>
      </w:pPr>
    </w:p>
    <w:p w:rsidR="0078191E" w:rsidRPr="001A01F0" w:rsidRDefault="0078191E" w:rsidP="00027826">
      <w:pPr>
        <w:pStyle w:val="NoSpacing"/>
        <w:spacing w:line="360" w:lineRule="auto"/>
        <w:jc w:val="both"/>
        <w:rPr>
          <w:rFonts w:ascii="Times New Roman" w:eastAsia="Times New Roman" w:hAnsi="Times New Roman" w:cs="Times New Roman"/>
          <w:noProof/>
          <w:color w:val="222222"/>
          <w:sz w:val="24"/>
          <w:szCs w:val="24"/>
        </w:rPr>
      </w:pPr>
    </w:p>
    <w:p w:rsidR="0078191E" w:rsidRDefault="0078191E" w:rsidP="00027826">
      <w:pPr>
        <w:pStyle w:val="NoSpacing"/>
        <w:spacing w:line="360" w:lineRule="auto"/>
        <w:jc w:val="both"/>
        <w:rPr>
          <w:rFonts w:ascii="Times New Roman" w:eastAsia="Times New Roman" w:hAnsi="Times New Roman" w:cs="Times New Roman"/>
          <w:noProof/>
          <w:color w:val="222222"/>
          <w:sz w:val="24"/>
          <w:szCs w:val="24"/>
        </w:rPr>
      </w:pPr>
    </w:p>
    <w:p w:rsidR="00716D83" w:rsidRDefault="00716D83" w:rsidP="00027826">
      <w:pPr>
        <w:pStyle w:val="NoSpacing"/>
        <w:spacing w:line="360" w:lineRule="auto"/>
        <w:jc w:val="both"/>
        <w:rPr>
          <w:rFonts w:ascii="Times New Roman" w:eastAsia="Times New Roman" w:hAnsi="Times New Roman" w:cs="Times New Roman"/>
          <w:noProof/>
          <w:color w:val="222222"/>
          <w:sz w:val="24"/>
          <w:szCs w:val="24"/>
        </w:rPr>
      </w:pPr>
    </w:p>
    <w:p w:rsidR="00716D83" w:rsidRDefault="00716D83" w:rsidP="00027826">
      <w:pPr>
        <w:pStyle w:val="NoSpacing"/>
        <w:spacing w:line="360" w:lineRule="auto"/>
        <w:jc w:val="both"/>
        <w:rPr>
          <w:rFonts w:ascii="Times New Roman" w:eastAsia="Times New Roman" w:hAnsi="Times New Roman" w:cs="Times New Roman"/>
          <w:noProof/>
          <w:color w:val="222222"/>
          <w:sz w:val="24"/>
          <w:szCs w:val="24"/>
        </w:rPr>
      </w:pPr>
    </w:p>
    <w:p w:rsidR="00716D83" w:rsidRDefault="00716D83" w:rsidP="00027826">
      <w:pPr>
        <w:pStyle w:val="NoSpacing"/>
        <w:spacing w:line="360" w:lineRule="auto"/>
        <w:jc w:val="both"/>
        <w:rPr>
          <w:rFonts w:ascii="Times New Roman" w:eastAsia="Times New Roman" w:hAnsi="Times New Roman" w:cs="Times New Roman"/>
          <w:noProof/>
          <w:color w:val="222222"/>
          <w:sz w:val="24"/>
          <w:szCs w:val="24"/>
        </w:rPr>
      </w:pPr>
    </w:p>
    <w:p w:rsidR="00716D83" w:rsidRPr="001A01F0" w:rsidRDefault="00716D83" w:rsidP="00027826">
      <w:pPr>
        <w:pStyle w:val="NoSpacing"/>
        <w:spacing w:line="360" w:lineRule="auto"/>
        <w:jc w:val="both"/>
        <w:rPr>
          <w:rFonts w:ascii="Times New Roman" w:eastAsia="Times New Roman" w:hAnsi="Times New Roman" w:cs="Times New Roman"/>
          <w:noProof/>
          <w:color w:val="222222"/>
          <w:sz w:val="24"/>
          <w:szCs w:val="24"/>
        </w:rPr>
      </w:pPr>
    </w:p>
    <w:p w:rsidR="00076A7D" w:rsidRPr="001A01F0" w:rsidRDefault="0078191E" w:rsidP="00027826">
      <w:pPr>
        <w:pStyle w:val="NoSpacing"/>
        <w:spacing w:line="360" w:lineRule="auto"/>
        <w:jc w:val="both"/>
        <w:rPr>
          <w:rFonts w:ascii="Times New Roman" w:eastAsia="Times New Roman" w:hAnsi="Times New Roman" w:cs="Times New Roman"/>
          <w:noProof/>
          <w:color w:val="222222"/>
          <w:sz w:val="24"/>
          <w:szCs w:val="24"/>
        </w:rPr>
      </w:pPr>
      <w:r w:rsidRPr="001A01F0">
        <w:rPr>
          <w:rFonts w:ascii="Times New Roman" w:eastAsia="Times New Roman" w:hAnsi="Times New Roman" w:cs="Times New Roman"/>
          <w:noProof/>
          <w:color w:val="222222"/>
          <w:sz w:val="24"/>
          <w:szCs w:val="24"/>
        </w:rPr>
        <w:t xml:space="preserve">                </w:t>
      </w:r>
      <w:r w:rsidR="00076A7D" w:rsidRPr="001A01F0">
        <w:rPr>
          <w:rFonts w:ascii="Times New Roman" w:hAnsi="Times New Roman" w:cs="Times New Roman"/>
          <w:sz w:val="24"/>
          <w:szCs w:val="24"/>
        </w:rPr>
        <w:t>Figure 3 Systemic CCA estimates for USA</w:t>
      </w:r>
    </w:p>
    <w:p w:rsidR="00076A7D" w:rsidRPr="001A01F0" w:rsidRDefault="00076A7D" w:rsidP="00027826">
      <w:pPr>
        <w:pStyle w:val="NoSpacing"/>
        <w:spacing w:line="360" w:lineRule="auto"/>
        <w:jc w:val="both"/>
        <w:rPr>
          <w:rFonts w:ascii="Times New Roman" w:eastAsia="Times New Roman" w:hAnsi="Times New Roman" w:cs="Times New Roman"/>
          <w:color w:val="222222"/>
          <w:sz w:val="24"/>
          <w:szCs w:val="24"/>
        </w:rPr>
      </w:pPr>
      <w:r w:rsidRPr="001A01F0">
        <w:rPr>
          <w:rFonts w:ascii="Times New Roman" w:eastAsia="Times New Roman" w:hAnsi="Times New Roman" w:cs="Times New Roman"/>
          <w:noProof/>
          <w:color w:val="222222"/>
          <w:sz w:val="24"/>
          <w:szCs w:val="24"/>
        </w:rPr>
        <w:drawing>
          <wp:inline distT="0" distB="0" distL="0" distR="0" wp14:anchorId="267291DD" wp14:editId="6DC939E5">
            <wp:extent cx="5583196" cy="3709452"/>
            <wp:effectExtent l="0" t="0" r="0" b="5715"/>
            <wp:docPr id="3" name="Picture 3" descr="http://www.sr-sv.com/wp-content/uploads/2018/11/SRM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r-sv.com/wp-content/uploads/2018/11/SRM_08.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1006" t="7100"/>
                    <a:stretch/>
                  </pic:blipFill>
                  <pic:spPr bwMode="auto">
                    <a:xfrm>
                      <a:off x="0" y="0"/>
                      <a:ext cx="5632653" cy="3742311"/>
                    </a:xfrm>
                    <a:prstGeom prst="rect">
                      <a:avLst/>
                    </a:prstGeom>
                    <a:noFill/>
                    <a:ln>
                      <a:noFill/>
                    </a:ln>
                    <a:extLst>
                      <a:ext uri="{53640926-AAD7-44D8-BBD7-CCE9431645EC}">
                        <a14:shadowObscured xmlns:a14="http://schemas.microsoft.com/office/drawing/2010/main"/>
                      </a:ext>
                    </a:extLst>
                  </pic:spPr>
                </pic:pic>
              </a:graphicData>
            </a:graphic>
          </wp:inline>
        </w:drawing>
      </w:r>
    </w:p>
    <w:p w:rsidR="00076A7D" w:rsidRPr="001A01F0" w:rsidRDefault="00076A7D" w:rsidP="00027826">
      <w:pPr>
        <w:pStyle w:val="NoSpacing"/>
        <w:spacing w:line="360" w:lineRule="auto"/>
        <w:jc w:val="both"/>
        <w:rPr>
          <w:rFonts w:ascii="Times New Roman" w:hAnsi="Times New Roman" w:cs="Times New Roman"/>
          <w:sz w:val="24"/>
          <w:szCs w:val="24"/>
        </w:rPr>
      </w:pPr>
    </w:p>
    <w:p w:rsidR="00076A7D" w:rsidRPr="001A01F0" w:rsidRDefault="00076A7D" w:rsidP="00027826">
      <w:pPr>
        <w:pStyle w:val="NoSpacing"/>
        <w:spacing w:line="360" w:lineRule="auto"/>
        <w:jc w:val="both"/>
        <w:rPr>
          <w:rFonts w:ascii="Times New Roman" w:hAnsi="Times New Roman" w:cs="Times New Roman"/>
          <w:sz w:val="24"/>
          <w:szCs w:val="24"/>
        </w:rPr>
      </w:pPr>
    </w:p>
    <w:p w:rsidR="00180565" w:rsidRPr="001A01F0" w:rsidRDefault="00180565" w:rsidP="00027826">
      <w:pPr>
        <w:pStyle w:val="NoSpacing"/>
        <w:spacing w:line="360" w:lineRule="auto"/>
        <w:jc w:val="both"/>
        <w:rPr>
          <w:rFonts w:ascii="Times New Roman" w:hAnsi="Times New Roman" w:cs="Times New Roman"/>
          <w:sz w:val="24"/>
          <w:szCs w:val="24"/>
        </w:rPr>
      </w:pPr>
    </w:p>
    <w:p w:rsidR="00716D83" w:rsidRDefault="00716D83" w:rsidP="0027736C">
      <w:pPr>
        <w:pStyle w:val="Heading2"/>
      </w:pPr>
      <w:bookmarkStart w:id="9" w:name="_Toc6873771"/>
      <w:r>
        <w:lastRenderedPageBreak/>
        <w:t xml:space="preserve">3.0.2 </w:t>
      </w:r>
      <w:r w:rsidR="00180565" w:rsidRPr="00716D83">
        <w:t>SRISK</w:t>
      </w:r>
      <w:bookmarkEnd w:id="9"/>
    </w:p>
    <w:p w:rsidR="00FA0282" w:rsidRPr="001A01F0" w:rsidRDefault="0018056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SRISK stand for Systemic Risk. It is a forecast of the amount of the capital a financial institution would need to raise in order to function normally in the event of a financial crisis. The model is based on the fact that if a firms asset value approach the value of the liability the firm will find it impossible to borrow sufficient </w:t>
      </w:r>
      <w:r w:rsidR="00FA0282" w:rsidRPr="001A01F0">
        <w:rPr>
          <w:rFonts w:ascii="Times New Roman" w:hAnsi="Times New Roman" w:cs="Times New Roman"/>
          <w:sz w:val="24"/>
          <w:szCs w:val="24"/>
        </w:rPr>
        <w:t xml:space="preserve">money or get cash to run its operations normally. The SRISK model is developed by Brownlees and Engle. SRISK is the capital that a financial firm would need to raise in order to continue to function normally if we have another financial crisis. Because it is difficult to raise capital in a financial crisis, this capital shortfall will either be met mostly by the taxpayer money or the firm will cease to function normally and may fail. For this reason, the measure is considered to be an indicator of systemic risk in much the same way as are supervisory stress tests Normal operation of a financial firm requires that its market capital ratio (its market value of equity divided by the sum of the book value of liabilities and the market value of equity) be above the prudential capital ratio. Let k denote this prudential ratio. The capital shortfall of a financial firm at horizon T can therefore be computed as: </w:t>
      </w:r>
    </w:p>
    <w:p w:rsidR="00FA0282" w:rsidRPr="001A01F0" w:rsidRDefault="00FA0282" w:rsidP="00027826">
      <w:pPr>
        <w:pStyle w:val="NoSpacing"/>
        <w:spacing w:line="360" w:lineRule="auto"/>
        <w:jc w:val="both"/>
        <w:rPr>
          <w:rFonts w:ascii="Times New Roman" w:hAnsi="Times New Roman" w:cs="Times New Roman"/>
          <w:sz w:val="24"/>
          <w:szCs w:val="24"/>
        </w:rPr>
      </w:pPr>
    </w:p>
    <w:p w:rsidR="00223FD3" w:rsidRPr="001A01F0" w:rsidRDefault="00FA0282"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                               </w:t>
      </w:r>
      <w:r w:rsidR="006478C6" w:rsidRPr="001A01F0">
        <w:rPr>
          <w:rFonts w:ascii="Times New Roman" w:hAnsi="Times New Roman" w:cs="Times New Roman"/>
          <w:sz w:val="24"/>
          <w:szCs w:val="24"/>
        </w:rPr>
        <w:t>Capital Shortf</w:t>
      </w:r>
      <w:r w:rsidR="00DC2D5E" w:rsidRPr="001A01F0">
        <w:rPr>
          <w:rFonts w:ascii="Times New Roman" w:hAnsi="Times New Roman" w:cs="Times New Roman"/>
          <w:sz w:val="24"/>
          <w:szCs w:val="24"/>
        </w:rPr>
        <w:t xml:space="preserve">all = </w:t>
      </w:r>
      <m:oMath>
        <m:r>
          <w:rPr>
            <w:rFonts w:ascii="Cambria Math" w:hAnsi="Cambria Math" w:cs="Times New Roman"/>
            <w:sz w:val="24"/>
            <w:szCs w:val="24"/>
          </w:rPr>
          <m:t>K</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Debt</m:t>
                </m:r>
              </m:e>
              <m:sub>
                <m:r>
                  <w:rPr>
                    <w:rFonts w:ascii="Cambria Math" w:hAnsi="Cambria Math" w:cs="Times New Roman"/>
                    <w:sz w:val="24"/>
                    <w:szCs w:val="24"/>
                  </w:rPr>
                  <m:t>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Equity</m:t>
                </m:r>
              </m:e>
              <m:sub>
                <m:r>
                  <w:rPr>
                    <w:rFonts w:ascii="Cambria Math" w:hAnsi="Cambria Math" w:cs="Times New Roman"/>
                    <w:sz w:val="24"/>
                    <w:szCs w:val="24"/>
                  </w:rPr>
                  <m:t>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Equity</m:t>
            </m:r>
          </m:e>
          <m:sub>
            <m:r>
              <w:rPr>
                <w:rFonts w:ascii="Cambria Math" w:hAnsi="Cambria Math" w:cs="Times New Roman"/>
                <w:sz w:val="24"/>
                <w:szCs w:val="24"/>
              </w:rPr>
              <m:t>t+T</m:t>
            </m:r>
          </m:sub>
        </m:sSub>
      </m:oMath>
      <w:r w:rsidR="00C6186F" w:rsidRPr="001A01F0">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017349167"/>
          <w:citation/>
        </w:sdtPr>
        <w:sdtContent>
          <w:r w:rsidR="00C6186F" w:rsidRPr="001A01F0">
            <w:rPr>
              <w:rFonts w:ascii="Times New Roman" w:eastAsiaTheme="minorEastAsia" w:hAnsi="Times New Roman" w:cs="Times New Roman"/>
              <w:sz w:val="24"/>
              <w:szCs w:val="24"/>
            </w:rPr>
            <w:fldChar w:fldCharType="begin"/>
          </w:r>
          <w:r w:rsidR="00C6186F" w:rsidRPr="001A01F0">
            <w:rPr>
              <w:rFonts w:ascii="Times New Roman" w:eastAsiaTheme="minorEastAsia" w:hAnsi="Times New Roman" w:cs="Times New Roman"/>
              <w:sz w:val="24"/>
              <w:szCs w:val="24"/>
            </w:rPr>
            <w:instrText xml:space="preserve"> CITATION Rob18 \l 1033 </w:instrText>
          </w:r>
          <w:r w:rsidR="00C6186F" w:rsidRPr="001A01F0">
            <w:rPr>
              <w:rFonts w:ascii="Times New Roman" w:eastAsiaTheme="minorEastAsia" w:hAnsi="Times New Roman" w:cs="Times New Roman"/>
              <w:sz w:val="24"/>
              <w:szCs w:val="24"/>
            </w:rPr>
            <w:fldChar w:fldCharType="separate"/>
          </w:r>
          <w:r w:rsidR="00B83DB3" w:rsidRPr="00B83DB3">
            <w:rPr>
              <w:rFonts w:ascii="Times New Roman" w:eastAsiaTheme="minorEastAsia" w:hAnsi="Times New Roman" w:cs="Times New Roman"/>
              <w:noProof/>
              <w:sz w:val="24"/>
              <w:szCs w:val="24"/>
            </w:rPr>
            <w:t>(Robert Engle, September 27, 2018)</w:t>
          </w:r>
          <w:r w:rsidR="00C6186F" w:rsidRPr="001A01F0">
            <w:rPr>
              <w:rFonts w:ascii="Times New Roman" w:eastAsiaTheme="minorEastAsia" w:hAnsi="Times New Roman" w:cs="Times New Roman"/>
              <w:sz w:val="24"/>
              <w:szCs w:val="24"/>
            </w:rPr>
            <w:fldChar w:fldCharType="end"/>
          </w:r>
        </w:sdtContent>
      </w:sdt>
    </w:p>
    <w:p w:rsidR="00F53F35" w:rsidRPr="001A01F0" w:rsidRDefault="00F53F35" w:rsidP="00027826">
      <w:pPr>
        <w:pStyle w:val="NoSpacing"/>
        <w:spacing w:line="360" w:lineRule="auto"/>
        <w:jc w:val="both"/>
        <w:rPr>
          <w:rFonts w:ascii="Times New Roman" w:hAnsi="Times New Roman" w:cs="Times New Roman"/>
          <w:sz w:val="24"/>
          <w:szCs w:val="24"/>
        </w:rPr>
      </w:pPr>
    </w:p>
    <w:p w:rsidR="00FA0282" w:rsidRPr="001A01F0" w:rsidRDefault="00FA0282"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SRISK is defined as the median capital shortfall conditional on a financial crisis. </w:t>
      </w:r>
    </w:p>
    <w:p w:rsidR="00C6186F" w:rsidRPr="001A01F0" w:rsidRDefault="00C6186F" w:rsidP="00027826">
      <w:pPr>
        <w:pStyle w:val="NoSpacing"/>
        <w:spacing w:line="360" w:lineRule="auto"/>
        <w:jc w:val="both"/>
        <w:rPr>
          <w:rFonts w:ascii="Times New Roman" w:hAnsi="Times New Roman" w:cs="Times New Roman"/>
          <w:sz w:val="24"/>
          <w:szCs w:val="24"/>
        </w:rPr>
      </w:pPr>
    </w:p>
    <w:p w:rsidR="006478C6" w:rsidRPr="001A01F0" w:rsidRDefault="006478C6"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SRISK is computed from:</w:t>
      </w:r>
    </w:p>
    <w:p w:rsidR="00DC2D5E" w:rsidRPr="001A01F0" w:rsidRDefault="00DC2D5E" w:rsidP="00027826">
      <w:pPr>
        <w:pStyle w:val="NoSpacing"/>
        <w:spacing w:line="360" w:lineRule="auto"/>
        <w:jc w:val="both"/>
        <w:rPr>
          <w:rFonts w:ascii="Times New Roman" w:eastAsiaTheme="minorEastAsia" w:hAnsi="Times New Roman" w:cs="Times New Roman"/>
          <w:sz w:val="24"/>
          <w:szCs w:val="24"/>
        </w:rPr>
      </w:pPr>
      <w:r w:rsidRPr="001A01F0">
        <w:rPr>
          <w:rFonts w:ascii="Times New Roman" w:hAnsi="Times New Roman" w:cs="Times New Roman"/>
          <w:sz w:val="24"/>
          <w:szCs w:val="24"/>
        </w:rPr>
        <w:t xml:space="preserve">                          SRSK=</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r>
          <w:rPr>
            <w:rFonts w:ascii="Cambria Math" w:hAnsi="Cambria Math" w:cs="Times New Roman"/>
            <w:sz w:val="24"/>
            <w:szCs w:val="24"/>
          </w:rPr>
          <m:t>(CapitalShortfall/Crisis)</m:t>
        </m:r>
      </m:oMath>
    </w:p>
    <w:p w:rsidR="00DC2D5E" w:rsidRPr="001A01F0" w:rsidRDefault="00DC2D5E" w:rsidP="00027826">
      <w:pPr>
        <w:pStyle w:val="NoSpacing"/>
        <w:spacing w:line="360" w:lineRule="auto"/>
        <w:jc w:val="both"/>
        <w:rPr>
          <w:rFonts w:ascii="Times New Roman" w:eastAsiaTheme="minorEastAsia" w:hAnsi="Times New Roman" w:cs="Times New Roman"/>
          <w:sz w:val="24"/>
          <w:szCs w:val="24"/>
        </w:rPr>
      </w:pPr>
      <w:r w:rsidRPr="001A01F0">
        <w:rPr>
          <w:rFonts w:ascii="Times New Roman" w:eastAsiaTheme="minorEastAsia" w:hAnsi="Times New Roman" w:cs="Times New Roman"/>
          <w:sz w:val="24"/>
          <w:szCs w:val="24"/>
        </w:rPr>
        <w:t xml:space="preserve">                                </w:t>
      </w:r>
      <w:r w:rsidR="00C6186F" w:rsidRPr="001A01F0">
        <w:rPr>
          <w:rFonts w:ascii="Times New Roman" w:eastAsiaTheme="minorEastAsia" w:hAnsi="Times New Roman" w:cs="Times New Roman"/>
          <w:sz w:val="24"/>
          <w:szCs w:val="24"/>
        </w:rPr>
        <w:t xml:space="preserve"> </w:t>
      </w:r>
      <w:r w:rsidRPr="001A01F0">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t-1</m:t>
            </m:r>
          </m:sub>
        </m:sSub>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Debt+Equity</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Equity</m:t>
            </m:r>
          </m:num>
          <m:den>
            <m:r>
              <w:rPr>
                <w:rFonts w:ascii="Cambria Math" w:eastAsiaTheme="minorEastAsia" w:hAnsi="Cambria Math" w:cs="Times New Roman"/>
                <w:sz w:val="24"/>
                <w:szCs w:val="24"/>
              </w:rPr>
              <m:t>Crisis</m:t>
            </m:r>
          </m:den>
        </m:f>
      </m:oMath>
    </w:p>
    <w:p w:rsidR="00C6186F" w:rsidRPr="001A01F0" w:rsidRDefault="00C6186F" w:rsidP="00027826">
      <w:pPr>
        <w:pStyle w:val="NoSpacing"/>
        <w:spacing w:line="360" w:lineRule="auto"/>
        <w:jc w:val="both"/>
        <w:rPr>
          <w:rFonts w:ascii="Times New Roman" w:eastAsiaTheme="minorEastAsia" w:hAnsi="Times New Roman" w:cs="Times New Roman"/>
          <w:sz w:val="24"/>
          <w:szCs w:val="24"/>
        </w:rPr>
      </w:pPr>
      <w:r w:rsidRPr="001A01F0">
        <w:rPr>
          <w:rFonts w:ascii="Times New Roman" w:eastAsiaTheme="minorEastAsia" w:hAnsi="Times New Roman" w:cs="Times New Roman"/>
          <w:sz w:val="24"/>
          <w:szCs w:val="24"/>
        </w:rPr>
        <w:t xml:space="preserve">                                   = </w:t>
      </w:r>
      <m:oMath>
        <m:r>
          <w:rPr>
            <w:rFonts w:ascii="Cambria Math" w:eastAsiaTheme="minorEastAsia" w:hAnsi="Cambria Math" w:cs="Times New Roman"/>
            <w:sz w:val="24"/>
            <w:szCs w:val="24"/>
          </w:rPr>
          <m:t>kDebt-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1-k</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1-LREMS</m:t>
            </m:r>
          </m:e>
        </m:d>
        <m:r>
          <w:rPr>
            <w:rFonts w:ascii="Cambria Math" w:eastAsiaTheme="minorEastAsia" w:hAnsi="Cambria Math" w:cs="Times New Roman"/>
            <w:sz w:val="24"/>
            <w:szCs w:val="24"/>
          </w:rPr>
          <m:t>Equity</m:t>
        </m:r>
      </m:oMath>
      <w:r w:rsidRPr="001A01F0">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618536845"/>
          <w:citation/>
        </w:sdtPr>
        <w:sdtContent>
          <w:r w:rsidRPr="001A01F0">
            <w:rPr>
              <w:rFonts w:ascii="Times New Roman" w:eastAsiaTheme="minorEastAsia" w:hAnsi="Times New Roman" w:cs="Times New Roman"/>
              <w:sz w:val="24"/>
              <w:szCs w:val="24"/>
            </w:rPr>
            <w:fldChar w:fldCharType="begin"/>
          </w:r>
          <w:r w:rsidRPr="001A01F0">
            <w:rPr>
              <w:rFonts w:ascii="Times New Roman" w:eastAsiaTheme="minorEastAsia" w:hAnsi="Times New Roman" w:cs="Times New Roman"/>
              <w:sz w:val="24"/>
              <w:szCs w:val="24"/>
            </w:rPr>
            <w:instrText xml:space="preserve"> CITATION Rob18 \l 1033 </w:instrText>
          </w:r>
          <w:r w:rsidRPr="001A01F0">
            <w:rPr>
              <w:rFonts w:ascii="Times New Roman" w:eastAsiaTheme="minorEastAsia" w:hAnsi="Times New Roman" w:cs="Times New Roman"/>
              <w:sz w:val="24"/>
              <w:szCs w:val="24"/>
            </w:rPr>
            <w:fldChar w:fldCharType="separate"/>
          </w:r>
          <w:r w:rsidR="00B83DB3" w:rsidRPr="00B83DB3">
            <w:rPr>
              <w:rFonts w:ascii="Times New Roman" w:eastAsiaTheme="minorEastAsia" w:hAnsi="Times New Roman" w:cs="Times New Roman"/>
              <w:noProof/>
              <w:sz w:val="24"/>
              <w:szCs w:val="24"/>
            </w:rPr>
            <w:t>(Robert Engle, September 27, 2018)</w:t>
          </w:r>
          <w:r w:rsidRPr="001A01F0">
            <w:rPr>
              <w:rFonts w:ascii="Times New Roman" w:eastAsiaTheme="minorEastAsia" w:hAnsi="Times New Roman" w:cs="Times New Roman"/>
              <w:sz w:val="24"/>
              <w:szCs w:val="24"/>
            </w:rPr>
            <w:fldChar w:fldCharType="end"/>
          </w:r>
        </w:sdtContent>
      </w:sdt>
    </w:p>
    <w:p w:rsidR="00C6186F" w:rsidRPr="001A01F0" w:rsidRDefault="00C6186F" w:rsidP="00027826">
      <w:pPr>
        <w:pStyle w:val="NoSpacing"/>
        <w:spacing w:line="360" w:lineRule="auto"/>
        <w:jc w:val="both"/>
        <w:rPr>
          <w:rFonts w:ascii="Times New Roman" w:eastAsiaTheme="minorEastAsia" w:hAnsi="Times New Roman" w:cs="Times New Roman"/>
          <w:sz w:val="24"/>
          <w:szCs w:val="24"/>
        </w:rPr>
      </w:pPr>
    </w:p>
    <w:p w:rsidR="00B37937" w:rsidRPr="001A01F0" w:rsidRDefault="00C6186F"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Where k is a prudential level of equity relative to assets taken to be 8% and LRMES is the decline in equity values to be expected if there is another financial crisis. SRISK is constructed from size, leverage and risk. Firms can reduce SRISK by reducing size, leverage or risk. Risk is based on movements of firm equity with broad equity measures. Roughly this is the beta of the firm.</w:t>
      </w:r>
      <w:r w:rsidR="00366216" w:rsidRPr="001A01F0">
        <w:rPr>
          <w:rFonts w:ascii="Times New Roman" w:hAnsi="Times New Roman" w:cs="Times New Roman"/>
          <w:color w:val="222222"/>
          <w:sz w:val="24"/>
          <w:szCs w:val="24"/>
          <w:shd w:val="clear" w:color="auto" w:fill="FFFFFF"/>
        </w:rPr>
        <w:t xml:space="preserve">  </w:t>
      </w:r>
      <w:r w:rsidR="00B37937" w:rsidRPr="001A01F0">
        <w:rPr>
          <w:rFonts w:ascii="Times New Roman" w:hAnsi="Times New Roman" w:cs="Times New Roman"/>
          <w:color w:val="222222"/>
          <w:sz w:val="24"/>
          <w:szCs w:val="24"/>
          <w:shd w:val="clear" w:color="auto" w:fill="FFFFFF"/>
        </w:rPr>
        <w:t>“</w:t>
      </w:r>
      <w:r w:rsidR="00366216" w:rsidRPr="001A01F0">
        <w:rPr>
          <w:rFonts w:ascii="Times New Roman" w:hAnsi="Times New Roman" w:cs="Times New Roman"/>
          <w:sz w:val="24"/>
          <w:szCs w:val="24"/>
        </w:rPr>
        <w:t xml:space="preserve">SRISK has several nice properties: SRISK is expressed in monetary terms and is, therefore, </w:t>
      </w:r>
      <w:r w:rsidR="00366216" w:rsidRPr="001A01F0">
        <w:rPr>
          <w:rFonts w:ascii="Times New Roman" w:hAnsi="Times New Roman" w:cs="Times New Roman"/>
          <w:sz w:val="24"/>
          <w:szCs w:val="24"/>
        </w:rPr>
        <w:lastRenderedPageBreak/>
        <w:t>easy to interpret. SRISK can be easily aggregated across firms to provide industry and even country specific aggregates. Last, the computation of SRISK involves variables which may be viewed on their own as risk measures, namely the size of the financial firm, the leverage (ratio of assets to market capitalization), and a measure of how the return of the firm evolves with the market (some sort of time varying conditional </w:t>
      </w:r>
      <w:hyperlink r:id="rId12" w:tooltip="Beta (finance)" w:history="1">
        <w:r w:rsidR="00366216" w:rsidRPr="001A01F0">
          <w:rPr>
            <w:rFonts w:ascii="Times New Roman" w:hAnsi="Times New Roman" w:cs="Times New Roman"/>
            <w:sz w:val="24"/>
            <w:szCs w:val="24"/>
          </w:rPr>
          <w:t>beta</w:t>
        </w:r>
      </w:hyperlink>
      <w:r w:rsidR="00366216" w:rsidRPr="001A01F0">
        <w:rPr>
          <w:rFonts w:ascii="Times New Roman" w:hAnsi="Times New Roman" w:cs="Times New Roman"/>
          <w:sz w:val="24"/>
          <w:szCs w:val="24"/>
        </w:rPr>
        <w:t> but with emphasis on the tail of the distribution).</w:t>
      </w:r>
      <w:r w:rsidR="00B37937" w:rsidRPr="001A01F0">
        <w:rPr>
          <w:rFonts w:ascii="Times New Roman" w:hAnsi="Times New Roman" w:cs="Times New Roman"/>
          <w:sz w:val="24"/>
          <w:szCs w:val="24"/>
        </w:rPr>
        <w:t>”</w:t>
      </w:r>
      <w:sdt>
        <w:sdtPr>
          <w:rPr>
            <w:rFonts w:ascii="Times New Roman" w:hAnsi="Times New Roman" w:cs="Times New Roman"/>
            <w:sz w:val="24"/>
            <w:szCs w:val="24"/>
          </w:rPr>
          <w:id w:val="-666322143"/>
          <w:citation/>
        </w:sdtPr>
        <w:sdtContent>
          <w:r w:rsidR="00B37937" w:rsidRPr="001A01F0">
            <w:rPr>
              <w:rFonts w:ascii="Times New Roman" w:hAnsi="Times New Roman" w:cs="Times New Roman"/>
              <w:sz w:val="24"/>
              <w:szCs w:val="24"/>
            </w:rPr>
            <w:fldChar w:fldCharType="begin"/>
          </w:r>
          <w:r w:rsidR="00B37937" w:rsidRPr="001A01F0">
            <w:rPr>
              <w:rFonts w:ascii="Times New Roman" w:hAnsi="Times New Roman" w:cs="Times New Roman"/>
              <w:sz w:val="24"/>
              <w:szCs w:val="24"/>
            </w:rPr>
            <w:instrText xml:space="preserve"> CITATION Azi17 \l 1033 </w:instrText>
          </w:r>
          <w:r w:rsidR="00B37937"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(Aziroff, 2017)</w:t>
          </w:r>
          <w:r w:rsidR="00B37937" w:rsidRPr="001A01F0">
            <w:rPr>
              <w:rFonts w:ascii="Times New Roman" w:hAnsi="Times New Roman" w:cs="Times New Roman"/>
              <w:sz w:val="24"/>
              <w:szCs w:val="24"/>
            </w:rPr>
            <w:fldChar w:fldCharType="end"/>
          </w:r>
        </w:sdtContent>
      </w:sdt>
    </w:p>
    <w:p w:rsidR="004630CA" w:rsidRPr="001A01F0" w:rsidRDefault="00B37937"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Because of the integrity of the aforementioned dimensions it is possible get a more evenly balanced assessment than using the risk variables separately.</w:t>
      </w:r>
    </w:p>
    <w:p w:rsidR="00B37937" w:rsidRPr="001A01F0" w:rsidRDefault="00B37937" w:rsidP="00027826">
      <w:pPr>
        <w:pStyle w:val="NoSpacing"/>
        <w:spacing w:line="360" w:lineRule="auto"/>
        <w:jc w:val="both"/>
        <w:rPr>
          <w:rFonts w:ascii="Times New Roman" w:hAnsi="Times New Roman" w:cs="Times New Roman"/>
          <w:sz w:val="24"/>
          <w:szCs w:val="24"/>
        </w:rPr>
      </w:pPr>
    </w:p>
    <w:p w:rsidR="00716D83" w:rsidRPr="00716D83" w:rsidRDefault="00716D83" w:rsidP="0027736C">
      <w:pPr>
        <w:pStyle w:val="Heading2"/>
      </w:pPr>
      <w:bookmarkStart w:id="10" w:name="_Toc6873772"/>
      <w:r>
        <w:t xml:space="preserve">3.0.3 </w:t>
      </w:r>
      <w:r w:rsidRPr="00716D83">
        <w:t>CoVaR</w:t>
      </w:r>
      <w:bookmarkEnd w:id="10"/>
    </w:p>
    <w:p w:rsidR="00DD1B21" w:rsidRPr="001A01F0" w:rsidRDefault="00DD1B21"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C</w:t>
      </w:r>
      <w:r w:rsidR="004630CA" w:rsidRPr="001A01F0">
        <w:rPr>
          <w:rFonts w:ascii="Times New Roman" w:hAnsi="Times New Roman" w:cs="Times New Roman"/>
          <w:sz w:val="24"/>
          <w:szCs w:val="24"/>
        </w:rPr>
        <w:t>opula modeling</w:t>
      </w:r>
      <w:r w:rsidRPr="001A01F0">
        <w:rPr>
          <w:rFonts w:ascii="Times New Roman" w:hAnsi="Times New Roman" w:cs="Times New Roman"/>
          <w:sz w:val="24"/>
          <w:szCs w:val="24"/>
        </w:rPr>
        <w:t xml:space="preserve"> since its inception has been a protean tool for financial measures. Copula model advanced to deal with more sophisticated data is still in its embryonic stage.</w:t>
      </w:r>
      <w:r w:rsidR="002B1CD8" w:rsidRPr="001A01F0">
        <w:rPr>
          <w:rFonts w:ascii="Times New Roman" w:hAnsi="Times New Roman" w:cs="Times New Roman"/>
          <w:sz w:val="24"/>
          <w:szCs w:val="24"/>
        </w:rPr>
        <w:t xml:space="preserve"> The advantages that vine copula model has is manifold.</w:t>
      </w:r>
      <w:r w:rsidRPr="001A01F0">
        <w:rPr>
          <w:rFonts w:ascii="Times New Roman" w:hAnsi="Times New Roman" w:cs="Times New Roman"/>
          <w:sz w:val="24"/>
          <w:szCs w:val="24"/>
        </w:rPr>
        <w:t xml:space="preserve"> </w:t>
      </w:r>
      <w:r w:rsidR="002B1CD8" w:rsidRPr="001A01F0">
        <w:rPr>
          <w:rFonts w:ascii="Times New Roman" w:hAnsi="Times New Roman" w:cs="Times New Roman"/>
          <w:sz w:val="24"/>
          <w:szCs w:val="24"/>
        </w:rPr>
        <w:t>It can be extrapolated to incorporate more data with greater flexibility.</w:t>
      </w:r>
    </w:p>
    <w:p w:rsidR="004630CA" w:rsidRPr="001A01F0" w:rsidRDefault="004630CA"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 </w:t>
      </w:r>
      <w:r w:rsidR="002B1CD8" w:rsidRPr="001A01F0">
        <w:rPr>
          <w:rFonts w:ascii="Times New Roman" w:hAnsi="Times New Roman" w:cs="Times New Roman"/>
          <w:sz w:val="24"/>
          <w:szCs w:val="24"/>
        </w:rPr>
        <w:t>“</w:t>
      </w:r>
      <w:r w:rsidRPr="001A01F0">
        <w:rPr>
          <w:rFonts w:ascii="Times New Roman" w:hAnsi="Times New Roman" w:cs="Times New Roman"/>
          <w:sz w:val="24"/>
          <w:szCs w:val="24"/>
        </w:rPr>
        <w:t xml:space="preserve">CoVaR, the Value-at-Risk of institutions conditional on other institutions being in distress, is introduced by </w:t>
      </w:r>
      <w:r w:rsidR="00DD1B21" w:rsidRPr="001A01F0">
        <w:rPr>
          <w:rFonts w:ascii="Times New Roman" w:hAnsi="Times New Roman" w:cs="Times New Roman"/>
          <w:sz w:val="24"/>
          <w:szCs w:val="24"/>
        </w:rPr>
        <w:t>Adrian and Brunnermeier (2011)</w:t>
      </w:r>
      <w:r w:rsidR="002B1CD8" w:rsidRPr="001A01F0">
        <w:rPr>
          <w:rFonts w:ascii="Times New Roman" w:hAnsi="Times New Roman" w:cs="Times New Roman"/>
          <w:sz w:val="24"/>
          <w:szCs w:val="24"/>
        </w:rPr>
        <w:t>”</w:t>
      </w:r>
      <w:r w:rsidR="00DD1B21" w:rsidRPr="001A01F0">
        <w:rPr>
          <w:rFonts w:ascii="Times New Roman" w:hAnsi="Times New Roman" w:cs="Times New Roman"/>
          <w:sz w:val="24"/>
          <w:szCs w:val="24"/>
        </w:rPr>
        <w:t xml:space="preserve">. </w:t>
      </w:r>
      <w:r w:rsidRPr="001A01F0">
        <w:rPr>
          <w:rFonts w:ascii="Times New Roman" w:hAnsi="Times New Roman" w:cs="Times New Roman"/>
          <w:sz w:val="24"/>
          <w:szCs w:val="24"/>
        </w:rPr>
        <w:t>In times of financial crisis, losses spread across financial institutions, threatening the financial system as a whole.1 The spreading of distress gives rise to systemic risk—the risk that the capacity of the entire financial system is impaired, with potentially adverse consequences for the real economy. Spillovers across institutions can occur directly due to direct contractual links and heightened counterparty credit risk or indirectly through price effects and liquidity spirals. As a result of these spillovers, the measured co-movement of institutions’ assets and liabilities tends to rise above and beyond levels purely justified by fundamentals. Systemic risk measures gauge the increase in tail co-movement that can arise due to the spreading of financial distress across institutions. The most common measure of risk used by financial institutions—the value at risk (VaR)—focuses on the risk of an individual insti</w:t>
      </w:r>
      <w:r w:rsidR="00DD1B21" w:rsidRPr="001A01F0">
        <w:rPr>
          <w:rFonts w:ascii="Times New Roman" w:hAnsi="Times New Roman" w:cs="Times New Roman"/>
          <w:sz w:val="24"/>
          <w:szCs w:val="24"/>
        </w:rPr>
        <w:t xml:space="preserve">tution in isolation. “A </w:t>
      </w:r>
      <w:r w:rsidRPr="001A01F0">
        <w:rPr>
          <w:rFonts w:ascii="Times New Roman" w:hAnsi="Times New Roman" w:cs="Times New Roman"/>
          <w:sz w:val="24"/>
          <w:szCs w:val="24"/>
        </w:rPr>
        <w:t>single institution’s risk measure does not necessarily reflect its connection to overall systemic risk. Some institutions are individually systemic— they are so interconnected and large that they can generate negative risk spillover effects on others. Similarly, several smaller institutions may be systemic as a herd. In addition to the cross-sectional dimension, systemic risk also has a time-series dimension. Systemic risks typically build in times of low asset price volatility, and materialize during crises. A good systemic risk measure should capture this build-</w:t>
      </w:r>
      <w:r w:rsidRPr="001A01F0">
        <w:rPr>
          <w:rFonts w:ascii="Times New Roman" w:hAnsi="Times New Roman" w:cs="Times New Roman"/>
          <w:sz w:val="24"/>
          <w:szCs w:val="24"/>
        </w:rPr>
        <w:lastRenderedPageBreak/>
        <w:t>up. High-frequency risk measures that rely mostly on contemporaneous asset price movements are potentially misleading. In this paper, we propose a new reduced-form measure of systemic risk, ∆CoVaR that captures the (cross-sectional) tail dependency between the whole financial system and a particular institution. For the time-series dimension of systemic risk, we estimate the forward-looking forward-∆CoVaR which allows one to observe the build-up of systemic risk that typically occurs in tranquil times. We obtain this forward measure by projecting the ∆CoVaR on lagged institutional characteristics (in particular size, leverage, and maturity mismatch) and conditioning variables (in particular market volatility and fixed income spreads).”</w:t>
      </w:r>
      <w:r w:rsidR="00DD1B21" w:rsidRPr="001A01F0">
        <w:rPr>
          <w:rFonts w:ascii="Times New Roman" w:hAnsi="Times New Roman" w:cs="Times New Roman"/>
          <w:sz w:val="24"/>
          <w:szCs w:val="24"/>
        </w:rPr>
        <w:t xml:space="preserve">  </w:t>
      </w:r>
      <w:sdt>
        <w:sdtPr>
          <w:rPr>
            <w:rFonts w:ascii="Times New Roman" w:hAnsi="Times New Roman" w:cs="Times New Roman"/>
            <w:sz w:val="24"/>
            <w:szCs w:val="24"/>
          </w:rPr>
          <w:id w:val="868332829"/>
          <w:citation/>
        </w:sdtPr>
        <w:sdtContent>
          <w:r w:rsidR="00E75EBC" w:rsidRPr="001A01F0">
            <w:rPr>
              <w:rFonts w:ascii="Times New Roman" w:hAnsi="Times New Roman" w:cs="Times New Roman"/>
              <w:sz w:val="24"/>
              <w:szCs w:val="24"/>
            </w:rPr>
            <w:fldChar w:fldCharType="begin"/>
          </w:r>
          <w:r w:rsidR="00E75EBC" w:rsidRPr="001A01F0">
            <w:rPr>
              <w:rFonts w:ascii="Times New Roman" w:hAnsi="Times New Roman" w:cs="Times New Roman"/>
              <w:sz w:val="24"/>
              <w:szCs w:val="24"/>
            </w:rPr>
            <w:instrText xml:space="preserve">CITATION Tob11 \l 1033 </w:instrText>
          </w:r>
          <w:r w:rsidR="00E75EBC" w:rsidRPr="001A01F0">
            <w:rPr>
              <w:rFonts w:ascii="Times New Roman" w:hAnsi="Times New Roman" w:cs="Times New Roman"/>
              <w:sz w:val="24"/>
              <w:szCs w:val="24"/>
            </w:rPr>
            <w:fldChar w:fldCharType="separate"/>
          </w:r>
          <w:r w:rsidR="00B83DB3" w:rsidRPr="00B83DB3">
            <w:rPr>
              <w:rFonts w:ascii="Times New Roman" w:hAnsi="Times New Roman" w:cs="Times New Roman"/>
              <w:noProof/>
              <w:sz w:val="24"/>
              <w:szCs w:val="24"/>
            </w:rPr>
            <w:t>(Brunnermeier, 2011)</w:t>
          </w:r>
          <w:r w:rsidR="00E75EBC" w:rsidRPr="001A01F0">
            <w:rPr>
              <w:rFonts w:ascii="Times New Roman" w:hAnsi="Times New Roman" w:cs="Times New Roman"/>
              <w:sz w:val="24"/>
              <w:szCs w:val="24"/>
            </w:rPr>
            <w:fldChar w:fldCharType="end"/>
          </w:r>
        </w:sdtContent>
      </w:sdt>
    </w:p>
    <w:p w:rsidR="004630CA" w:rsidRPr="001A01F0" w:rsidRDefault="004630CA"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 </w:t>
      </w:r>
      <w:r w:rsidR="002B1CD8" w:rsidRPr="001A01F0">
        <w:rPr>
          <w:rFonts w:ascii="Times New Roman" w:hAnsi="Times New Roman" w:cs="Times New Roman"/>
          <w:sz w:val="24"/>
          <w:szCs w:val="24"/>
        </w:rPr>
        <w:t>“</w:t>
      </w:r>
      <w:r w:rsidRPr="001A01F0">
        <w:rPr>
          <w:rFonts w:ascii="Times New Roman" w:hAnsi="Times New Roman" w:cs="Times New Roman"/>
          <w:sz w:val="24"/>
          <w:szCs w:val="24"/>
        </w:rPr>
        <w:t>∆</w:t>
      </w:r>
      <w:r w:rsidRPr="001A01F0">
        <w:rPr>
          <w:rFonts w:ascii="Cambria Math" w:hAnsi="Cambria Math" w:cs="Cambria Math"/>
          <w:sz w:val="24"/>
          <w:szCs w:val="24"/>
        </w:rPr>
        <w:t>𝐶𝑜𝑉𝑎𝑅</w:t>
      </w:r>
      <w:r w:rsidRPr="001A01F0">
        <w:rPr>
          <w:rFonts w:ascii="Times New Roman" w:hAnsi="Times New Roman" w:cs="Times New Roman"/>
          <w:sz w:val="24"/>
          <w:szCs w:val="24"/>
        </w:rPr>
        <w:t xml:space="preserve"> is the risk contribution that the institution adds to the entire system. Combined with the modified CoVaR methodology and estimation of the dependence structures through vine copula modeling</w:t>
      </w:r>
      <w:r w:rsidR="005A5C84" w:rsidRPr="001A01F0">
        <w:rPr>
          <w:rFonts w:ascii="Times New Roman" w:hAnsi="Times New Roman" w:cs="Times New Roman"/>
          <w:sz w:val="24"/>
          <w:szCs w:val="24"/>
        </w:rPr>
        <w:t>.</w:t>
      </w:r>
      <w:r w:rsidR="002B1CD8" w:rsidRPr="001A01F0">
        <w:rPr>
          <w:rFonts w:ascii="Times New Roman" w:hAnsi="Times New Roman" w:cs="Times New Roman"/>
          <w:sz w:val="24"/>
          <w:szCs w:val="24"/>
        </w:rPr>
        <w:t>”</w:t>
      </w:r>
      <w:sdt>
        <w:sdtPr>
          <w:rPr>
            <w:rFonts w:ascii="Times New Roman" w:hAnsi="Times New Roman" w:cs="Times New Roman"/>
            <w:sz w:val="24"/>
            <w:szCs w:val="24"/>
          </w:rPr>
          <w:id w:val="-1819106609"/>
          <w:citation/>
        </w:sdtPr>
        <w:sdtContent>
          <w:r w:rsidR="002B1CD8" w:rsidRPr="001A01F0">
            <w:rPr>
              <w:rFonts w:ascii="Times New Roman" w:hAnsi="Times New Roman" w:cs="Times New Roman"/>
              <w:sz w:val="24"/>
              <w:szCs w:val="24"/>
            </w:rPr>
            <w:fldChar w:fldCharType="begin"/>
          </w:r>
          <w:r w:rsidR="002B1CD8" w:rsidRPr="001A01F0">
            <w:rPr>
              <w:rFonts w:ascii="Times New Roman" w:hAnsi="Times New Roman" w:cs="Times New Roman"/>
              <w:sz w:val="24"/>
              <w:szCs w:val="24"/>
            </w:rPr>
            <w:instrText xml:space="preserve"> CITATION Tob11 \l 1033 </w:instrText>
          </w:r>
          <w:r w:rsidR="002B1CD8"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(Brunnermeier, 2011)</w:t>
          </w:r>
          <w:r w:rsidR="002B1CD8" w:rsidRPr="001A01F0">
            <w:rPr>
              <w:rFonts w:ascii="Times New Roman" w:hAnsi="Times New Roman" w:cs="Times New Roman"/>
              <w:sz w:val="24"/>
              <w:szCs w:val="24"/>
            </w:rPr>
            <w:fldChar w:fldCharType="end"/>
          </w:r>
        </w:sdtContent>
      </w:sdt>
    </w:p>
    <w:p w:rsidR="005A5C84" w:rsidRPr="001A01F0" w:rsidRDefault="005A5C8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One of the major concerns in risk management is the idea of Value-at-Risk (VaR). The definition of Value-at-Risk is the biggest loss by which an asset or portfolio could lose at a given probability over a particular time period. People usually use a probability of 95, 99, or 99.9 percent for their situation. VaR answers the question: how much can I lose with x% probability over a pre-set horizon. The general form, VaR can be derived from the probability distribution of an asset or portfolio value (</w:t>
      </w:r>
      <w:r w:rsidRPr="001A01F0">
        <w:rPr>
          <w:rFonts w:ascii="Cambria Math" w:hAnsi="Cambria Math" w:cs="Cambria Math"/>
          <w:sz w:val="24"/>
          <w:szCs w:val="24"/>
        </w:rPr>
        <w:t>𝑥</w:t>
      </w:r>
      <w:r w:rsidRPr="001A01F0">
        <w:rPr>
          <w:rFonts w:ascii="Times New Roman" w:hAnsi="Times New Roman" w:cs="Times New Roman"/>
          <w:sz w:val="24"/>
          <w:szCs w:val="24"/>
        </w:rPr>
        <w:t xml:space="preserve">). At a given confidence level α, we try to find the worst possible realization </w:t>
      </w:r>
      <w:r w:rsidRPr="001A01F0">
        <w:rPr>
          <w:rFonts w:ascii="Cambria Math" w:hAnsi="Cambria Math" w:cs="Cambria Math"/>
          <w:sz w:val="24"/>
          <w:szCs w:val="24"/>
        </w:rPr>
        <w:t>𝑥∗</w:t>
      </w:r>
      <w:r w:rsidRPr="001A01F0">
        <w:rPr>
          <w:rFonts w:ascii="Times New Roman" w:hAnsi="Times New Roman" w:cs="Times New Roman"/>
          <w:sz w:val="24"/>
          <w:szCs w:val="24"/>
        </w:rPr>
        <w:t xml:space="preserve"> such that the probability of exceeding this value is α.</w:t>
      </w:r>
    </w:p>
    <w:p w:rsidR="005A5C84" w:rsidRPr="001A01F0" w:rsidRDefault="005A5C84" w:rsidP="00027826">
      <w:pPr>
        <w:pStyle w:val="NoSpacing"/>
        <w:spacing w:line="360" w:lineRule="auto"/>
        <w:jc w:val="both"/>
        <w:rPr>
          <w:rFonts w:ascii="Times New Roman" w:hAnsi="Times New Roman" w:cs="Times New Roman"/>
          <w:sz w:val="24"/>
          <w:szCs w:val="24"/>
        </w:rPr>
      </w:pPr>
    </w:p>
    <w:p w:rsidR="005A5C84" w:rsidRPr="001A01F0" w:rsidRDefault="005A5C84" w:rsidP="00027826">
      <w:pPr>
        <w:pStyle w:val="NoSpacing"/>
        <w:spacing w:line="360" w:lineRule="auto"/>
        <w:jc w:val="both"/>
        <w:rPr>
          <w:rFonts w:ascii="Times New Roman" w:hAnsi="Times New Roman" w:cs="Times New Roman"/>
          <w:sz w:val="24"/>
          <w:szCs w:val="24"/>
        </w:rPr>
      </w:pPr>
    </w:p>
    <w:p w:rsidR="005A5C84" w:rsidRPr="001A01F0" w:rsidRDefault="005A5C84" w:rsidP="00027826">
      <w:pPr>
        <w:pStyle w:val="NoSpacing"/>
        <w:spacing w:line="360" w:lineRule="auto"/>
        <w:jc w:val="both"/>
        <w:rPr>
          <w:rFonts w:ascii="Times New Roman" w:eastAsiaTheme="minorEastAsia" w:hAnsi="Times New Roman" w:cs="Times New Roman"/>
          <w:sz w:val="24"/>
          <w:szCs w:val="24"/>
        </w:rPr>
      </w:pPr>
      <w:r w:rsidRPr="001A01F0">
        <w:rPr>
          <w:rFonts w:ascii="Times New Roman" w:hAnsi="Times New Roman" w:cs="Times New Roman"/>
          <w:sz w:val="24"/>
          <w:szCs w:val="24"/>
        </w:rPr>
        <w:t xml:space="preserve">                                                         </w:t>
      </w:r>
      <m:oMath>
        <m:r>
          <w:rPr>
            <w:rFonts w:ascii="Cambria Math" w:hAnsi="Cambria Math" w:cs="Times New Roman"/>
            <w:sz w:val="24"/>
            <w:szCs w:val="24"/>
          </w:rPr>
          <m:t>∝=</m:t>
        </m:r>
        <m:nary>
          <m:naryPr>
            <m:limLoc m:val="undOvr"/>
            <m:ctrlPr>
              <w:rPr>
                <w:rFonts w:ascii="Cambria Math" w:hAnsi="Cambria Math" w:cs="Times New Roman"/>
                <w:i/>
                <w:sz w:val="24"/>
                <w:szCs w:val="24"/>
              </w:rPr>
            </m:ctrlPr>
          </m:naryPr>
          <m:sub>
            <m:r>
              <w:rPr>
                <w:rFonts w:ascii="Cambria Math" w:hAnsi="Cambria Math" w:cs="Times New Roman"/>
                <w:sz w:val="24"/>
                <w:szCs w:val="24"/>
              </w:rPr>
              <m:t>x</m:t>
            </m:r>
          </m:sub>
          <m:sup>
            <m:r>
              <w:rPr>
                <w:rFonts w:ascii="Cambria Math" w:hAnsi="Cambria Math" w:cs="Times New Roman"/>
                <w:sz w:val="24"/>
                <w:szCs w:val="24"/>
              </w:rPr>
              <m:t>∞</m:t>
            </m:r>
          </m:sup>
          <m:e>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dx</m:t>
            </m:r>
          </m:e>
        </m:nary>
      </m:oMath>
    </w:p>
    <w:p w:rsidR="005A5C84" w:rsidRPr="001A01F0" w:rsidRDefault="005A5C84" w:rsidP="00027826">
      <w:pPr>
        <w:pStyle w:val="NoSpacing"/>
        <w:spacing w:line="360" w:lineRule="auto"/>
        <w:jc w:val="both"/>
        <w:rPr>
          <w:rFonts w:ascii="Times New Roman" w:eastAsiaTheme="minorEastAsia" w:hAnsi="Times New Roman" w:cs="Times New Roman"/>
          <w:sz w:val="24"/>
          <w:szCs w:val="24"/>
        </w:rPr>
      </w:pPr>
    </w:p>
    <w:p w:rsidR="005A5C84" w:rsidRPr="001A01F0" w:rsidRDefault="005A5C84" w:rsidP="00027826">
      <w:pPr>
        <w:pStyle w:val="NoSpacing"/>
        <w:spacing w:line="360" w:lineRule="auto"/>
        <w:jc w:val="both"/>
        <w:rPr>
          <w:rFonts w:ascii="Times New Roman" w:eastAsiaTheme="minorEastAsia" w:hAnsi="Times New Roman" w:cs="Times New Roman"/>
          <w:sz w:val="24"/>
          <w:szCs w:val="24"/>
        </w:rPr>
      </w:pPr>
    </w:p>
    <w:p w:rsidR="005A5C84" w:rsidRPr="001A01F0" w:rsidRDefault="005A5C84" w:rsidP="00027826">
      <w:pPr>
        <w:pStyle w:val="NoSpacing"/>
        <w:spacing w:line="360" w:lineRule="auto"/>
        <w:jc w:val="both"/>
        <w:rPr>
          <w:rFonts w:ascii="Times New Roman" w:eastAsiaTheme="minorEastAsia" w:hAnsi="Times New Roman" w:cs="Times New Roman"/>
          <w:sz w:val="24"/>
          <w:szCs w:val="24"/>
        </w:rPr>
      </w:pPr>
    </w:p>
    <w:p w:rsidR="005A5C84" w:rsidRPr="001A01F0" w:rsidRDefault="00C961F8" w:rsidP="00027826">
      <w:pPr>
        <w:pStyle w:val="NoSpacing"/>
        <w:spacing w:line="360" w:lineRule="auto"/>
        <w:jc w:val="both"/>
        <w:rPr>
          <w:rFonts w:ascii="Times New Roman" w:eastAsiaTheme="minorEastAsia" w:hAnsi="Times New Roman" w:cs="Times New Roman"/>
          <w:sz w:val="24"/>
          <w:szCs w:val="24"/>
        </w:rPr>
      </w:pPr>
      <w:r w:rsidRPr="001A01F0">
        <w:rPr>
          <w:rFonts w:ascii="Times New Roman" w:hAnsi="Times New Roman" w:cs="Times New Roman"/>
          <w:sz w:val="24"/>
          <w:szCs w:val="24"/>
        </w:rPr>
        <w:t>Or</w:t>
      </w:r>
      <w:r w:rsidR="005A5C84" w:rsidRPr="001A01F0">
        <w:rPr>
          <w:rFonts w:ascii="Times New Roman" w:hAnsi="Times New Roman" w:cs="Times New Roman"/>
          <w:sz w:val="24"/>
          <w:szCs w:val="24"/>
        </w:rPr>
        <w:t xml:space="preserve"> such that the probability of a value lower than</w:t>
      </w:r>
      <w:r w:rsidR="00A02545" w:rsidRPr="001A01F0">
        <w:rPr>
          <w:rFonts w:ascii="Times New Roman" w:hAnsi="Times New Roman" w:cs="Times New Roman"/>
          <w:sz w:val="24"/>
          <w:szCs w:val="24"/>
        </w:rPr>
        <w:t xml:space="preserve"> </w:t>
      </w:r>
      <w:r w:rsidRPr="001A01F0">
        <w:rPr>
          <w:rFonts w:ascii="Times New Roman" w:hAnsi="Times New Roman" w:cs="Times New Roman"/>
          <w:sz w:val="24"/>
          <w:szCs w:val="24"/>
        </w:rPr>
        <w:t xml:space="preserve">x̽, </w:t>
      </w:r>
      <m:oMath>
        <m:r>
          <w:rPr>
            <w:rFonts w:ascii="Cambria Math" w:hAnsi="Cambria Math" w:cs="Times New Roman"/>
            <w:sz w:val="24"/>
            <w:szCs w:val="24"/>
          </w:rPr>
          <m:t>p(x≤</m:t>
        </m:r>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m:t>
        </m:r>
      </m:oMath>
      <w:r w:rsidRPr="001A01F0">
        <w:rPr>
          <w:rFonts w:ascii="Times New Roman" w:hAnsi="Times New Roman" w:cs="Times New Roman"/>
          <w:sz w:val="24"/>
          <w:szCs w:val="24"/>
        </w:rPr>
        <w:t xml:space="preserve">, is </w:t>
      </w:r>
      <m:oMath>
        <m:r>
          <w:rPr>
            <w:rFonts w:ascii="Cambria Math" w:hAnsi="Cambria Math" w:cs="Times New Roman"/>
            <w:sz w:val="24"/>
            <w:szCs w:val="24"/>
          </w:rPr>
          <m:t>1-∝</m:t>
        </m:r>
      </m:oMath>
    </w:p>
    <w:p w:rsidR="00C961F8" w:rsidRPr="001A01F0" w:rsidRDefault="00C961F8" w:rsidP="00027826">
      <w:pPr>
        <w:pStyle w:val="NoSpacing"/>
        <w:spacing w:line="360" w:lineRule="auto"/>
        <w:jc w:val="both"/>
        <w:rPr>
          <w:rFonts w:ascii="Times New Roman" w:eastAsiaTheme="minorEastAsia" w:hAnsi="Times New Roman" w:cs="Times New Roman"/>
          <w:sz w:val="24"/>
          <w:szCs w:val="24"/>
        </w:rPr>
      </w:pPr>
    </w:p>
    <w:p w:rsidR="00C961F8" w:rsidRPr="001A01F0" w:rsidRDefault="00C961F8" w:rsidP="00027826">
      <w:pPr>
        <w:pStyle w:val="NoSpacing"/>
        <w:spacing w:line="360" w:lineRule="auto"/>
        <w:jc w:val="both"/>
        <w:rPr>
          <w:rFonts w:ascii="Times New Roman" w:eastAsiaTheme="minorEastAsia" w:hAnsi="Times New Roman" w:cs="Times New Roman"/>
          <w:sz w:val="24"/>
          <w:szCs w:val="24"/>
        </w:rPr>
      </w:pPr>
      <w:r w:rsidRPr="001A01F0">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1-∝=</m:t>
        </m:r>
        <m:nary>
          <m:naryPr>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m:t>
            </m:r>
          </m:sub>
          <m:sup>
            <m:r>
              <w:rPr>
                <w:rFonts w:ascii="Cambria Math" w:eastAsiaTheme="minorEastAsia" w:hAnsi="Cambria Math" w:cs="Times New Roman"/>
                <w:sz w:val="24"/>
                <w:szCs w:val="24"/>
              </w:rPr>
              <m:t>̽x</m:t>
            </m:r>
          </m:sup>
          <m:e>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dx</m:t>
            </m:r>
          </m:e>
        </m:nary>
        <m:r>
          <w:rPr>
            <w:rFonts w:ascii="Cambria Math" w:eastAsiaTheme="minorEastAsia" w:hAnsi="Cambria Math" w:cs="Times New Roman"/>
            <w:sz w:val="24"/>
            <w:szCs w:val="24"/>
          </w:rPr>
          <m:t>=p(x≤x̽)</m:t>
        </m:r>
      </m:oMath>
    </w:p>
    <w:p w:rsidR="00C961F8" w:rsidRPr="001A01F0" w:rsidRDefault="00C961F8"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Where the number </w:t>
      </w:r>
      <w:r w:rsidRPr="001A01F0">
        <w:rPr>
          <w:rFonts w:ascii="Cambria Math" w:hAnsi="Cambria Math" w:cs="Cambria Math"/>
          <w:sz w:val="24"/>
          <w:szCs w:val="24"/>
        </w:rPr>
        <w:t>𝑥</w:t>
      </w:r>
      <w:r w:rsidR="000F42B3" w:rsidRPr="001A01F0">
        <w:rPr>
          <w:rFonts w:ascii="Times New Roman" w:hAnsi="Times New Roman" w:cs="Times New Roman"/>
          <w:sz w:val="24"/>
          <w:szCs w:val="24"/>
        </w:rPr>
        <w:t>̽</w:t>
      </w:r>
      <w:r w:rsidRPr="001A01F0">
        <w:rPr>
          <w:rFonts w:ascii="Times New Roman" w:hAnsi="Times New Roman" w:cs="Times New Roman"/>
          <w:sz w:val="24"/>
          <w:szCs w:val="24"/>
        </w:rPr>
        <w:t xml:space="preserve"> is called the quantile of the distribution, which is the cutoff value with a fixed probability of being exceeded.</w:t>
      </w:r>
    </w:p>
    <w:p w:rsidR="00E46A66" w:rsidRPr="001A01F0" w:rsidRDefault="00E46A66" w:rsidP="00027826">
      <w:pPr>
        <w:pStyle w:val="NoSpacing"/>
        <w:spacing w:line="360" w:lineRule="auto"/>
        <w:jc w:val="both"/>
        <w:rPr>
          <w:rFonts w:ascii="Times New Roman" w:hAnsi="Times New Roman" w:cs="Times New Roman"/>
          <w:sz w:val="24"/>
          <w:szCs w:val="24"/>
        </w:rPr>
      </w:pPr>
    </w:p>
    <w:p w:rsidR="00E46A66" w:rsidRPr="001A01F0" w:rsidRDefault="00E46A66"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lastRenderedPageBreak/>
        <w:t>Conditional Value-at-Risk (CVaR) is also called expected shortfall (ES), which is more sensitive to the tail of the loss distribution because CVaR is the expected value of the (1 − α) tail distribution.</w:t>
      </w:r>
      <w:sdt>
        <w:sdtPr>
          <w:rPr>
            <w:rFonts w:ascii="Times New Roman" w:hAnsi="Times New Roman" w:cs="Times New Roman"/>
            <w:sz w:val="24"/>
            <w:szCs w:val="24"/>
          </w:rPr>
          <w:id w:val="794486738"/>
          <w:citation/>
        </w:sdtPr>
        <w:sdtContent>
          <w:r w:rsidR="00695996" w:rsidRPr="001A01F0">
            <w:rPr>
              <w:rFonts w:ascii="Times New Roman" w:hAnsi="Times New Roman" w:cs="Times New Roman"/>
              <w:sz w:val="24"/>
              <w:szCs w:val="24"/>
            </w:rPr>
            <w:fldChar w:fldCharType="begin"/>
          </w:r>
          <w:r w:rsidR="00695996" w:rsidRPr="001A01F0">
            <w:rPr>
              <w:rFonts w:ascii="Times New Roman" w:hAnsi="Times New Roman" w:cs="Times New Roman"/>
              <w:sz w:val="24"/>
              <w:szCs w:val="24"/>
            </w:rPr>
            <w:instrText xml:space="preserve"> CITATION Kua14 \l 1033 </w:instrText>
          </w:r>
          <w:r w:rsidR="00695996"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(Kuan-Heng Chen, 2014)</w:t>
          </w:r>
          <w:r w:rsidR="00695996" w:rsidRPr="001A01F0">
            <w:rPr>
              <w:rFonts w:ascii="Times New Roman" w:hAnsi="Times New Roman" w:cs="Times New Roman"/>
              <w:sz w:val="24"/>
              <w:szCs w:val="24"/>
            </w:rPr>
            <w:fldChar w:fldCharType="end"/>
          </w:r>
        </w:sdtContent>
      </w:sdt>
    </w:p>
    <w:p w:rsidR="00E46A66" w:rsidRPr="001A01F0" w:rsidRDefault="00E46A66" w:rsidP="00027826">
      <w:pPr>
        <w:pStyle w:val="NoSpacing"/>
        <w:spacing w:line="360" w:lineRule="auto"/>
        <w:jc w:val="both"/>
        <w:rPr>
          <w:rFonts w:ascii="Times New Roman" w:hAnsi="Times New Roman" w:cs="Times New Roman"/>
          <w:sz w:val="24"/>
          <w:szCs w:val="24"/>
        </w:rPr>
      </w:pPr>
    </w:p>
    <w:p w:rsidR="00E46A66" w:rsidRPr="001A01F0" w:rsidRDefault="00E46A66" w:rsidP="00027826">
      <w:pPr>
        <w:pStyle w:val="NoSpacing"/>
        <w:spacing w:line="360" w:lineRule="auto"/>
        <w:jc w:val="both"/>
        <w:rPr>
          <w:rFonts w:ascii="Times New Roman" w:eastAsiaTheme="minorEastAsia" w:hAnsi="Times New Roman" w:cs="Times New Roman"/>
          <w:sz w:val="24"/>
          <w:szCs w:val="24"/>
        </w:rPr>
      </w:pPr>
      <w:r w:rsidRPr="001A01F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CVaR</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m:t>
            </m:r>
          </m:den>
        </m:f>
        <m:nary>
          <m:naryPr>
            <m:limLoc m:val="undOvr"/>
            <m:ctrlPr>
              <w:rPr>
                <w:rFonts w:ascii="Cambria Math" w:hAnsi="Cambria Math" w:cs="Times New Roman"/>
                <w:i/>
                <w:sz w:val="24"/>
                <w:szCs w:val="24"/>
              </w:rPr>
            </m:ctrlPr>
          </m:naryPr>
          <m:sub>
            <m:r>
              <w:rPr>
                <w:rFonts w:ascii="Cambria Math" w:hAnsi="Cambria Math" w:cs="Times New Roman"/>
                <w:sz w:val="24"/>
                <w:szCs w:val="24"/>
              </w:rPr>
              <m:t>0</m:t>
            </m:r>
          </m:sub>
          <m:sup>
            <m:r>
              <w:rPr>
                <w:rFonts w:ascii="Cambria Math" w:hAnsi="Cambria Math" w:cs="Times New Roman"/>
                <w:sz w:val="24"/>
                <w:szCs w:val="24"/>
              </w:rPr>
              <m:t>1-∝</m:t>
            </m:r>
          </m:sup>
          <m:e>
            <m:sSub>
              <m:sSubPr>
                <m:ctrlPr>
                  <w:rPr>
                    <w:rFonts w:ascii="Cambria Math" w:hAnsi="Cambria Math" w:cs="Times New Roman"/>
                    <w:i/>
                    <w:sz w:val="24"/>
                    <w:szCs w:val="24"/>
                  </w:rPr>
                </m:ctrlPr>
              </m:sSubPr>
              <m:e>
                <m:r>
                  <w:rPr>
                    <w:rFonts w:ascii="Cambria Math" w:hAnsi="Cambria Math" w:cs="Times New Roman"/>
                    <w:sz w:val="24"/>
                    <w:szCs w:val="24"/>
                  </w:rPr>
                  <m:t>VaR</m:t>
                </m:r>
              </m:e>
              <m:sub>
                <m:r>
                  <w:rPr>
                    <w:rFonts w:ascii="Cambria Math" w:hAnsi="Cambria Math" w:cs="Times New Roman"/>
                    <w:sz w:val="24"/>
                    <w:szCs w:val="24"/>
                  </w:rPr>
                  <m:t xml:space="preserve">s </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ds</m:t>
            </m:r>
          </m:e>
        </m:nary>
      </m:oMath>
      <w:r w:rsidR="00616B86" w:rsidRPr="001A01F0">
        <w:rPr>
          <w:rFonts w:ascii="Times New Roman" w:eastAsiaTheme="minorEastAsia" w:hAnsi="Times New Roman" w:cs="Times New Roman"/>
          <w:sz w:val="24"/>
          <w:szCs w:val="24"/>
        </w:rPr>
        <w:t xml:space="preserve"> </w:t>
      </w:r>
    </w:p>
    <w:p w:rsidR="00E46A66" w:rsidRPr="001A01F0" w:rsidRDefault="00E46A66" w:rsidP="00027826">
      <w:pPr>
        <w:pStyle w:val="NoSpacing"/>
        <w:spacing w:line="360" w:lineRule="auto"/>
        <w:jc w:val="both"/>
        <w:rPr>
          <w:rFonts w:ascii="Times New Roman" w:eastAsiaTheme="minorEastAsia" w:hAnsi="Times New Roman" w:cs="Times New Roman"/>
          <w:sz w:val="24"/>
          <w:szCs w:val="24"/>
        </w:rPr>
      </w:pPr>
    </w:p>
    <w:p w:rsidR="00E46A66" w:rsidRPr="001A01F0" w:rsidRDefault="00E46A66"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Where VaR1−</w:t>
      </w:r>
      <w:r w:rsidRPr="001A01F0">
        <w:rPr>
          <w:rFonts w:ascii="Cambria Math" w:hAnsi="Cambria Math" w:cs="Cambria Math"/>
          <w:sz w:val="24"/>
          <w:szCs w:val="24"/>
        </w:rPr>
        <w:t>𝛼</w:t>
      </w:r>
      <w:r w:rsidRPr="001A01F0">
        <w:rPr>
          <w:rFonts w:ascii="Times New Roman" w:hAnsi="Times New Roman" w:cs="Times New Roman"/>
          <w:sz w:val="24"/>
          <w:szCs w:val="24"/>
        </w:rPr>
        <w:t xml:space="preserve"> is the Value-at-Risk at a given confidence level α. Both VaR and ES have been widely used to risk assess in finance. Even though VaR is widely used in applications, Artzner et al (1999) advocated ES as preferred in practice due to its better properties. ES is a coherent risk measure satisfying homogeneity, monotonicity, translation invariance, and subadditivity, while VaR is not coherent because it does not satisfy subadditivity.</w:t>
      </w:r>
    </w:p>
    <w:p w:rsidR="00363D35" w:rsidRPr="001A01F0" w:rsidRDefault="00363D35" w:rsidP="00027826">
      <w:pPr>
        <w:pStyle w:val="NoSpacing"/>
        <w:spacing w:line="360" w:lineRule="auto"/>
        <w:jc w:val="both"/>
        <w:rPr>
          <w:rFonts w:ascii="Times New Roman" w:hAnsi="Times New Roman" w:cs="Times New Roman"/>
          <w:sz w:val="24"/>
          <w:szCs w:val="24"/>
        </w:rPr>
      </w:pPr>
    </w:p>
    <w:p w:rsidR="00363D35" w:rsidRPr="001A01F0" w:rsidRDefault="00363D35" w:rsidP="00027826">
      <w:pPr>
        <w:pStyle w:val="NoSpacing"/>
        <w:spacing w:line="360" w:lineRule="auto"/>
        <w:jc w:val="both"/>
        <w:rPr>
          <w:rFonts w:ascii="Times New Roman" w:hAnsi="Times New Roman" w:cs="Times New Roman"/>
          <w:sz w:val="24"/>
          <w:szCs w:val="24"/>
        </w:rPr>
      </w:pPr>
    </w:p>
    <w:p w:rsidR="00602060" w:rsidRPr="001A01F0" w:rsidRDefault="00602060" w:rsidP="00027826">
      <w:pPr>
        <w:pStyle w:val="NoSpacing"/>
        <w:spacing w:line="360" w:lineRule="auto"/>
        <w:jc w:val="both"/>
        <w:rPr>
          <w:rFonts w:ascii="Times New Roman" w:hAnsi="Times New Roman" w:cs="Times New Roman"/>
          <w:sz w:val="24"/>
          <w:szCs w:val="24"/>
        </w:rPr>
      </w:pPr>
    </w:p>
    <w:p w:rsidR="00602060" w:rsidRPr="00716D83" w:rsidRDefault="00602060" w:rsidP="0027736C">
      <w:pPr>
        <w:pStyle w:val="Heading2"/>
      </w:pPr>
    </w:p>
    <w:p w:rsidR="00363D35" w:rsidRPr="00716D83" w:rsidRDefault="00716D83" w:rsidP="0027736C">
      <w:pPr>
        <w:pStyle w:val="Heading2"/>
      </w:pPr>
      <w:bookmarkStart w:id="11" w:name="_Toc6873773"/>
      <w:r>
        <w:rPr>
          <w:bCs/>
          <w:color w:val="222222"/>
        </w:rPr>
        <w:t xml:space="preserve">3.0.4 </w:t>
      </w:r>
      <w:r w:rsidR="00EC6087" w:rsidRPr="00716D83">
        <w:rPr>
          <w:bCs/>
          <w:color w:val="222222"/>
        </w:rPr>
        <w:t>Default Intensity Model</w:t>
      </w:r>
      <w:bookmarkEnd w:id="11"/>
    </w:p>
    <w:p w:rsidR="00363D35" w:rsidRPr="001A01F0" w:rsidRDefault="00363D3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EC6087" w:rsidRPr="001A01F0">
        <w:rPr>
          <w:rFonts w:ascii="Times New Roman" w:hAnsi="Times New Roman" w:cs="Times New Roman"/>
          <w:i/>
          <w:iCs/>
          <w:color w:val="222222"/>
          <w:sz w:val="24"/>
          <w:szCs w:val="24"/>
        </w:rPr>
        <w:t>This is</w:t>
      </w:r>
      <w:r w:rsidRPr="001A01F0">
        <w:rPr>
          <w:rFonts w:ascii="Times New Roman" w:hAnsi="Times New Roman" w:cs="Times New Roman"/>
          <w:sz w:val="24"/>
          <w:szCs w:val="24"/>
        </w:rPr>
        <w:t>] a reduced-form statistical model of the timing of banking default events…In brief, the default rate is modelled as a continuous time process which jumps at default events, thus reflecting the increased likelihood of further default events due to spillover effects. The jump size specification guarantees that the impact of an event increases with the default rate prevailing at the time of the event. This is consistent with the clustering behavior of defaults…”</w:t>
      </w:r>
      <w:sdt>
        <w:sdtPr>
          <w:rPr>
            <w:rFonts w:ascii="Times New Roman" w:hAnsi="Times New Roman" w:cs="Times New Roman"/>
            <w:sz w:val="24"/>
            <w:szCs w:val="24"/>
          </w:rPr>
          <w:id w:val="-323439905"/>
          <w:citation/>
        </w:sdtPr>
        <w:sdtContent>
          <w:r w:rsidRPr="001A01F0">
            <w:rPr>
              <w:rFonts w:ascii="Times New Roman" w:hAnsi="Times New Roman" w:cs="Times New Roman"/>
              <w:sz w:val="24"/>
              <w:szCs w:val="24"/>
            </w:rPr>
            <w:fldChar w:fldCharType="begin"/>
          </w:r>
          <w:r w:rsidRPr="001A01F0">
            <w:rPr>
              <w:rFonts w:ascii="Times New Roman" w:hAnsi="Times New Roman" w:cs="Times New Roman"/>
              <w:sz w:val="24"/>
              <w:szCs w:val="24"/>
            </w:rPr>
            <w:instrText xml:space="preserve"> CITATION Ste12 \l 1033 </w:instrText>
          </w:r>
          <w:r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(Schaefer, 2012)</w:t>
          </w:r>
          <w:r w:rsidRPr="001A01F0">
            <w:rPr>
              <w:rFonts w:ascii="Times New Roman" w:hAnsi="Times New Roman" w:cs="Times New Roman"/>
              <w:sz w:val="24"/>
              <w:szCs w:val="24"/>
            </w:rPr>
            <w:fldChar w:fldCharType="end"/>
          </w:r>
        </w:sdtContent>
      </w:sdt>
    </w:p>
    <w:p w:rsidR="00363D35" w:rsidRPr="001A01F0" w:rsidRDefault="00363D3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“While the advantage of this model is that it captures both direct and indirect linkages among financial institutions, it is not able to disentangle between the two.”</w:t>
      </w:r>
    </w:p>
    <w:p w:rsidR="00363D35" w:rsidRPr="001A01F0" w:rsidRDefault="00363D3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EC6087" w:rsidRPr="001A01F0">
        <w:rPr>
          <w:rFonts w:ascii="Times New Roman" w:hAnsi="Times New Roman" w:cs="Times New Roman"/>
          <w:i/>
          <w:iCs/>
          <w:color w:val="222222"/>
          <w:sz w:val="24"/>
          <w:szCs w:val="24"/>
        </w:rPr>
        <w:t>The figure below</w:t>
      </w:r>
      <w:r w:rsidRPr="001A01F0">
        <w:rPr>
          <w:rFonts w:ascii="Times New Roman" w:hAnsi="Times New Roman" w:cs="Times New Roman"/>
          <w:sz w:val="24"/>
          <w:szCs w:val="24"/>
        </w:rPr>
        <w:t>] shows a time series of quarterly forecasts for the one-year distributions of the number of defaults in the Bangladesh banking sector estimated from the model for the banking-wide default rate.”</w:t>
      </w:r>
    </w:p>
    <w:p w:rsidR="00363D35" w:rsidRPr="001A01F0" w:rsidRDefault="00363D35" w:rsidP="00027826">
      <w:pPr>
        <w:pStyle w:val="NoSpacing"/>
        <w:spacing w:line="360" w:lineRule="auto"/>
        <w:jc w:val="both"/>
        <w:rPr>
          <w:rFonts w:ascii="Times New Roman" w:hAnsi="Times New Roman" w:cs="Times New Roman"/>
          <w:noProof/>
          <w:sz w:val="24"/>
          <w:szCs w:val="24"/>
        </w:rPr>
      </w:pPr>
    </w:p>
    <w:p w:rsidR="00363D35" w:rsidRPr="001A01F0" w:rsidRDefault="00363D3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noProof/>
          <w:sz w:val="24"/>
          <w:szCs w:val="24"/>
        </w:rPr>
        <w:lastRenderedPageBreak/>
        <w:drawing>
          <wp:inline distT="0" distB="0" distL="0" distR="0" wp14:anchorId="51C40A87" wp14:editId="68D4BA07">
            <wp:extent cx="6011491" cy="3618601"/>
            <wp:effectExtent l="0" t="0" r="8890" b="1270"/>
            <wp:docPr id="4" name="Picture 4" descr="http://www.sr-sv.com/wp-content/uploads/2018/11/SRM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r-sv.com/wp-content/uploads/2018/11/SRM_10.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1415" t="11029" r="-1"/>
                    <a:stretch/>
                  </pic:blipFill>
                  <pic:spPr bwMode="auto">
                    <a:xfrm>
                      <a:off x="0" y="0"/>
                      <a:ext cx="6036171" cy="3633457"/>
                    </a:xfrm>
                    <a:prstGeom prst="rect">
                      <a:avLst/>
                    </a:prstGeom>
                    <a:noFill/>
                    <a:ln>
                      <a:noFill/>
                    </a:ln>
                    <a:extLst>
                      <a:ext uri="{53640926-AAD7-44D8-BBD7-CCE9431645EC}">
                        <a14:shadowObscured xmlns:a14="http://schemas.microsoft.com/office/drawing/2010/main"/>
                      </a:ext>
                    </a:extLst>
                  </pic:spPr>
                </pic:pic>
              </a:graphicData>
            </a:graphic>
          </wp:inline>
        </w:drawing>
      </w:r>
    </w:p>
    <w:p w:rsidR="00363D35" w:rsidRPr="001A01F0" w:rsidRDefault="00363D35" w:rsidP="00027826">
      <w:pPr>
        <w:pStyle w:val="NoSpacing"/>
        <w:spacing w:line="360" w:lineRule="auto"/>
        <w:jc w:val="both"/>
        <w:rPr>
          <w:rFonts w:ascii="Times New Roman" w:hAnsi="Times New Roman" w:cs="Times New Roman"/>
          <w:i/>
          <w:iCs/>
          <w:color w:val="44546A" w:themeColor="text2"/>
          <w:sz w:val="24"/>
          <w:szCs w:val="24"/>
        </w:rPr>
      </w:pPr>
      <w:r w:rsidRPr="001A01F0">
        <w:rPr>
          <w:rFonts w:ascii="Times New Roman" w:hAnsi="Times New Roman" w:cs="Times New Roman"/>
          <w:i/>
          <w:iCs/>
          <w:color w:val="44546A" w:themeColor="text2"/>
          <w:sz w:val="24"/>
          <w:szCs w:val="24"/>
        </w:rPr>
        <w:t>Figure 4 DIM: Default rate probability and number of defaults</w:t>
      </w:r>
    </w:p>
    <w:p w:rsidR="00602060" w:rsidRPr="001A01F0" w:rsidRDefault="00602060" w:rsidP="00027826">
      <w:pPr>
        <w:pStyle w:val="NoSpacing"/>
        <w:spacing w:line="360" w:lineRule="auto"/>
        <w:jc w:val="both"/>
        <w:rPr>
          <w:rFonts w:ascii="Times New Roman" w:hAnsi="Times New Roman" w:cs="Times New Roman"/>
          <w:sz w:val="24"/>
          <w:szCs w:val="24"/>
        </w:rPr>
      </w:pPr>
    </w:p>
    <w:p w:rsidR="00602060" w:rsidRPr="001A01F0" w:rsidRDefault="00602060" w:rsidP="00027826">
      <w:pPr>
        <w:pStyle w:val="NoSpacing"/>
        <w:spacing w:line="360" w:lineRule="auto"/>
        <w:jc w:val="both"/>
        <w:rPr>
          <w:rFonts w:ascii="Times New Roman" w:hAnsi="Times New Roman" w:cs="Times New Roman"/>
          <w:sz w:val="24"/>
          <w:szCs w:val="24"/>
        </w:rPr>
      </w:pPr>
    </w:p>
    <w:p w:rsidR="00602060" w:rsidRPr="001A01F0" w:rsidRDefault="00602060" w:rsidP="00027826">
      <w:pPr>
        <w:pStyle w:val="NoSpacing"/>
        <w:spacing w:line="360" w:lineRule="auto"/>
        <w:jc w:val="both"/>
        <w:rPr>
          <w:rFonts w:ascii="Times New Roman" w:hAnsi="Times New Roman" w:cs="Times New Roman"/>
          <w:sz w:val="24"/>
          <w:szCs w:val="24"/>
        </w:rPr>
      </w:pPr>
    </w:p>
    <w:p w:rsidR="00602060" w:rsidRPr="00716D83" w:rsidRDefault="00602060" w:rsidP="00027826">
      <w:pPr>
        <w:pStyle w:val="NoSpacing"/>
        <w:spacing w:line="360" w:lineRule="auto"/>
        <w:jc w:val="both"/>
        <w:rPr>
          <w:rFonts w:ascii="Times New Roman" w:hAnsi="Times New Roman" w:cs="Times New Roman"/>
          <w:b/>
          <w:sz w:val="24"/>
          <w:szCs w:val="24"/>
        </w:rPr>
      </w:pPr>
    </w:p>
    <w:p w:rsidR="00363D35" w:rsidRPr="00716D83" w:rsidRDefault="00716D83" w:rsidP="0027736C">
      <w:pPr>
        <w:pStyle w:val="Heading2"/>
      </w:pPr>
      <w:bookmarkStart w:id="12" w:name="_Toc6873774"/>
      <w:r>
        <w:t xml:space="preserve">3.0.5 </w:t>
      </w:r>
      <w:r w:rsidR="00EC6087" w:rsidRPr="00716D83">
        <w:t>CoRisk</w:t>
      </w:r>
      <w:bookmarkEnd w:id="12"/>
    </w:p>
    <w:p w:rsidR="00363D35" w:rsidRPr="001A01F0" w:rsidRDefault="00363D3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“CoRisk is a measure of risk interdependence across financial institutions that accounts for common risk factors and potential nonlinear effects…Intuitively, CoRisk is the percentage difference between a default risk measure of an institution conditional on the default risk of another institution and some common drivers of default risk and its unconditional counterpart…CoRisk is estimated by running quantile regressions, that can capture potential non-linearities in the conditional distribution of default risk…CoRisk can be estimated using different datasets. IMF [</w:t>
      </w:r>
      <w:r w:rsidR="00EC6087" w:rsidRPr="001A01F0">
        <w:rPr>
          <w:rFonts w:ascii="Times New Roman" w:hAnsi="Times New Roman" w:cs="Times New Roman"/>
          <w:i/>
          <w:iCs/>
          <w:color w:val="222222"/>
          <w:sz w:val="24"/>
          <w:szCs w:val="24"/>
        </w:rPr>
        <w:t>research</w:t>
      </w:r>
      <w:r w:rsidRPr="001A01F0">
        <w:rPr>
          <w:rFonts w:ascii="Times New Roman" w:hAnsi="Times New Roman" w:cs="Times New Roman"/>
          <w:sz w:val="24"/>
          <w:szCs w:val="24"/>
        </w:rPr>
        <w:t>] uses CDS spreads. In particular, CDS spreads below the 5th quantile of their empirical distribution are assumed to indicate a very favourable regime, while CDS spreads above the 95th quantile are assumed to indicate a regime of distress.”</w:t>
      </w:r>
      <w:sdt>
        <w:sdtPr>
          <w:rPr>
            <w:rFonts w:ascii="Times New Roman" w:hAnsi="Times New Roman" w:cs="Times New Roman"/>
            <w:sz w:val="24"/>
            <w:szCs w:val="24"/>
          </w:rPr>
          <w:id w:val="156976471"/>
          <w:citation/>
        </w:sdtPr>
        <w:sdtContent>
          <w:r w:rsidR="00664A4B" w:rsidRPr="001A01F0">
            <w:rPr>
              <w:rFonts w:ascii="Times New Roman" w:hAnsi="Times New Roman" w:cs="Times New Roman"/>
              <w:sz w:val="24"/>
              <w:szCs w:val="24"/>
            </w:rPr>
            <w:fldChar w:fldCharType="begin"/>
          </w:r>
          <w:r w:rsidR="00664A4B" w:rsidRPr="001A01F0">
            <w:rPr>
              <w:rFonts w:ascii="Times New Roman" w:hAnsi="Times New Roman" w:cs="Times New Roman"/>
              <w:sz w:val="24"/>
              <w:szCs w:val="24"/>
            </w:rPr>
            <w:instrText xml:space="preserve"> CITATION Pao16 \l 1033 </w:instrText>
          </w:r>
          <w:r w:rsidR="00664A4B"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(Parisi, 2016)</w:t>
          </w:r>
          <w:r w:rsidR="00664A4B" w:rsidRPr="001A01F0">
            <w:rPr>
              <w:rFonts w:ascii="Times New Roman" w:hAnsi="Times New Roman" w:cs="Times New Roman"/>
              <w:sz w:val="24"/>
              <w:szCs w:val="24"/>
            </w:rPr>
            <w:fldChar w:fldCharType="end"/>
          </w:r>
        </w:sdtContent>
      </w:sdt>
    </w:p>
    <w:p w:rsidR="00363D35" w:rsidRPr="001A01F0" w:rsidRDefault="00363D3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EC6087" w:rsidRPr="001A01F0">
        <w:rPr>
          <w:rFonts w:ascii="Times New Roman" w:hAnsi="Times New Roman" w:cs="Times New Roman"/>
          <w:i/>
          <w:iCs/>
          <w:color w:val="222222"/>
          <w:sz w:val="24"/>
          <w:szCs w:val="24"/>
        </w:rPr>
        <w:t>The figure below</w:t>
      </w:r>
      <w:r w:rsidRPr="001A01F0">
        <w:rPr>
          <w:rFonts w:ascii="Times New Roman" w:hAnsi="Times New Roman" w:cs="Times New Roman"/>
          <w:sz w:val="24"/>
          <w:szCs w:val="24"/>
        </w:rPr>
        <w:t xml:space="preserve">] shows the CoRisk estimates of a subset of systemically important US financial institutions in March 2008…The numbers reported next to the arrows are the CoRisk measures. </w:t>
      </w:r>
      <w:r w:rsidRPr="001A01F0">
        <w:rPr>
          <w:rFonts w:ascii="Times New Roman" w:hAnsi="Times New Roman" w:cs="Times New Roman"/>
          <w:sz w:val="24"/>
          <w:szCs w:val="24"/>
        </w:rPr>
        <w:lastRenderedPageBreak/>
        <w:t>For example, the risk of Wells Fargo conditional on the risk of AIG is almost five times (490 per cent) higher than the risk corresponding to the 95th percentile of the empirical distribution of Wells Fargo.”</w:t>
      </w:r>
    </w:p>
    <w:p w:rsidR="00363D35" w:rsidRPr="001A01F0" w:rsidRDefault="004B3610" w:rsidP="00027826">
      <w:pPr>
        <w:pStyle w:val="NoSpacing"/>
        <w:spacing w:line="360" w:lineRule="auto"/>
        <w:jc w:val="both"/>
        <w:rPr>
          <w:rFonts w:ascii="Times New Roman" w:hAnsi="Times New Roman" w:cs="Times New Roman"/>
          <w:bCs/>
          <w:color w:val="222222"/>
          <w:sz w:val="24"/>
          <w:szCs w:val="24"/>
        </w:rPr>
      </w:pPr>
      <w:r w:rsidRPr="001A01F0">
        <w:rPr>
          <w:rFonts w:ascii="Times New Roman" w:hAnsi="Times New Roman" w:cs="Times New Roman"/>
          <w:sz w:val="24"/>
          <w:szCs w:val="24"/>
        </w:rPr>
        <w:t xml:space="preserve">               </w:t>
      </w:r>
    </w:p>
    <w:p w:rsidR="00363D35" w:rsidRPr="001A01F0" w:rsidRDefault="00363D35"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noProof/>
          <w:sz w:val="24"/>
          <w:szCs w:val="24"/>
        </w:rPr>
        <w:drawing>
          <wp:inline distT="0" distB="0" distL="0" distR="0" wp14:anchorId="3F35B190" wp14:editId="09E9AA4C">
            <wp:extent cx="5807122" cy="4977190"/>
            <wp:effectExtent l="0" t="0" r="3175" b="0"/>
            <wp:docPr id="5" name="Picture 5" descr="http://www.sr-sv.com/wp-content/uploads/2018/11/SRM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r-sv.com/wp-content/uploads/2018/11/SRM_03.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6194"/>
                    <a:stretch/>
                  </pic:blipFill>
                  <pic:spPr bwMode="auto">
                    <a:xfrm>
                      <a:off x="0" y="0"/>
                      <a:ext cx="5841629" cy="5006765"/>
                    </a:xfrm>
                    <a:prstGeom prst="rect">
                      <a:avLst/>
                    </a:prstGeom>
                    <a:noFill/>
                    <a:ln>
                      <a:noFill/>
                    </a:ln>
                    <a:extLst>
                      <a:ext uri="{53640926-AAD7-44D8-BBD7-CCE9431645EC}">
                        <a14:shadowObscured xmlns:a14="http://schemas.microsoft.com/office/drawing/2010/main"/>
                      </a:ext>
                    </a:extLst>
                  </pic:spPr>
                </pic:pic>
              </a:graphicData>
            </a:graphic>
          </wp:inline>
        </w:drawing>
      </w:r>
    </w:p>
    <w:p w:rsidR="00363D35" w:rsidRPr="001A01F0" w:rsidRDefault="004B3610" w:rsidP="00027826">
      <w:pPr>
        <w:pStyle w:val="NoSpacing"/>
        <w:spacing w:line="360" w:lineRule="auto"/>
        <w:jc w:val="both"/>
        <w:rPr>
          <w:rFonts w:ascii="Times New Roman" w:hAnsi="Times New Roman" w:cs="Times New Roman"/>
          <w:bCs/>
          <w:color w:val="222222"/>
          <w:sz w:val="24"/>
          <w:szCs w:val="24"/>
        </w:rPr>
      </w:pPr>
      <w:r w:rsidRPr="001A01F0">
        <w:rPr>
          <w:rFonts w:ascii="Times New Roman" w:hAnsi="Times New Roman" w:cs="Times New Roman"/>
          <w:bCs/>
          <w:color w:val="222222"/>
          <w:sz w:val="24"/>
          <w:szCs w:val="24"/>
        </w:rPr>
        <w:t xml:space="preserve">                                                               </w:t>
      </w:r>
      <w:r w:rsidRPr="001A01F0">
        <w:rPr>
          <w:rFonts w:ascii="Times New Roman" w:hAnsi="Times New Roman" w:cs="Times New Roman"/>
          <w:sz w:val="24"/>
          <w:szCs w:val="24"/>
        </w:rPr>
        <w:t>Figure 5 CoRisk</w:t>
      </w:r>
    </w:p>
    <w:p w:rsidR="0027736C" w:rsidRDefault="0027736C" w:rsidP="0027736C">
      <w:pPr>
        <w:pStyle w:val="Heading1"/>
      </w:pPr>
    </w:p>
    <w:p w:rsidR="0027736C" w:rsidRDefault="0027736C" w:rsidP="0027736C">
      <w:pPr>
        <w:pStyle w:val="Heading1"/>
      </w:pPr>
    </w:p>
    <w:p w:rsidR="00602060" w:rsidRPr="00716D83" w:rsidRDefault="00716D83" w:rsidP="0027736C">
      <w:pPr>
        <w:pStyle w:val="Heading1"/>
      </w:pPr>
      <w:bookmarkStart w:id="13" w:name="_Toc6873775"/>
      <w:r w:rsidRPr="00716D83">
        <w:t>4.0 Managing Systemic Risk</w:t>
      </w:r>
      <w:bookmarkEnd w:id="13"/>
    </w:p>
    <w:p w:rsidR="00664768" w:rsidRPr="001A01F0" w:rsidRDefault="00664768"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The scourge of systemic risk has been profound that specialists have gone to overdrive to find ways to manage risks of this particular kind. So far although the efforts are not futile but so much still need to be unearthed. The tricky nature of systemic risk makes it very difficult to manage.</w:t>
      </w:r>
    </w:p>
    <w:p w:rsidR="00664768" w:rsidRPr="001A01F0" w:rsidRDefault="00664768" w:rsidP="00027826">
      <w:pPr>
        <w:pStyle w:val="NoSpacing"/>
        <w:spacing w:line="360" w:lineRule="auto"/>
        <w:jc w:val="both"/>
        <w:rPr>
          <w:rFonts w:ascii="Times New Roman" w:hAnsi="Times New Roman" w:cs="Times New Roman"/>
          <w:sz w:val="24"/>
          <w:szCs w:val="24"/>
        </w:rPr>
      </w:pPr>
    </w:p>
    <w:p w:rsidR="00B25243" w:rsidRPr="001A01F0" w:rsidRDefault="00664768" w:rsidP="00027826">
      <w:pPr>
        <w:pStyle w:val="NoSpacing"/>
        <w:spacing w:line="360" w:lineRule="auto"/>
        <w:jc w:val="both"/>
        <w:rPr>
          <w:rStyle w:val="Emphasis"/>
          <w:rFonts w:ascii="Times New Roman" w:hAnsi="Times New Roman" w:cs="Times New Roman"/>
          <w:i w:val="0"/>
          <w:sz w:val="24"/>
          <w:szCs w:val="24"/>
        </w:rPr>
      </w:pPr>
      <w:r w:rsidRPr="001A01F0">
        <w:rPr>
          <w:rStyle w:val="Emphasis"/>
          <w:rFonts w:ascii="Times New Roman" w:hAnsi="Times New Roman" w:cs="Times New Roman"/>
          <w:i w:val="0"/>
          <w:sz w:val="24"/>
          <w:szCs w:val="24"/>
        </w:rPr>
        <w:t>“</w:t>
      </w:r>
      <w:r w:rsidR="00602060" w:rsidRPr="001A01F0">
        <w:rPr>
          <w:rStyle w:val="Emphasis"/>
          <w:rFonts w:ascii="Times New Roman" w:hAnsi="Times New Roman" w:cs="Times New Roman"/>
          <w:i w:val="0"/>
          <w:sz w:val="24"/>
          <w:szCs w:val="24"/>
        </w:rPr>
        <w:t>Systemic crises are rare. But they are make-or-break events for long-term performance and social relevance of investment managers.</w:t>
      </w:r>
      <w:r w:rsidRPr="001A01F0">
        <w:rPr>
          <w:rStyle w:val="Emphasis"/>
          <w:rFonts w:ascii="Times New Roman" w:hAnsi="Times New Roman" w:cs="Times New Roman"/>
          <w:i w:val="0"/>
          <w:sz w:val="24"/>
          <w:szCs w:val="24"/>
        </w:rPr>
        <w:t xml:space="preserve"> </w:t>
      </w:r>
      <w:r w:rsidR="00602060" w:rsidRPr="001A01F0">
        <w:rPr>
          <w:rStyle w:val="Emphasis"/>
          <w:rFonts w:ascii="Times New Roman" w:hAnsi="Times New Roman" w:cs="Times New Roman"/>
          <w:i w:val="0"/>
          <w:sz w:val="24"/>
          <w:szCs w:val="24"/>
        </w:rPr>
        <w:t>In systemic crises, conventional investment strategies lose big. The rules of efficient positioning are turned upside down. Trends follow distressed flows away from best value and institutions abandon return optimization for the sake of preserving capital and liquidity. It is hard to predict systemic events, but through consistent research, it is possible to improve judgment on systemic vulnerabilities. When crisis-like dynamics get underway this is crucial for liquidating early, following the right trends and avoiding trades in extreme illiquidity. Crisis opportunities favor the prepared, who has set up emergency protocols, a realistic calibration of tail risk and an active exchange of market risk information with other managers and institutions</w:t>
      </w:r>
      <w:r w:rsidRPr="001A01F0">
        <w:rPr>
          <w:rStyle w:val="Emphasis"/>
          <w:rFonts w:ascii="Times New Roman" w:hAnsi="Times New Roman" w:cs="Times New Roman"/>
          <w:sz w:val="24"/>
          <w:szCs w:val="24"/>
        </w:rPr>
        <w:t>.</w:t>
      </w:r>
      <w:r w:rsidRPr="001A01F0">
        <w:rPr>
          <w:rStyle w:val="Emphasis"/>
          <w:rFonts w:ascii="Times New Roman" w:hAnsi="Times New Roman" w:cs="Times New Roman"/>
          <w:i w:val="0"/>
          <w:sz w:val="24"/>
          <w:szCs w:val="24"/>
        </w:rPr>
        <w:t>”</w:t>
      </w:r>
      <w:sdt>
        <w:sdtPr>
          <w:rPr>
            <w:rStyle w:val="Emphasis"/>
            <w:rFonts w:ascii="Times New Roman" w:hAnsi="Times New Roman" w:cs="Times New Roman"/>
            <w:i w:val="0"/>
            <w:sz w:val="24"/>
            <w:szCs w:val="24"/>
          </w:rPr>
          <w:id w:val="714627146"/>
          <w:citation/>
        </w:sdtPr>
        <w:sdtContent>
          <w:r w:rsidRPr="001A01F0">
            <w:rPr>
              <w:rStyle w:val="Emphasis"/>
              <w:rFonts w:ascii="Times New Roman" w:hAnsi="Times New Roman" w:cs="Times New Roman"/>
              <w:i w:val="0"/>
              <w:sz w:val="24"/>
              <w:szCs w:val="24"/>
            </w:rPr>
            <w:fldChar w:fldCharType="begin"/>
          </w:r>
          <w:r w:rsidRPr="001A01F0">
            <w:rPr>
              <w:rStyle w:val="Emphasis"/>
              <w:rFonts w:ascii="Times New Roman" w:hAnsi="Times New Roman" w:cs="Times New Roman"/>
              <w:i w:val="0"/>
              <w:sz w:val="24"/>
              <w:szCs w:val="24"/>
            </w:rPr>
            <w:instrText xml:space="preserve"> CITATION SR_15 \l 1033 </w:instrText>
          </w:r>
          <w:r w:rsidRPr="001A01F0">
            <w:rPr>
              <w:rStyle w:val="Emphasis"/>
              <w:rFonts w:ascii="Times New Roman" w:hAnsi="Times New Roman" w:cs="Times New Roman"/>
              <w:i w:val="0"/>
              <w:sz w:val="24"/>
              <w:szCs w:val="24"/>
            </w:rPr>
            <w:fldChar w:fldCharType="separate"/>
          </w:r>
          <w:r w:rsidR="00B83DB3">
            <w:rPr>
              <w:rStyle w:val="Emphasis"/>
              <w:rFonts w:ascii="Times New Roman" w:hAnsi="Times New Roman" w:cs="Times New Roman"/>
              <w:i w:val="0"/>
              <w:noProof/>
              <w:sz w:val="24"/>
              <w:szCs w:val="24"/>
            </w:rPr>
            <w:t xml:space="preserve"> </w:t>
          </w:r>
          <w:r w:rsidR="00B83DB3" w:rsidRPr="00B83DB3">
            <w:rPr>
              <w:rFonts w:ascii="Times New Roman" w:hAnsi="Times New Roman" w:cs="Times New Roman"/>
              <w:noProof/>
              <w:sz w:val="24"/>
              <w:szCs w:val="24"/>
            </w:rPr>
            <w:t>(SR_SV, 2015)</w:t>
          </w:r>
          <w:r w:rsidRPr="001A01F0">
            <w:rPr>
              <w:rStyle w:val="Emphasis"/>
              <w:rFonts w:ascii="Times New Roman" w:hAnsi="Times New Roman" w:cs="Times New Roman"/>
              <w:i w:val="0"/>
              <w:sz w:val="24"/>
              <w:szCs w:val="24"/>
            </w:rPr>
            <w:fldChar w:fldCharType="end"/>
          </w:r>
        </w:sdtContent>
      </w:sdt>
    </w:p>
    <w:p w:rsidR="007D654D" w:rsidRPr="001A01F0" w:rsidRDefault="007D654D" w:rsidP="00027826">
      <w:pPr>
        <w:pStyle w:val="NoSpacing"/>
        <w:spacing w:line="360" w:lineRule="auto"/>
        <w:jc w:val="both"/>
        <w:rPr>
          <w:rFonts w:ascii="Times New Roman" w:hAnsi="Times New Roman" w:cs="Times New Roman"/>
          <w:sz w:val="24"/>
          <w:szCs w:val="24"/>
          <w:shd w:val="clear" w:color="auto" w:fill="FFFFFF"/>
        </w:rPr>
      </w:pPr>
      <w:r w:rsidRPr="001A01F0">
        <w:rPr>
          <w:rStyle w:val="Emphasis"/>
          <w:rFonts w:ascii="Times New Roman" w:hAnsi="Times New Roman" w:cs="Times New Roman"/>
          <w:i w:val="0"/>
          <w:sz w:val="24"/>
          <w:szCs w:val="24"/>
        </w:rPr>
        <w:t xml:space="preserve">Systemic risks not as common as other industry specific risks but its consequences are deadly. Because of the rarity of systemic risk, it is often does not get the amount of attention it should from managers. </w:t>
      </w:r>
      <w:r w:rsidRPr="001A01F0">
        <w:rPr>
          <w:rFonts w:ascii="Times New Roman" w:hAnsi="Times New Roman" w:cs="Times New Roman"/>
          <w:sz w:val="24"/>
          <w:szCs w:val="24"/>
          <w:shd w:val="clear" w:color="auto" w:fill="FFFFFF"/>
        </w:rPr>
        <w:t>“</w:t>
      </w:r>
      <w:r w:rsidR="00B25243" w:rsidRPr="001A01F0">
        <w:rPr>
          <w:rFonts w:ascii="Times New Roman" w:hAnsi="Times New Roman" w:cs="Times New Roman"/>
          <w:sz w:val="24"/>
          <w:szCs w:val="24"/>
          <w:shd w:val="clear" w:color="auto" w:fill="FFFFFF"/>
        </w:rPr>
        <w:t>Yet, how a</w:t>
      </w:r>
      <w:r w:rsidR="00B25243" w:rsidRPr="001A01F0">
        <w:rPr>
          <w:rFonts w:ascii="Times New Roman" w:hAnsi="Times New Roman" w:cs="Times New Roman"/>
          <w:sz w:val="24"/>
          <w:szCs w:val="24"/>
          <w:u w:val="single"/>
          <w:shd w:val="clear" w:color="auto" w:fill="FFFFFF"/>
        </w:rPr>
        <w:t xml:space="preserve"> </w:t>
      </w:r>
      <w:r w:rsidR="00B25243" w:rsidRPr="001A01F0">
        <w:rPr>
          <w:rFonts w:ascii="Times New Roman" w:hAnsi="Times New Roman" w:cs="Times New Roman"/>
          <w:sz w:val="24"/>
          <w:szCs w:val="24"/>
          <w:shd w:val="clear" w:color="auto" w:fill="FFFFFF"/>
        </w:rPr>
        <w:t>manager prepares for and deals with systemic risk often makes or breaks long-term performance. Most investment strategies rely on some combination of directional or alternative risk premium and information-based relative value. Systemic crise</w:t>
      </w:r>
      <w:r w:rsidRPr="001A01F0">
        <w:rPr>
          <w:rFonts w:ascii="Times New Roman" w:hAnsi="Times New Roman" w:cs="Times New Roman"/>
          <w:sz w:val="24"/>
          <w:szCs w:val="24"/>
          <w:shd w:val="clear" w:color="auto" w:fill="FFFFFF"/>
        </w:rPr>
        <w:t>s typically derail all of these”</w:t>
      </w:r>
      <w:sdt>
        <w:sdtPr>
          <w:rPr>
            <w:rFonts w:ascii="Times New Roman" w:hAnsi="Times New Roman" w:cs="Times New Roman"/>
            <w:sz w:val="24"/>
            <w:szCs w:val="24"/>
            <w:shd w:val="clear" w:color="auto" w:fill="FFFFFF"/>
          </w:rPr>
          <w:id w:val="-272564395"/>
          <w:citation/>
        </w:sdtPr>
        <w:sdtContent>
          <w:r w:rsidRPr="001A01F0">
            <w:rPr>
              <w:rFonts w:ascii="Times New Roman" w:hAnsi="Times New Roman" w:cs="Times New Roman"/>
              <w:sz w:val="24"/>
              <w:szCs w:val="24"/>
              <w:shd w:val="clear" w:color="auto" w:fill="FFFFFF"/>
            </w:rPr>
            <w:fldChar w:fldCharType="begin"/>
          </w:r>
          <w:r w:rsidRPr="001A01F0">
            <w:rPr>
              <w:rFonts w:ascii="Times New Roman" w:hAnsi="Times New Roman" w:cs="Times New Roman"/>
              <w:sz w:val="24"/>
              <w:szCs w:val="24"/>
              <w:shd w:val="clear" w:color="auto" w:fill="FFFFFF"/>
            </w:rPr>
            <w:instrText xml:space="preserve"> CITATION SR_15 \l 1033 </w:instrText>
          </w:r>
          <w:r w:rsidRPr="001A01F0">
            <w:rPr>
              <w:rFonts w:ascii="Times New Roman" w:hAnsi="Times New Roman" w:cs="Times New Roman"/>
              <w:sz w:val="24"/>
              <w:szCs w:val="24"/>
              <w:shd w:val="clear" w:color="auto" w:fill="FFFFFF"/>
            </w:rPr>
            <w:fldChar w:fldCharType="separate"/>
          </w:r>
          <w:r w:rsidR="00B83DB3">
            <w:rPr>
              <w:rFonts w:ascii="Times New Roman" w:hAnsi="Times New Roman" w:cs="Times New Roman"/>
              <w:noProof/>
              <w:sz w:val="24"/>
              <w:szCs w:val="24"/>
              <w:shd w:val="clear" w:color="auto" w:fill="FFFFFF"/>
            </w:rPr>
            <w:t xml:space="preserve"> </w:t>
          </w:r>
          <w:r w:rsidR="00B83DB3" w:rsidRPr="00B83DB3">
            <w:rPr>
              <w:rFonts w:ascii="Times New Roman" w:hAnsi="Times New Roman" w:cs="Times New Roman"/>
              <w:noProof/>
              <w:sz w:val="24"/>
              <w:szCs w:val="24"/>
              <w:shd w:val="clear" w:color="auto" w:fill="FFFFFF"/>
            </w:rPr>
            <w:t>(SR_SV, 2015)</w:t>
          </w:r>
          <w:r w:rsidRPr="001A01F0">
            <w:rPr>
              <w:rFonts w:ascii="Times New Roman" w:hAnsi="Times New Roman" w:cs="Times New Roman"/>
              <w:sz w:val="24"/>
              <w:szCs w:val="24"/>
              <w:shd w:val="clear" w:color="auto" w:fill="FFFFFF"/>
            </w:rPr>
            <w:fldChar w:fldCharType="end"/>
          </w:r>
        </w:sdtContent>
      </w:sdt>
      <w:r w:rsidRPr="001A01F0">
        <w:rPr>
          <w:rFonts w:ascii="Times New Roman" w:hAnsi="Times New Roman" w:cs="Times New Roman"/>
          <w:sz w:val="24"/>
          <w:szCs w:val="24"/>
          <w:shd w:val="clear" w:color="auto" w:fill="FFFFFF"/>
        </w:rPr>
        <w:t xml:space="preserve">. </w:t>
      </w:r>
      <w:r w:rsidR="00B25243" w:rsidRPr="001A01F0">
        <w:rPr>
          <w:rFonts w:ascii="Times New Roman" w:hAnsi="Times New Roman" w:cs="Times New Roman"/>
          <w:sz w:val="24"/>
          <w:szCs w:val="24"/>
          <w:shd w:val="clear" w:color="auto" w:fill="FFFFFF"/>
        </w:rPr>
        <w:t> </w:t>
      </w:r>
      <w:r w:rsidRPr="001A01F0">
        <w:rPr>
          <w:rFonts w:ascii="Times New Roman" w:hAnsi="Times New Roman" w:cs="Times New Roman"/>
          <w:sz w:val="24"/>
          <w:szCs w:val="24"/>
          <w:shd w:val="clear" w:color="auto" w:fill="FFFFFF"/>
        </w:rPr>
        <w:t>This is due to the fact that the victim institutions faces accounting, legal and funding constrain with little or no scope of choice for managers.</w:t>
      </w:r>
    </w:p>
    <w:p w:rsidR="00602060" w:rsidRPr="001A01F0" w:rsidRDefault="003C3FBD" w:rsidP="00027826">
      <w:pPr>
        <w:pStyle w:val="NoSpacing"/>
        <w:spacing w:line="360" w:lineRule="auto"/>
        <w:jc w:val="both"/>
        <w:rPr>
          <w:rStyle w:val="Emphasis"/>
          <w:rFonts w:ascii="Times New Roman" w:hAnsi="Times New Roman" w:cs="Times New Roman"/>
          <w:i w:val="0"/>
          <w:iCs w:val="0"/>
          <w:sz w:val="24"/>
          <w:szCs w:val="24"/>
          <w:shd w:val="clear" w:color="auto" w:fill="FFFFFF"/>
        </w:rPr>
      </w:pPr>
      <w:r w:rsidRPr="001A01F0">
        <w:rPr>
          <w:rFonts w:ascii="Times New Roman" w:hAnsi="Times New Roman" w:cs="Times New Roman"/>
          <w:sz w:val="24"/>
          <w:szCs w:val="24"/>
          <w:shd w:val="clear" w:color="auto" w:fill="FFFFFF"/>
        </w:rPr>
        <w:t xml:space="preserve">With the escalation of systemic crisis shifts the focus of institution from market positioning to survival seriously undermining its true potential. Therefore institutions often find itself in at an impasse. </w:t>
      </w:r>
      <w:r w:rsidR="00B25243" w:rsidRPr="001A01F0">
        <w:rPr>
          <w:rFonts w:ascii="Times New Roman" w:hAnsi="Times New Roman" w:cs="Times New Roman"/>
          <w:sz w:val="24"/>
          <w:szCs w:val="24"/>
          <w:shd w:val="clear" w:color="auto" w:fill="FFFFFF"/>
        </w:rPr>
        <w:t xml:space="preserve"> </w:t>
      </w:r>
      <w:r w:rsidRPr="001A01F0">
        <w:rPr>
          <w:rFonts w:ascii="Times New Roman" w:hAnsi="Times New Roman" w:cs="Times New Roman"/>
          <w:sz w:val="24"/>
          <w:szCs w:val="24"/>
          <w:shd w:val="clear" w:color="auto" w:fill="FFFFFF"/>
        </w:rPr>
        <w:t>“</w:t>
      </w:r>
      <w:r w:rsidR="00B25243" w:rsidRPr="001A01F0">
        <w:rPr>
          <w:rFonts w:ascii="Times New Roman" w:hAnsi="Times New Roman" w:cs="Times New Roman"/>
          <w:sz w:val="24"/>
          <w:szCs w:val="24"/>
          <w:shd w:val="clear" w:color="auto" w:fill="FFFFFF"/>
        </w:rPr>
        <w:t>Diversification is of little help because the scope of inefficient flows is wide. Empirical research shows that a single global financial cycle floats or sink</w:t>
      </w:r>
      <w:r w:rsidRPr="001A01F0">
        <w:rPr>
          <w:rFonts w:ascii="Times New Roman" w:hAnsi="Times New Roman" w:cs="Times New Roman"/>
          <w:sz w:val="24"/>
          <w:szCs w:val="24"/>
          <w:shd w:val="clear" w:color="auto" w:fill="FFFFFF"/>
        </w:rPr>
        <w:t>s most markets at the same time</w:t>
      </w:r>
      <w:r w:rsidR="00B25243" w:rsidRPr="001A01F0">
        <w:rPr>
          <w:rFonts w:ascii="Times New Roman" w:hAnsi="Times New Roman" w:cs="Times New Roman"/>
          <w:sz w:val="24"/>
          <w:szCs w:val="24"/>
          <w:shd w:val="clear" w:color="auto" w:fill="FFFFFF"/>
        </w:rPr>
        <w:t xml:space="preserve"> Hence, for responsible portfolio managers systemic risk is an extreme form of setback risk, i.e. of </w:t>
      </w:r>
      <w:r w:rsidR="00B25243" w:rsidRPr="001A01F0">
        <w:rPr>
          <w:rFonts w:ascii="Times New Roman" w:hAnsi="Times New Roman" w:cs="Times New Roman"/>
          <w:sz w:val="24"/>
          <w:szCs w:val="24"/>
          <w:shd w:val="clear" w:color="auto" w:fill="FFFFFF"/>
        </w:rPr>
        <w:lastRenderedPageBreak/>
        <w:t>a gap between downside and upside risk unrelated to fundamentals.</w:t>
      </w:r>
      <w:r w:rsidRPr="001A01F0">
        <w:rPr>
          <w:rFonts w:ascii="Times New Roman" w:hAnsi="Times New Roman" w:cs="Times New Roman"/>
          <w:sz w:val="24"/>
          <w:szCs w:val="24"/>
          <w:shd w:val="clear" w:color="auto" w:fill="FFFFFF"/>
        </w:rPr>
        <w:t>”</w:t>
      </w:r>
      <w:sdt>
        <w:sdtPr>
          <w:rPr>
            <w:rFonts w:ascii="Times New Roman" w:hAnsi="Times New Roman" w:cs="Times New Roman"/>
            <w:sz w:val="24"/>
            <w:szCs w:val="24"/>
            <w:shd w:val="clear" w:color="auto" w:fill="FFFFFF"/>
          </w:rPr>
          <w:id w:val="595756192"/>
          <w:citation/>
        </w:sdtPr>
        <w:sdtContent>
          <w:r w:rsidRPr="001A01F0">
            <w:rPr>
              <w:rFonts w:ascii="Times New Roman" w:hAnsi="Times New Roman" w:cs="Times New Roman"/>
              <w:sz w:val="24"/>
              <w:szCs w:val="24"/>
              <w:shd w:val="clear" w:color="auto" w:fill="FFFFFF"/>
            </w:rPr>
            <w:fldChar w:fldCharType="begin"/>
          </w:r>
          <w:r w:rsidRPr="001A01F0">
            <w:rPr>
              <w:rFonts w:ascii="Times New Roman" w:hAnsi="Times New Roman" w:cs="Times New Roman"/>
              <w:sz w:val="24"/>
              <w:szCs w:val="24"/>
              <w:shd w:val="clear" w:color="auto" w:fill="FFFFFF"/>
            </w:rPr>
            <w:instrText xml:space="preserve"> CITATION rjs141 \l 1033 </w:instrText>
          </w:r>
          <w:r w:rsidRPr="001A01F0">
            <w:rPr>
              <w:rFonts w:ascii="Times New Roman" w:hAnsi="Times New Roman" w:cs="Times New Roman"/>
              <w:sz w:val="24"/>
              <w:szCs w:val="24"/>
              <w:shd w:val="clear" w:color="auto" w:fill="FFFFFF"/>
            </w:rPr>
            <w:fldChar w:fldCharType="separate"/>
          </w:r>
          <w:r w:rsidR="00B83DB3">
            <w:rPr>
              <w:rFonts w:ascii="Times New Roman" w:hAnsi="Times New Roman" w:cs="Times New Roman"/>
              <w:noProof/>
              <w:sz w:val="24"/>
              <w:szCs w:val="24"/>
              <w:shd w:val="clear" w:color="auto" w:fill="FFFFFF"/>
            </w:rPr>
            <w:t xml:space="preserve"> </w:t>
          </w:r>
          <w:r w:rsidR="00B83DB3" w:rsidRPr="00B83DB3">
            <w:rPr>
              <w:rFonts w:ascii="Times New Roman" w:hAnsi="Times New Roman" w:cs="Times New Roman"/>
              <w:noProof/>
              <w:sz w:val="24"/>
              <w:szCs w:val="24"/>
              <w:shd w:val="clear" w:color="auto" w:fill="FFFFFF"/>
            </w:rPr>
            <w:t>(rjsueppel, Understanding global liquidity, 2014)</w:t>
          </w:r>
          <w:r w:rsidRPr="001A01F0">
            <w:rPr>
              <w:rFonts w:ascii="Times New Roman" w:hAnsi="Times New Roman" w:cs="Times New Roman"/>
              <w:sz w:val="24"/>
              <w:szCs w:val="24"/>
              <w:shd w:val="clear" w:color="auto" w:fill="FFFFFF"/>
            </w:rPr>
            <w:fldChar w:fldCharType="end"/>
          </w:r>
        </w:sdtContent>
      </w:sdt>
      <w:r w:rsidR="00B25243" w:rsidRPr="001A01F0">
        <w:rPr>
          <w:rFonts w:ascii="Times New Roman" w:hAnsi="Times New Roman" w:cs="Times New Roman"/>
          <w:sz w:val="24"/>
          <w:szCs w:val="24"/>
          <w:shd w:val="clear" w:color="auto" w:fill="FFFFFF"/>
        </w:rPr>
        <w:t xml:space="preserve"> </w:t>
      </w:r>
      <w:r w:rsidR="0037571A" w:rsidRPr="001A01F0">
        <w:rPr>
          <w:rFonts w:ascii="Times New Roman" w:hAnsi="Times New Roman" w:cs="Times New Roman"/>
          <w:sz w:val="24"/>
          <w:szCs w:val="24"/>
          <w:shd w:val="clear" w:color="auto" w:fill="FFFFFF"/>
        </w:rPr>
        <w:t xml:space="preserve"> </w:t>
      </w:r>
    </w:p>
    <w:p w:rsidR="00602060" w:rsidRPr="001A01F0" w:rsidRDefault="003C3FBD" w:rsidP="00027826">
      <w:pPr>
        <w:pStyle w:val="NoSpacing"/>
        <w:spacing w:line="360" w:lineRule="auto"/>
        <w:jc w:val="both"/>
        <w:rPr>
          <w:rFonts w:ascii="Times New Roman" w:hAnsi="Times New Roman" w:cs="Times New Roman"/>
          <w:sz w:val="24"/>
          <w:szCs w:val="24"/>
          <w:shd w:val="clear" w:color="auto" w:fill="FFFFFF"/>
        </w:rPr>
      </w:pPr>
      <w:r w:rsidRPr="001A01F0">
        <w:rPr>
          <w:rFonts w:ascii="Times New Roman" w:hAnsi="Times New Roman" w:cs="Times New Roman"/>
          <w:sz w:val="24"/>
          <w:szCs w:val="24"/>
          <w:shd w:val="clear" w:color="auto" w:fill="FFFFFF"/>
        </w:rPr>
        <w:t>“</w:t>
      </w:r>
      <w:r w:rsidR="00B25243" w:rsidRPr="001A01F0">
        <w:rPr>
          <w:rFonts w:ascii="Times New Roman" w:hAnsi="Times New Roman" w:cs="Times New Roman"/>
          <w:sz w:val="24"/>
          <w:szCs w:val="24"/>
          <w:shd w:val="clear" w:color="auto" w:fill="FFFFFF"/>
        </w:rPr>
        <w:t>If asset managers prepare for systemic crises, the impact of shocks on the financial system and the economy will be less severe.  It is often the very lack of protocol for difficult situations that leads to poor decisions and crisis escalation </w:t>
      </w:r>
      <w:sdt>
        <w:sdtPr>
          <w:rPr>
            <w:rFonts w:ascii="Times New Roman" w:hAnsi="Times New Roman" w:cs="Times New Roman"/>
            <w:sz w:val="24"/>
            <w:szCs w:val="24"/>
            <w:shd w:val="clear" w:color="auto" w:fill="FFFFFF"/>
          </w:rPr>
          <w:id w:val="1193504835"/>
          <w:citation/>
        </w:sdtPr>
        <w:sdtContent>
          <w:r w:rsidR="00C029F7" w:rsidRPr="001A01F0">
            <w:rPr>
              <w:rFonts w:ascii="Times New Roman" w:hAnsi="Times New Roman" w:cs="Times New Roman"/>
              <w:sz w:val="24"/>
              <w:szCs w:val="24"/>
              <w:shd w:val="clear" w:color="auto" w:fill="FFFFFF"/>
            </w:rPr>
            <w:fldChar w:fldCharType="begin"/>
          </w:r>
          <w:r w:rsidR="00C029F7" w:rsidRPr="001A01F0">
            <w:rPr>
              <w:rFonts w:ascii="Times New Roman" w:hAnsi="Times New Roman" w:cs="Times New Roman"/>
              <w:sz w:val="24"/>
              <w:szCs w:val="24"/>
              <w:shd w:val="clear" w:color="auto" w:fill="FFFFFF"/>
            </w:rPr>
            <w:instrText xml:space="preserve"> CITATION Sys15 \l 1033 </w:instrText>
          </w:r>
          <w:r w:rsidR="00C029F7" w:rsidRPr="001A01F0">
            <w:rPr>
              <w:rFonts w:ascii="Times New Roman" w:hAnsi="Times New Roman" w:cs="Times New Roman"/>
              <w:sz w:val="24"/>
              <w:szCs w:val="24"/>
              <w:shd w:val="clear" w:color="auto" w:fill="FFFFFF"/>
            </w:rPr>
            <w:fldChar w:fldCharType="separate"/>
          </w:r>
          <w:r w:rsidR="00B83DB3" w:rsidRPr="00B83DB3">
            <w:rPr>
              <w:rFonts w:ascii="Times New Roman" w:hAnsi="Times New Roman" w:cs="Times New Roman"/>
              <w:noProof/>
              <w:sz w:val="24"/>
              <w:szCs w:val="24"/>
              <w:shd w:val="clear" w:color="auto" w:fill="FFFFFF"/>
            </w:rPr>
            <w:t>(Systemic risk and Systemic value,Editor, 2015)</w:t>
          </w:r>
          <w:r w:rsidR="00C029F7" w:rsidRPr="001A01F0">
            <w:rPr>
              <w:rFonts w:ascii="Times New Roman" w:hAnsi="Times New Roman" w:cs="Times New Roman"/>
              <w:sz w:val="24"/>
              <w:szCs w:val="24"/>
              <w:shd w:val="clear" w:color="auto" w:fill="FFFFFF"/>
            </w:rPr>
            <w:fldChar w:fldCharType="end"/>
          </w:r>
        </w:sdtContent>
      </w:sdt>
      <w:r w:rsidR="00C029F7" w:rsidRPr="001A01F0">
        <w:rPr>
          <w:rFonts w:ascii="Times New Roman" w:hAnsi="Times New Roman" w:cs="Times New Roman"/>
          <w:sz w:val="24"/>
          <w:szCs w:val="24"/>
          <w:shd w:val="clear" w:color="auto" w:fill="FFFFFF"/>
        </w:rPr>
        <w:t>.</w:t>
      </w:r>
      <w:r w:rsidR="004B38FB" w:rsidRPr="001A01F0">
        <w:rPr>
          <w:rFonts w:ascii="Times New Roman" w:hAnsi="Times New Roman" w:cs="Times New Roman"/>
          <w:sz w:val="24"/>
          <w:szCs w:val="24"/>
          <w:shd w:val="clear" w:color="auto" w:fill="FFFFFF"/>
        </w:rPr>
        <w:t xml:space="preserve"> And the record of the financial industry in respect to crises is poor. There is ample evidence of regular boom and bust investment cycles, herding, trend-chasing, inefficient expectation formation, and speculative bubbles. It has been shown that standard cognitive behavior is often inconsistent with efficient markets.</w:t>
      </w:r>
      <w:r w:rsidRPr="001A01F0">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91674292"/>
          <w:citation/>
        </w:sdtPr>
        <w:sdtContent>
          <w:r w:rsidRPr="001A01F0">
            <w:rPr>
              <w:rFonts w:ascii="Times New Roman" w:hAnsi="Times New Roman" w:cs="Times New Roman"/>
              <w:sz w:val="24"/>
              <w:szCs w:val="24"/>
              <w:shd w:val="clear" w:color="auto" w:fill="FFFFFF"/>
            </w:rPr>
            <w:fldChar w:fldCharType="begin"/>
          </w:r>
          <w:r w:rsidRPr="001A01F0">
            <w:rPr>
              <w:rFonts w:ascii="Times New Roman" w:hAnsi="Times New Roman" w:cs="Times New Roman"/>
              <w:sz w:val="24"/>
              <w:szCs w:val="24"/>
              <w:shd w:val="clear" w:color="auto" w:fill="FFFFFF"/>
            </w:rPr>
            <w:instrText xml:space="preserve"> CITATION SR_15 \l 1033 </w:instrText>
          </w:r>
          <w:r w:rsidRPr="001A01F0">
            <w:rPr>
              <w:rFonts w:ascii="Times New Roman" w:hAnsi="Times New Roman" w:cs="Times New Roman"/>
              <w:sz w:val="24"/>
              <w:szCs w:val="24"/>
              <w:shd w:val="clear" w:color="auto" w:fill="FFFFFF"/>
            </w:rPr>
            <w:fldChar w:fldCharType="separate"/>
          </w:r>
          <w:r w:rsidR="00B83DB3" w:rsidRPr="00B83DB3">
            <w:rPr>
              <w:rFonts w:ascii="Times New Roman" w:hAnsi="Times New Roman" w:cs="Times New Roman"/>
              <w:noProof/>
              <w:sz w:val="24"/>
              <w:szCs w:val="24"/>
              <w:shd w:val="clear" w:color="auto" w:fill="FFFFFF"/>
            </w:rPr>
            <w:t>(SR_SV, 2015)</w:t>
          </w:r>
          <w:r w:rsidRPr="001A01F0">
            <w:rPr>
              <w:rFonts w:ascii="Times New Roman" w:hAnsi="Times New Roman" w:cs="Times New Roman"/>
              <w:sz w:val="24"/>
              <w:szCs w:val="24"/>
              <w:shd w:val="clear" w:color="auto" w:fill="FFFFFF"/>
            </w:rPr>
            <w:fldChar w:fldCharType="end"/>
          </w:r>
        </w:sdtContent>
      </w:sdt>
    </w:p>
    <w:p w:rsidR="0015521F" w:rsidRPr="001A01F0" w:rsidRDefault="0015521F"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4B38FB" w:rsidRPr="001A01F0">
        <w:rPr>
          <w:rFonts w:ascii="Times New Roman" w:hAnsi="Times New Roman" w:cs="Times New Roman"/>
          <w:sz w:val="24"/>
          <w:szCs w:val="24"/>
        </w:rPr>
        <w:t>Managers’ consideration of specific systemic crisis risk can also reduce the probability of such crises. Most crises follow from excesses and economic imbalances. An excess of leverage reduces the capacity to absorb drawdowns. The recognition of risk typically increases the price for exposure to the risk and hence discourages its build-up. A relevant example for the future could be the unsustainable use of the environment and climate change</w:t>
      </w:r>
      <w:r w:rsidRPr="001A01F0">
        <w:rPr>
          <w:rFonts w:ascii="Times New Roman" w:hAnsi="Times New Roman" w:cs="Times New Roman"/>
          <w:sz w:val="24"/>
          <w:szCs w:val="24"/>
        </w:rPr>
        <w:t>”</w:t>
      </w:r>
      <w:sdt>
        <w:sdtPr>
          <w:rPr>
            <w:rFonts w:ascii="Times New Roman" w:hAnsi="Times New Roman" w:cs="Times New Roman"/>
            <w:sz w:val="24"/>
            <w:szCs w:val="24"/>
          </w:rPr>
          <w:id w:val="916064651"/>
          <w:citation/>
        </w:sdtPr>
        <w:sdtContent>
          <w:r w:rsidR="004B38FB" w:rsidRPr="001A01F0">
            <w:rPr>
              <w:rFonts w:ascii="Times New Roman" w:hAnsi="Times New Roman" w:cs="Times New Roman"/>
              <w:sz w:val="24"/>
              <w:szCs w:val="24"/>
            </w:rPr>
            <w:fldChar w:fldCharType="begin"/>
          </w:r>
          <w:r w:rsidR="004B38FB" w:rsidRPr="001A01F0">
            <w:rPr>
              <w:rFonts w:ascii="Times New Roman" w:hAnsi="Times New Roman" w:cs="Times New Roman"/>
              <w:sz w:val="24"/>
              <w:szCs w:val="24"/>
            </w:rPr>
            <w:instrText xml:space="preserve"> CITATION SRS16 \l 1033 </w:instrText>
          </w:r>
          <w:r w:rsidR="004B38FB"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(SRSV,EDITOR, 2016)</w:t>
          </w:r>
          <w:r w:rsidR="004B38FB" w:rsidRPr="001A01F0">
            <w:rPr>
              <w:rFonts w:ascii="Times New Roman" w:hAnsi="Times New Roman" w:cs="Times New Roman"/>
              <w:sz w:val="24"/>
              <w:szCs w:val="24"/>
            </w:rPr>
            <w:fldChar w:fldCharType="end"/>
          </w:r>
        </w:sdtContent>
      </w:sdt>
      <w:r w:rsidR="004B38FB" w:rsidRPr="001A01F0">
        <w:rPr>
          <w:rFonts w:ascii="Times New Roman" w:hAnsi="Times New Roman" w:cs="Times New Roman"/>
          <w:sz w:val="24"/>
          <w:szCs w:val="24"/>
        </w:rPr>
        <w:t xml:space="preserve">. </w:t>
      </w:r>
    </w:p>
    <w:p w:rsidR="0015521F" w:rsidRPr="001A01F0" w:rsidRDefault="0015521F"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So as to manage systemic risk managers need to be prescient. And all the managers collectively do so than market would be sustainable with regard to managing systemic risks. There are quite a few very effective approaches that perceptive managers in renowned organizations use to counter systemic risk. In the following section a detailed discourse on the approaches to managing systemic risk has been covered.</w:t>
      </w:r>
    </w:p>
    <w:p w:rsidR="0015521F" w:rsidRPr="001A01F0" w:rsidRDefault="0015521F" w:rsidP="00027826">
      <w:pPr>
        <w:pStyle w:val="NoSpacing"/>
        <w:spacing w:line="360" w:lineRule="auto"/>
        <w:jc w:val="both"/>
        <w:rPr>
          <w:rFonts w:ascii="Times New Roman" w:hAnsi="Times New Roman" w:cs="Times New Roman"/>
          <w:sz w:val="24"/>
          <w:szCs w:val="24"/>
        </w:rPr>
      </w:pPr>
    </w:p>
    <w:p w:rsidR="004B38FB" w:rsidRDefault="00716D83" w:rsidP="0027736C">
      <w:pPr>
        <w:pStyle w:val="Heading2"/>
      </w:pPr>
      <w:bookmarkStart w:id="14" w:name="_Toc6873776"/>
      <w:r>
        <w:t xml:space="preserve">4.1 </w:t>
      </w:r>
      <w:r w:rsidR="004B38FB" w:rsidRPr="00716D83">
        <w:t>Approaches to managing systemic risk</w:t>
      </w:r>
      <w:bookmarkEnd w:id="14"/>
    </w:p>
    <w:p w:rsidR="00716D83" w:rsidRPr="00716D83" w:rsidRDefault="00716D83" w:rsidP="0002782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Since the inception of the financial crisis of 2008 the experts are determined to work out effective approaches to manage systemic risk. The policy makers, regulatory bodies, researchers, academicians are all working in their respective particular to come up with policies, methods, devices that would be able to better tackle the vicious scourge of systemic risk. Followings are some of the prevalent approaches to date:</w:t>
      </w:r>
    </w:p>
    <w:p w:rsidR="00A139E0" w:rsidRDefault="00716D83" w:rsidP="0027736C">
      <w:pPr>
        <w:pStyle w:val="Heading3"/>
      </w:pPr>
      <w:bookmarkStart w:id="15" w:name="_Toc6873777"/>
      <w:r>
        <w:t>4.1.1</w:t>
      </w:r>
      <w:r w:rsidR="009D6384">
        <w:t xml:space="preserve"> </w:t>
      </w:r>
      <w:r w:rsidR="00A139E0" w:rsidRPr="00965222">
        <w:t>Policy initiatives to reduce systemic risk</w:t>
      </w:r>
      <w:bookmarkEnd w:id="15"/>
    </w:p>
    <w:p w:rsidR="00EA60AE" w:rsidRPr="00EA60AE" w:rsidRDefault="00EA60AE" w:rsidP="00027826">
      <w:pPr>
        <w:pStyle w:val="NoSpacing"/>
        <w:spacing w:line="360" w:lineRule="auto"/>
        <w:jc w:val="both"/>
        <w:rPr>
          <w:rFonts w:ascii="Times New Roman" w:eastAsia="Times New Roman" w:hAnsi="Times New Roman" w:cs="Times New Roman"/>
          <w:color w:val="141414"/>
          <w:sz w:val="24"/>
          <w:szCs w:val="24"/>
        </w:rPr>
      </w:pPr>
      <w:r>
        <w:rPr>
          <w:rFonts w:ascii="Times New Roman" w:eastAsia="Times New Roman" w:hAnsi="Times New Roman" w:cs="Times New Roman"/>
          <w:bCs/>
          <w:color w:val="141414"/>
          <w:sz w:val="24"/>
          <w:szCs w:val="24"/>
        </w:rPr>
        <w:t xml:space="preserve">Policy makers make up laws, rules and other regulatory devices to pre-empt crisis that can prove to be costly. Most of the regulatory acts can yield favorable results, however, sometimes it is the very policies that can trigger a systemic failure, directly or indirectly, as a by-product. It is possible </w:t>
      </w:r>
      <w:r>
        <w:rPr>
          <w:rFonts w:ascii="Times New Roman" w:eastAsia="Times New Roman" w:hAnsi="Times New Roman" w:cs="Times New Roman"/>
          <w:bCs/>
          <w:color w:val="141414"/>
          <w:sz w:val="24"/>
          <w:szCs w:val="24"/>
        </w:rPr>
        <w:lastRenderedPageBreak/>
        <w:t xml:space="preserve">that in order to preclude some radical event from happening policies can be set in a way that inadvertently undermine the market mechanism thus preventing a market from self-rectifying itself.   </w:t>
      </w:r>
    </w:p>
    <w:p w:rsidR="00A139E0" w:rsidRPr="001A01F0" w:rsidRDefault="00EA60AE" w:rsidP="00027826">
      <w:pPr>
        <w:pStyle w:val="NoSpacing"/>
        <w:spacing w:line="360" w:lineRule="auto"/>
        <w:jc w:val="both"/>
        <w:rPr>
          <w:rFonts w:ascii="Times New Roman" w:eastAsia="Times New Roman" w:hAnsi="Times New Roman" w:cs="Times New Roman"/>
          <w:color w:val="141414"/>
          <w:sz w:val="24"/>
          <w:szCs w:val="24"/>
        </w:rPr>
      </w:pPr>
      <w:r>
        <w:rPr>
          <w:rFonts w:ascii="Times New Roman" w:eastAsia="Times New Roman" w:hAnsi="Times New Roman" w:cs="Times New Roman"/>
          <w:color w:val="141414"/>
          <w:sz w:val="24"/>
          <w:szCs w:val="24"/>
        </w:rPr>
        <w:t xml:space="preserve"> </w:t>
      </w:r>
      <w:r w:rsidR="00965222">
        <w:rPr>
          <w:rFonts w:ascii="Times New Roman" w:eastAsia="Times New Roman" w:hAnsi="Times New Roman" w:cs="Times New Roman"/>
          <w:color w:val="141414"/>
          <w:sz w:val="24"/>
          <w:szCs w:val="24"/>
        </w:rPr>
        <w:t>“</w:t>
      </w:r>
      <w:r w:rsidR="00A139E0" w:rsidRPr="001A01F0">
        <w:rPr>
          <w:rFonts w:ascii="Times New Roman" w:eastAsia="Times New Roman" w:hAnsi="Times New Roman" w:cs="Times New Roman"/>
          <w:color w:val="141414"/>
          <w:sz w:val="24"/>
          <w:szCs w:val="24"/>
        </w:rPr>
        <w:t>Policymakers operate under specific mandates and with incomplete information. The new financial regulations they design can often contain embedded ‘constraints’ and devices that can coordinate actions of otherwise seemingly unconnected agents. Such rules often look to be a sensible step in the right direction, but which lead to unintended consequences in more stressed situations and contribute to amplification mechanisms once all indirect effects are taken into account.</w:t>
      </w:r>
    </w:p>
    <w:p w:rsidR="00A139E0" w:rsidRPr="001A01F0" w:rsidRDefault="00A139E0" w:rsidP="00027826">
      <w:pPr>
        <w:pStyle w:val="NoSpacing"/>
        <w:spacing w:line="360" w:lineRule="auto"/>
        <w:jc w:val="both"/>
        <w:rPr>
          <w:rFonts w:ascii="Times New Roman" w:eastAsia="Times New Roman" w:hAnsi="Times New Roman" w:cs="Times New Roman"/>
          <w:color w:val="141414"/>
          <w:sz w:val="24"/>
          <w:szCs w:val="24"/>
        </w:rPr>
      </w:pPr>
      <w:r w:rsidRPr="001A01F0">
        <w:rPr>
          <w:rFonts w:ascii="Times New Roman" w:eastAsia="Times New Roman" w:hAnsi="Times New Roman" w:cs="Times New Roman"/>
          <w:color w:val="141414"/>
          <w:sz w:val="24"/>
          <w:szCs w:val="24"/>
        </w:rPr>
        <w:t xml:space="preserve">Such indirect effects can lead to feedback loops, undesirable coordination and a lack of diversity within the market. Designing a robust regulatory regime is difficult because it is hard to predict how participants’ individual motives will come together to produce overall </w:t>
      </w:r>
      <w:r w:rsidR="00387D27" w:rsidRPr="001A01F0">
        <w:rPr>
          <w:rFonts w:ascii="Times New Roman" w:eastAsia="Times New Roman" w:hAnsi="Times New Roman" w:cs="Times New Roman"/>
          <w:color w:val="141414"/>
          <w:sz w:val="24"/>
          <w:szCs w:val="24"/>
        </w:rPr>
        <w:t>behavior</w:t>
      </w:r>
      <w:r w:rsidRPr="001A01F0">
        <w:rPr>
          <w:rFonts w:ascii="Times New Roman" w:eastAsia="Times New Roman" w:hAnsi="Times New Roman" w:cs="Times New Roman"/>
          <w:color w:val="141414"/>
          <w:sz w:val="24"/>
          <w:szCs w:val="24"/>
        </w:rPr>
        <w:t xml:space="preserve"> in the market.</w:t>
      </w:r>
      <w:r w:rsidR="00965222">
        <w:rPr>
          <w:rFonts w:ascii="Times New Roman" w:eastAsia="Times New Roman" w:hAnsi="Times New Roman" w:cs="Times New Roman"/>
          <w:color w:val="141414"/>
          <w:sz w:val="24"/>
          <w:szCs w:val="24"/>
        </w:rPr>
        <w:t>”</w:t>
      </w:r>
      <w:sdt>
        <w:sdtPr>
          <w:rPr>
            <w:rFonts w:ascii="Times New Roman" w:eastAsia="Times New Roman" w:hAnsi="Times New Roman" w:cs="Times New Roman"/>
            <w:color w:val="141414"/>
            <w:sz w:val="24"/>
            <w:szCs w:val="24"/>
          </w:rPr>
          <w:id w:val="-1537350830"/>
          <w:citation/>
        </w:sdtPr>
        <w:sdtContent>
          <w:r w:rsidR="00387D27" w:rsidRPr="001A01F0">
            <w:rPr>
              <w:rFonts w:ascii="Times New Roman" w:eastAsia="Times New Roman" w:hAnsi="Times New Roman" w:cs="Times New Roman"/>
              <w:color w:val="141414"/>
              <w:sz w:val="24"/>
              <w:szCs w:val="24"/>
            </w:rPr>
            <w:fldChar w:fldCharType="begin"/>
          </w:r>
          <w:r w:rsidR="00387D27" w:rsidRPr="001A01F0">
            <w:rPr>
              <w:rFonts w:ascii="Times New Roman" w:eastAsia="Times New Roman" w:hAnsi="Times New Roman" w:cs="Times New Roman"/>
              <w:color w:val="141414"/>
              <w:sz w:val="24"/>
              <w:szCs w:val="24"/>
            </w:rPr>
            <w:instrText xml:space="preserve"> CITATION Jea15 \l 1033 </w:instrText>
          </w:r>
          <w:r w:rsidR="00387D27" w:rsidRPr="001A01F0">
            <w:rPr>
              <w:rFonts w:ascii="Times New Roman" w:eastAsia="Times New Roman" w:hAnsi="Times New Roman" w:cs="Times New Roman"/>
              <w:color w:val="141414"/>
              <w:sz w:val="24"/>
              <w:szCs w:val="24"/>
            </w:rPr>
            <w:fldChar w:fldCharType="separate"/>
          </w:r>
          <w:r w:rsidR="00B83DB3">
            <w:rPr>
              <w:rFonts w:ascii="Times New Roman" w:eastAsia="Times New Roman" w:hAnsi="Times New Roman" w:cs="Times New Roman"/>
              <w:noProof/>
              <w:color w:val="141414"/>
              <w:sz w:val="24"/>
              <w:szCs w:val="24"/>
            </w:rPr>
            <w:t xml:space="preserve"> </w:t>
          </w:r>
          <w:r w:rsidR="00B83DB3" w:rsidRPr="00B83DB3">
            <w:rPr>
              <w:rFonts w:ascii="Times New Roman" w:eastAsia="Times New Roman" w:hAnsi="Times New Roman" w:cs="Times New Roman"/>
              <w:noProof/>
              <w:color w:val="141414"/>
              <w:sz w:val="24"/>
              <w:szCs w:val="24"/>
            </w:rPr>
            <w:t>(Zigrand, 2015)</w:t>
          </w:r>
          <w:r w:rsidR="00387D27" w:rsidRPr="001A01F0">
            <w:rPr>
              <w:rFonts w:ascii="Times New Roman" w:eastAsia="Times New Roman" w:hAnsi="Times New Roman" w:cs="Times New Roman"/>
              <w:color w:val="141414"/>
              <w:sz w:val="24"/>
              <w:szCs w:val="24"/>
            </w:rPr>
            <w:fldChar w:fldCharType="end"/>
          </w:r>
        </w:sdtContent>
      </w:sdt>
      <w:r w:rsidR="00387D27" w:rsidRPr="001A01F0">
        <w:rPr>
          <w:rFonts w:ascii="Times New Roman" w:eastAsia="Times New Roman" w:hAnsi="Times New Roman" w:cs="Times New Roman"/>
          <w:color w:val="141414"/>
          <w:sz w:val="24"/>
          <w:szCs w:val="24"/>
        </w:rPr>
        <w:t>.</w:t>
      </w:r>
      <w:r w:rsidRPr="001A01F0">
        <w:rPr>
          <w:rFonts w:ascii="Times New Roman" w:eastAsia="Times New Roman" w:hAnsi="Times New Roman" w:cs="Times New Roman"/>
          <w:color w:val="141414"/>
          <w:sz w:val="24"/>
          <w:szCs w:val="24"/>
        </w:rPr>
        <w:t xml:space="preserve"> In particular, so-called ‘representative agent’ models used widely by economists are by design unable to guide policymakers in this regard.</w:t>
      </w:r>
    </w:p>
    <w:p w:rsidR="00A139E0" w:rsidRPr="001A01F0" w:rsidRDefault="00A139E0" w:rsidP="00027826">
      <w:pPr>
        <w:pStyle w:val="NoSpacing"/>
        <w:spacing w:line="360" w:lineRule="auto"/>
        <w:jc w:val="both"/>
        <w:rPr>
          <w:rFonts w:ascii="Times New Roman" w:eastAsia="Times New Roman" w:hAnsi="Times New Roman" w:cs="Times New Roman"/>
          <w:color w:val="141414"/>
          <w:sz w:val="24"/>
          <w:szCs w:val="24"/>
        </w:rPr>
      </w:pPr>
      <w:r w:rsidRPr="001A01F0">
        <w:rPr>
          <w:rFonts w:ascii="Times New Roman" w:eastAsia="Times New Roman" w:hAnsi="Times New Roman" w:cs="Times New Roman"/>
          <w:color w:val="141414"/>
          <w:sz w:val="24"/>
          <w:szCs w:val="24"/>
        </w:rPr>
        <w:t>Unfortunately, many policy rules may be effective in preventing some types of risk while at the same time creating new, perhaps hidden, sources of risk. These include capital regulations that enable financial institutions to report healthy capital levels while actually holding excessively small and decreasing levels of effective capital.</w:t>
      </w:r>
    </w:p>
    <w:p w:rsidR="00A139E0" w:rsidRPr="001A01F0" w:rsidRDefault="00A139E0" w:rsidP="00027826">
      <w:pPr>
        <w:pStyle w:val="NoSpacing"/>
        <w:spacing w:line="360" w:lineRule="auto"/>
        <w:jc w:val="both"/>
        <w:rPr>
          <w:rFonts w:ascii="Times New Roman" w:eastAsia="Times New Roman" w:hAnsi="Times New Roman" w:cs="Times New Roman"/>
          <w:color w:val="141414"/>
          <w:sz w:val="24"/>
          <w:szCs w:val="24"/>
        </w:rPr>
      </w:pPr>
      <w:r w:rsidRPr="001A01F0">
        <w:rPr>
          <w:rFonts w:ascii="Times New Roman" w:eastAsia="Times New Roman" w:hAnsi="Times New Roman" w:cs="Times New Roman"/>
          <w:color w:val="141414"/>
          <w:sz w:val="24"/>
          <w:szCs w:val="24"/>
        </w:rPr>
        <w:t xml:space="preserve">They also include poorly conceived banking regulations that can lead to the emergence of a ‘parallel banking system’ that itself can come with its own vulnerabilities – what former </w:t>
      </w:r>
      <w:r w:rsidR="00EA60AE">
        <w:rPr>
          <w:rFonts w:ascii="Times New Roman" w:eastAsia="Times New Roman" w:hAnsi="Times New Roman" w:cs="Times New Roman"/>
          <w:color w:val="141414"/>
          <w:sz w:val="24"/>
          <w:szCs w:val="24"/>
        </w:rPr>
        <w:t>“</w:t>
      </w:r>
      <w:r w:rsidRPr="001A01F0">
        <w:rPr>
          <w:rFonts w:ascii="Times New Roman" w:eastAsia="Times New Roman" w:hAnsi="Times New Roman" w:cs="Times New Roman"/>
          <w:color w:val="141414"/>
          <w:sz w:val="24"/>
          <w:szCs w:val="24"/>
        </w:rPr>
        <w:t>Fed chairman Ben Bernanke in 2012 called the ‘diverse set of institutions and markets that, collectively, carry out traditional banking functions – but do so outside, or in ways only loosely linked to, the traditional system of regulated depository institutions’.</w:t>
      </w:r>
    </w:p>
    <w:p w:rsidR="004B38FB" w:rsidRPr="001A01F0" w:rsidRDefault="00A139E0" w:rsidP="00027826">
      <w:pPr>
        <w:pStyle w:val="NoSpacing"/>
        <w:spacing w:line="360" w:lineRule="auto"/>
        <w:jc w:val="both"/>
        <w:rPr>
          <w:rFonts w:ascii="Times New Roman" w:eastAsia="Times New Roman" w:hAnsi="Times New Roman" w:cs="Times New Roman"/>
          <w:color w:val="141414"/>
          <w:sz w:val="24"/>
          <w:szCs w:val="24"/>
        </w:rPr>
      </w:pPr>
      <w:r w:rsidRPr="001A01F0">
        <w:rPr>
          <w:rFonts w:ascii="Times New Roman" w:eastAsia="Times New Roman" w:hAnsi="Times New Roman" w:cs="Times New Roman"/>
          <w:color w:val="141414"/>
          <w:sz w:val="24"/>
          <w:szCs w:val="24"/>
        </w:rPr>
        <w:t>None of this implies that no remedial actions ought to be undertaken for fear of the potential unintended consequences.</w:t>
      </w:r>
      <w:r w:rsidR="00EA60AE">
        <w:rPr>
          <w:rFonts w:ascii="Times New Roman" w:eastAsia="Times New Roman" w:hAnsi="Times New Roman" w:cs="Times New Roman"/>
          <w:color w:val="141414"/>
          <w:sz w:val="24"/>
          <w:szCs w:val="24"/>
        </w:rPr>
        <w:t>”</w:t>
      </w:r>
      <w:sdt>
        <w:sdtPr>
          <w:rPr>
            <w:rFonts w:ascii="Times New Roman" w:eastAsia="Times New Roman" w:hAnsi="Times New Roman" w:cs="Times New Roman"/>
            <w:color w:val="141414"/>
            <w:sz w:val="24"/>
            <w:szCs w:val="24"/>
          </w:rPr>
          <w:id w:val="1924373995"/>
          <w:citation/>
        </w:sdtPr>
        <w:sdtContent>
          <w:r w:rsidR="00EA60AE">
            <w:rPr>
              <w:rFonts w:ascii="Times New Roman" w:eastAsia="Times New Roman" w:hAnsi="Times New Roman" w:cs="Times New Roman"/>
              <w:color w:val="141414"/>
              <w:sz w:val="24"/>
              <w:szCs w:val="24"/>
            </w:rPr>
            <w:fldChar w:fldCharType="begin"/>
          </w:r>
          <w:r w:rsidR="00EA60AE">
            <w:rPr>
              <w:rFonts w:ascii="Times New Roman" w:eastAsia="Times New Roman" w:hAnsi="Times New Roman" w:cs="Times New Roman"/>
              <w:color w:val="141414"/>
              <w:sz w:val="24"/>
              <w:szCs w:val="24"/>
            </w:rPr>
            <w:instrText xml:space="preserve"> CITATION Jea15 \l 1033 </w:instrText>
          </w:r>
          <w:r w:rsidR="00EA60AE">
            <w:rPr>
              <w:rFonts w:ascii="Times New Roman" w:eastAsia="Times New Roman" w:hAnsi="Times New Roman" w:cs="Times New Roman"/>
              <w:color w:val="141414"/>
              <w:sz w:val="24"/>
              <w:szCs w:val="24"/>
            </w:rPr>
            <w:fldChar w:fldCharType="separate"/>
          </w:r>
          <w:r w:rsidR="00B83DB3">
            <w:rPr>
              <w:rFonts w:ascii="Times New Roman" w:eastAsia="Times New Roman" w:hAnsi="Times New Roman" w:cs="Times New Roman"/>
              <w:noProof/>
              <w:color w:val="141414"/>
              <w:sz w:val="24"/>
              <w:szCs w:val="24"/>
            </w:rPr>
            <w:t xml:space="preserve"> </w:t>
          </w:r>
          <w:r w:rsidR="00B83DB3" w:rsidRPr="00B83DB3">
            <w:rPr>
              <w:rFonts w:ascii="Times New Roman" w:eastAsia="Times New Roman" w:hAnsi="Times New Roman" w:cs="Times New Roman"/>
              <w:noProof/>
              <w:color w:val="141414"/>
              <w:sz w:val="24"/>
              <w:szCs w:val="24"/>
            </w:rPr>
            <w:t>(Zigrand, 2015)</w:t>
          </w:r>
          <w:r w:rsidR="00EA60AE">
            <w:rPr>
              <w:rFonts w:ascii="Times New Roman" w:eastAsia="Times New Roman" w:hAnsi="Times New Roman" w:cs="Times New Roman"/>
              <w:color w:val="141414"/>
              <w:sz w:val="24"/>
              <w:szCs w:val="24"/>
            </w:rPr>
            <w:fldChar w:fldCharType="end"/>
          </w:r>
        </w:sdtContent>
      </w:sdt>
      <w:r w:rsidRPr="001A01F0">
        <w:rPr>
          <w:rFonts w:ascii="Times New Roman" w:eastAsia="Times New Roman" w:hAnsi="Times New Roman" w:cs="Times New Roman"/>
          <w:color w:val="141414"/>
          <w:sz w:val="24"/>
          <w:szCs w:val="24"/>
        </w:rPr>
        <w:t xml:space="preserve"> Rather, it suggests that research into policy effects ought to incorporate – even if only tentatively – the system as a whole, with all its imperfections, to capture its indirect and feedback effects and minimise the occurrence of unintended consequences. Even the ambiguity under which policymakers operate – the fact of not being sure which model is the right one – can be coherently modelled and taken into account in the first place.</w:t>
      </w:r>
    </w:p>
    <w:p w:rsidR="00965222" w:rsidRDefault="00965222" w:rsidP="00027826">
      <w:pPr>
        <w:pStyle w:val="NoSpacing"/>
        <w:spacing w:line="360" w:lineRule="auto"/>
        <w:jc w:val="both"/>
        <w:rPr>
          <w:rFonts w:ascii="Times New Roman" w:hAnsi="Times New Roman" w:cs="Times New Roman"/>
          <w:sz w:val="24"/>
          <w:szCs w:val="24"/>
        </w:rPr>
      </w:pPr>
    </w:p>
    <w:p w:rsidR="009D6384" w:rsidRDefault="009D6384" w:rsidP="00027826">
      <w:pPr>
        <w:pStyle w:val="NoSpacing"/>
        <w:spacing w:line="360" w:lineRule="auto"/>
        <w:jc w:val="both"/>
        <w:rPr>
          <w:rFonts w:ascii="Times New Roman" w:hAnsi="Times New Roman" w:cs="Times New Roman"/>
          <w:b/>
          <w:sz w:val="24"/>
          <w:szCs w:val="24"/>
        </w:rPr>
      </w:pPr>
    </w:p>
    <w:p w:rsidR="009D6384" w:rsidRDefault="009D6384" w:rsidP="00027826">
      <w:pPr>
        <w:pStyle w:val="NoSpacing"/>
        <w:spacing w:line="360" w:lineRule="auto"/>
        <w:jc w:val="both"/>
        <w:rPr>
          <w:rFonts w:ascii="Times New Roman" w:hAnsi="Times New Roman" w:cs="Times New Roman"/>
          <w:b/>
          <w:sz w:val="24"/>
          <w:szCs w:val="24"/>
        </w:rPr>
      </w:pPr>
    </w:p>
    <w:p w:rsidR="004B38FB" w:rsidRPr="00965222" w:rsidRDefault="009D6384" w:rsidP="0027736C">
      <w:pPr>
        <w:pStyle w:val="Heading3"/>
      </w:pPr>
      <w:bookmarkStart w:id="16" w:name="_Toc6873778"/>
      <w:r>
        <w:t xml:space="preserve">4.1.2 </w:t>
      </w:r>
      <w:r w:rsidR="004B38FB" w:rsidRPr="00965222">
        <w:t>Preparing crisis strategies</w:t>
      </w:r>
      <w:bookmarkEnd w:id="16"/>
    </w:p>
    <w:p w:rsidR="00C22D2B" w:rsidRPr="001A01F0" w:rsidRDefault="00C22D2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Managers sometimes suffer from complacency when it comes to preparing their respective firms for not-so-good situations to come. An in-depth knowledge into the matter of systemic risk aware managers of flaws in the financial system, and help them in decision making process in the time of crisis and enable them to make more prudent decision reducing both mark-to-market losses and trading costs.</w:t>
      </w:r>
    </w:p>
    <w:p w:rsidR="004B38FB" w:rsidRPr="001A01F0" w:rsidRDefault="004B38FB" w:rsidP="007049F4">
      <w:pPr>
        <w:pStyle w:val="NoSpacing"/>
        <w:numPr>
          <w:ilvl w:val="0"/>
          <w:numId w:val="13"/>
        </w:numPr>
        <w:spacing w:line="360" w:lineRule="auto"/>
        <w:jc w:val="both"/>
        <w:rPr>
          <w:rFonts w:ascii="Times New Roman" w:hAnsi="Times New Roman" w:cs="Times New Roman"/>
          <w:sz w:val="24"/>
          <w:szCs w:val="24"/>
        </w:rPr>
      </w:pPr>
      <w:r w:rsidRPr="009D6384">
        <w:rPr>
          <w:rFonts w:ascii="Times New Roman" w:hAnsi="Times New Roman" w:cs="Times New Roman"/>
          <w:b/>
          <w:bCs/>
          <w:sz w:val="24"/>
          <w:szCs w:val="24"/>
        </w:rPr>
        <w:t>Focusing on weak spots</w:t>
      </w:r>
      <w:r w:rsidRPr="009D6384">
        <w:rPr>
          <w:rFonts w:ascii="Times New Roman" w:hAnsi="Times New Roman" w:cs="Times New Roman"/>
          <w:b/>
          <w:sz w:val="24"/>
          <w:szCs w:val="24"/>
        </w:rPr>
        <w:t>:</w:t>
      </w:r>
      <w:r w:rsidRPr="001A01F0">
        <w:rPr>
          <w:rFonts w:ascii="Times New Roman" w:hAnsi="Times New Roman" w:cs="Times New Roman"/>
          <w:sz w:val="24"/>
          <w:szCs w:val="24"/>
        </w:rPr>
        <w:t xml:space="preserve"> </w:t>
      </w:r>
      <w:r w:rsidR="00C22D2B" w:rsidRPr="001A01F0">
        <w:rPr>
          <w:rFonts w:ascii="Times New Roman" w:hAnsi="Times New Roman" w:cs="Times New Roman"/>
          <w:sz w:val="24"/>
          <w:szCs w:val="24"/>
        </w:rPr>
        <w:t>There is no denying of the fact that accurately estimating aspects of systemic risk can be very hard and time consuming. Having said that, understanding systemic risk is very much possible</w:t>
      </w:r>
      <w:r w:rsidR="00A73C08" w:rsidRPr="001A01F0">
        <w:rPr>
          <w:rFonts w:ascii="Times New Roman" w:hAnsi="Times New Roman" w:cs="Times New Roman"/>
          <w:sz w:val="24"/>
          <w:szCs w:val="24"/>
        </w:rPr>
        <w:t xml:space="preserve"> and thus understanding the vulnerabilities of a particular market. “</w:t>
      </w:r>
      <w:r w:rsidRPr="001A01F0">
        <w:rPr>
          <w:rFonts w:ascii="Times New Roman" w:hAnsi="Times New Roman" w:cs="Times New Roman"/>
          <w:sz w:val="24"/>
          <w:szCs w:val="24"/>
        </w:rPr>
        <w:t>Systemic risk indicators are not too hard to construct across many countries and have proven their v</w:t>
      </w:r>
      <w:r w:rsidR="0050531A" w:rsidRPr="001A01F0">
        <w:rPr>
          <w:rFonts w:ascii="Times New Roman" w:hAnsi="Times New Roman" w:cs="Times New Roman"/>
          <w:sz w:val="24"/>
          <w:szCs w:val="24"/>
        </w:rPr>
        <w:t>alue and relevance in the past</w:t>
      </w:r>
      <w:r w:rsidRPr="001A01F0">
        <w:rPr>
          <w:rFonts w:ascii="Times New Roman" w:hAnsi="Times New Roman" w:cs="Times New Roman"/>
          <w:sz w:val="24"/>
          <w:szCs w:val="24"/>
        </w:rPr>
        <w:t>. They are not often keenly followed by investment managers because of their slow-moving nature and long lead times ahead of crises. Yet, through being informed about systemic vulnerability asset managers can judge whether a specific shock is likely to be transitory or escalatory </w:t>
      </w:r>
      <w:r w:rsidRPr="001A01F0">
        <w:rPr>
          <w:rFonts w:ascii="Times New Roman" w:hAnsi="Times New Roman" w:cs="Times New Roman"/>
          <w:i/>
          <w:iCs/>
          <w:sz w:val="24"/>
          <w:szCs w:val="24"/>
        </w:rPr>
        <w:t>after</w:t>
      </w:r>
      <w:r w:rsidRPr="001A01F0">
        <w:rPr>
          <w:rFonts w:ascii="Times New Roman" w:hAnsi="Times New Roman" w:cs="Times New Roman"/>
          <w:sz w:val="24"/>
          <w:szCs w:val="24"/>
        </w:rPr>
        <w:t> it has occurred. Two important criteria for escalation risk are vulnerability of the system and rarity of the type of shock that hit it.</w:t>
      </w:r>
      <w:r w:rsidR="00A73C08" w:rsidRPr="001A01F0">
        <w:rPr>
          <w:rFonts w:ascii="Times New Roman" w:hAnsi="Times New Roman" w:cs="Times New Roman"/>
          <w:sz w:val="24"/>
          <w:szCs w:val="24"/>
        </w:rPr>
        <w:t>”</w:t>
      </w:r>
      <w:sdt>
        <w:sdtPr>
          <w:rPr>
            <w:rFonts w:ascii="Times New Roman" w:hAnsi="Times New Roman" w:cs="Times New Roman"/>
            <w:sz w:val="24"/>
            <w:szCs w:val="24"/>
          </w:rPr>
          <w:id w:val="1961602726"/>
          <w:citation/>
        </w:sdtPr>
        <w:sdtContent>
          <w:r w:rsidR="00A73C08" w:rsidRPr="001A01F0">
            <w:rPr>
              <w:rFonts w:ascii="Times New Roman" w:hAnsi="Times New Roman" w:cs="Times New Roman"/>
              <w:sz w:val="24"/>
              <w:szCs w:val="24"/>
            </w:rPr>
            <w:fldChar w:fldCharType="begin"/>
          </w:r>
          <w:r w:rsidR="00A73C08" w:rsidRPr="001A01F0">
            <w:rPr>
              <w:rFonts w:ascii="Times New Roman" w:hAnsi="Times New Roman" w:cs="Times New Roman"/>
              <w:sz w:val="24"/>
              <w:szCs w:val="24"/>
            </w:rPr>
            <w:instrText xml:space="preserve"> CITATION SR_15 \l 1033 </w:instrText>
          </w:r>
          <w:r w:rsidR="00A73C08"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(SR_SV, 2015)</w:t>
          </w:r>
          <w:r w:rsidR="00A73C08" w:rsidRPr="001A01F0">
            <w:rPr>
              <w:rFonts w:ascii="Times New Roman" w:hAnsi="Times New Roman" w:cs="Times New Roman"/>
              <w:sz w:val="24"/>
              <w:szCs w:val="24"/>
            </w:rPr>
            <w:fldChar w:fldCharType="end"/>
          </w:r>
        </w:sdtContent>
      </w:sdt>
    </w:p>
    <w:p w:rsidR="00974FD8" w:rsidRPr="001A01F0" w:rsidRDefault="00974FD8" w:rsidP="00027826">
      <w:pPr>
        <w:pStyle w:val="NoSpacing"/>
        <w:spacing w:line="360" w:lineRule="auto"/>
        <w:jc w:val="both"/>
        <w:rPr>
          <w:rFonts w:ascii="Times New Roman" w:hAnsi="Times New Roman" w:cs="Times New Roman"/>
          <w:sz w:val="24"/>
          <w:szCs w:val="24"/>
        </w:rPr>
      </w:pPr>
    </w:p>
    <w:p w:rsidR="004B38FB" w:rsidRPr="001A01F0" w:rsidRDefault="004B38FB" w:rsidP="007049F4">
      <w:pPr>
        <w:pStyle w:val="NoSpacing"/>
        <w:numPr>
          <w:ilvl w:val="4"/>
          <w:numId w:val="11"/>
        </w:numPr>
        <w:spacing w:line="360" w:lineRule="auto"/>
        <w:jc w:val="both"/>
        <w:rPr>
          <w:rFonts w:ascii="Times New Roman" w:eastAsia="Times New Roman" w:hAnsi="Times New Roman" w:cs="Times New Roman"/>
          <w:color w:val="222222"/>
          <w:sz w:val="24"/>
          <w:szCs w:val="24"/>
        </w:rPr>
      </w:pPr>
      <w:r w:rsidRPr="009D6384">
        <w:rPr>
          <w:rFonts w:ascii="Times New Roman" w:hAnsi="Times New Roman" w:cs="Times New Roman"/>
          <w:b/>
          <w:i/>
          <w:sz w:val="24"/>
          <w:szCs w:val="24"/>
        </w:rPr>
        <w:t>Vulnerability</w:t>
      </w:r>
      <w:r w:rsidRPr="001A01F0">
        <w:rPr>
          <w:rFonts w:ascii="Times New Roman" w:hAnsi="Times New Roman" w:cs="Times New Roman"/>
          <w:sz w:val="24"/>
          <w:szCs w:val="24"/>
        </w:rPr>
        <w:t> here means that parts of the financial system have become reliant on favorable conditions. Typically protracted periods of low market volatility lead to build-ups of leverage and risk until they reach a ti</w:t>
      </w:r>
      <w:r w:rsidR="0050531A" w:rsidRPr="001A01F0">
        <w:rPr>
          <w:rFonts w:ascii="Times New Roman" w:hAnsi="Times New Roman" w:cs="Times New Roman"/>
          <w:sz w:val="24"/>
          <w:szCs w:val="24"/>
        </w:rPr>
        <w:t>pping point</w:t>
      </w:r>
      <w:sdt>
        <w:sdtPr>
          <w:rPr>
            <w:rFonts w:ascii="Times New Roman" w:hAnsi="Times New Roman" w:cs="Times New Roman"/>
            <w:sz w:val="24"/>
            <w:szCs w:val="24"/>
          </w:rPr>
          <w:id w:val="-264688668"/>
          <w:citation/>
        </w:sdtPr>
        <w:sdtContent>
          <w:r w:rsidR="0050531A" w:rsidRPr="001A01F0">
            <w:rPr>
              <w:rFonts w:ascii="Times New Roman" w:hAnsi="Times New Roman" w:cs="Times New Roman"/>
              <w:sz w:val="24"/>
              <w:szCs w:val="24"/>
            </w:rPr>
            <w:fldChar w:fldCharType="begin"/>
          </w:r>
          <w:r w:rsidR="0050531A" w:rsidRPr="001A01F0">
            <w:rPr>
              <w:rFonts w:ascii="Times New Roman" w:hAnsi="Times New Roman" w:cs="Times New Roman"/>
              <w:sz w:val="24"/>
              <w:szCs w:val="24"/>
            </w:rPr>
            <w:instrText xml:space="preserve"> CITATION Hym92 \l 1033 </w:instrText>
          </w:r>
          <w:r w:rsidR="0050531A"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(Minsky, May 1992)</w:t>
          </w:r>
          <w:r w:rsidR="0050531A"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Long-term empirical analysis suggests that asset price booms are most dangerous when they are associated with rising financial leverage. Combinations of housing price bubbles and credit expansions have been the</w:t>
      </w:r>
      <w:r w:rsidR="00861AFC" w:rsidRPr="001A01F0">
        <w:rPr>
          <w:rFonts w:ascii="Times New Roman" w:hAnsi="Times New Roman" w:cs="Times New Roman"/>
          <w:sz w:val="24"/>
          <w:szCs w:val="24"/>
        </w:rPr>
        <w:t xml:space="preserve"> most detrimental of them all</w:t>
      </w:r>
      <w:r w:rsidRPr="001A01F0">
        <w:rPr>
          <w:rFonts w:ascii="Times New Roman" w:hAnsi="Times New Roman" w:cs="Times New Roman"/>
          <w:sz w:val="24"/>
          <w:szCs w:val="24"/>
        </w:rPr>
        <w:t>. Also, economies that have grown accustomed to low real interest rates for long periods of time are subsequently susceptible to stress when</w:t>
      </w:r>
      <w:r w:rsidRPr="001A01F0">
        <w:rPr>
          <w:rFonts w:ascii="Times New Roman" w:eastAsia="Times New Roman" w:hAnsi="Times New Roman" w:cs="Times New Roman"/>
          <w:color w:val="222222"/>
          <w:sz w:val="24"/>
          <w:szCs w:val="24"/>
        </w:rPr>
        <w:t xml:space="preserve"> rates or credit spreads are rising. Whether this stress is likely to escalate depends on whether the government or central bank have th</w:t>
      </w:r>
      <w:r w:rsidR="00861AFC" w:rsidRPr="001A01F0">
        <w:rPr>
          <w:rFonts w:ascii="Times New Roman" w:eastAsia="Times New Roman" w:hAnsi="Times New Roman" w:cs="Times New Roman"/>
          <w:color w:val="222222"/>
          <w:sz w:val="24"/>
          <w:szCs w:val="24"/>
        </w:rPr>
        <w:t>e means and will to intervene</w:t>
      </w:r>
      <w:r w:rsidRPr="001A01F0">
        <w:rPr>
          <w:rFonts w:ascii="Times New Roman" w:eastAsia="Times New Roman" w:hAnsi="Times New Roman" w:cs="Times New Roman"/>
          <w:color w:val="222222"/>
          <w:sz w:val="24"/>
          <w:szCs w:val="24"/>
        </w:rPr>
        <w:t>.</w:t>
      </w:r>
    </w:p>
    <w:p w:rsidR="00974FD8" w:rsidRPr="001A01F0" w:rsidRDefault="00974FD8" w:rsidP="00027826">
      <w:pPr>
        <w:pStyle w:val="NoSpacing"/>
        <w:spacing w:line="360" w:lineRule="auto"/>
        <w:jc w:val="both"/>
        <w:rPr>
          <w:rFonts w:ascii="Times New Roman" w:eastAsia="Times New Roman" w:hAnsi="Times New Roman" w:cs="Times New Roman"/>
          <w:color w:val="222222"/>
          <w:sz w:val="24"/>
          <w:szCs w:val="24"/>
        </w:rPr>
      </w:pPr>
    </w:p>
    <w:p w:rsidR="004B38FB" w:rsidRPr="001A01F0" w:rsidRDefault="004B38FB" w:rsidP="007049F4">
      <w:pPr>
        <w:pStyle w:val="NoSpacing"/>
        <w:numPr>
          <w:ilvl w:val="4"/>
          <w:numId w:val="11"/>
        </w:numPr>
        <w:spacing w:line="360" w:lineRule="auto"/>
        <w:jc w:val="both"/>
        <w:rPr>
          <w:rFonts w:ascii="Times New Roman" w:eastAsia="Times New Roman" w:hAnsi="Times New Roman" w:cs="Times New Roman"/>
          <w:color w:val="222222"/>
          <w:sz w:val="24"/>
          <w:szCs w:val="24"/>
        </w:rPr>
      </w:pPr>
      <w:r w:rsidRPr="009D6384">
        <w:rPr>
          <w:rFonts w:ascii="Times New Roman" w:eastAsia="Times New Roman" w:hAnsi="Times New Roman" w:cs="Times New Roman"/>
          <w:b/>
          <w:bCs/>
          <w:i/>
          <w:iCs/>
          <w:color w:val="222222"/>
          <w:sz w:val="24"/>
          <w:szCs w:val="24"/>
        </w:rPr>
        <w:lastRenderedPageBreak/>
        <w:t>Rarity</w:t>
      </w:r>
      <w:r w:rsidRPr="001A01F0">
        <w:rPr>
          <w:rFonts w:ascii="Times New Roman" w:eastAsia="Times New Roman" w:hAnsi="Times New Roman" w:cs="Times New Roman"/>
          <w:color w:val="222222"/>
          <w:sz w:val="24"/>
          <w:szCs w:val="24"/>
        </w:rPr>
        <w:t xml:space="preserve"> means that the type of shock that has occurred had a low a-priori probability: it was not on the radar screen of either investors or policymakers. Theory suggests that senior decision makers rationally do not prepare for rare events as they can only process a limited quantity of </w:t>
      </w:r>
      <w:r w:rsidRPr="001A01F0">
        <w:rPr>
          <w:rFonts w:ascii="Times New Roman" w:hAnsi="Times New Roman" w:cs="Times New Roman"/>
          <w:sz w:val="24"/>
          <w:szCs w:val="24"/>
        </w:rPr>
        <w:t>information. Hence, expected losses from unpreparedness are inversely proportionate to an event’s rarity. Indeed, expected losses from unpreparedness are even higher if managers bear only limited liability.</w:t>
      </w:r>
    </w:p>
    <w:p w:rsidR="00974FD8" w:rsidRPr="001A01F0" w:rsidRDefault="00974FD8" w:rsidP="00027826">
      <w:pPr>
        <w:pStyle w:val="NoSpacing"/>
        <w:spacing w:line="360" w:lineRule="auto"/>
        <w:jc w:val="both"/>
        <w:rPr>
          <w:rFonts w:ascii="Times New Roman" w:eastAsia="Times New Roman" w:hAnsi="Times New Roman" w:cs="Times New Roman"/>
          <w:color w:val="222222"/>
          <w:sz w:val="24"/>
          <w:szCs w:val="24"/>
        </w:rPr>
      </w:pPr>
    </w:p>
    <w:p w:rsidR="00974FD8" w:rsidRPr="009D6384" w:rsidRDefault="00974FD8" w:rsidP="00027826">
      <w:pPr>
        <w:pStyle w:val="NoSpacing"/>
        <w:spacing w:line="360" w:lineRule="auto"/>
        <w:jc w:val="both"/>
        <w:rPr>
          <w:rFonts w:ascii="Times New Roman" w:eastAsia="Times New Roman" w:hAnsi="Times New Roman" w:cs="Times New Roman"/>
          <w:b/>
          <w:color w:val="222222"/>
          <w:sz w:val="24"/>
          <w:szCs w:val="24"/>
        </w:rPr>
      </w:pPr>
    </w:p>
    <w:p w:rsidR="004B38FB" w:rsidRPr="001A01F0" w:rsidRDefault="004B38FB" w:rsidP="007049F4">
      <w:pPr>
        <w:pStyle w:val="NoSpacing"/>
        <w:numPr>
          <w:ilvl w:val="0"/>
          <w:numId w:val="12"/>
        </w:numPr>
        <w:spacing w:line="360" w:lineRule="auto"/>
        <w:jc w:val="both"/>
        <w:rPr>
          <w:rFonts w:ascii="Times New Roman" w:hAnsi="Times New Roman" w:cs="Times New Roman"/>
          <w:sz w:val="24"/>
          <w:szCs w:val="24"/>
        </w:rPr>
      </w:pPr>
      <w:r w:rsidRPr="009D6384">
        <w:rPr>
          <w:rFonts w:ascii="Times New Roman" w:hAnsi="Times New Roman" w:cs="Times New Roman"/>
          <w:b/>
          <w:bCs/>
          <w:sz w:val="24"/>
          <w:szCs w:val="24"/>
        </w:rPr>
        <w:t>Adjusting portfolios early:</w:t>
      </w:r>
      <w:r w:rsidRPr="001A01F0">
        <w:rPr>
          <w:rFonts w:ascii="Times New Roman" w:hAnsi="Times New Roman" w:cs="Times New Roman"/>
          <w:bCs/>
          <w:sz w:val="24"/>
          <w:szCs w:val="24"/>
        </w:rPr>
        <w:t> </w:t>
      </w:r>
      <w:r w:rsidR="009D2B61" w:rsidRPr="001A01F0">
        <w:rPr>
          <w:rFonts w:ascii="Times New Roman" w:hAnsi="Times New Roman" w:cs="Times New Roman"/>
          <w:bCs/>
          <w:sz w:val="24"/>
          <w:szCs w:val="24"/>
        </w:rPr>
        <w:t xml:space="preserve"> “</w:t>
      </w:r>
      <w:r w:rsidRPr="001A01F0">
        <w:rPr>
          <w:rFonts w:ascii="Times New Roman" w:hAnsi="Times New Roman" w:cs="Times New Roman"/>
          <w:sz w:val="24"/>
          <w:szCs w:val="24"/>
        </w:rPr>
        <w:t>There are two rational bases for adjusting positions to systemic risk: information advantage and market stress.</w:t>
      </w:r>
      <w:r w:rsidR="009D2B61" w:rsidRPr="001A01F0">
        <w:rPr>
          <w:rFonts w:ascii="Times New Roman" w:hAnsi="Times New Roman" w:cs="Times New Roman"/>
          <w:sz w:val="24"/>
          <w:szCs w:val="24"/>
        </w:rPr>
        <w:t xml:space="preserve">” </w:t>
      </w:r>
      <w:sdt>
        <w:sdtPr>
          <w:rPr>
            <w:rFonts w:ascii="Times New Roman" w:hAnsi="Times New Roman" w:cs="Times New Roman"/>
            <w:sz w:val="24"/>
            <w:szCs w:val="24"/>
          </w:rPr>
          <w:id w:val="-1536195018"/>
          <w:citation/>
        </w:sdtPr>
        <w:sdtContent>
          <w:r w:rsidR="009D2B61" w:rsidRPr="001A01F0">
            <w:rPr>
              <w:rFonts w:ascii="Times New Roman" w:hAnsi="Times New Roman" w:cs="Times New Roman"/>
              <w:sz w:val="24"/>
              <w:szCs w:val="24"/>
            </w:rPr>
            <w:fldChar w:fldCharType="begin"/>
          </w:r>
          <w:r w:rsidR="009D2B61" w:rsidRPr="001A01F0">
            <w:rPr>
              <w:rFonts w:ascii="Times New Roman" w:hAnsi="Times New Roman" w:cs="Times New Roman"/>
              <w:sz w:val="24"/>
              <w:szCs w:val="24"/>
            </w:rPr>
            <w:instrText xml:space="preserve"> CITATION SR_15 \l 1033 </w:instrText>
          </w:r>
          <w:r w:rsidR="009D2B61" w:rsidRPr="001A01F0">
            <w:rPr>
              <w:rFonts w:ascii="Times New Roman" w:hAnsi="Times New Roman" w:cs="Times New Roman"/>
              <w:sz w:val="24"/>
              <w:szCs w:val="24"/>
            </w:rPr>
            <w:fldChar w:fldCharType="separate"/>
          </w:r>
          <w:r w:rsidR="00B83DB3" w:rsidRPr="00B83DB3">
            <w:rPr>
              <w:rFonts w:ascii="Times New Roman" w:hAnsi="Times New Roman" w:cs="Times New Roman"/>
              <w:noProof/>
              <w:sz w:val="24"/>
              <w:szCs w:val="24"/>
            </w:rPr>
            <w:t>(SR_SV, 2015)</w:t>
          </w:r>
          <w:r w:rsidR="009D2B61" w:rsidRPr="001A01F0">
            <w:rPr>
              <w:rFonts w:ascii="Times New Roman" w:hAnsi="Times New Roman" w:cs="Times New Roman"/>
              <w:sz w:val="24"/>
              <w:szCs w:val="24"/>
            </w:rPr>
            <w:fldChar w:fldCharType="end"/>
          </w:r>
        </w:sdtContent>
      </w:sdt>
      <w:r w:rsidR="009D2B61" w:rsidRPr="001A01F0">
        <w:rPr>
          <w:rFonts w:ascii="Times New Roman" w:hAnsi="Times New Roman" w:cs="Times New Roman"/>
          <w:sz w:val="24"/>
          <w:szCs w:val="24"/>
        </w:rPr>
        <w:t xml:space="preserve">. </w:t>
      </w:r>
      <w:r w:rsidR="009D2B61" w:rsidRPr="001A01F0">
        <w:rPr>
          <w:rFonts w:ascii="Times New Roman" w:hAnsi="Times New Roman" w:cs="Times New Roman"/>
          <w:bCs/>
          <w:sz w:val="24"/>
          <w:szCs w:val="24"/>
        </w:rPr>
        <w:t>Systemic risk assessment models mainly take data from market prices and therefore market stress the latter of the two rational bases is more common.</w:t>
      </w:r>
      <w:r w:rsidRPr="001A01F0">
        <w:rPr>
          <w:rFonts w:ascii="Times New Roman" w:hAnsi="Times New Roman" w:cs="Times New Roman"/>
          <w:sz w:val="24"/>
          <w:szCs w:val="24"/>
        </w:rPr>
        <w:t xml:space="preserve"> </w:t>
      </w:r>
      <w:r w:rsidR="009D2B61" w:rsidRPr="001A01F0">
        <w:rPr>
          <w:rFonts w:ascii="Times New Roman" w:hAnsi="Times New Roman" w:cs="Times New Roman"/>
          <w:sz w:val="24"/>
          <w:szCs w:val="24"/>
        </w:rPr>
        <w:t>“</w:t>
      </w:r>
      <w:r w:rsidRPr="001A01F0">
        <w:rPr>
          <w:rFonts w:ascii="Times New Roman" w:hAnsi="Times New Roman" w:cs="Times New Roman"/>
          <w:sz w:val="24"/>
          <w:szCs w:val="24"/>
        </w:rPr>
        <w:t>In particular, volatility targeting is a valid default rule for reducing tail risk if one is uncertain as to the severity of a shock. This is because recent volatility is a good predictor of future volatility but n</w:t>
      </w:r>
      <w:r w:rsidR="006E572B" w:rsidRPr="001A01F0">
        <w:rPr>
          <w:rFonts w:ascii="Times New Roman" w:hAnsi="Times New Roman" w:cs="Times New Roman"/>
          <w:sz w:val="24"/>
          <w:szCs w:val="24"/>
        </w:rPr>
        <w:t xml:space="preserve">ot generally for future returns. </w:t>
      </w:r>
      <w:r w:rsidRPr="001A01F0">
        <w:rPr>
          <w:rFonts w:ascii="Times New Roman" w:hAnsi="Times New Roman" w:cs="Times New Roman"/>
          <w:sz w:val="24"/>
          <w:szCs w:val="24"/>
        </w:rPr>
        <w:t>Over long periods of time and based on U.S. equity data, volatility targeting strategies have produced significant increases i</w:t>
      </w:r>
      <w:r w:rsidR="006E572B" w:rsidRPr="001A01F0">
        <w:rPr>
          <w:rFonts w:ascii="Times New Roman" w:hAnsi="Times New Roman" w:cs="Times New Roman"/>
          <w:sz w:val="24"/>
          <w:szCs w:val="24"/>
        </w:rPr>
        <w:t>n return per unit of tail risk</w:t>
      </w:r>
      <w:r w:rsidRPr="001A01F0">
        <w:rPr>
          <w:rFonts w:ascii="Times New Roman" w:hAnsi="Times New Roman" w:cs="Times New Roman"/>
          <w:sz w:val="24"/>
          <w:szCs w:val="24"/>
        </w:rPr>
        <w:t>.</w:t>
      </w:r>
      <w:r w:rsidRPr="001A01F0">
        <w:rPr>
          <w:rFonts w:ascii="Times New Roman" w:hAnsi="Times New Roman" w:cs="Times New Roman"/>
          <w:sz w:val="24"/>
          <w:szCs w:val="24"/>
        </w:rPr>
        <w:br/>
        <w:t>Effective volatility targeting and dynamic hedging can make use of options-implied volatilities,which not only help to predict future actual volatilities but also asset price c</w:t>
      </w:r>
      <w:r w:rsidR="006E572B" w:rsidRPr="001A01F0">
        <w:rPr>
          <w:rFonts w:ascii="Times New Roman" w:hAnsi="Times New Roman" w:cs="Times New Roman"/>
          <w:sz w:val="24"/>
          <w:szCs w:val="24"/>
        </w:rPr>
        <w:t>orrelation</w:t>
      </w:r>
      <w:r w:rsidR="009D2B61" w:rsidRPr="001A01F0">
        <w:rPr>
          <w:rFonts w:ascii="Times New Roman" w:hAnsi="Times New Roman" w:cs="Times New Roman"/>
          <w:sz w:val="24"/>
          <w:szCs w:val="24"/>
        </w:rPr>
        <w:t>”</w:t>
      </w:r>
      <w:sdt>
        <w:sdtPr>
          <w:rPr>
            <w:rFonts w:ascii="Times New Roman" w:hAnsi="Times New Roman" w:cs="Times New Roman"/>
            <w:sz w:val="24"/>
            <w:szCs w:val="24"/>
          </w:rPr>
          <w:id w:val="446740049"/>
          <w:citation/>
        </w:sdtPr>
        <w:sdtContent>
          <w:r w:rsidR="001B7E7F" w:rsidRPr="001A01F0">
            <w:rPr>
              <w:rFonts w:ascii="Times New Roman" w:hAnsi="Times New Roman" w:cs="Times New Roman"/>
              <w:sz w:val="24"/>
              <w:szCs w:val="24"/>
            </w:rPr>
            <w:fldChar w:fldCharType="begin"/>
          </w:r>
          <w:r w:rsidR="001B7E7F" w:rsidRPr="001A01F0">
            <w:rPr>
              <w:rFonts w:ascii="Times New Roman" w:hAnsi="Times New Roman" w:cs="Times New Roman"/>
              <w:sz w:val="24"/>
              <w:szCs w:val="24"/>
            </w:rPr>
            <w:instrText xml:space="preserve"> CITATION Mel17 \l 1033 </w:instrText>
          </w:r>
          <w:r w:rsidR="001B7E7F"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(Bucher, 2017)</w:t>
          </w:r>
          <w:r w:rsidR="001B7E7F" w:rsidRPr="001A01F0">
            <w:rPr>
              <w:rFonts w:ascii="Times New Roman" w:hAnsi="Times New Roman" w:cs="Times New Roman"/>
              <w:sz w:val="24"/>
              <w:szCs w:val="24"/>
            </w:rPr>
            <w:fldChar w:fldCharType="end"/>
          </w:r>
        </w:sdtContent>
      </w:sdt>
      <w:r w:rsidR="001B7E7F" w:rsidRPr="001A01F0">
        <w:rPr>
          <w:rFonts w:ascii="Times New Roman" w:hAnsi="Times New Roman" w:cs="Times New Roman"/>
          <w:sz w:val="24"/>
          <w:szCs w:val="24"/>
        </w:rPr>
        <w:t>.</w:t>
      </w:r>
      <w:r w:rsidRPr="001A01F0">
        <w:rPr>
          <w:rFonts w:ascii="Times New Roman" w:hAnsi="Times New Roman" w:cs="Times New Roman"/>
          <w:sz w:val="24"/>
          <w:szCs w:val="24"/>
        </w:rPr>
        <w:t xml:space="preserve"> </w:t>
      </w:r>
      <w:r w:rsidR="009D2B61" w:rsidRPr="001A01F0">
        <w:rPr>
          <w:rFonts w:ascii="Times New Roman" w:hAnsi="Times New Roman" w:cs="Times New Roman"/>
          <w:sz w:val="24"/>
          <w:szCs w:val="24"/>
        </w:rPr>
        <w:t>A high level of volatility means high correlation “</w:t>
      </w:r>
      <w:r w:rsidRPr="001A01F0">
        <w:rPr>
          <w:rFonts w:ascii="Times New Roman" w:hAnsi="Times New Roman" w:cs="Times New Roman"/>
          <w:sz w:val="24"/>
          <w:szCs w:val="24"/>
        </w:rPr>
        <w:t>whenever a single global factor is dominating price moves across all global markets.</w:t>
      </w:r>
      <w:r w:rsidR="009D2B61" w:rsidRPr="001A01F0">
        <w:rPr>
          <w:rFonts w:ascii="Times New Roman" w:hAnsi="Times New Roman" w:cs="Times New Roman"/>
          <w:sz w:val="24"/>
          <w:szCs w:val="24"/>
        </w:rPr>
        <w:t>”</w:t>
      </w:r>
    </w:p>
    <w:p w:rsidR="004B38FB" w:rsidRPr="001A01F0" w:rsidRDefault="004B38FB" w:rsidP="007049F4">
      <w:pPr>
        <w:pStyle w:val="NoSpacing"/>
        <w:numPr>
          <w:ilvl w:val="0"/>
          <w:numId w:val="12"/>
        </w:numPr>
        <w:spacing w:line="360" w:lineRule="auto"/>
        <w:jc w:val="both"/>
        <w:rPr>
          <w:rFonts w:ascii="Times New Roman" w:hAnsi="Times New Roman" w:cs="Times New Roman"/>
          <w:sz w:val="24"/>
          <w:szCs w:val="24"/>
        </w:rPr>
      </w:pPr>
      <w:r w:rsidRPr="009D6384">
        <w:rPr>
          <w:rFonts w:ascii="Times New Roman" w:hAnsi="Times New Roman" w:cs="Times New Roman"/>
          <w:b/>
          <w:bCs/>
          <w:sz w:val="24"/>
          <w:szCs w:val="24"/>
        </w:rPr>
        <w:t>Running with the herd</w:t>
      </w:r>
      <w:r w:rsidRPr="009D6384">
        <w:rPr>
          <w:rFonts w:ascii="Times New Roman" w:hAnsi="Times New Roman" w:cs="Times New Roman"/>
          <w:b/>
          <w:sz w:val="24"/>
          <w:szCs w:val="24"/>
        </w:rPr>
        <w:t>:</w:t>
      </w:r>
      <w:r w:rsidRPr="001A01F0">
        <w:rPr>
          <w:rFonts w:ascii="Times New Roman" w:hAnsi="Times New Roman" w:cs="Times New Roman"/>
          <w:sz w:val="24"/>
          <w:szCs w:val="24"/>
        </w:rPr>
        <w:t xml:space="preserve"> </w:t>
      </w:r>
      <w:r w:rsidR="007F3FB5" w:rsidRPr="001A01F0">
        <w:rPr>
          <w:rFonts w:ascii="Times New Roman" w:hAnsi="Times New Roman" w:cs="Times New Roman"/>
          <w:sz w:val="24"/>
          <w:szCs w:val="24"/>
        </w:rPr>
        <w:t xml:space="preserve">To climb on to the bandwagon is rarely a good idea. However, </w:t>
      </w:r>
      <w:r w:rsidR="0055623C" w:rsidRPr="001A01F0">
        <w:rPr>
          <w:rFonts w:ascii="Times New Roman" w:hAnsi="Times New Roman" w:cs="Times New Roman"/>
          <w:sz w:val="24"/>
          <w:szCs w:val="24"/>
        </w:rPr>
        <w:t>it</w:t>
      </w:r>
      <w:r w:rsidR="007F3FB5" w:rsidRPr="001A01F0">
        <w:rPr>
          <w:rFonts w:ascii="Times New Roman" w:hAnsi="Times New Roman" w:cs="Times New Roman"/>
          <w:sz w:val="24"/>
          <w:szCs w:val="24"/>
        </w:rPr>
        <w:t xml:space="preserve"> is often rational when it comes to market trend to follow. Trend analysis is often done to get idea about what market participants are observing.</w:t>
      </w:r>
      <w:r w:rsidR="009D6384">
        <w:rPr>
          <w:rFonts w:ascii="Times New Roman" w:hAnsi="Times New Roman" w:cs="Times New Roman"/>
          <w:sz w:val="24"/>
          <w:szCs w:val="24"/>
        </w:rPr>
        <w:t xml:space="preserve"> </w:t>
      </w:r>
      <w:r w:rsidR="007F3FB5" w:rsidRPr="001A01F0">
        <w:rPr>
          <w:rFonts w:ascii="Times New Roman" w:hAnsi="Times New Roman" w:cs="Times New Roman"/>
          <w:sz w:val="24"/>
          <w:szCs w:val="24"/>
        </w:rPr>
        <w:t>“In make-or-break</w:t>
      </w:r>
      <w:r w:rsidRPr="001A01F0">
        <w:rPr>
          <w:rFonts w:ascii="Times New Roman" w:hAnsi="Times New Roman" w:cs="Times New Roman"/>
          <w:sz w:val="24"/>
          <w:szCs w:val="24"/>
        </w:rPr>
        <w:t xml:space="preserve"> situations it is rational to herd, i.e. to trade in the direction of prices, as private information disseminates i</w:t>
      </w:r>
      <w:r w:rsidR="007F3FB5" w:rsidRPr="001A01F0">
        <w:rPr>
          <w:rFonts w:ascii="Times New Roman" w:hAnsi="Times New Roman" w:cs="Times New Roman"/>
          <w:sz w:val="24"/>
          <w:szCs w:val="24"/>
        </w:rPr>
        <w:t>n the market th</w:t>
      </w:r>
      <w:r w:rsidRPr="001A01F0">
        <w:rPr>
          <w:rFonts w:ascii="Times New Roman" w:hAnsi="Times New Roman" w:cs="Times New Roman"/>
          <w:sz w:val="24"/>
          <w:szCs w:val="24"/>
        </w:rPr>
        <w:t>rough prices. In this case, inaction would be an irrational and dangerous choice, even if we had no information ad</w:t>
      </w:r>
      <w:r w:rsidR="007F3FB5" w:rsidRPr="001A01F0">
        <w:rPr>
          <w:rFonts w:ascii="Times New Roman" w:hAnsi="Times New Roman" w:cs="Times New Roman"/>
          <w:sz w:val="24"/>
          <w:szCs w:val="24"/>
        </w:rPr>
        <w:t xml:space="preserve">vantage on the evolution of the </w:t>
      </w:r>
      <w:r w:rsidRPr="001A01F0">
        <w:rPr>
          <w:rFonts w:ascii="Times New Roman" w:hAnsi="Times New Roman" w:cs="Times New Roman"/>
          <w:sz w:val="24"/>
          <w:szCs w:val="24"/>
        </w:rPr>
        <w:t>crisis.</w:t>
      </w:r>
      <w:r w:rsidR="007F3FB5" w:rsidRPr="001A01F0">
        <w:rPr>
          <w:rFonts w:ascii="Times New Roman" w:hAnsi="Times New Roman" w:cs="Times New Roman"/>
          <w:sz w:val="24"/>
          <w:szCs w:val="24"/>
        </w:rPr>
        <w:t>”</w:t>
      </w:r>
      <w:sdt>
        <w:sdtPr>
          <w:rPr>
            <w:rFonts w:ascii="Times New Roman" w:hAnsi="Times New Roman" w:cs="Times New Roman"/>
            <w:sz w:val="24"/>
            <w:szCs w:val="24"/>
          </w:rPr>
          <w:id w:val="-1980752849"/>
          <w:citation/>
        </w:sdtPr>
        <w:sdtContent>
          <w:r w:rsidR="007F3FB5" w:rsidRPr="001A01F0">
            <w:rPr>
              <w:rFonts w:ascii="Times New Roman" w:hAnsi="Times New Roman" w:cs="Times New Roman"/>
              <w:sz w:val="24"/>
              <w:szCs w:val="24"/>
            </w:rPr>
            <w:fldChar w:fldCharType="begin"/>
          </w:r>
          <w:r w:rsidR="007F3FB5" w:rsidRPr="001A01F0">
            <w:rPr>
              <w:rFonts w:ascii="Times New Roman" w:hAnsi="Times New Roman" w:cs="Times New Roman"/>
              <w:sz w:val="24"/>
              <w:szCs w:val="24"/>
            </w:rPr>
            <w:instrText xml:space="preserve"> CITATION SR_15 \l 1033 </w:instrText>
          </w:r>
          <w:r w:rsidR="007F3FB5"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(SR_SV, 2015)</w:t>
          </w:r>
          <w:r w:rsidR="007F3FB5" w:rsidRPr="001A01F0">
            <w:rPr>
              <w:rFonts w:ascii="Times New Roman" w:hAnsi="Times New Roman" w:cs="Times New Roman"/>
              <w:sz w:val="24"/>
              <w:szCs w:val="24"/>
            </w:rPr>
            <w:fldChar w:fldCharType="end"/>
          </w:r>
        </w:sdtContent>
      </w:sdt>
      <w:r w:rsidR="007F3FB5" w:rsidRPr="001A01F0">
        <w:rPr>
          <w:rFonts w:ascii="Times New Roman" w:hAnsi="Times New Roman" w:cs="Times New Roman"/>
          <w:sz w:val="24"/>
          <w:szCs w:val="24"/>
        </w:rPr>
        <w:t xml:space="preserve">. </w:t>
      </w:r>
      <w:r w:rsidRPr="001A01F0">
        <w:rPr>
          <w:rFonts w:ascii="Times New Roman" w:hAnsi="Times New Roman" w:cs="Times New Roman"/>
          <w:sz w:val="24"/>
          <w:szCs w:val="24"/>
        </w:rPr>
        <w:br/>
      </w:r>
      <w:r w:rsidR="007F3FB5" w:rsidRPr="001A01F0">
        <w:rPr>
          <w:rFonts w:ascii="Times New Roman" w:hAnsi="Times New Roman" w:cs="Times New Roman"/>
          <w:sz w:val="24"/>
          <w:szCs w:val="24"/>
        </w:rPr>
        <w:t>Empirical data suggests that quite often strategies in congruent with market trend have been successful in mitigating effects of downturn</w:t>
      </w:r>
      <w:r w:rsidR="001B7E7F" w:rsidRPr="001A01F0">
        <w:rPr>
          <w:rFonts w:ascii="Times New Roman" w:hAnsi="Times New Roman" w:cs="Times New Roman"/>
          <w:sz w:val="24"/>
          <w:szCs w:val="24"/>
        </w:rPr>
        <w:t xml:space="preserve">. </w:t>
      </w:r>
      <w:r w:rsidR="007F3FB5" w:rsidRPr="001A01F0">
        <w:rPr>
          <w:rFonts w:ascii="Times New Roman" w:hAnsi="Times New Roman" w:cs="Times New Roman"/>
          <w:sz w:val="24"/>
          <w:szCs w:val="24"/>
        </w:rPr>
        <w:t>“</w:t>
      </w:r>
      <w:r w:rsidR="001B7E7F" w:rsidRPr="001A01F0">
        <w:rPr>
          <w:rFonts w:ascii="Times New Roman" w:hAnsi="Times New Roman" w:cs="Times New Roman"/>
          <w:sz w:val="24"/>
          <w:szCs w:val="24"/>
        </w:rPr>
        <w:t>Trend</w:t>
      </w:r>
      <w:r w:rsidRPr="001A01F0">
        <w:rPr>
          <w:rFonts w:ascii="Times New Roman" w:hAnsi="Times New Roman" w:cs="Times New Roman"/>
          <w:sz w:val="24"/>
          <w:szCs w:val="24"/>
        </w:rPr>
        <w:t xml:space="preserve"> following removes psychological and institutional obstacles to exiting positions early in escalatory crises. Trend following is a </w:t>
      </w:r>
      <w:r w:rsidRPr="001A01F0">
        <w:rPr>
          <w:rFonts w:ascii="Times New Roman" w:hAnsi="Times New Roman" w:cs="Times New Roman"/>
          <w:sz w:val="24"/>
          <w:szCs w:val="24"/>
        </w:rPr>
        <w:lastRenderedPageBreak/>
        <w:t>market dire</w:t>
      </w:r>
      <w:r w:rsidR="007F3FB5" w:rsidRPr="001A01F0">
        <w:rPr>
          <w:rFonts w:ascii="Times New Roman" w:hAnsi="Times New Roman" w:cs="Times New Roman"/>
          <w:sz w:val="24"/>
          <w:szCs w:val="24"/>
        </w:rPr>
        <w:t>ctional strategy that promises ‘</w:t>
      </w:r>
      <w:r w:rsidRPr="001A01F0">
        <w:rPr>
          <w:rFonts w:ascii="Times New Roman" w:hAnsi="Times New Roman" w:cs="Times New Roman"/>
          <w:sz w:val="24"/>
          <w:szCs w:val="24"/>
        </w:rPr>
        <w:t>con</w:t>
      </w:r>
      <w:r w:rsidR="007F3FB5" w:rsidRPr="001A01F0">
        <w:rPr>
          <w:rFonts w:ascii="Times New Roman" w:hAnsi="Times New Roman" w:cs="Times New Roman"/>
          <w:sz w:val="24"/>
          <w:szCs w:val="24"/>
        </w:rPr>
        <w:t>vex beta’ and ‘good diversification’</w:t>
      </w:r>
      <w:r w:rsidRPr="001A01F0">
        <w:rPr>
          <w:rFonts w:ascii="Times New Roman" w:hAnsi="Times New Roman" w:cs="Times New Roman"/>
          <w:sz w:val="24"/>
          <w:szCs w:val="24"/>
        </w:rPr>
        <w:t xml:space="preserve"> for outright long and carry portfolios as it normally performs well in prot</w:t>
      </w:r>
      <w:r w:rsidR="001B7E7F" w:rsidRPr="001A01F0">
        <w:rPr>
          <w:rFonts w:ascii="Times New Roman" w:hAnsi="Times New Roman" w:cs="Times New Roman"/>
          <w:sz w:val="24"/>
          <w:szCs w:val="24"/>
        </w:rPr>
        <w:t>racted good and bad times alike</w:t>
      </w:r>
      <w:r w:rsidR="007F3FB5" w:rsidRPr="001A01F0">
        <w:rPr>
          <w:rFonts w:ascii="Times New Roman" w:hAnsi="Times New Roman" w:cs="Times New Roman"/>
          <w:sz w:val="24"/>
          <w:szCs w:val="24"/>
        </w:rPr>
        <w:t>”</w:t>
      </w:r>
      <w:sdt>
        <w:sdtPr>
          <w:rPr>
            <w:rFonts w:ascii="Times New Roman" w:hAnsi="Times New Roman" w:cs="Times New Roman"/>
            <w:sz w:val="24"/>
            <w:szCs w:val="24"/>
          </w:rPr>
          <w:id w:val="134691200"/>
          <w:citation/>
        </w:sdtPr>
        <w:sdtContent>
          <w:r w:rsidR="007F3FB5" w:rsidRPr="001A01F0">
            <w:rPr>
              <w:rFonts w:ascii="Times New Roman" w:hAnsi="Times New Roman" w:cs="Times New Roman"/>
              <w:sz w:val="24"/>
              <w:szCs w:val="24"/>
            </w:rPr>
            <w:fldChar w:fldCharType="begin"/>
          </w:r>
          <w:r w:rsidR="007F3FB5" w:rsidRPr="001A01F0">
            <w:rPr>
              <w:rFonts w:ascii="Times New Roman" w:hAnsi="Times New Roman" w:cs="Times New Roman"/>
              <w:sz w:val="24"/>
              <w:szCs w:val="24"/>
            </w:rPr>
            <w:instrText xml:space="preserve"> CITATION SR_15 \l 1033 </w:instrText>
          </w:r>
          <w:r w:rsidR="007F3FB5"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(SR_SV, 2015)</w:t>
          </w:r>
          <w:r w:rsidR="007F3FB5" w:rsidRPr="001A01F0">
            <w:rPr>
              <w:rFonts w:ascii="Times New Roman" w:hAnsi="Times New Roman" w:cs="Times New Roman"/>
              <w:sz w:val="24"/>
              <w:szCs w:val="24"/>
            </w:rPr>
            <w:fldChar w:fldCharType="end"/>
          </w:r>
        </w:sdtContent>
      </w:sdt>
      <w:r w:rsidR="001B7E7F" w:rsidRPr="001A01F0">
        <w:rPr>
          <w:rFonts w:ascii="Times New Roman" w:hAnsi="Times New Roman" w:cs="Times New Roman"/>
          <w:sz w:val="24"/>
          <w:szCs w:val="24"/>
        </w:rPr>
        <w:t xml:space="preserve">. </w:t>
      </w:r>
      <w:r w:rsidR="007F3FB5" w:rsidRPr="001A01F0">
        <w:rPr>
          <w:rFonts w:ascii="Times New Roman" w:hAnsi="Times New Roman" w:cs="Times New Roman"/>
          <w:sz w:val="24"/>
          <w:szCs w:val="24"/>
        </w:rPr>
        <w:t xml:space="preserve"> </w:t>
      </w:r>
      <w:r w:rsidRPr="001A01F0">
        <w:rPr>
          <w:rFonts w:ascii="Times New Roman" w:hAnsi="Times New Roman" w:cs="Times New Roman"/>
          <w:sz w:val="24"/>
          <w:szCs w:val="24"/>
        </w:rPr>
        <w:t>Drawdown control strategies, such as vol</w:t>
      </w:r>
      <w:r w:rsidR="001B7E7F" w:rsidRPr="001A01F0">
        <w:rPr>
          <w:rFonts w:ascii="Times New Roman" w:hAnsi="Times New Roman" w:cs="Times New Roman"/>
          <w:sz w:val="24"/>
          <w:szCs w:val="24"/>
        </w:rPr>
        <w:t>atility targeting and “MinMax” use</w:t>
      </w:r>
      <w:r w:rsidRPr="001A01F0">
        <w:rPr>
          <w:rFonts w:ascii="Times New Roman" w:hAnsi="Times New Roman" w:cs="Times New Roman"/>
          <w:sz w:val="24"/>
          <w:szCs w:val="24"/>
        </w:rPr>
        <w:t xml:space="preserve"> elements of trend-following for risk management.</w:t>
      </w:r>
    </w:p>
    <w:p w:rsidR="00974FD8" w:rsidRPr="001A01F0" w:rsidRDefault="004B38FB" w:rsidP="007049F4">
      <w:pPr>
        <w:pStyle w:val="NoSpacing"/>
        <w:numPr>
          <w:ilvl w:val="0"/>
          <w:numId w:val="14"/>
        </w:numPr>
        <w:spacing w:line="360" w:lineRule="auto"/>
        <w:jc w:val="both"/>
        <w:rPr>
          <w:rFonts w:ascii="Times New Roman" w:hAnsi="Times New Roman" w:cs="Times New Roman"/>
          <w:sz w:val="24"/>
          <w:szCs w:val="24"/>
        </w:rPr>
      </w:pPr>
      <w:r w:rsidRPr="009D6384">
        <w:rPr>
          <w:rFonts w:ascii="Times New Roman" w:hAnsi="Times New Roman" w:cs="Times New Roman"/>
          <w:b/>
          <w:sz w:val="24"/>
          <w:szCs w:val="24"/>
        </w:rPr>
        <w:t>Avoiding expensive liquidation:</w:t>
      </w:r>
      <w:r w:rsidRPr="001A01F0">
        <w:rPr>
          <w:rFonts w:ascii="Times New Roman" w:hAnsi="Times New Roman" w:cs="Times New Roman"/>
          <w:sz w:val="24"/>
          <w:szCs w:val="24"/>
        </w:rPr>
        <w:t> </w:t>
      </w:r>
      <w:r w:rsidR="00F933DC" w:rsidRPr="001A01F0">
        <w:rPr>
          <w:rFonts w:ascii="Times New Roman" w:hAnsi="Times New Roman" w:cs="Times New Roman"/>
          <w:sz w:val="24"/>
          <w:szCs w:val="24"/>
        </w:rPr>
        <w:t xml:space="preserve">In an economic downturn or adverse situation liquidity crisis usually arises making it even more difficult for the firm to get the required amount of money needed to withstand the trauma. </w:t>
      </w:r>
      <w:r w:rsidRPr="001A01F0">
        <w:rPr>
          <w:rFonts w:ascii="Times New Roman" w:hAnsi="Times New Roman" w:cs="Times New Roman"/>
          <w:sz w:val="24"/>
          <w:szCs w:val="24"/>
        </w:rPr>
        <w:t xml:space="preserve"> </w:t>
      </w:r>
      <w:r w:rsidR="00F933DC" w:rsidRPr="001A01F0">
        <w:rPr>
          <w:rFonts w:ascii="Times New Roman" w:hAnsi="Times New Roman" w:cs="Times New Roman"/>
          <w:sz w:val="24"/>
          <w:szCs w:val="24"/>
        </w:rPr>
        <w:t>“</w:t>
      </w:r>
      <w:r w:rsidRPr="001A01F0">
        <w:rPr>
          <w:rFonts w:ascii="Times New Roman" w:hAnsi="Times New Roman" w:cs="Times New Roman"/>
          <w:sz w:val="24"/>
          <w:szCs w:val="24"/>
        </w:rPr>
        <w:t>This can give rise to outsized price movements and, at the same time, make position adjustments prohibitively expensive. To the extent that liquidity problems rather than fundamental changes account for major market</w:t>
      </w:r>
      <w:r w:rsidRPr="001A01F0">
        <w:rPr>
          <w:rFonts w:ascii="Times New Roman" w:eastAsia="Times New Roman" w:hAnsi="Times New Roman" w:cs="Times New Roman"/>
          <w:color w:val="222222"/>
          <w:sz w:val="24"/>
          <w:szCs w:val="24"/>
        </w:rPr>
        <w:t xml:space="preserve"> </w:t>
      </w:r>
      <w:r w:rsidRPr="001A01F0">
        <w:rPr>
          <w:rFonts w:ascii="Times New Roman" w:hAnsi="Times New Roman" w:cs="Times New Roman"/>
          <w:sz w:val="24"/>
          <w:szCs w:val="24"/>
        </w:rPr>
        <w:t xml:space="preserve">moves, position liquidation destroys investor value. Indeed, structural and regulatory changes in recent years seem to have made liquidity more precarious than in the </w:t>
      </w:r>
      <w:r w:rsidR="001B7E7F" w:rsidRPr="001A01F0">
        <w:rPr>
          <w:rFonts w:ascii="Times New Roman" w:hAnsi="Times New Roman" w:cs="Times New Roman"/>
          <w:sz w:val="24"/>
          <w:szCs w:val="24"/>
        </w:rPr>
        <w:t xml:space="preserve">past. </w:t>
      </w:r>
      <w:r w:rsidRPr="001A01F0">
        <w:rPr>
          <w:rFonts w:ascii="Times New Roman" w:hAnsi="Times New Roman" w:cs="Times New Roman"/>
          <w:sz w:val="24"/>
          <w:szCs w:val="24"/>
        </w:rPr>
        <w:t>Hence, calibrating or structuring positions such as to withstand liquidity events can be a major cost saver and performance factor.</w:t>
      </w:r>
      <w:r w:rsidR="00F933DC" w:rsidRPr="001A01F0">
        <w:rPr>
          <w:rFonts w:ascii="Times New Roman" w:hAnsi="Times New Roman" w:cs="Times New Roman"/>
          <w:sz w:val="24"/>
          <w:szCs w:val="24"/>
        </w:rPr>
        <w:t>”</w:t>
      </w:r>
      <w:sdt>
        <w:sdtPr>
          <w:rPr>
            <w:rFonts w:ascii="Times New Roman" w:hAnsi="Times New Roman" w:cs="Times New Roman"/>
            <w:sz w:val="24"/>
            <w:szCs w:val="24"/>
          </w:rPr>
          <w:id w:val="-1796980820"/>
          <w:citation/>
        </w:sdtPr>
        <w:sdtContent>
          <w:r w:rsidR="00F933DC" w:rsidRPr="001A01F0">
            <w:rPr>
              <w:rFonts w:ascii="Times New Roman" w:hAnsi="Times New Roman" w:cs="Times New Roman"/>
              <w:sz w:val="24"/>
              <w:szCs w:val="24"/>
            </w:rPr>
            <w:fldChar w:fldCharType="begin"/>
          </w:r>
          <w:r w:rsidR="00F933DC" w:rsidRPr="001A01F0">
            <w:rPr>
              <w:rFonts w:ascii="Times New Roman" w:hAnsi="Times New Roman" w:cs="Times New Roman"/>
              <w:sz w:val="24"/>
              <w:szCs w:val="24"/>
            </w:rPr>
            <w:instrText xml:space="preserve"> CITATION SR_15 \l 1033 </w:instrText>
          </w:r>
          <w:r w:rsidR="00F933DC"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(SR_SV, 2015)</w:t>
          </w:r>
          <w:r w:rsidR="00F933DC" w:rsidRPr="001A01F0">
            <w:rPr>
              <w:rFonts w:ascii="Times New Roman" w:hAnsi="Times New Roman" w:cs="Times New Roman"/>
              <w:sz w:val="24"/>
              <w:szCs w:val="24"/>
            </w:rPr>
            <w:fldChar w:fldCharType="end"/>
          </w:r>
        </w:sdtContent>
      </w:sdt>
      <w:r w:rsidR="00F933DC" w:rsidRPr="001A01F0">
        <w:rPr>
          <w:rFonts w:ascii="Times New Roman" w:hAnsi="Times New Roman" w:cs="Times New Roman"/>
          <w:sz w:val="24"/>
          <w:szCs w:val="24"/>
        </w:rPr>
        <w:t>.</w:t>
      </w:r>
      <w:r w:rsidRPr="001A01F0">
        <w:rPr>
          <w:rFonts w:ascii="Times New Roman" w:hAnsi="Times New Roman" w:cs="Times New Roman"/>
          <w:sz w:val="24"/>
          <w:szCs w:val="24"/>
        </w:rPr>
        <w:t xml:space="preserve"> </w:t>
      </w:r>
      <w:r w:rsidR="00F933DC" w:rsidRPr="001A01F0">
        <w:rPr>
          <w:rFonts w:ascii="Times New Roman" w:hAnsi="Times New Roman" w:cs="Times New Roman"/>
          <w:sz w:val="24"/>
          <w:szCs w:val="24"/>
        </w:rPr>
        <w:t xml:space="preserve">To have an incisive look into systemic risk is essential </w:t>
      </w:r>
      <w:r w:rsidRPr="001A01F0">
        <w:rPr>
          <w:rFonts w:ascii="Times New Roman" w:hAnsi="Times New Roman" w:cs="Times New Roman"/>
          <w:sz w:val="24"/>
          <w:szCs w:val="24"/>
        </w:rPr>
        <w:t xml:space="preserve">for </w:t>
      </w:r>
      <w:r w:rsidR="00F933DC" w:rsidRPr="001A01F0">
        <w:rPr>
          <w:rFonts w:ascii="Times New Roman" w:hAnsi="Times New Roman" w:cs="Times New Roman"/>
          <w:sz w:val="24"/>
          <w:szCs w:val="24"/>
        </w:rPr>
        <w:t>“</w:t>
      </w:r>
      <w:r w:rsidRPr="001A01F0">
        <w:rPr>
          <w:rFonts w:ascii="Times New Roman" w:hAnsi="Times New Roman" w:cs="Times New Roman"/>
          <w:sz w:val="24"/>
          <w:szCs w:val="24"/>
        </w:rPr>
        <w:t xml:space="preserve">preparation and for forming judgment whether or not it is really in the investor interest to liquidate positions in the thick of </w:t>
      </w:r>
      <w:r w:rsidR="00974FD8" w:rsidRPr="001A01F0">
        <w:rPr>
          <w:rFonts w:ascii="Times New Roman" w:hAnsi="Times New Roman" w:cs="Times New Roman"/>
          <w:sz w:val="24"/>
          <w:szCs w:val="24"/>
        </w:rPr>
        <w:t>crises.</w:t>
      </w:r>
      <w:r w:rsidR="00F933DC" w:rsidRPr="001A01F0">
        <w:rPr>
          <w:rFonts w:ascii="Times New Roman" w:hAnsi="Times New Roman" w:cs="Times New Roman"/>
          <w:sz w:val="24"/>
          <w:szCs w:val="24"/>
        </w:rPr>
        <w:t>”</w:t>
      </w:r>
      <w:sdt>
        <w:sdtPr>
          <w:rPr>
            <w:rFonts w:ascii="Times New Roman" w:hAnsi="Times New Roman" w:cs="Times New Roman"/>
            <w:sz w:val="24"/>
            <w:szCs w:val="24"/>
          </w:rPr>
          <w:id w:val="1772349694"/>
          <w:citation/>
        </w:sdtPr>
        <w:sdtContent>
          <w:r w:rsidR="00F933DC" w:rsidRPr="001A01F0">
            <w:rPr>
              <w:rFonts w:ascii="Times New Roman" w:hAnsi="Times New Roman" w:cs="Times New Roman"/>
              <w:sz w:val="24"/>
              <w:szCs w:val="24"/>
            </w:rPr>
            <w:fldChar w:fldCharType="begin"/>
          </w:r>
          <w:r w:rsidR="00F933DC" w:rsidRPr="001A01F0">
            <w:rPr>
              <w:rFonts w:ascii="Times New Roman" w:hAnsi="Times New Roman" w:cs="Times New Roman"/>
              <w:sz w:val="24"/>
              <w:szCs w:val="24"/>
            </w:rPr>
            <w:instrText xml:space="preserve"> CITATION SR_15 \l 1033 </w:instrText>
          </w:r>
          <w:r w:rsidR="00F933DC"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(SR_SV, 2015)</w:t>
          </w:r>
          <w:r w:rsidR="00F933DC" w:rsidRPr="001A01F0">
            <w:rPr>
              <w:rFonts w:ascii="Times New Roman" w:hAnsi="Times New Roman" w:cs="Times New Roman"/>
              <w:sz w:val="24"/>
              <w:szCs w:val="24"/>
            </w:rPr>
            <w:fldChar w:fldCharType="end"/>
          </w:r>
        </w:sdtContent>
      </w:sdt>
      <w:r w:rsidR="00974FD8" w:rsidRPr="001A01F0">
        <w:rPr>
          <w:rFonts w:ascii="Times New Roman" w:hAnsi="Times New Roman" w:cs="Times New Roman"/>
          <w:sz w:val="24"/>
          <w:szCs w:val="24"/>
        </w:rPr>
        <w:t xml:space="preserve"> </w:t>
      </w:r>
    </w:p>
    <w:p w:rsidR="00974FD8" w:rsidRPr="009D6384" w:rsidRDefault="00974FD8" w:rsidP="00027826">
      <w:pPr>
        <w:pStyle w:val="NoSpacing"/>
        <w:spacing w:line="360" w:lineRule="auto"/>
        <w:jc w:val="both"/>
        <w:rPr>
          <w:rFonts w:ascii="Times New Roman" w:hAnsi="Times New Roman" w:cs="Times New Roman"/>
          <w:b/>
          <w:sz w:val="24"/>
          <w:szCs w:val="24"/>
        </w:rPr>
      </w:pPr>
    </w:p>
    <w:p w:rsidR="004B38FB" w:rsidRPr="009D6384" w:rsidRDefault="009D6384" w:rsidP="0027736C">
      <w:pPr>
        <w:pStyle w:val="Heading3"/>
      </w:pPr>
      <w:bookmarkStart w:id="17" w:name="_Toc6873779"/>
      <w:r>
        <w:t xml:space="preserve">4.1.3 </w:t>
      </w:r>
      <w:r w:rsidR="004B38FB" w:rsidRPr="009D6384">
        <w:t>Calibrating tail risk</w:t>
      </w:r>
      <w:bookmarkEnd w:id="17"/>
    </w:p>
    <w:p w:rsidR="00CE5C08" w:rsidRPr="001A01F0" w:rsidRDefault="00CE5C08"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Traditionally systemic risk management has been a matter of volatility assessment of market data that lies beyond normal threshold.</w:t>
      </w:r>
    </w:p>
    <w:p w:rsidR="004B38FB" w:rsidRPr="001A01F0" w:rsidRDefault="00CE5C08" w:rsidP="00027826">
      <w:pPr>
        <w:pStyle w:val="NoSpacing"/>
        <w:spacing w:line="360" w:lineRule="auto"/>
        <w:jc w:val="both"/>
        <w:rPr>
          <w:rFonts w:ascii="Times New Roman" w:hAnsi="Times New Roman" w:cs="Times New Roman"/>
          <w:color w:val="222222"/>
          <w:sz w:val="24"/>
          <w:szCs w:val="24"/>
        </w:rPr>
      </w:pPr>
      <w:r w:rsidRPr="001A01F0">
        <w:rPr>
          <w:rFonts w:ascii="Times New Roman" w:hAnsi="Times New Roman" w:cs="Times New Roman"/>
          <w:color w:val="222222"/>
          <w:sz w:val="24"/>
          <w:szCs w:val="24"/>
        </w:rPr>
        <w:t>“</w:t>
      </w:r>
      <w:r w:rsidR="004B38FB" w:rsidRPr="001A01F0">
        <w:rPr>
          <w:rFonts w:ascii="Times New Roman" w:hAnsi="Times New Roman" w:cs="Times New Roman"/>
          <w:color w:val="222222"/>
          <w:sz w:val="24"/>
          <w:szCs w:val="24"/>
        </w:rPr>
        <w:t>On this basis, the majority of portfolios of liquid financial instruments is managed based on some form of Value-at-Risk (VaR) model, a statistical estimate of a loss threshold that will only be exceeded with a low probability.</w:t>
      </w:r>
      <w:r w:rsidRPr="001A01F0">
        <w:rPr>
          <w:rFonts w:ascii="Times New Roman" w:hAnsi="Times New Roman" w:cs="Times New Roman"/>
          <w:color w:val="222222"/>
          <w:sz w:val="24"/>
          <w:szCs w:val="24"/>
        </w:rPr>
        <w:t>”</w:t>
      </w:r>
      <w:sdt>
        <w:sdtPr>
          <w:rPr>
            <w:rFonts w:ascii="Times New Roman" w:hAnsi="Times New Roman" w:cs="Times New Roman"/>
            <w:color w:val="222222"/>
            <w:sz w:val="24"/>
            <w:szCs w:val="24"/>
          </w:rPr>
          <w:id w:val="-446541809"/>
          <w:citation/>
        </w:sdtPr>
        <w:sdtContent>
          <w:r w:rsidRPr="001A01F0">
            <w:rPr>
              <w:rFonts w:ascii="Times New Roman" w:hAnsi="Times New Roman" w:cs="Times New Roman"/>
              <w:color w:val="222222"/>
              <w:sz w:val="24"/>
              <w:szCs w:val="24"/>
            </w:rPr>
            <w:fldChar w:fldCharType="begin"/>
          </w:r>
          <w:r w:rsidRPr="001A01F0">
            <w:rPr>
              <w:rFonts w:ascii="Times New Roman" w:hAnsi="Times New Roman" w:cs="Times New Roman"/>
              <w:color w:val="222222"/>
              <w:sz w:val="24"/>
              <w:szCs w:val="24"/>
            </w:rPr>
            <w:instrText xml:space="preserve"> CITATION SR_15 \l 1033 </w:instrText>
          </w:r>
          <w:r w:rsidRPr="001A01F0">
            <w:rPr>
              <w:rFonts w:ascii="Times New Roman" w:hAnsi="Times New Roman" w:cs="Times New Roman"/>
              <w:color w:val="222222"/>
              <w:sz w:val="24"/>
              <w:szCs w:val="24"/>
            </w:rPr>
            <w:fldChar w:fldCharType="separate"/>
          </w:r>
          <w:r w:rsidR="00B83DB3">
            <w:rPr>
              <w:rFonts w:ascii="Times New Roman" w:hAnsi="Times New Roman" w:cs="Times New Roman"/>
              <w:noProof/>
              <w:color w:val="222222"/>
              <w:sz w:val="24"/>
              <w:szCs w:val="24"/>
            </w:rPr>
            <w:t xml:space="preserve"> </w:t>
          </w:r>
          <w:r w:rsidR="00B83DB3" w:rsidRPr="00B83DB3">
            <w:rPr>
              <w:rFonts w:ascii="Times New Roman" w:hAnsi="Times New Roman" w:cs="Times New Roman"/>
              <w:noProof/>
              <w:color w:val="222222"/>
              <w:sz w:val="24"/>
              <w:szCs w:val="24"/>
            </w:rPr>
            <w:t>(SR_SV, 2015)</w:t>
          </w:r>
          <w:r w:rsidRPr="001A01F0">
            <w:rPr>
              <w:rFonts w:ascii="Times New Roman" w:hAnsi="Times New Roman" w:cs="Times New Roman"/>
              <w:color w:val="222222"/>
              <w:sz w:val="24"/>
              <w:szCs w:val="24"/>
            </w:rPr>
            <w:fldChar w:fldCharType="end"/>
          </w:r>
        </w:sdtContent>
      </w:sdt>
    </w:p>
    <w:p w:rsidR="004B38FB" w:rsidRPr="001A01F0" w:rsidRDefault="00CE5C08" w:rsidP="00027826">
      <w:pPr>
        <w:pStyle w:val="NoSpacing"/>
        <w:spacing w:line="360" w:lineRule="auto"/>
        <w:jc w:val="both"/>
        <w:rPr>
          <w:rFonts w:ascii="Times New Roman" w:hAnsi="Times New Roman" w:cs="Times New Roman"/>
          <w:color w:val="222222"/>
          <w:sz w:val="24"/>
          <w:szCs w:val="24"/>
        </w:rPr>
      </w:pPr>
      <w:r w:rsidRPr="001A01F0">
        <w:rPr>
          <w:rFonts w:ascii="Times New Roman" w:hAnsi="Times New Roman" w:cs="Times New Roman"/>
          <w:color w:val="222222"/>
          <w:sz w:val="24"/>
          <w:szCs w:val="24"/>
        </w:rPr>
        <w:t>It is to be noted that past data can sometimes be misleading or at least not always an effective measure to say</w:t>
      </w:r>
      <w:r w:rsidR="004B38FB" w:rsidRPr="001A01F0">
        <w:rPr>
          <w:rFonts w:ascii="Times New Roman" w:hAnsi="Times New Roman" w:cs="Times New Roman"/>
          <w:color w:val="222222"/>
          <w:sz w:val="24"/>
          <w:szCs w:val="24"/>
        </w:rPr>
        <w:t xml:space="preserve">. </w:t>
      </w:r>
      <w:r w:rsidRPr="001A01F0">
        <w:rPr>
          <w:rFonts w:ascii="Times New Roman" w:hAnsi="Times New Roman" w:cs="Times New Roman"/>
          <w:color w:val="222222"/>
          <w:sz w:val="24"/>
          <w:szCs w:val="24"/>
        </w:rPr>
        <w:t>It is because volatility analysis of past data only gives us information about how market is likely to behave but not about how exactly it will behave. Risks can stem from sources that are not previously encountered. “</w:t>
      </w:r>
      <w:r w:rsidR="004B38FB" w:rsidRPr="001A01F0">
        <w:rPr>
          <w:rFonts w:ascii="Times New Roman" w:hAnsi="Times New Roman" w:cs="Times New Roman"/>
          <w:color w:val="222222"/>
          <w:sz w:val="24"/>
          <w:szCs w:val="24"/>
        </w:rPr>
        <w:t>Volatility is merely the magnitude of historic price fluctuations, while risk is the probability and sc</w:t>
      </w:r>
      <w:r w:rsidR="00974FD8" w:rsidRPr="001A01F0">
        <w:rPr>
          <w:rFonts w:ascii="Times New Roman" w:hAnsi="Times New Roman" w:cs="Times New Roman"/>
          <w:color w:val="222222"/>
          <w:sz w:val="24"/>
          <w:szCs w:val="24"/>
        </w:rPr>
        <w:t>ope of future permanent losses. The</w:t>
      </w:r>
      <w:r w:rsidR="004B38FB" w:rsidRPr="001A01F0">
        <w:rPr>
          <w:rFonts w:ascii="Times New Roman" w:hAnsi="Times New Roman" w:cs="Times New Roman"/>
          <w:color w:val="222222"/>
          <w:sz w:val="24"/>
          <w:szCs w:val="24"/>
        </w:rPr>
        <w:t xml:space="preserve"> two are not equivalent and may even become opposites.  In particular, reliance on historic volatility can create an illusion of predictability that gives rise to carelessness in specific markets. Indeed, low volatility </w:t>
      </w:r>
      <w:r w:rsidR="004B38FB" w:rsidRPr="001A01F0">
        <w:rPr>
          <w:rFonts w:ascii="Times New Roman" w:hAnsi="Times New Roman" w:cs="Times New Roman"/>
          <w:color w:val="222222"/>
          <w:sz w:val="24"/>
          <w:szCs w:val="24"/>
        </w:rPr>
        <w:lastRenderedPageBreak/>
        <w:t>itself is often a cause of excessive leverage and crowded positioning and hence conducive to subsequent outsized market movements.</w:t>
      </w:r>
      <w:r w:rsidRPr="001A01F0">
        <w:rPr>
          <w:rFonts w:ascii="Times New Roman" w:hAnsi="Times New Roman" w:cs="Times New Roman"/>
          <w:color w:val="222222"/>
          <w:sz w:val="24"/>
          <w:szCs w:val="24"/>
        </w:rPr>
        <w:t>”</w:t>
      </w:r>
    </w:p>
    <w:p w:rsidR="004B38FB" w:rsidRPr="001A01F0" w:rsidRDefault="004B38FB" w:rsidP="00027826">
      <w:pPr>
        <w:pStyle w:val="NoSpacing"/>
        <w:spacing w:line="360" w:lineRule="auto"/>
        <w:jc w:val="both"/>
        <w:rPr>
          <w:rFonts w:ascii="Times New Roman" w:hAnsi="Times New Roman" w:cs="Times New Roman"/>
          <w:color w:val="222222"/>
          <w:sz w:val="24"/>
          <w:szCs w:val="24"/>
        </w:rPr>
      </w:pPr>
      <w:r w:rsidRPr="001A01F0">
        <w:rPr>
          <w:rFonts w:ascii="Times New Roman" w:hAnsi="Times New Roman" w:cs="Times New Roman"/>
          <w:color w:val="222222"/>
          <w:sz w:val="24"/>
          <w:szCs w:val="24"/>
        </w:rPr>
        <w:t xml:space="preserve">Therefore, </w:t>
      </w:r>
      <w:r w:rsidR="00CE5C08" w:rsidRPr="001A01F0">
        <w:rPr>
          <w:rFonts w:ascii="Times New Roman" w:hAnsi="Times New Roman" w:cs="Times New Roman"/>
          <w:color w:val="222222"/>
          <w:sz w:val="24"/>
          <w:szCs w:val="24"/>
        </w:rPr>
        <w:t xml:space="preserve">one must consider conventional as well as radical metrics </w:t>
      </w:r>
      <w:r w:rsidRPr="001A01F0">
        <w:rPr>
          <w:rFonts w:ascii="Times New Roman" w:hAnsi="Times New Roman" w:cs="Times New Roman"/>
          <w:color w:val="222222"/>
          <w:sz w:val="24"/>
          <w:szCs w:val="24"/>
        </w:rPr>
        <w:t>when assessing and calibrating the risk of large outlier events (“tail risk”):</w:t>
      </w:r>
    </w:p>
    <w:p w:rsidR="004B38FB" w:rsidRPr="001A01F0" w:rsidRDefault="0010169D" w:rsidP="007049F4">
      <w:pPr>
        <w:pStyle w:val="NoSpacing"/>
        <w:numPr>
          <w:ilvl w:val="0"/>
          <w:numId w:val="15"/>
        </w:numPr>
        <w:spacing w:line="360" w:lineRule="auto"/>
        <w:jc w:val="both"/>
        <w:rPr>
          <w:rFonts w:ascii="Times New Roman" w:hAnsi="Times New Roman" w:cs="Times New Roman"/>
          <w:color w:val="222222"/>
          <w:sz w:val="24"/>
          <w:szCs w:val="24"/>
        </w:rPr>
      </w:pPr>
      <w:r w:rsidRPr="001A01F0">
        <w:rPr>
          <w:rFonts w:ascii="Times New Roman" w:hAnsi="Times New Roman" w:cs="Times New Roman"/>
          <w:color w:val="222222"/>
          <w:sz w:val="24"/>
          <w:szCs w:val="24"/>
        </w:rPr>
        <w:t>“</w:t>
      </w:r>
      <w:r w:rsidR="004B38FB" w:rsidRPr="001A01F0">
        <w:rPr>
          <w:rFonts w:ascii="Times New Roman" w:hAnsi="Times New Roman" w:cs="Times New Roman"/>
          <w:color w:val="222222"/>
          <w:sz w:val="24"/>
          <w:szCs w:val="24"/>
        </w:rPr>
        <w:t>Risk estimation should include expert assessment with subjective and non-quantifiable elements. For example, the risks and consequences of political upheavals, monetary policy regime breaks, or first-time sovereign defaults are not typically quantifiable through price history. A broad assessment of risk always requires a broad perspective, common sense, and an open mind.</w:t>
      </w:r>
      <w:r w:rsidRPr="001A01F0">
        <w:rPr>
          <w:rFonts w:ascii="Times New Roman" w:hAnsi="Times New Roman" w:cs="Times New Roman"/>
          <w:color w:val="222222"/>
          <w:sz w:val="24"/>
          <w:szCs w:val="24"/>
        </w:rPr>
        <w:t>”</w:t>
      </w:r>
    </w:p>
    <w:p w:rsidR="004B38FB" w:rsidRPr="001A01F0" w:rsidRDefault="0010169D" w:rsidP="007049F4">
      <w:pPr>
        <w:pStyle w:val="NoSpacing"/>
        <w:numPr>
          <w:ilvl w:val="0"/>
          <w:numId w:val="15"/>
        </w:numPr>
        <w:spacing w:line="360" w:lineRule="auto"/>
        <w:jc w:val="both"/>
        <w:rPr>
          <w:rFonts w:ascii="Times New Roman" w:hAnsi="Times New Roman" w:cs="Times New Roman"/>
          <w:color w:val="222222"/>
          <w:sz w:val="24"/>
          <w:szCs w:val="24"/>
        </w:rPr>
      </w:pPr>
      <w:r w:rsidRPr="001A01F0">
        <w:rPr>
          <w:rFonts w:ascii="Times New Roman" w:hAnsi="Times New Roman" w:cs="Times New Roman"/>
          <w:color w:val="222222"/>
          <w:sz w:val="24"/>
          <w:szCs w:val="24"/>
        </w:rPr>
        <w:t>“</w:t>
      </w:r>
      <w:r w:rsidR="004B38FB" w:rsidRPr="001A01F0">
        <w:rPr>
          <w:rFonts w:ascii="Times New Roman" w:hAnsi="Times New Roman" w:cs="Times New Roman"/>
          <w:color w:val="222222"/>
          <w:sz w:val="24"/>
          <w:szCs w:val="24"/>
        </w:rPr>
        <w:t>Portfolio risk estimates can explicitly consider extreme market regimes. The basic idea behind </w:t>
      </w:r>
      <w:r w:rsidR="004B38FB" w:rsidRPr="001A01F0">
        <w:rPr>
          <w:rFonts w:ascii="Times New Roman" w:hAnsi="Times New Roman" w:cs="Times New Roman"/>
          <w:bCs/>
          <w:color w:val="222222"/>
          <w:sz w:val="24"/>
          <w:szCs w:val="24"/>
        </w:rPr>
        <w:t>extreme value theory</w:t>
      </w:r>
      <w:r w:rsidR="004B38FB" w:rsidRPr="001A01F0">
        <w:rPr>
          <w:rFonts w:ascii="Times New Roman" w:hAnsi="Times New Roman" w:cs="Times New Roman"/>
          <w:color w:val="222222"/>
          <w:sz w:val="24"/>
          <w:szCs w:val="24"/>
        </w:rPr>
        <w:t> is to fit an appropriate limiting distribution over returns that exceed a specific threshold. In particular, </w:t>
      </w:r>
      <w:r w:rsidR="004B38FB" w:rsidRPr="001A01F0">
        <w:rPr>
          <w:rFonts w:ascii="Times New Roman" w:hAnsi="Times New Roman" w:cs="Times New Roman"/>
          <w:bCs/>
          <w:color w:val="222222"/>
          <w:sz w:val="24"/>
          <w:szCs w:val="24"/>
        </w:rPr>
        <w:t>extreme value mixture models</w:t>
      </w:r>
      <w:r w:rsidR="00974FD8" w:rsidRPr="001A01F0">
        <w:rPr>
          <w:rFonts w:ascii="Times New Roman" w:hAnsi="Times New Roman" w:cs="Times New Roman"/>
          <w:color w:val="222222"/>
          <w:sz w:val="24"/>
          <w:szCs w:val="24"/>
        </w:rPr>
        <w:t xml:space="preserve"> </w:t>
      </w:r>
      <w:r w:rsidR="004B38FB" w:rsidRPr="001A01F0">
        <w:rPr>
          <w:rFonts w:ascii="Times New Roman" w:hAnsi="Times New Roman" w:cs="Times New Roman"/>
          <w:color w:val="222222"/>
          <w:sz w:val="24"/>
          <w:szCs w:val="24"/>
        </w:rPr>
        <w:t>simultaneously estimate the threshold for extreme distributions and t</w:t>
      </w:r>
      <w:r w:rsidR="00974FD8" w:rsidRPr="001A01F0">
        <w:rPr>
          <w:rFonts w:ascii="Times New Roman" w:hAnsi="Times New Roman" w:cs="Times New Roman"/>
          <w:color w:val="222222"/>
          <w:sz w:val="24"/>
          <w:szCs w:val="24"/>
        </w:rPr>
        <w:t>he extreme distribution itself.</w:t>
      </w:r>
      <w:r w:rsidRPr="001A01F0">
        <w:rPr>
          <w:rFonts w:ascii="Times New Roman" w:hAnsi="Times New Roman" w:cs="Times New Roman"/>
          <w:color w:val="222222"/>
          <w:sz w:val="24"/>
          <w:szCs w:val="24"/>
        </w:rPr>
        <w:t>”</w:t>
      </w:r>
    </w:p>
    <w:p w:rsidR="004B38FB" w:rsidRPr="001A01F0" w:rsidRDefault="0010169D" w:rsidP="007049F4">
      <w:pPr>
        <w:pStyle w:val="NoSpacing"/>
        <w:numPr>
          <w:ilvl w:val="0"/>
          <w:numId w:val="15"/>
        </w:numPr>
        <w:spacing w:line="360" w:lineRule="auto"/>
        <w:jc w:val="both"/>
        <w:rPr>
          <w:rFonts w:ascii="Times New Roman" w:hAnsi="Times New Roman" w:cs="Times New Roman"/>
          <w:color w:val="222222"/>
          <w:sz w:val="24"/>
          <w:szCs w:val="24"/>
        </w:rPr>
      </w:pPr>
      <w:r w:rsidRPr="001A01F0">
        <w:rPr>
          <w:rFonts w:ascii="Times New Roman" w:hAnsi="Times New Roman" w:cs="Times New Roman"/>
          <w:color w:val="222222"/>
          <w:sz w:val="24"/>
          <w:szCs w:val="24"/>
        </w:rPr>
        <w:t>“</w:t>
      </w:r>
      <w:r w:rsidR="004B38FB" w:rsidRPr="001A01F0">
        <w:rPr>
          <w:rFonts w:ascii="Times New Roman" w:hAnsi="Times New Roman" w:cs="Times New Roman"/>
          <w:color w:val="222222"/>
          <w:sz w:val="24"/>
          <w:szCs w:val="24"/>
        </w:rPr>
        <w:t>There are also quantitativ</w:t>
      </w:r>
      <w:r w:rsidRPr="001A01F0">
        <w:rPr>
          <w:rFonts w:ascii="Times New Roman" w:hAnsi="Times New Roman" w:cs="Times New Roman"/>
          <w:color w:val="222222"/>
          <w:sz w:val="24"/>
          <w:szCs w:val="24"/>
        </w:rPr>
        <w:t>e warning signs of increased tail risk</w:t>
      </w:r>
      <w:r w:rsidR="004B38FB" w:rsidRPr="001A01F0">
        <w:rPr>
          <w:rFonts w:ascii="Times New Roman" w:hAnsi="Times New Roman" w:cs="Times New Roman"/>
          <w:color w:val="222222"/>
          <w:sz w:val="24"/>
          <w:szCs w:val="24"/>
        </w:rPr>
        <w:t> other than volatility. The simplest are valuation</w:t>
      </w:r>
      <w:r w:rsidR="00974FD8" w:rsidRPr="001A01F0">
        <w:rPr>
          <w:rFonts w:ascii="Times New Roman" w:hAnsi="Times New Roman" w:cs="Times New Roman"/>
          <w:color w:val="222222"/>
          <w:sz w:val="24"/>
          <w:szCs w:val="24"/>
        </w:rPr>
        <w:t xml:space="preserve"> metrics for detecting bubbles </w:t>
      </w:r>
      <w:r w:rsidR="004B38FB" w:rsidRPr="001A01F0">
        <w:rPr>
          <w:rFonts w:ascii="Times New Roman" w:hAnsi="Times New Roman" w:cs="Times New Roman"/>
          <w:color w:val="222222"/>
          <w:sz w:val="24"/>
          <w:szCs w:val="24"/>
        </w:rPr>
        <w:t xml:space="preserve">i.e. asset prices that are unusually high relative to the present value of estimated future cash flows. Academic papers have argued that equity markets with low dividend yields relative to local government bond yields </w:t>
      </w:r>
      <w:r w:rsidR="00AE2B64" w:rsidRPr="001A01F0">
        <w:rPr>
          <w:rFonts w:ascii="Times New Roman" w:hAnsi="Times New Roman" w:cs="Times New Roman"/>
          <w:color w:val="222222"/>
          <w:sz w:val="24"/>
          <w:szCs w:val="24"/>
        </w:rPr>
        <w:t xml:space="preserve">are prone to large corrections. </w:t>
      </w:r>
      <w:r w:rsidR="004B38FB" w:rsidRPr="001A01F0">
        <w:rPr>
          <w:rFonts w:ascii="Times New Roman" w:hAnsi="Times New Roman" w:cs="Times New Roman"/>
          <w:color w:val="222222"/>
          <w:sz w:val="24"/>
          <w:szCs w:val="24"/>
        </w:rPr>
        <w:t>Similarly, countries with overvalued exchange rates and high short-term interest rate</w:t>
      </w:r>
      <w:r w:rsidR="00AE2B64" w:rsidRPr="001A01F0">
        <w:rPr>
          <w:rFonts w:ascii="Times New Roman" w:hAnsi="Times New Roman" w:cs="Times New Roman"/>
          <w:color w:val="222222"/>
          <w:sz w:val="24"/>
          <w:szCs w:val="24"/>
        </w:rPr>
        <w:t>s are prone to currency crises.</w:t>
      </w:r>
      <w:r w:rsidRPr="001A01F0">
        <w:rPr>
          <w:rFonts w:ascii="Times New Roman" w:hAnsi="Times New Roman" w:cs="Times New Roman"/>
          <w:color w:val="222222"/>
          <w:sz w:val="24"/>
          <w:szCs w:val="24"/>
        </w:rPr>
        <w:t>”</w:t>
      </w:r>
    </w:p>
    <w:p w:rsidR="004B38FB" w:rsidRPr="001A01F0" w:rsidRDefault="009D7D1B" w:rsidP="007049F4">
      <w:pPr>
        <w:pStyle w:val="NoSpacing"/>
        <w:numPr>
          <w:ilvl w:val="0"/>
          <w:numId w:val="15"/>
        </w:numPr>
        <w:spacing w:line="360" w:lineRule="auto"/>
        <w:jc w:val="both"/>
        <w:rPr>
          <w:rFonts w:ascii="Times New Roman" w:hAnsi="Times New Roman" w:cs="Times New Roman"/>
          <w:color w:val="222222"/>
          <w:sz w:val="24"/>
          <w:szCs w:val="24"/>
        </w:rPr>
      </w:pPr>
      <w:r w:rsidRPr="001A01F0">
        <w:rPr>
          <w:rFonts w:ascii="Times New Roman" w:hAnsi="Times New Roman" w:cs="Times New Roman"/>
          <w:color w:val="222222"/>
          <w:sz w:val="24"/>
          <w:szCs w:val="24"/>
        </w:rPr>
        <w:t>“</w:t>
      </w:r>
      <w:r w:rsidR="004B38FB" w:rsidRPr="001A01F0">
        <w:rPr>
          <w:rFonts w:ascii="Times New Roman" w:hAnsi="Times New Roman" w:cs="Times New Roman"/>
          <w:color w:val="222222"/>
          <w:sz w:val="24"/>
          <w:szCs w:val="24"/>
        </w:rPr>
        <w:t>Volatility-based risk managem</w:t>
      </w:r>
      <w:r w:rsidRPr="001A01F0">
        <w:rPr>
          <w:rFonts w:ascii="Times New Roman" w:hAnsi="Times New Roman" w:cs="Times New Roman"/>
          <w:color w:val="222222"/>
          <w:sz w:val="24"/>
          <w:szCs w:val="24"/>
        </w:rPr>
        <w:t>ent metrics can be adapted for tail events and gap risk</w:t>
      </w:r>
      <w:r w:rsidR="004B38FB" w:rsidRPr="001A01F0">
        <w:rPr>
          <w:rFonts w:ascii="Times New Roman" w:hAnsi="Times New Roman" w:cs="Times New Roman"/>
          <w:color w:val="222222"/>
          <w:sz w:val="24"/>
          <w:szCs w:val="24"/>
        </w:rPr>
        <w:t>.</w:t>
      </w:r>
      <w:r w:rsidR="004B38FB" w:rsidRPr="001A01F0">
        <w:rPr>
          <w:rFonts w:ascii="Times New Roman" w:hAnsi="Times New Roman" w:cs="Times New Roman"/>
          <w:color w:val="222222"/>
          <w:sz w:val="24"/>
          <w:szCs w:val="24"/>
          <w:u w:val="single"/>
        </w:rPr>
        <w:t> </w:t>
      </w:r>
      <w:r w:rsidR="004B38FB" w:rsidRPr="001A01F0">
        <w:rPr>
          <w:rFonts w:ascii="Times New Roman" w:hAnsi="Times New Roman" w:cs="Times New Roman"/>
          <w:color w:val="222222"/>
          <w:sz w:val="24"/>
          <w:szCs w:val="24"/>
        </w:rPr>
        <w:t>Historically, diversification and downside risk analyses</w:t>
      </w:r>
      <w:r w:rsidRPr="001A01F0">
        <w:rPr>
          <w:rFonts w:ascii="Times New Roman" w:hAnsi="Times New Roman" w:cs="Times New Roman"/>
          <w:color w:val="222222"/>
          <w:sz w:val="24"/>
          <w:szCs w:val="24"/>
        </w:rPr>
        <w:t xml:space="preserve"> have assumed normal (Gaussian</w:t>
      </w:r>
      <w:r w:rsidR="004B38FB" w:rsidRPr="001A01F0">
        <w:rPr>
          <w:rFonts w:ascii="Times New Roman" w:hAnsi="Times New Roman" w:cs="Times New Roman"/>
          <w:color w:val="222222"/>
          <w:sz w:val="24"/>
          <w:szCs w:val="24"/>
        </w:rPr>
        <w:t>) probability distributions. Those are convenient for calculation but give little weight to large outl</w:t>
      </w:r>
      <w:r w:rsidRPr="001A01F0">
        <w:rPr>
          <w:rFonts w:ascii="Times New Roman" w:hAnsi="Times New Roman" w:cs="Times New Roman"/>
          <w:color w:val="222222"/>
          <w:sz w:val="24"/>
          <w:szCs w:val="24"/>
        </w:rPr>
        <w:t>iers. By now this normality assumption</w:t>
      </w:r>
      <w:r w:rsidR="004B38FB" w:rsidRPr="001A01F0">
        <w:rPr>
          <w:rFonts w:ascii="Times New Roman" w:hAnsi="Times New Roman" w:cs="Times New Roman"/>
          <w:color w:val="222222"/>
          <w:sz w:val="24"/>
          <w:szCs w:val="24"/>
        </w:rPr>
        <w:t xml:space="preserve"> has been widely refuted and better gau</w:t>
      </w:r>
      <w:r w:rsidR="00AE2B64" w:rsidRPr="001A01F0">
        <w:rPr>
          <w:rFonts w:ascii="Times New Roman" w:hAnsi="Times New Roman" w:cs="Times New Roman"/>
          <w:color w:val="222222"/>
          <w:sz w:val="24"/>
          <w:szCs w:val="24"/>
        </w:rPr>
        <w:t xml:space="preserve">ges of tail risk are available </w:t>
      </w:r>
      <w:r w:rsidR="004B38FB" w:rsidRPr="001A01F0">
        <w:rPr>
          <w:rFonts w:ascii="Times New Roman" w:hAnsi="Times New Roman" w:cs="Times New Roman"/>
          <w:color w:val="222222"/>
          <w:sz w:val="24"/>
          <w:szCs w:val="24"/>
        </w:rPr>
        <w:t>such as conditional Value-at-Risk. The distribution assumption is crucial for setting risk management parameters realistically and for assessing the potential upside of long-volatility and short-risk strategies.</w:t>
      </w:r>
      <w:r w:rsidRPr="001A01F0">
        <w:rPr>
          <w:rFonts w:ascii="Times New Roman" w:hAnsi="Times New Roman" w:cs="Times New Roman"/>
          <w:color w:val="222222"/>
          <w:sz w:val="24"/>
          <w:szCs w:val="24"/>
        </w:rPr>
        <w:t>”</w:t>
      </w:r>
    </w:p>
    <w:p w:rsidR="0010169D" w:rsidRPr="001A01F0" w:rsidRDefault="0010169D" w:rsidP="0027736C">
      <w:pPr>
        <w:pStyle w:val="Heading3"/>
      </w:pPr>
    </w:p>
    <w:p w:rsidR="004B38FB" w:rsidRPr="009D6384" w:rsidRDefault="009D6384" w:rsidP="0027736C">
      <w:pPr>
        <w:pStyle w:val="Heading3"/>
      </w:pPr>
      <w:bookmarkStart w:id="18" w:name="_Toc6873780"/>
      <w:r>
        <w:t xml:space="preserve">4.1.4 </w:t>
      </w:r>
      <w:r w:rsidR="004B38FB" w:rsidRPr="009D6384">
        <w:t>Exchanging market risk information</w:t>
      </w:r>
      <w:bookmarkEnd w:id="18"/>
    </w:p>
    <w:p w:rsidR="009D7D1B" w:rsidRPr="001A01F0" w:rsidRDefault="009D7D1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bCs/>
          <w:sz w:val="24"/>
          <w:szCs w:val="24"/>
        </w:rPr>
        <w:t xml:space="preserve">Today’s financial markets are constituted of myriad of interconnected institutions. Action by a single institute, regardless of its size, is not enough to </w:t>
      </w:r>
      <w:r w:rsidR="001309CE" w:rsidRPr="001A01F0">
        <w:rPr>
          <w:rFonts w:ascii="Times New Roman" w:hAnsi="Times New Roman" w:cs="Times New Roman"/>
          <w:bCs/>
          <w:sz w:val="24"/>
          <w:szCs w:val="24"/>
        </w:rPr>
        <w:t xml:space="preserve">account for the whole market. Rather in </w:t>
      </w:r>
      <w:r w:rsidR="001309CE" w:rsidRPr="001A01F0">
        <w:rPr>
          <w:rFonts w:ascii="Times New Roman" w:hAnsi="Times New Roman" w:cs="Times New Roman"/>
          <w:bCs/>
          <w:sz w:val="24"/>
          <w:szCs w:val="24"/>
        </w:rPr>
        <w:lastRenderedPageBreak/>
        <w:t>tackling systemic risk institutions in a market must act as one. Without sharing market risk information this can’t be done.</w:t>
      </w:r>
    </w:p>
    <w:p w:rsidR="00AE2B64" w:rsidRPr="001A01F0" w:rsidRDefault="001309C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4B38FB" w:rsidRPr="001A01F0">
        <w:rPr>
          <w:rFonts w:ascii="Times New Roman" w:hAnsi="Times New Roman" w:cs="Times New Roman"/>
          <w:sz w:val="24"/>
          <w:szCs w:val="24"/>
        </w:rPr>
        <w:t>At times particular market segments such as asset-backed securities or technology stocks can have a dominant global influence. Even small and remote markets, such as Iceland or Greece have triggered sizeable global market moves in the past. Connections between seemingly unconnected markets often reflect their communal dependence on global liquidity, which is the ease of financing transmitted by a small number of financ</w:t>
      </w:r>
      <w:r w:rsidR="00AE2B64" w:rsidRPr="001A01F0">
        <w:rPr>
          <w:rFonts w:ascii="Times New Roman" w:hAnsi="Times New Roman" w:cs="Times New Roman"/>
          <w:sz w:val="24"/>
          <w:szCs w:val="24"/>
        </w:rPr>
        <w:t>ial centers.</w:t>
      </w:r>
      <w:r w:rsidRPr="001A01F0">
        <w:rPr>
          <w:rFonts w:ascii="Times New Roman" w:hAnsi="Times New Roman" w:cs="Times New Roman"/>
          <w:sz w:val="24"/>
          <w:szCs w:val="24"/>
        </w:rPr>
        <w:t>”</w:t>
      </w:r>
      <w:sdt>
        <w:sdtPr>
          <w:rPr>
            <w:rFonts w:ascii="Times New Roman" w:hAnsi="Times New Roman" w:cs="Times New Roman"/>
            <w:sz w:val="24"/>
            <w:szCs w:val="24"/>
          </w:rPr>
          <w:id w:val="-1479914087"/>
          <w:citation/>
        </w:sdtPr>
        <w:sdtContent>
          <w:r w:rsidR="00AE2B64" w:rsidRPr="001A01F0">
            <w:rPr>
              <w:rFonts w:ascii="Times New Roman" w:hAnsi="Times New Roman" w:cs="Times New Roman"/>
              <w:sz w:val="24"/>
              <w:szCs w:val="24"/>
            </w:rPr>
            <w:fldChar w:fldCharType="begin"/>
          </w:r>
          <w:r w:rsidR="00AE2B64" w:rsidRPr="001A01F0">
            <w:rPr>
              <w:rFonts w:ascii="Times New Roman" w:hAnsi="Times New Roman" w:cs="Times New Roman"/>
              <w:sz w:val="24"/>
              <w:szCs w:val="24"/>
            </w:rPr>
            <w:instrText xml:space="preserve"> CITATION rjs141 \l 1033 </w:instrText>
          </w:r>
          <w:r w:rsidR="00AE2B64"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(rjsueppel, Understanding global liquidity, 2014)</w:t>
          </w:r>
          <w:r w:rsidR="00AE2B64" w:rsidRPr="001A01F0">
            <w:rPr>
              <w:rFonts w:ascii="Times New Roman" w:hAnsi="Times New Roman" w:cs="Times New Roman"/>
              <w:sz w:val="24"/>
              <w:szCs w:val="24"/>
            </w:rPr>
            <w:fldChar w:fldCharType="end"/>
          </w:r>
        </w:sdtContent>
      </w:sdt>
    </w:p>
    <w:p w:rsidR="001309CE" w:rsidRPr="001A01F0" w:rsidRDefault="00D2335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w:t>
      </w:r>
      <w:r w:rsidR="001309CE" w:rsidRPr="001A01F0">
        <w:rPr>
          <w:rFonts w:ascii="Times New Roman" w:hAnsi="Times New Roman" w:cs="Times New Roman"/>
          <w:sz w:val="24"/>
          <w:szCs w:val="24"/>
        </w:rPr>
        <w:t>hat managers establish a synergy in their knowledge regarding the status quo of market risk factors</w:t>
      </w:r>
      <w:r w:rsidRPr="001A01F0">
        <w:rPr>
          <w:rFonts w:ascii="Times New Roman" w:hAnsi="Times New Roman" w:cs="Times New Roman"/>
          <w:sz w:val="24"/>
          <w:szCs w:val="24"/>
        </w:rPr>
        <w:t xml:space="preserve"> is of vital importance.</w:t>
      </w:r>
    </w:p>
    <w:p w:rsidR="004B38FB" w:rsidRDefault="001309C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4B38FB" w:rsidRPr="001A01F0">
        <w:rPr>
          <w:rFonts w:ascii="Times New Roman" w:hAnsi="Times New Roman" w:cs="Times New Roman"/>
          <w:sz w:val="24"/>
          <w:szCs w:val="24"/>
        </w:rPr>
        <w:t>From a social welfare angle this process of information exchange is essential to disseminate concerns over systemic crises. The dissemination turn may serve to warn market participants, policymakers and the broader public, smoothing market volatility.</w:t>
      </w:r>
      <w:r w:rsidRPr="001A01F0">
        <w:rPr>
          <w:rFonts w:ascii="Times New Roman" w:hAnsi="Times New Roman" w:cs="Times New Roman"/>
          <w:sz w:val="24"/>
          <w:szCs w:val="24"/>
        </w:rPr>
        <w:t>”</w:t>
      </w:r>
      <w:sdt>
        <w:sdtPr>
          <w:rPr>
            <w:rFonts w:ascii="Times New Roman" w:hAnsi="Times New Roman" w:cs="Times New Roman"/>
            <w:sz w:val="24"/>
            <w:szCs w:val="24"/>
          </w:rPr>
          <w:id w:val="847684176"/>
          <w:citation/>
        </w:sdtPr>
        <w:sdtContent>
          <w:r w:rsidR="00D2335B" w:rsidRPr="001A01F0">
            <w:rPr>
              <w:rFonts w:ascii="Times New Roman" w:hAnsi="Times New Roman" w:cs="Times New Roman"/>
              <w:sz w:val="24"/>
              <w:szCs w:val="24"/>
            </w:rPr>
            <w:fldChar w:fldCharType="begin"/>
          </w:r>
          <w:r w:rsidR="00D2335B" w:rsidRPr="001A01F0">
            <w:rPr>
              <w:rFonts w:ascii="Times New Roman" w:hAnsi="Times New Roman" w:cs="Times New Roman"/>
              <w:sz w:val="24"/>
              <w:szCs w:val="24"/>
            </w:rPr>
            <w:instrText xml:space="preserve"> CITATION SR_15 \l 1033 </w:instrText>
          </w:r>
          <w:r w:rsidR="00D2335B"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(SR_SV, 2015)</w:t>
          </w:r>
          <w:r w:rsidR="00D2335B" w:rsidRPr="001A01F0">
            <w:rPr>
              <w:rFonts w:ascii="Times New Roman" w:hAnsi="Times New Roman" w:cs="Times New Roman"/>
              <w:sz w:val="24"/>
              <w:szCs w:val="24"/>
            </w:rPr>
            <w:fldChar w:fldCharType="end"/>
          </w:r>
        </w:sdtContent>
      </w:sdt>
    </w:p>
    <w:p w:rsidR="001A01F0" w:rsidRDefault="001A01F0" w:rsidP="00027826">
      <w:pPr>
        <w:pStyle w:val="NoSpacing"/>
        <w:spacing w:line="360" w:lineRule="auto"/>
        <w:jc w:val="both"/>
        <w:rPr>
          <w:rFonts w:ascii="Times New Roman" w:hAnsi="Times New Roman" w:cs="Times New Roman"/>
          <w:sz w:val="24"/>
          <w:szCs w:val="24"/>
        </w:rPr>
      </w:pPr>
    </w:p>
    <w:p w:rsidR="001A01F0" w:rsidRPr="001A01F0" w:rsidRDefault="001A01F0" w:rsidP="00027826">
      <w:pPr>
        <w:pStyle w:val="NoSpacing"/>
        <w:spacing w:line="360" w:lineRule="auto"/>
        <w:jc w:val="both"/>
        <w:rPr>
          <w:rFonts w:ascii="Times New Roman" w:hAnsi="Times New Roman" w:cs="Times New Roman"/>
          <w:sz w:val="24"/>
          <w:szCs w:val="24"/>
        </w:rPr>
      </w:pPr>
    </w:p>
    <w:p w:rsidR="00AE2B64" w:rsidRPr="001A01F0" w:rsidRDefault="00AE2B64" w:rsidP="00027826">
      <w:pPr>
        <w:pStyle w:val="NoSpacing"/>
        <w:spacing w:line="360" w:lineRule="auto"/>
        <w:jc w:val="both"/>
        <w:rPr>
          <w:rFonts w:ascii="Times New Roman" w:hAnsi="Times New Roman" w:cs="Times New Roman"/>
          <w:color w:val="222222"/>
          <w:sz w:val="24"/>
          <w:szCs w:val="24"/>
        </w:rPr>
      </w:pPr>
    </w:p>
    <w:p w:rsidR="009D6384" w:rsidRDefault="009D6384" w:rsidP="00027826">
      <w:pPr>
        <w:pStyle w:val="NoSpacing"/>
        <w:spacing w:line="360" w:lineRule="auto"/>
        <w:jc w:val="both"/>
        <w:rPr>
          <w:rFonts w:ascii="Times New Roman" w:hAnsi="Times New Roman" w:cs="Times New Roman"/>
          <w:b/>
          <w:sz w:val="24"/>
        </w:rPr>
      </w:pPr>
    </w:p>
    <w:p w:rsidR="009D6384" w:rsidRDefault="009D6384" w:rsidP="00027826">
      <w:pPr>
        <w:pStyle w:val="NoSpacing"/>
        <w:spacing w:line="360" w:lineRule="auto"/>
        <w:jc w:val="both"/>
        <w:rPr>
          <w:rFonts w:ascii="Times New Roman" w:hAnsi="Times New Roman" w:cs="Times New Roman"/>
          <w:b/>
          <w:sz w:val="24"/>
        </w:rPr>
      </w:pPr>
    </w:p>
    <w:p w:rsidR="009D6384" w:rsidRDefault="009D6384" w:rsidP="0027736C">
      <w:pPr>
        <w:pStyle w:val="Heading3"/>
      </w:pPr>
    </w:p>
    <w:p w:rsidR="00AE2B64" w:rsidRDefault="009D6384" w:rsidP="0027736C">
      <w:pPr>
        <w:pStyle w:val="Heading3"/>
      </w:pPr>
      <w:bookmarkStart w:id="19" w:name="_Toc6873781"/>
      <w:r>
        <w:t xml:space="preserve">4.1.5 </w:t>
      </w:r>
      <w:r w:rsidR="00AE2B64" w:rsidRPr="001A01F0">
        <w:t>Fiscal buffers and tax policy</w:t>
      </w:r>
      <w:bookmarkEnd w:id="19"/>
    </w:p>
    <w:p w:rsidR="001A01F0" w:rsidRPr="001A01F0" w:rsidRDefault="001A01F0" w:rsidP="00027826">
      <w:pPr>
        <w:pStyle w:val="NoSpacing"/>
        <w:spacing w:line="360" w:lineRule="auto"/>
        <w:jc w:val="both"/>
        <w:rPr>
          <w:rFonts w:ascii="Times New Roman" w:hAnsi="Times New Roman" w:cs="Times New Roman"/>
          <w:b/>
          <w:sz w:val="24"/>
        </w:rPr>
      </w:pPr>
    </w:p>
    <w:p w:rsidR="00AE2B64" w:rsidRPr="001A01F0" w:rsidRDefault="00895EDF" w:rsidP="00027826">
      <w:pPr>
        <w:pStyle w:val="NoSpacing"/>
        <w:spacing w:line="360" w:lineRule="auto"/>
        <w:jc w:val="both"/>
        <w:rPr>
          <w:rFonts w:ascii="Times New Roman" w:eastAsia="Times New Roman" w:hAnsi="Times New Roman" w:cs="Times New Roman"/>
          <w:color w:val="372F32"/>
          <w:sz w:val="24"/>
          <w:szCs w:val="24"/>
        </w:rPr>
      </w:pPr>
      <w:r w:rsidRPr="001A01F0">
        <w:rPr>
          <w:rFonts w:ascii="Times New Roman" w:hAnsi="Times New Roman" w:cs="Times New Roman"/>
          <w:sz w:val="24"/>
          <w:szCs w:val="24"/>
        </w:rPr>
        <w:t>Fiscal policy can be used to stabilize financial system in the time of distress. Public sector of a country hold astronomical amount of financial assets that can policy makers use to absorb the negative impact of financial adversities and thus help private sector maintain its footing on the ground.</w:t>
      </w:r>
      <w:r w:rsidRPr="001A01F0">
        <w:rPr>
          <w:rFonts w:ascii="Times New Roman" w:eastAsia="Times New Roman" w:hAnsi="Times New Roman" w:cs="Times New Roman"/>
          <w:bCs/>
          <w:color w:val="372F32"/>
          <w:sz w:val="24"/>
          <w:szCs w:val="24"/>
        </w:rPr>
        <w:t xml:space="preserve"> </w:t>
      </w:r>
      <w:r w:rsidRPr="001A01F0">
        <w:rPr>
          <w:rFonts w:ascii="Times New Roman" w:eastAsia="Times New Roman" w:hAnsi="Times New Roman" w:cs="Times New Roman"/>
          <w:color w:val="372F32"/>
          <w:sz w:val="24"/>
          <w:szCs w:val="24"/>
        </w:rPr>
        <w:t>“</w:t>
      </w:r>
      <w:r w:rsidR="00AE2B64" w:rsidRPr="001A01F0">
        <w:rPr>
          <w:rFonts w:ascii="Times New Roman" w:hAnsi="Times New Roman" w:cs="Times New Roman"/>
          <w:sz w:val="24"/>
          <w:szCs w:val="24"/>
        </w:rPr>
        <w:t>One obvious mechanism is to let fiscal automatic stabilizers play their part in difficult times, alleviating the impact of economic weakness on business activity and employment.</w:t>
      </w:r>
      <w:r w:rsidRPr="001A01F0">
        <w:rPr>
          <w:rFonts w:ascii="Times New Roman" w:hAnsi="Times New Roman" w:cs="Times New Roman"/>
          <w:sz w:val="24"/>
          <w:szCs w:val="24"/>
        </w:rPr>
        <w:t>”</w:t>
      </w:r>
    </w:p>
    <w:p w:rsidR="00AE2B64" w:rsidRPr="001A01F0" w:rsidRDefault="00003962"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br/>
        <w:t>Government can play the role of a risk distributors virtually acting as the supreme insurer of a country. “</w:t>
      </w:r>
      <w:r w:rsidR="00AE2B64" w:rsidRPr="001A01F0">
        <w:rPr>
          <w:rFonts w:ascii="Times New Roman" w:hAnsi="Times New Roman" w:cs="Times New Roman"/>
          <w:sz w:val="24"/>
          <w:szCs w:val="24"/>
        </w:rPr>
        <w:t xml:space="preserve">Governments have mobilized massive resources in the financial rescue programs set up in response to the recent financial crisis. This implies that government debt should be maintained </w:t>
      </w:r>
      <w:r w:rsidR="00AE2B64" w:rsidRPr="001A01F0">
        <w:rPr>
          <w:rFonts w:ascii="Times New Roman" w:hAnsi="Times New Roman" w:cs="Times New Roman"/>
          <w:sz w:val="24"/>
          <w:szCs w:val="24"/>
        </w:rPr>
        <w:lastRenderedPageBreak/>
        <w:t>at reasonably low levels in good times so that additional debt can be taken on in times of stress without unsettling financial market conditions.</w:t>
      </w:r>
      <w:r w:rsidRPr="001A01F0">
        <w:rPr>
          <w:rFonts w:ascii="Times New Roman" w:hAnsi="Times New Roman" w:cs="Times New Roman"/>
          <w:sz w:val="24"/>
          <w:szCs w:val="24"/>
        </w:rPr>
        <w:t>”</w:t>
      </w:r>
      <w:sdt>
        <w:sdtPr>
          <w:rPr>
            <w:rFonts w:ascii="Times New Roman" w:hAnsi="Times New Roman" w:cs="Times New Roman"/>
            <w:sz w:val="24"/>
            <w:szCs w:val="24"/>
          </w:rPr>
          <w:id w:val="-501119956"/>
          <w:citation/>
        </w:sdtPr>
        <w:sdtContent>
          <w:r w:rsidR="00497100" w:rsidRPr="001A01F0">
            <w:rPr>
              <w:rFonts w:ascii="Times New Roman" w:hAnsi="Times New Roman" w:cs="Times New Roman"/>
              <w:sz w:val="24"/>
              <w:szCs w:val="24"/>
            </w:rPr>
            <w:fldChar w:fldCharType="begin"/>
          </w:r>
          <w:r w:rsidR="00497100" w:rsidRPr="001A01F0">
            <w:rPr>
              <w:rFonts w:ascii="Times New Roman" w:hAnsi="Times New Roman" w:cs="Times New Roman"/>
              <w:sz w:val="24"/>
              <w:szCs w:val="24"/>
            </w:rPr>
            <w:instrText xml:space="preserve"> CITATION Jai10 \l 1033 </w:instrText>
          </w:r>
          <w:r w:rsidR="00497100"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(Caruana, 2010)</w:t>
          </w:r>
          <w:r w:rsidR="00497100" w:rsidRPr="001A01F0">
            <w:rPr>
              <w:rFonts w:ascii="Times New Roman" w:hAnsi="Times New Roman" w:cs="Times New Roman"/>
              <w:sz w:val="24"/>
              <w:szCs w:val="24"/>
            </w:rPr>
            <w:fldChar w:fldCharType="end"/>
          </w:r>
        </w:sdtContent>
      </w:sdt>
    </w:p>
    <w:p w:rsidR="001A01F0" w:rsidRPr="001A01F0" w:rsidRDefault="00AE2B6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br/>
      </w:r>
      <w:r w:rsidR="0044213C" w:rsidRPr="001A01F0">
        <w:rPr>
          <w:rFonts w:ascii="Times New Roman" w:hAnsi="Times New Roman" w:cs="Times New Roman"/>
          <w:sz w:val="24"/>
          <w:szCs w:val="24"/>
        </w:rPr>
        <w:t>Monetary policy affects financial stability but when implementing any fiscal policy it is to be noted that how the policy is going to affect the financial conditions of a country. “</w:t>
      </w:r>
      <w:r w:rsidRPr="001A01F0">
        <w:rPr>
          <w:rFonts w:ascii="Times New Roman" w:hAnsi="Times New Roman" w:cs="Times New Roman"/>
          <w:sz w:val="24"/>
          <w:szCs w:val="24"/>
        </w:rPr>
        <w:t>In good times, pro-cyclical policies can serve to heighten complacency and encourage the build-up of financial imbalances.</w:t>
      </w:r>
      <w:r w:rsidR="0044213C" w:rsidRPr="001A01F0">
        <w:rPr>
          <w:rFonts w:ascii="Times New Roman" w:hAnsi="Times New Roman" w:cs="Times New Roman"/>
          <w:sz w:val="24"/>
          <w:szCs w:val="24"/>
        </w:rPr>
        <w:t>”</w:t>
      </w:r>
      <w:sdt>
        <w:sdtPr>
          <w:rPr>
            <w:rFonts w:ascii="Times New Roman" w:hAnsi="Times New Roman" w:cs="Times New Roman"/>
            <w:sz w:val="24"/>
            <w:szCs w:val="24"/>
          </w:rPr>
          <w:id w:val="1561365726"/>
          <w:citation/>
        </w:sdtPr>
        <w:sdtContent>
          <w:r w:rsidR="00967754" w:rsidRPr="001A01F0">
            <w:rPr>
              <w:rFonts w:ascii="Times New Roman" w:hAnsi="Times New Roman" w:cs="Times New Roman"/>
              <w:sz w:val="24"/>
              <w:szCs w:val="24"/>
            </w:rPr>
            <w:fldChar w:fldCharType="begin"/>
          </w:r>
          <w:r w:rsidR="00967754" w:rsidRPr="001A01F0">
            <w:rPr>
              <w:rFonts w:ascii="Times New Roman" w:hAnsi="Times New Roman" w:cs="Times New Roman"/>
              <w:sz w:val="24"/>
              <w:szCs w:val="24"/>
            </w:rPr>
            <w:instrText xml:space="preserve"> CITATION Jai10 \l 1033 </w:instrText>
          </w:r>
          <w:r w:rsidR="00967754"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(Caruana, 2010)</w:t>
          </w:r>
          <w:r w:rsidR="00967754" w:rsidRPr="001A01F0">
            <w:rPr>
              <w:rFonts w:ascii="Times New Roman" w:hAnsi="Times New Roman" w:cs="Times New Roman"/>
              <w:sz w:val="24"/>
              <w:szCs w:val="24"/>
            </w:rPr>
            <w:fldChar w:fldCharType="end"/>
          </w:r>
        </w:sdtContent>
      </w:sdt>
      <w:r w:rsidR="00967754" w:rsidRPr="001A01F0">
        <w:rPr>
          <w:rFonts w:ascii="Times New Roman" w:hAnsi="Times New Roman" w:cs="Times New Roman"/>
          <w:sz w:val="24"/>
          <w:szCs w:val="24"/>
        </w:rPr>
        <w:t xml:space="preserve"> Fiscal policies can manipulate or be manipulated by turbulence in credit growth and asset prices.</w:t>
      </w:r>
      <w:r w:rsidRPr="001A01F0">
        <w:rPr>
          <w:rFonts w:ascii="Times New Roman" w:hAnsi="Times New Roman" w:cs="Times New Roman"/>
          <w:sz w:val="24"/>
          <w:szCs w:val="24"/>
        </w:rPr>
        <w:t xml:space="preserve"> </w:t>
      </w:r>
      <w:r w:rsidR="00967754" w:rsidRPr="001A01F0">
        <w:rPr>
          <w:rFonts w:ascii="Times New Roman" w:hAnsi="Times New Roman" w:cs="Times New Roman"/>
          <w:sz w:val="24"/>
          <w:szCs w:val="24"/>
        </w:rPr>
        <w:t xml:space="preserve">Thus to forestall any adversity fiscal policy must be taken in advance in good times, that is to say government must posit itself in a position where it will have the luxury to direct policies that can help to avoid significant damage. </w:t>
      </w:r>
      <w:r w:rsidRPr="001A01F0">
        <w:rPr>
          <w:rFonts w:ascii="Times New Roman" w:hAnsi="Times New Roman" w:cs="Times New Roman"/>
          <w:sz w:val="24"/>
          <w:szCs w:val="24"/>
        </w:rPr>
        <w:br/>
      </w:r>
      <w:r w:rsidR="00967754" w:rsidRPr="001A01F0">
        <w:rPr>
          <w:rFonts w:ascii="Times New Roman" w:hAnsi="Times New Roman" w:cs="Times New Roman"/>
          <w:sz w:val="24"/>
          <w:szCs w:val="24"/>
        </w:rPr>
        <w:t>“T</w:t>
      </w:r>
      <w:r w:rsidRPr="001A01F0">
        <w:rPr>
          <w:rFonts w:ascii="Times New Roman" w:hAnsi="Times New Roman" w:cs="Times New Roman"/>
          <w:sz w:val="24"/>
          <w:szCs w:val="24"/>
        </w:rPr>
        <w:t>ax policy could be also used to address sectoral developments with potential financial stability implications. We have seen how macro prudential tools can be used to limit excessive credit growth in specific areas such as housing; tax policy could also be of use here. A key way to ensure that the tax code worked for rather than against financial stability would be to reduce or to eliminate its bias towards debt and against equity.</w:t>
      </w:r>
      <w:r w:rsidR="00967754" w:rsidRPr="001A01F0">
        <w:rPr>
          <w:rFonts w:ascii="Times New Roman" w:hAnsi="Times New Roman" w:cs="Times New Roman"/>
          <w:sz w:val="24"/>
          <w:szCs w:val="24"/>
        </w:rPr>
        <w:t>”</w:t>
      </w:r>
      <w:sdt>
        <w:sdtPr>
          <w:rPr>
            <w:rFonts w:ascii="Times New Roman" w:hAnsi="Times New Roman" w:cs="Times New Roman"/>
            <w:sz w:val="24"/>
            <w:szCs w:val="24"/>
          </w:rPr>
          <w:id w:val="-799228549"/>
          <w:citation/>
        </w:sdtPr>
        <w:sdtContent>
          <w:r w:rsidR="00967754" w:rsidRPr="001A01F0">
            <w:rPr>
              <w:rFonts w:ascii="Times New Roman" w:hAnsi="Times New Roman" w:cs="Times New Roman"/>
              <w:sz w:val="24"/>
              <w:szCs w:val="24"/>
            </w:rPr>
            <w:fldChar w:fldCharType="begin"/>
          </w:r>
          <w:r w:rsidR="00967754" w:rsidRPr="001A01F0">
            <w:rPr>
              <w:rFonts w:ascii="Times New Roman" w:hAnsi="Times New Roman" w:cs="Times New Roman"/>
              <w:sz w:val="24"/>
              <w:szCs w:val="24"/>
            </w:rPr>
            <w:instrText xml:space="preserve"> CITATION Jai10 \l 1033 </w:instrText>
          </w:r>
          <w:r w:rsidR="00967754"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(Caruana, 2010)</w:t>
          </w:r>
          <w:r w:rsidR="00967754" w:rsidRPr="001A01F0">
            <w:rPr>
              <w:rFonts w:ascii="Times New Roman" w:hAnsi="Times New Roman" w:cs="Times New Roman"/>
              <w:sz w:val="24"/>
              <w:szCs w:val="24"/>
            </w:rPr>
            <w:fldChar w:fldCharType="end"/>
          </w:r>
        </w:sdtContent>
      </w:sdt>
      <w:r w:rsidR="001A01F0" w:rsidRPr="001A01F0">
        <w:rPr>
          <w:rFonts w:ascii="Times New Roman" w:hAnsi="Times New Roman" w:cs="Times New Roman"/>
          <w:sz w:val="24"/>
          <w:szCs w:val="24"/>
        </w:rPr>
        <w:t xml:space="preserve"> The crises in recent times left the ponderable consequences these policies can have on a particular sector of an economy.</w:t>
      </w:r>
    </w:p>
    <w:p w:rsidR="001A01F0" w:rsidRPr="001A01F0" w:rsidRDefault="001A01F0" w:rsidP="00027826">
      <w:pPr>
        <w:pStyle w:val="NoSpacing"/>
        <w:spacing w:line="360" w:lineRule="auto"/>
        <w:jc w:val="both"/>
        <w:rPr>
          <w:rFonts w:ascii="Times New Roman" w:hAnsi="Times New Roman" w:cs="Times New Roman"/>
          <w:sz w:val="24"/>
          <w:szCs w:val="24"/>
        </w:rPr>
      </w:pPr>
    </w:p>
    <w:p w:rsidR="00AE2B64" w:rsidRDefault="00AE2B64" w:rsidP="0027736C">
      <w:pPr>
        <w:pStyle w:val="Heading2"/>
      </w:pPr>
      <w:r w:rsidRPr="001A01F0">
        <w:br/>
        <w:t xml:space="preserve"> </w:t>
      </w:r>
      <w:bookmarkStart w:id="20" w:name="_Toc6873782"/>
      <w:r w:rsidR="009D6384" w:rsidRPr="009D6384">
        <w:t>4.2</w:t>
      </w:r>
      <w:r w:rsidR="009D6384">
        <w:t xml:space="preserve"> </w:t>
      </w:r>
      <w:r w:rsidRPr="001A01F0">
        <w:t>The institutional framework of systemic regulation</w:t>
      </w:r>
      <w:bookmarkEnd w:id="20"/>
    </w:p>
    <w:p w:rsidR="00AE2B64" w:rsidRPr="001A01F0" w:rsidRDefault="00D16113" w:rsidP="0002782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All public policies must be in synergy to eliminate irregularities from the economic setting to maintain sustainable stability in the financial market. Caruana in his paper “Systemic risk:  how to deal with it” stated “</w:t>
      </w:r>
      <w:r w:rsidR="00AE2B64" w:rsidRPr="001A01F0">
        <w:rPr>
          <w:rFonts w:ascii="Times New Roman" w:hAnsi="Times New Roman" w:cs="Times New Roman"/>
          <w:sz w:val="24"/>
          <w:szCs w:val="24"/>
        </w:rPr>
        <w:t>we need to ensure that all public policies - especially monetary, fiscal and macro- and micro prudential policies (complemented by adequate supervision) - become part of a consistent macro financial stability framework designed to pre-empt financial excesses and serial boom and bust cycles.</w:t>
      </w:r>
      <w:r>
        <w:rPr>
          <w:rFonts w:ascii="Times New Roman" w:hAnsi="Times New Roman" w:cs="Times New Roman"/>
          <w:sz w:val="24"/>
          <w:szCs w:val="24"/>
        </w:rPr>
        <w:t>”</w:t>
      </w:r>
    </w:p>
    <w:p w:rsidR="00AE2B64" w:rsidRPr="001A01F0" w:rsidRDefault="00AE2B6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br/>
      </w:r>
      <w:r w:rsidR="00D16113">
        <w:rPr>
          <w:rFonts w:ascii="Times New Roman" w:hAnsi="Times New Roman" w:cs="Times New Roman"/>
          <w:sz w:val="24"/>
          <w:szCs w:val="24"/>
        </w:rPr>
        <w:t>A thorough look into the institutional setup is required as required the coordination among worldwide organizations. “</w:t>
      </w:r>
      <w:r w:rsidRPr="001A01F0">
        <w:rPr>
          <w:rFonts w:ascii="Times New Roman" w:hAnsi="Times New Roman" w:cs="Times New Roman"/>
          <w:sz w:val="24"/>
          <w:szCs w:val="24"/>
        </w:rPr>
        <w:t xml:space="preserve">It is crucial to align goals, know-how and control over the various policy instruments, precisely because the responsibilities for financial stability are so widely distributed. The institutional setup should therefore be based on clear mandates and accountability. </w:t>
      </w:r>
      <w:r w:rsidRPr="001A01F0">
        <w:rPr>
          <w:rFonts w:ascii="Times New Roman" w:hAnsi="Times New Roman" w:cs="Times New Roman"/>
          <w:sz w:val="24"/>
          <w:szCs w:val="24"/>
        </w:rPr>
        <w:lastRenderedPageBreak/>
        <w:t>It will need to rely on close cooperation between central banks and supervisory authorities, both within and across borders.</w:t>
      </w:r>
      <w:r w:rsidR="00D16113">
        <w:rPr>
          <w:rFonts w:ascii="Times New Roman" w:hAnsi="Times New Roman" w:cs="Times New Roman"/>
          <w:sz w:val="24"/>
          <w:szCs w:val="24"/>
        </w:rPr>
        <w:t>”</w:t>
      </w:r>
      <w:sdt>
        <w:sdtPr>
          <w:rPr>
            <w:rFonts w:ascii="Times New Roman" w:hAnsi="Times New Roman" w:cs="Times New Roman"/>
            <w:sz w:val="24"/>
            <w:szCs w:val="24"/>
          </w:rPr>
          <w:id w:val="1364865168"/>
          <w:citation/>
        </w:sdtPr>
        <w:sdtContent>
          <w:r w:rsidR="00497100" w:rsidRPr="001A01F0">
            <w:rPr>
              <w:rFonts w:ascii="Times New Roman" w:hAnsi="Times New Roman" w:cs="Times New Roman"/>
              <w:sz w:val="24"/>
              <w:szCs w:val="24"/>
            </w:rPr>
            <w:fldChar w:fldCharType="begin"/>
          </w:r>
          <w:r w:rsidR="00497100" w:rsidRPr="001A01F0">
            <w:rPr>
              <w:rFonts w:ascii="Times New Roman" w:hAnsi="Times New Roman" w:cs="Times New Roman"/>
              <w:sz w:val="24"/>
              <w:szCs w:val="24"/>
            </w:rPr>
            <w:instrText xml:space="preserve"> CITATION Jai10 \l 1033 </w:instrText>
          </w:r>
          <w:r w:rsidR="00497100"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(Caruana, 2010)</w:t>
          </w:r>
          <w:r w:rsidR="00497100" w:rsidRPr="001A01F0">
            <w:rPr>
              <w:rFonts w:ascii="Times New Roman" w:hAnsi="Times New Roman" w:cs="Times New Roman"/>
              <w:sz w:val="24"/>
              <w:szCs w:val="24"/>
            </w:rPr>
            <w:fldChar w:fldCharType="end"/>
          </w:r>
        </w:sdtContent>
      </w:sdt>
    </w:p>
    <w:p w:rsidR="003B4957" w:rsidRDefault="00AE2B6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br/>
      </w:r>
      <w:r w:rsidR="00172F76">
        <w:rPr>
          <w:rFonts w:ascii="Times New Roman" w:hAnsi="Times New Roman" w:cs="Times New Roman"/>
          <w:sz w:val="24"/>
          <w:szCs w:val="24"/>
        </w:rPr>
        <w:t>There remains a few questions that demand answers.</w:t>
      </w:r>
    </w:p>
    <w:p w:rsidR="00AE2B64" w:rsidRPr="001A01F0" w:rsidRDefault="003B4957" w:rsidP="0002782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Structure of the regulatory bodies like government and central bank correspond to the question that arise first. Central bank’s role in maintaining the stability of an economy although crucial yet it is to be cleared how exactly a central bank must play decisive role in systemic risk regulation</w:t>
      </w:r>
      <w:r w:rsidR="00AE2B64" w:rsidRPr="001A01F0">
        <w:rPr>
          <w:rFonts w:ascii="Times New Roman" w:hAnsi="Times New Roman" w:cs="Times New Roman"/>
          <w:sz w:val="24"/>
          <w:szCs w:val="24"/>
        </w:rPr>
        <w:t xml:space="preserve">. </w:t>
      </w:r>
      <w:r>
        <w:rPr>
          <w:rFonts w:ascii="Times New Roman" w:hAnsi="Times New Roman" w:cs="Times New Roman"/>
          <w:sz w:val="24"/>
          <w:szCs w:val="24"/>
        </w:rPr>
        <w:t>The situation is even more critical when a central bank does not possess the supervisory power. For that reason the goals and objectives need to be set in very proper way as well as the accountability and information dissemination system- on individual and corporate level.</w:t>
      </w:r>
      <w:r w:rsidR="00AE2B64" w:rsidRPr="001A01F0">
        <w:rPr>
          <w:rFonts w:ascii="Times New Roman" w:hAnsi="Times New Roman" w:cs="Times New Roman"/>
          <w:sz w:val="24"/>
          <w:szCs w:val="24"/>
        </w:rPr>
        <w:t xml:space="preserve"> Financial supervisors </w:t>
      </w:r>
      <w:r>
        <w:rPr>
          <w:rFonts w:ascii="Times New Roman" w:hAnsi="Times New Roman" w:cs="Times New Roman"/>
          <w:sz w:val="24"/>
          <w:szCs w:val="24"/>
        </w:rPr>
        <w:t xml:space="preserve">regularly find great advantages </w:t>
      </w:r>
      <w:r w:rsidR="00AE2B64" w:rsidRPr="001A01F0">
        <w:rPr>
          <w:rFonts w:ascii="Times New Roman" w:hAnsi="Times New Roman" w:cs="Times New Roman"/>
          <w:sz w:val="24"/>
          <w:szCs w:val="24"/>
        </w:rPr>
        <w:t>from information collected by central banks in the context of their liquidity operations.</w:t>
      </w:r>
    </w:p>
    <w:p w:rsidR="00AE2B64" w:rsidRPr="001A01F0" w:rsidRDefault="00A80AD5" w:rsidP="0002782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The second question has to do with the balancing of rules and discretion. Rules should be set in manner that they can act all by themselves as an automatic stabilizer of the system</w:t>
      </w:r>
      <w:r w:rsidR="00AE2B64" w:rsidRPr="001A01F0">
        <w:rPr>
          <w:rFonts w:ascii="Times New Roman" w:hAnsi="Times New Roman" w:cs="Times New Roman"/>
          <w:sz w:val="24"/>
          <w:szCs w:val="24"/>
        </w:rPr>
        <w:t xml:space="preserve">. </w:t>
      </w:r>
      <w:r>
        <w:rPr>
          <w:rFonts w:ascii="Times New Roman" w:hAnsi="Times New Roman" w:cs="Times New Roman"/>
          <w:sz w:val="24"/>
          <w:szCs w:val="24"/>
        </w:rPr>
        <w:t>“</w:t>
      </w:r>
      <w:r w:rsidR="00AE2B64" w:rsidRPr="001A01F0">
        <w:rPr>
          <w:rFonts w:ascii="Times New Roman" w:hAnsi="Times New Roman" w:cs="Times New Roman"/>
          <w:sz w:val="24"/>
          <w:szCs w:val="24"/>
        </w:rPr>
        <w:t>Rules can help avoid errors that can stem from difficulties in identifying threats to financial stability contemporaneously - dynamic provisioning is a good example of a rule that can help in dealing with procyclicality. In addition, clear rules can allow the authorities to commit themselves ex ante to responses, thereby facilitating international coordination and enlisting the understanding, and even the anticipation, of market participants. For instance, market participants, including rating agencies, may not necessarily permit capital and liquidity that is built up in good times to be used in bad times. In this case, clear rules communicated by supervisors will help drawdowns be accepted in the marketplace.</w:t>
      </w:r>
      <w:r>
        <w:rPr>
          <w:rFonts w:ascii="Times New Roman" w:hAnsi="Times New Roman" w:cs="Times New Roman"/>
          <w:sz w:val="24"/>
          <w:szCs w:val="24"/>
        </w:rPr>
        <w:t>”</w:t>
      </w:r>
      <w:sdt>
        <w:sdtPr>
          <w:rPr>
            <w:rFonts w:ascii="Times New Roman" w:hAnsi="Times New Roman" w:cs="Times New Roman"/>
            <w:sz w:val="24"/>
            <w:szCs w:val="24"/>
          </w:rPr>
          <w:id w:val="1740211120"/>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Jai10 \l 1033 </w:instrText>
          </w:r>
          <w:r>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(Caruana, 2010)</w:t>
          </w:r>
          <w:r>
            <w:rPr>
              <w:rFonts w:ascii="Times New Roman" w:hAnsi="Times New Roman" w:cs="Times New Roman"/>
              <w:sz w:val="24"/>
              <w:szCs w:val="24"/>
            </w:rPr>
            <w:fldChar w:fldCharType="end"/>
          </w:r>
        </w:sdtContent>
      </w:sdt>
      <w:r w:rsidR="00AE2B64" w:rsidRPr="001A01F0">
        <w:rPr>
          <w:rFonts w:ascii="Times New Roman" w:hAnsi="Times New Roman" w:cs="Times New Roman"/>
          <w:sz w:val="24"/>
          <w:szCs w:val="24"/>
        </w:rPr>
        <w:t xml:space="preserve"> </w:t>
      </w:r>
      <w:r w:rsidR="00AE2B64" w:rsidRPr="001A01F0">
        <w:rPr>
          <w:rFonts w:ascii="Times New Roman" w:hAnsi="Times New Roman" w:cs="Times New Roman"/>
          <w:sz w:val="24"/>
          <w:szCs w:val="24"/>
        </w:rPr>
        <w:br/>
      </w:r>
      <w:r>
        <w:rPr>
          <w:rFonts w:ascii="Times New Roman" w:hAnsi="Times New Roman" w:cs="Times New Roman"/>
          <w:sz w:val="24"/>
          <w:szCs w:val="24"/>
        </w:rPr>
        <w:t>However, rules cannot possibly set every situation right. There may arise situation where human intervention is required, in addition to the rules, to get an aberration back into the right track. So the importance of room for maneuver must be realized in the financial regulation setting.</w:t>
      </w:r>
    </w:p>
    <w:p w:rsidR="006B3165" w:rsidRDefault="006B3165" w:rsidP="00027826">
      <w:pPr>
        <w:pStyle w:val="NoSpacing"/>
        <w:spacing w:line="360" w:lineRule="auto"/>
        <w:jc w:val="both"/>
        <w:rPr>
          <w:rFonts w:ascii="Times New Roman" w:hAnsi="Times New Roman" w:cs="Times New Roman"/>
          <w:sz w:val="24"/>
          <w:szCs w:val="24"/>
        </w:rPr>
      </w:pPr>
    </w:p>
    <w:p w:rsidR="00AE2B64" w:rsidRPr="001A01F0" w:rsidRDefault="006B3165" w:rsidP="0002782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true that these issues still remain to be dealt with, however, on the other hand it is safe to say that recent financial crises has equipped us with insight that we are now using to build a new even more resilient structure. It is important that each individual state maintain a stable a sturdy financial system while at the same time facilitating a stable economic system worldwide. Because it is needless to say that maintaining a stable economy cannot be achieved without ensuring stability </w:t>
      </w:r>
      <w:r>
        <w:rPr>
          <w:rFonts w:ascii="Times New Roman" w:hAnsi="Times New Roman" w:cs="Times New Roman"/>
          <w:sz w:val="24"/>
          <w:szCs w:val="24"/>
        </w:rPr>
        <w:lastRenderedPageBreak/>
        <w:t>in other economies to which it is connected.</w:t>
      </w:r>
      <w:r w:rsidR="00AE2B64" w:rsidRPr="001A01F0">
        <w:rPr>
          <w:rFonts w:ascii="Times New Roman" w:hAnsi="Times New Roman" w:cs="Times New Roman"/>
          <w:sz w:val="24"/>
          <w:szCs w:val="24"/>
        </w:rPr>
        <w:br/>
      </w:r>
      <w:r w:rsidR="00AE2B64" w:rsidRPr="001A01F0">
        <w:rPr>
          <w:rFonts w:ascii="Times New Roman" w:hAnsi="Times New Roman" w:cs="Times New Roman"/>
          <w:sz w:val="24"/>
          <w:szCs w:val="24"/>
        </w:rPr>
        <w:br/>
      </w:r>
      <w:r w:rsidR="0014069D">
        <w:rPr>
          <w:rFonts w:ascii="Times New Roman" w:hAnsi="Times New Roman" w:cs="Times New Roman"/>
          <w:sz w:val="24"/>
          <w:szCs w:val="24"/>
        </w:rPr>
        <w:t>“</w:t>
      </w:r>
      <w:r w:rsidR="00AE2B64" w:rsidRPr="001A01F0">
        <w:rPr>
          <w:rFonts w:ascii="Times New Roman" w:hAnsi="Times New Roman" w:cs="Times New Roman"/>
          <w:sz w:val="24"/>
          <w:szCs w:val="24"/>
        </w:rPr>
        <w:t>The Financial Stability Board has taken up a key role in coordinating the work of national authorities and standard setters to ensure international consistency. New mechanisms have been developed to support the development of the IMF-FSB early warning exercises, to increase cooperation across borders and between supervisors, and to conduct peer review exercises. Comprising both thematic and country by country approaches, such exercises are a new instrument that will strengthen adherence to international standards.</w:t>
      </w:r>
      <w:r w:rsidR="0014069D">
        <w:rPr>
          <w:rFonts w:ascii="Times New Roman" w:hAnsi="Times New Roman" w:cs="Times New Roman"/>
          <w:sz w:val="24"/>
          <w:szCs w:val="24"/>
        </w:rPr>
        <w:t>”</w:t>
      </w:r>
      <w:sdt>
        <w:sdtPr>
          <w:rPr>
            <w:rFonts w:ascii="Times New Roman" w:hAnsi="Times New Roman" w:cs="Times New Roman"/>
            <w:sz w:val="24"/>
            <w:szCs w:val="24"/>
          </w:rPr>
          <w:id w:val="1961750937"/>
          <w:citation/>
        </w:sdtPr>
        <w:sdtContent>
          <w:r w:rsidR="0014069D">
            <w:rPr>
              <w:rFonts w:ascii="Times New Roman" w:hAnsi="Times New Roman" w:cs="Times New Roman"/>
              <w:sz w:val="24"/>
              <w:szCs w:val="24"/>
            </w:rPr>
            <w:fldChar w:fldCharType="begin"/>
          </w:r>
          <w:r w:rsidR="0014069D">
            <w:rPr>
              <w:rFonts w:ascii="Times New Roman" w:hAnsi="Times New Roman" w:cs="Times New Roman"/>
              <w:sz w:val="24"/>
              <w:szCs w:val="24"/>
            </w:rPr>
            <w:instrText xml:space="preserve"> CITATION Jai10 \l 1033 </w:instrText>
          </w:r>
          <w:r w:rsidR="0014069D">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(Caruana, 2010)</w:t>
          </w:r>
          <w:r w:rsidR="0014069D">
            <w:rPr>
              <w:rFonts w:ascii="Times New Roman" w:hAnsi="Times New Roman" w:cs="Times New Roman"/>
              <w:sz w:val="24"/>
              <w:szCs w:val="24"/>
            </w:rPr>
            <w:fldChar w:fldCharType="end"/>
          </w:r>
        </w:sdtContent>
      </w:sdt>
    </w:p>
    <w:p w:rsidR="00AE2B64" w:rsidRPr="001A01F0" w:rsidRDefault="00AE2B6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br/>
      </w:r>
      <w:r w:rsidR="0014069D">
        <w:rPr>
          <w:rFonts w:ascii="Times New Roman" w:hAnsi="Times New Roman" w:cs="Times New Roman"/>
          <w:sz w:val="24"/>
          <w:szCs w:val="24"/>
        </w:rPr>
        <w:t>“</w:t>
      </w:r>
      <w:r w:rsidRPr="001A01F0">
        <w:rPr>
          <w:rFonts w:ascii="Times New Roman" w:hAnsi="Times New Roman" w:cs="Times New Roman"/>
          <w:sz w:val="24"/>
          <w:szCs w:val="24"/>
        </w:rPr>
        <w:t>Key input into the coordinating work of the Financial Stability Board comes from the expanded Basel Process, which internationally coordinates standard-setting. Whatever the differences at the national level regarding the scale and scope of financial firms, international agreements on minimum capital and liquidity are being refined. Peer review exercises have been launched to ensure adherence to these standards in each jurisdiction.</w:t>
      </w:r>
      <w:r w:rsidR="0014069D">
        <w:rPr>
          <w:rFonts w:ascii="Times New Roman" w:hAnsi="Times New Roman" w:cs="Times New Roman"/>
          <w:sz w:val="24"/>
          <w:szCs w:val="24"/>
        </w:rPr>
        <w:t>”</w:t>
      </w:r>
      <w:sdt>
        <w:sdtPr>
          <w:rPr>
            <w:rFonts w:ascii="Times New Roman" w:hAnsi="Times New Roman" w:cs="Times New Roman"/>
            <w:sz w:val="24"/>
            <w:szCs w:val="24"/>
          </w:rPr>
          <w:id w:val="-316114587"/>
          <w:citation/>
        </w:sdtPr>
        <w:sdtContent>
          <w:r w:rsidR="0014069D">
            <w:rPr>
              <w:rFonts w:ascii="Times New Roman" w:hAnsi="Times New Roman" w:cs="Times New Roman"/>
              <w:sz w:val="24"/>
              <w:szCs w:val="24"/>
            </w:rPr>
            <w:fldChar w:fldCharType="begin"/>
          </w:r>
          <w:r w:rsidR="0014069D">
            <w:rPr>
              <w:rFonts w:ascii="Times New Roman" w:hAnsi="Times New Roman" w:cs="Times New Roman"/>
              <w:sz w:val="24"/>
              <w:szCs w:val="24"/>
            </w:rPr>
            <w:instrText xml:space="preserve"> CITATION Jai10 \l 1033 </w:instrText>
          </w:r>
          <w:r w:rsidR="0014069D">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(Caruana, 2010)</w:t>
          </w:r>
          <w:r w:rsidR="0014069D">
            <w:rPr>
              <w:rFonts w:ascii="Times New Roman" w:hAnsi="Times New Roman" w:cs="Times New Roman"/>
              <w:sz w:val="24"/>
              <w:szCs w:val="24"/>
            </w:rPr>
            <w:fldChar w:fldCharType="end"/>
          </w:r>
        </w:sdtContent>
      </w:sdt>
    </w:p>
    <w:p w:rsidR="006948B4" w:rsidRDefault="00AE2B6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br/>
      </w:r>
      <w:r w:rsidR="006948B4">
        <w:rPr>
          <w:rFonts w:ascii="Times New Roman" w:hAnsi="Times New Roman" w:cs="Times New Roman"/>
          <w:sz w:val="24"/>
          <w:szCs w:val="24"/>
        </w:rPr>
        <w:t>Collaboration across borders are being carried by organizations such as BASEL and some other prominent organizations</w:t>
      </w:r>
      <w:r w:rsidR="00AD71BF">
        <w:rPr>
          <w:rFonts w:ascii="Times New Roman" w:hAnsi="Times New Roman" w:cs="Times New Roman"/>
          <w:sz w:val="24"/>
          <w:szCs w:val="24"/>
        </w:rPr>
        <w:t xml:space="preserve"> which indicates enhanced cooperation among regulators. BASEL accord is now being espoused by most of the countries which is designed to counter, in addition to other objectives, rippling effect of systemic risk among financial institutions namely banks.</w:t>
      </w:r>
    </w:p>
    <w:p w:rsidR="00AE2B64" w:rsidRPr="001A01F0" w:rsidRDefault="00AE2B6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Another example, of a differ</w:t>
      </w:r>
      <w:r w:rsidR="00AD71BF">
        <w:rPr>
          <w:rFonts w:ascii="Times New Roman" w:hAnsi="Times New Roman" w:cs="Times New Roman"/>
          <w:sz w:val="24"/>
          <w:szCs w:val="24"/>
        </w:rPr>
        <w:t>ent kind</w:t>
      </w:r>
      <w:r w:rsidRPr="001A01F0">
        <w:rPr>
          <w:rFonts w:ascii="Times New Roman" w:hAnsi="Times New Roman" w:cs="Times New Roman"/>
          <w:sz w:val="24"/>
          <w:szCs w:val="24"/>
        </w:rPr>
        <w:t xml:space="preserve">, is </w:t>
      </w:r>
      <w:r w:rsidR="00AD71BF">
        <w:rPr>
          <w:rFonts w:ascii="Times New Roman" w:hAnsi="Times New Roman" w:cs="Times New Roman"/>
          <w:sz w:val="24"/>
          <w:szCs w:val="24"/>
        </w:rPr>
        <w:t>“</w:t>
      </w:r>
      <w:r w:rsidRPr="001A01F0">
        <w:rPr>
          <w:rFonts w:ascii="Times New Roman" w:hAnsi="Times New Roman" w:cs="Times New Roman"/>
          <w:sz w:val="24"/>
          <w:szCs w:val="24"/>
        </w:rPr>
        <w:t>the proposed European Systemic Risk Board, which will help to coordinate micro and macro approaches and enhance international cooperation. This body would take charge of macro prudential supervision at the European level, issuing risk warnings and making recommendations on policy measures.</w:t>
      </w:r>
      <w:r w:rsidR="00AD71BF">
        <w:rPr>
          <w:rFonts w:ascii="Times New Roman" w:hAnsi="Times New Roman" w:cs="Times New Roman"/>
          <w:sz w:val="24"/>
          <w:szCs w:val="24"/>
        </w:rPr>
        <w:t>”</w:t>
      </w:r>
      <w:sdt>
        <w:sdtPr>
          <w:rPr>
            <w:rFonts w:ascii="Times New Roman" w:hAnsi="Times New Roman" w:cs="Times New Roman"/>
            <w:sz w:val="24"/>
            <w:szCs w:val="24"/>
          </w:rPr>
          <w:id w:val="1335800903"/>
          <w:citation/>
        </w:sdtPr>
        <w:sdtContent>
          <w:r w:rsidR="00497100" w:rsidRPr="001A01F0">
            <w:rPr>
              <w:rFonts w:ascii="Times New Roman" w:hAnsi="Times New Roman" w:cs="Times New Roman"/>
              <w:sz w:val="24"/>
              <w:szCs w:val="24"/>
            </w:rPr>
            <w:fldChar w:fldCharType="begin"/>
          </w:r>
          <w:r w:rsidR="00497100" w:rsidRPr="001A01F0">
            <w:rPr>
              <w:rFonts w:ascii="Times New Roman" w:hAnsi="Times New Roman" w:cs="Times New Roman"/>
              <w:sz w:val="24"/>
              <w:szCs w:val="24"/>
            </w:rPr>
            <w:instrText xml:space="preserve"> CITATION Jai10 \l 1033 </w:instrText>
          </w:r>
          <w:r w:rsidR="00497100"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(Caruana, 2010)</w:t>
          </w:r>
          <w:r w:rsidR="00497100" w:rsidRPr="001A01F0">
            <w:rPr>
              <w:rFonts w:ascii="Times New Roman" w:hAnsi="Times New Roman" w:cs="Times New Roman"/>
              <w:sz w:val="24"/>
              <w:szCs w:val="24"/>
            </w:rPr>
            <w:fldChar w:fldCharType="end"/>
          </w:r>
        </w:sdtContent>
      </w:sdt>
    </w:p>
    <w:p w:rsidR="00AE2B64" w:rsidRDefault="00AE2B64"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br/>
        <w:t xml:space="preserve">Lastly, </w:t>
      </w:r>
      <w:r w:rsidR="009F7D18">
        <w:rPr>
          <w:rFonts w:ascii="Times New Roman" w:hAnsi="Times New Roman" w:cs="Times New Roman"/>
          <w:sz w:val="24"/>
          <w:szCs w:val="24"/>
        </w:rPr>
        <w:t>there is G20 which has some serious contribution in the matter of coordinating “</w:t>
      </w:r>
      <w:r w:rsidRPr="001A01F0">
        <w:rPr>
          <w:rFonts w:ascii="Times New Roman" w:hAnsi="Times New Roman" w:cs="Times New Roman"/>
          <w:sz w:val="24"/>
          <w:szCs w:val="24"/>
        </w:rPr>
        <w:t>macroeconomic policies and to ensure political support for financial regulatory reform. The mutual assessment process reinforces the commitment of national leaders to joint and coordinated action. Just as financial stability needs help from monetary and fiscal policy at the national level, international financial stability cannot be achieved in the face of inconsistent policies at the global level. It is very important that leaders remain engaged in and committed to this effort.</w:t>
      </w:r>
      <w:r w:rsidR="009F7D18">
        <w:rPr>
          <w:rFonts w:ascii="Times New Roman" w:hAnsi="Times New Roman" w:cs="Times New Roman"/>
          <w:sz w:val="24"/>
          <w:szCs w:val="24"/>
        </w:rPr>
        <w:t>”</w:t>
      </w:r>
    </w:p>
    <w:p w:rsidR="004F69EE" w:rsidRPr="001A01F0" w:rsidRDefault="004F69EE" w:rsidP="0002782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It can be said with some confidence that with times the financial structure will evolve further. But the real concern is the maintenance o</w:t>
      </w:r>
      <w:r w:rsidR="004658D9">
        <w:rPr>
          <w:rFonts w:ascii="Times New Roman" w:hAnsi="Times New Roman" w:cs="Times New Roman"/>
          <w:sz w:val="24"/>
          <w:szCs w:val="24"/>
        </w:rPr>
        <w:t>f the cooperative ambience in the future to ward off systemic risk.</w:t>
      </w:r>
    </w:p>
    <w:p w:rsidR="00122839" w:rsidRPr="009D6384" w:rsidRDefault="00AE2B64" w:rsidP="0027736C">
      <w:pPr>
        <w:pStyle w:val="Heading2"/>
      </w:pPr>
      <w:r w:rsidRPr="001A01F0">
        <w:br/>
      </w:r>
      <w:bookmarkStart w:id="21" w:name="_Toc6873783"/>
      <w:r w:rsidR="00AF6544">
        <w:t xml:space="preserve">4.3 </w:t>
      </w:r>
      <w:r w:rsidR="00122839" w:rsidRPr="009D6384">
        <w:t>REGULATORY APPROACHES TO SYSTEMIC RISK</w:t>
      </w:r>
      <w:r w:rsidR="0013074F" w:rsidRPr="009D6384">
        <w:t>: The Dodd-Frank Act</w:t>
      </w:r>
      <w:bookmarkEnd w:id="21"/>
    </w:p>
    <w:p w:rsidR="005B62E6" w:rsidRPr="001A01F0" w:rsidRDefault="00E579A1"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122839" w:rsidRPr="001A01F0">
        <w:rPr>
          <w:rFonts w:ascii="Times New Roman" w:hAnsi="Times New Roman" w:cs="Times New Roman"/>
          <w:sz w:val="24"/>
          <w:szCs w:val="24"/>
        </w:rPr>
        <w:t>The primary (if not sole) justification for regulating financial risk is the maximization of economic efficiency</w:t>
      </w:r>
      <w:r w:rsidRPr="001A01F0">
        <w:rPr>
          <w:rFonts w:ascii="Times New Roman" w:hAnsi="Times New Roman" w:cs="Times New Roman"/>
          <w:sz w:val="24"/>
          <w:szCs w:val="24"/>
        </w:rPr>
        <w:t>”</w:t>
      </w:r>
      <w:sdt>
        <w:sdtPr>
          <w:rPr>
            <w:rFonts w:ascii="Times New Roman" w:hAnsi="Times New Roman" w:cs="Times New Roman"/>
            <w:sz w:val="24"/>
            <w:szCs w:val="24"/>
          </w:rPr>
          <w:id w:val="-2082669648"/>
          <w:citation/>
        </w:sdtPr>
        <w:sdtContent>
          <w:r w:rsidR="00122839" w:rsidRPr="001A01F0">
            <w:rPr>
              <w:rFonts w:ascii="Times New Roman" w:hAnsi="Times New Roman" w:cs="Times New Roman"/>
              <w:sz w:val="24"/>
              <w:szCs w:val="24"/>
            </w:rPr>
            <w:fldChar w:fldCharType="begin"/>
          </w:r>
          <w:r w:rsidR="00122839" w:rsidRPr="001A01F0">
            <w:rPr>
              <w:rFonts w:ascii="Times New Roman" w:hAnsi="Times New Roman" w:cs="Times New Roman"/>
              <w:sz w:val="24"/>
              <w:szCs w:val="24"/>
            </w:rPr>
            <w:instrText xml:space="preserve"> CITATION Ste11 \l 1033 </w:instrText>
          </w:r>
          <w:r w:rsidR="00122839"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00122839" w:rsidRPr="001A01F0">
            <w:rPr>
              <w:rFonts w:ascii="Times New Roman" w:hAnsi="Times New Roman" w:cs="Times New Roman"/>
              <w:sz w:val="24"/>
              <w:szCs w:val="24"/>
            </w:rPr>
            <w:fldChar w:fldCharType="end"/>
          </w:r>
        </w:sdtContent>
      </w:sdt>
      <w:r w:rsidR="00122839" w:rsidRPr="001A01F0">
        <w:rPr>
          <w:rFonts w:ascii="Times New Roman" w:hAnsi="Times New Roman" w:cs="Times New Roman"/>
          <w:sz w:val="24"/>
          <w:szCs w:val="24"/>
        </w:rPr>
        <w:t xml:space="preserve">. </w:t>
      </w:r>
      <w:r w:rsidR="005B62E6" w:rsidRPr="001A01F0">
        <w:rPr>
          <w:rFonts w:ascii="Times New Roman" w:hAnsi="Times New Roman" w:cs="Times New Roman"/>
          <w:sz w:val="24"/>
          <w:szCs w:val="24"/>
        </w:rPr>
        <w:t xml:space="preserve"> Though systemic risk is kind of a financial risk but it is one of a more complex kind due to its ability to effect third parties. Regulating systemic risk is imperative to stop the cascading effects. Systemic risk is like a virus, it is not only harmful to the host but also to other parties who are vulnerable to the virus. This viral nature of systemic risk makes it mandatory for concerned authorities to regulate the behavior of the host.</w:t>
      </w:r>
    </w:p>
    <w:p w:rsidR="00122839" w:rsidRPr="001A01F0" w:rsidRDefault="005B62E6"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Therefore it really becomes a communal problem and thus takes a communal action to pre-empt. “</w:t>
      </w:r>
      <w:r w:rsidR="00122839" w:rsidRPr="001A01F0">
        <w:rPr>
          <w:rFonts w:ascii="Times New Roman" w:hAnsi="Times New Roman" w:cs="Times New Roman"/>
          <w:sz w:val="24"/>
          <w:szCs w:val="24"/>
        </w:rPr>
        <w:t>Any regulation of systemic risk thus should focus not only on traditional efficiency but also on the stability of the financial system.</w:t>
      </w:r>
      <w:r w:rsidRPr="001A01F0">
        <w:rPr>
          <w:rFonts w:ascii="Times New Roman" w:hAnsi="Times New Roman" w:cs="Times New Roman"/>
          <w:sz w:val="24"/>
          <w:szCs w:val="24"/>
        </w:rPr>
        <w:t>”</w:t>
      </w:r>
      <w:sdt>
        <w:sdtPr>
          <w:rPr>
            <w:rFonts w:ascii="Times New Roman" w:hAnsi="Times New Roman" w:cs="Times New Roman"/>
            <w:sz w:val="24"/>
            <w:szCs w:val="24"/>
          </w:rPr>
          <w:id w:val="-1252038238"/>
          <w:citation/>
        </w:sdtPr>
        <w:sdtContent>
          <w:r w:rsidRPr="001A01F0">
            <w:rPr>
              <w:rFonts w:ascii="Times New Roman" w:hAnsi="Times New Roman" w:cs="Times New Roman"/>
              <w:sz w:val="24"/>
              <w:szCs w:val="24"/>
            </w:rPr>
            <w:fldChar w:fldCharType="begin"/>
          </w:r>
          <w:r w:rsidRPr="001A01F0">
            <w:rPr>
              <w:rFonts w:ascii="Times New Roman" w:hAnsi="Times New Roman" w:cs="Times New Roman"/>
              <w:sz w:val="24"/>
              <w:szCs w:val="24"/>
            </w:rPr>
            <w:instrText xml:space="preserve"> CITATION Ste11 \l 1033 </w:instrText>
          </w:r>
          <w:r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Pr="001A01F0">
            <w:rPr>
              <w:rFonts w:ascii="Times New Roman" w:hAnsi="Times New Roman" w:cs="Times New Roman"/>
              <w:sz w:val="24"/>
              <w:szCs w:val="24"/>
            </w:rPr>
            <w:fldChar w:fldCharType="end"/>
          </w:r>
        </w:sdtContent>
      </w:sdt>
      <w:r w:rsidR="00122839" w:rsidRPr="001A01F0">
        <w:rPr>
          <w:rFonts w:ascii="Times New Roman" w:hAnsi="Times New Roman" w:cs="Times New Roman"/>
          <w:sz w:val="24"/>
          <w:szCs w:val="24"/>
        </w:rPr>
        <w:t xml:space="preserve"> </w:t>
      </w:r>
    </w:p>
    <w:p w:rsidR="00096BD7" w:rsidRPr="001A01F0" w:rsidRDefault="005B62E6"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Regulation comes with costs, so it is also necessary that costs of regulation be </w:t>
      </w:r>
      <w:r w:rsidR="00096BD7" w:rsidRPr="001A01F0">
        <w:rPr>
          <w:rFonts w:ascii="Times New Roman" w:hAnsi="Times New Roman" w:cs="Times New Roman"/>
          <w:sz w:val="24"/>
          <w:szCs w:val="24"/>
        </w:rPr>
        <w:t xml:space="preserve">appropriate. Hiring government employees to implement the regulation is a direct cost, however, it is not the direct costs that bother much but the indirect cost which engendered from overregulation. Therefore in implementing regulatory acts authorities concerned ought to be aware of the fact that the regulations itself doesn’t become a burden for the whole industry. </w:t>
      </w:r>
    </w:p>
    <w:p w:rsidR="00122839" w:rsidRPr="001A01F0" w:rsidRDefault="00122839" w:rsidP="007049F4">
      <w:pPr>
        <w:pStyle w:val="NoSpacing"/>
        <w:numPr>
          <w:ilvl w:val="0"/>
          <w:numId w:val="16"/>
        </w:numPr>
        <w:spacing w:line="360" w:lineRule="auto"/>
        <w:jc w:val="both"/>
        <w:rPr>
          <w:rFonts w:ascii="Times New Roman" w:hAnsi="Times New Roman" w:cs="Times New Roman"/>
          <w:sz w:val="24"/>
          <w:szCs w:val="24"/>
        </w:rPr>
      </w:pPr>
      <w:r w:rsidRPr="00AF6544">
        <w:rPr>
          <w:rFonts w:ascii="Times New Roman" w:hAnsi="Times New Roman" w:cs="Times New Roman"/>
          <w:b/>
          <w:sz w:val="24"/>
          <w:szCs w:val="24"/>
        </w:rPr>
        <w:t>Averting Panics.</w:t>
      </w:r>
      <w:r w:rsidRPr="001A01F0">
        <w:rPr>
          <w:rFonts w:ascii="Times New Roman" w:hAnsi="Times New Roman" w:cs="Times New Roman"/>
          <w:sz w:val="24"/>
          <w:szCs w:val="24"/>
        </w:rPr>
        <w:t xml:space="preserve"> </w:t>
      </w:r>
      <w:r w:rsidR="00FE7351" w:rsidRPr="001A01F0">
        <w:rPr>
          <w:rFonts w:ascii="Times New Roman" w:hAnsi="Times New Roman" w:cs="Times New Roman"/>
          <w:sz w:val="24"/>
          <w:szCs w:val="24"/>
        </w:rPr>
        <w:t xml:space="preserve"> Panics in the financial sector amplify the probability of chain of failure leading to systemic collapse. For that reason eliminating panics from the onset is a matter of great concern. “</w:t>
      </w:r>
      <w:r w:rsidRPr="001A01F0">
        <w:rPr>
          <w:rFonts w:ascii="Times New Roman" w:hAnsi="Times New Roman" w:cs="Times New Roman"/>
          <w:sz w:val="24"/>
          <w:szCs w:val="24"/>
        </w:rPr>
        <w:t>The recent financial crisis itself, for example, was initially triggered by financial market panic. But any regulation aimed at preventing panics that trigger systemic risk would almost certainly fail to anticipate all the causes of the panics.</w:t>
      </w:r>
      <w:r w:rsidR="00FE7351" w:rsidRPr="001A01F0">
        <w:rPr>
          <w:rFonts w:ascii="Times New Roman" w:hAnsi="Times New Roman" w:cs="Times New Roman"/>
          <w:sz w:val="24"/>
          <w:szCs w:val="24"/>
        </w:rPr>
        <w:t>”</w:t>
      </w:r>
      <w:sdt>
        <w:sdtPr>
          <w:rPr>
            <w:rFonts w:ascii="Times New Roman" w:hAnsi="Times New Roman" w:cs="Times New Roman"/>
            <w:sz w:val="24"/>
            <w:szCs w:val="24"/>
          </w:rPr>
          <w:id w:val="2068917032"/>
          <w:citation/>
        </w:sdtPr>
        <w:sdtContent>
          <w:r w:rsidR="00FE7351" w:rsidRPr="001A01F0">
            <w:rPr>
              <w:rFonts w:ascii="Times New Roman" w:hAnsi="Times New Roman" w:cs="Times New Roman"/>
              <w:sz w:val="24"/>
              <w:szCs w:val="24"/>
            </w:rPr>
            <w:fldChar w:fldCharType="begin"/>
          </w:r>
          <w:r w:rsidR="00FE7351" w:rsidRPr="001A01F0">
            <w:rPr>
              <w:rFonts w:ascii="Times New Roman" w:hAnsi="Times New Roman" w:cs="Times New Roman"/>
              <w:sz w:val="24"/>
              <w:szCs w:val="24"/>
            </w:rPr>
            <w:instrText xml:space="preserve"> CITATION Ste11 \l 1033 </w:instrText>
          </w:r>
          <w:r w:rsidR="00FE7351"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00FE7351"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xml:space="preserve"> </w:t>
      </w:r>
      <w:r w:rsidR="00FE7351" w:rsidRPr="001A01F0">
        <w:rPr>
          <w:rFonts w:ascii="Times New Roman" w:hAnsi="Times New Roman" w:cs="Times New Roman"/>
          <w:sz w:val="24"/>
          <w:szCs w:val="24"/>
        </w:rPr>
        <w:t>Once diffused, panics are difficult to avert because of investors do not always behave rationally.</w:t>
      </w:r>
    </w:p>
    <w:p w:rsidR="00122839" w:rsidRPr="001A01F0" w:rsidRDefault="00122839" w:rsidP="007049F4">
      <w:pPr>
        <w:pStyle w:val="NoSpacing"/>
        <w:numPr>
          <w:ilvl w:val="0"/>
          <w:numId w:val="17"/>
        </w:numPr>
        <w:spacing w:line="360" w:lineRule="auto"/>
        <w:jc w:val="both"/>
        <w:rPr>
          <w:rFonts w:ascii="Times New Roman" w:hAnsi="Times New Roman" w:cs="Times New Roman"/>
          <w:sz w:val="24"/>
          <w:szCs w:val="24"/>
        </w:rPr>
      </w:pPr>
      <w:r w:rsidRPr="00AF6544">
        <w:rPr>
          <w:rFonts w:ascii="Times New Roman" w:hAnsi="Times New Roman" w:cs="Times New Roman"/>
          <w:b/>
          <w:sz w:val="24"/>
          <w:szCs w:val="24"/>
        </w:rPr>
        <w:t>Requiring Increased Disclosure.</w:t>
      </w:r>
      <w:r w:rsidR="00FE7351" w:rsidRPr="001A01F0">
        <w:rPr>
          <w:rFonts w:ascii="Times New Roman" w:hAnsi="Times New Roman" w:cs="Times New Roman"/>
          <w:sz w:val="24"/>
          <w:szCs w:val="24"/>
        </w:rPr>
        <w:t xml:space="preserve"> Disclosure can be a very effective regulatory approach.</w:t>
      </w:r>
      <w:r w:rsidRPr="001A01F0">
        <w:rPr>
          <w:rFonts w:ascii="Times New Roman" w:hAnsi="Times New Roman" w:cs="Times New Roman"/>
          <w:sz w:val="24"/>
          <w:szCs w:val="24"/>
        </w:rPr>
        <w:t xml:space="preserve"> </w:t>
      </w:r>
      <w:r w:rsidR="00FE7351" w:rsidRPr="001A01F0">
        <w:rPr>
          <w:rFonts w:ascii="Times New Roman" w:hAnsi="Times New Roman" w:cs="Times New Roman"/>
          <w:sz w:val="24"/>
          <w:szCs w:val="24"/>
        </w:rPr>
        <w:t>“</w:t>
      </w:r>
      <w:r w:rsidRPr="001A01F0">
        <w:rPr>
          <w:rFonts w:ascii="Times New Roman" w:hAnsi="Times New Roman" w:cs="Times New Roman"/>
          <w:sz w:val="24"/>
          <w:szCs w:val="24"/>
        </w:rPr>
        <w:t xml:space="preserve">Disclosing risks traditionally has been viewed, as the primary market-regulatory mechanism. Dodd-Frank puts great stock in the idea of improving disclosure. Disclosure works by reducing, if not eliminating, asymmetric information among market players, making the risks transparent to all. In the context of systemic risk, however, individual market participants who </w:t>
      </w:r>
      <w:r w:rsidRPr="001A01F0">
        <w:rPr>
          <w:rFonts w:ascii="Times New Roman" w:hAnsi="Times New Roman" w:cs="Times New Roman"/>
          <w:sz w:val="24"/>
          <w:szCs w:val="24"/>
        </w:rPr>
        <w:lastRenderedPageBreak/>
        <w:t>fully understand that risk will be motivated to protect themselves but not necessarily the system as a whole. As a result of the aforesaid tragedy-of-the-commons, a market participant may well decide to engage in a profitable transaction even though doing so could increase systemic risk, since much of the harm from a possible systemic collapse would be externalized.</w:t>
      </w:r>
      <w:r w:rsidR="00FE7351" w:rsidRPr="001A01F0">
        <w:rPr>
          <w:rFonts w:ascii="Times New Roman" w:hAnsi="Times New Roman" w:cs="Times New Roman"/>
          <w:sz w:val="24"/>
          <w:szCs w:val="24"/>
        </w:rPr>
        <w:t>”</w:t>
      </w:r>
      <w:r w:rsidRPr="001A01F0">
        <w:rPr>
          <w:rFonts w:ascii="Times New Roman" w:hAnsi="Times New Roman" w:cs="Times New Roman"/>
          <w:sz w:val="24"/>
          <w:szCs w:val="24"/>
        </w:rPr>
        <w:t xml:space="preserve"> </w:t>
      </w:r>
      <w:r w:rsidR="00B434F9" w:rsidRPr="001A01F0">
        <w:rPr>
          <w:rFonts w:ascii="Times New Roman" w:hAnsi="Times New Roman" w:cs="Times New Roman"/>
          <w:sz w:val="24"/>
          <w:szCs w:val="24"/>
        </w:rPr>
        <w:t xml:space="preserve"> Moreover disclosure has been rendered, to some extent, ineffective because of the complexities of the market structure. Disclosure did not help in the recent financial crisis of 2008. It can be noted that  t</w:t>
      </w:r>
      <w:r w:rsidRPr="001A01F0">
        <w:rPr>
          <w:rFonts w:ascii="Times New Roman" w:hAnsi="Times New Roman" w:cs="Times New Roman"/>
          <w:sz w:val="24"/>
          <w:szCs w:val="24"/>
        </w:rPr>
        <w:t>here are at least four reasons why disclosure failed:</w:t>
      </w:r>
    </w:p>
    <w:p w:rsidR="00122839" w:rsidRPr="001A01F0" w:rsidRDefault="00B434F9" w:rsidP="007049F4">
      <w:pPr>
        <w:pStyle w:val="NoSpacing"/>
        <w:numPr>
          <w:ilvl w:val="2"/>
          <w:numId w:val="17"/>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122839" w:rsidRPr="00AF6544">
        <w:rPr>
          <w:rFonts w:ascii="Times New Roman" w:hAnsi="Times New Roman" w:cs="Times New Roman"/>
          <w:i/>
          <w:sz w:val="24"/>
          <w:szCs w:val="24"/>
        </w:rPr>
        <w:t>Investors over relied on heuristics such as rating-agency ratings.</w:t>
      </w:r>
      <w:r w:rsidR="00122839" w:rsidRPr="001A01F0">
        <w:rPr>
          <w:rFonts w:ascii="Times New Roman" w:hAnsi="Times New Roman" w:cs="Times New Roman"/>
          <w:sz w:val="24"/>
          <w:szCs w:val="24"/>
        </w:rPr>
        <w:t xml:space="preserve"> Dodd-Frank attempts to fix this problem by focusing on ratings, not on investors. However, the actions of S&amp;P and Moody’s arguably met the Act’s requirements, had those requirements applied during the financial crisis. The real problem is not rating agency failure but investor complacency. Because human nature cannot be easily changed, it is unclear—and Dodd-Frank does not address—how invest</w:t>
      </w:r>
      <w:r w:rsidRPr="001A01F0">
        <w:rPr>
          <w:rFonts w:ascii="Times New Roman" w:hAnsi="Times New Roman" w:cs="Times New Roman"/>
          <w:sz w:val="24"/>
          <w:szCs w:val="24"/>
        </w:rPr>
        <w:t>or complacency can be remedied.”</w:t>
      </w:r>
      <w:sdt>
        <w:sdtPr>
          <w:rPr>
            <w:rFonts w:ascii="Times New Roman" w:hAnsi="Times New Roman" w:cs="Times New Roman"/>
            <w:sz w:val="24"/>
            <w:szCs w:val="24"/>
          </w:rPr>
          <w:id w:val="1600518392"/>
          <w:citation/>
        </w:sdtPr>
        <w:sdtContent>
          <w:r w:rsidR="003402E5" w:rsidRPr="001A01F0">
            <w:rPr>
              <w:rFonts w:ascii="Times New Roman" w:hAnsi="Times New Roman" w:cs="Times New Roman"/>
              <w:sz w:val="24"/>
              <w:szCs w:val="24"/>
            </w:rPr>
            <w:fldChar w:fldCharType="begin"/>
          </w:r>
          <w:r w:rsidR="003402E5" w:rsidRPr="001A01F0">
            <w:rPr>
              <w:rFonts w:ascii="Times New Roman" w:hAnsi="Times New Roman" w:cs="Times New Roman"/>
              <w:sz w:val="24"/>
              <w:szCs w:val="24"/>
            </w:rPr>
            <w:instrText xml:space="preserve"> CITATION Ste11 \l 1033 </w:instrText>
          </w:r>
          <w:r w:rsidR="003402E5"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003402E5" w:rsidRPr="001A01F0">
            <w:rPr>
              <w:rFonts w:ascii="Times New Roman" w:hAnsi="Times New Roman" w:cs="Times New Roman"/>
              <w:sz w:val="24"/>
              <w:szCs w:val="24"/>
            </w:rPr>
            <w:fldChar w:fldCharType="end"/>
          </w:r>
        </w:sdtContent>
      </w:sdt>
    </w:p>
    <w:p w:rsidR="00122839" w:rsidRPr="001A01F0" w:rsidRDefault="00B434F9" w:rsidP="007049F4">
      <w:pPr>
        <w:pStyle w:val="NoSpacing"/>
        <w:numPr>
          <w:ilvl w:val="2"/>
          <w:numId w:val="17"/>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122839" w:rsidRPr="00AF6544">
        <w:rPr>
          <w:rFonts w:ascii="Times New Roman" w:hAnsi="Times New Roman" w:cs="Times New Roman"/>
          <w:i/>
          <w:sz w:val="24"/>
          <w:szCs w:val="24"/>
        </w:rPr>
        <w:t xml:space="preserve">Investors followed the herd in their investment choices. </w:t>
      </w:r>
      <w:r w:rsidR="00122839" w:rsidRPr="001A01F0">
        <w:rPr>
          <w:rFonts w:ascii="Times New Roman" w:hAnsi="Times New Roman" w:cs="Times New Roman"/>
          <w:sz w:val="24"/>
          <w:szCs w:val="24"/>
        </w:rPr>
        <w:t>Again, this is an implacable problem of investor complacency.</w:t>
      </w:r>
      <w:r w:rsidRPr="001A01F0">
        <w:rPr>
          <w:rFonts w:ascii="Times New Roman" w:hAnsi="Times New Roman" w:cs="Times New Roman"/>
          <w:sz w:val="24"/>
          <w:szCs w:val="24"/>
        </w:rPr>
        <w:t>”</w:t>
      </w:r>
      <w:r w:rsidR="00122839" w:rsidRPr="001A01F0">
        <w:rPr>
          <w:rFonts w:ascii="Times New Roman" w:hAnsi="Times New Roman" w:cs="Times New Roman"/>
          <w:sz w:val="24"/>
          <w:szCs w:val="24"/>
        </w:rPr>
        <w:t xml:space="preserve"> </w:t>
      </w:r>
      <w:sdt>
        <w:sdtPr>
          <w:rPr>
            <w:rFonts w:ascii="Times New Roman" w:hAnsi="Times New Roman" w:cs="Times New Roman"/>
            <w:sz w:val="24"/>
            <w:szCs w:val="24"/>
          </w:rPr>
          <w:id w:val="-2094859808"/>
          <w:citation/>
        </w:sdtPr>
        <w:sdtContent>
          <w:r w:rsidR="003402E5" w:rsidRPr="001A01F0">
            <w:rPr>
              <w:rFonts w:ascii="Times New Roman" w:hAnsi="Times New Roman" w:cs="Times New Roman"/>
              <w:sz w:val="24"/>
              <w:szCs w:val="24"/>
            </w:rPr>
            <w:fldChar w:fldCharType="begin"/>
          </w:r>
          <w:r w:rsidR="003402E5" w:rsidRPr="001A01F0">
            <w:rPr>
              <w:rFonts w:ascii="Times New Roman" w:hAnsi="Times New Roman" w:cs="Times New Roman"/>
              <w:sz w:val="24"/>
              <w:szCs w:val="24"/>
            </w:rPr>
            <w:instrText xml:space="preserve"> CITATION Ste11 \l 1033 </w:instrText>
          </w:r>
          <w:r w:rsidR="003402E5" w:rsidRPr="001A01F0">
            <w:rPr>
              <w:rFonts w:ascii="Times New Roman" w:hAnsi="Times New Roman" w:cs="Times New Roman"/>
              <w:sz w:val="24"/>
              <w:szCs w:val="24"/>
            </w:rPr>
            <w:fldChar w:fldCharType="separate"/>
          </w:r>
          <w:r w:rsidR="00B83DB3" w:rsidRPr="00B83DB3">
            <w:rPr>
              <w:rFonts w:ascii="Times New Roman" w:hAnsi="Times New Roman" w:cs="Times New Roman"/>
              <w:noProof/>
              <w:sz w:val="24"/>
              <w:szCs w:val="24"/>
            </w:rPr>
            <w:t>(Schwarcz, 2011)</w:t>
          </w:r>
          <w:r w:rsidR="003402E5" w:rsidRPr="001A01F0">
            <w:rPr>
              <w:rFonts w:ascii="Times New Roman" w:hAnsi="Times New Roman" w:cs="Times New Roman"/>
              <w:sz w:val="24"/>
              <w:szCs w:val="24"/>
            </w:rPr>
            <w:fldChar w:fldCharType="end"/>
          </w:r>
        </w:sdtContent>
      </w:sdt>
    </w:p>
    <w:p w:rsidR="00122839" w:rsidRPr="001A01F0" w:rsidRDefault="00B434F9" w:rsidP="007049F4">
      <w:pPr>
        <w:pStyle w:val="NoSpacing"/>
        <w:numPr>
          <w:ilvl w:val="2"/>
          <w:numId w:val="17"/>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122839" w:rsidRPr="00AF6544">
        <w:rPr>
          <w:rFonts w:ascii="Times New Roman" w:hAnsi="Times New Roman" w:cs="Times New Roman"/>
          <w:i/>
          <w:sz w:val="24"/>
          <w:szCs w:val="24"/>
        </w:rPr>
        <w:t>Conflicts of interest</w:t>
      </w:r>
      <w:r w:rsidR="00122839" w:rsidRPr="001A01F0">
        <w:rPr>
          <w:rFonts w:ascii="Times New Roman" w:hAnsi="Times New Roman" w:cs="Times New Roman"/>
          <w:sz w:val="24"/>
          <w:szCs w:val="24"/>
        </w:rPr>
        <w:t xml:space="preserve"> were created by short-term management compensation schemes, especially for technically sophisticated secondary managers. For example, as the VaR, or value-at-risk, model for measuring investment-portfolio risk became more accepted, financial firms began compensating secondary managers not only for generating profits but also for generating profits with low risks, as measured by VaR. Thus, secondary managers turned to investment products with low VaR risk profile, like credit-defaults swaps that generate small gains but only rarely have losses. The managers knew, but did not always explain to their superiors, that any losses that might eventually occur would be huge. This is an intra-firm conflict, quite unlike the traditional focus of scholars and politicians on conflicts between senior executives and shareholders. DoddFrank attempts to fix the traditional type of conflict but completely ignores the problem of secondary-management conflicts.</w:t>
      </w:r>
      <w:r w:rsidRPr="001A01F0">
        <w:rPr>
          <w:rFonts w:ascii="Times New Roman" w:hAnsi="Times New Roman" w:cs="Times New Roman"/>
          <w:sz w:val="24"/>
          <w:szCs w:val="24"/>
        </w:rPr>
        <w:t>”</w:t>
      </w:r>
      <w:sdt>
        <w:sdtPr>
          <w:rPr>
            <w:rFonts w:ascii="Times New Roman" w:hAnsi="Times New Roman" w:cs="Times New Roman"/>
            <w:sz w:val="24"/>
            <w:szCs w:val="24"/>
          </w:rPr>
          <w:id w:val="1775749363"/>
          <w:citation/>
        </w:sdtPr>
        <w:sdtContent>
          <w:r w:rsidR="003402E5" w:rsidRPr="001A01F0">
            <w:rPr>
              <w:rFonts w:ascii="Times New Roman" w:hAnsi="Times New Roman" w:cs="Times New Roman"/>
              <w:sz w:val="24"/>
              <w:szCs w:val="24"/>
            </w:rPr>
            <w:fldChar w:fldCharType="begin"/>
          </w:r>
          <w:r w:rsidR="003402E5" w:rsidRPr="001A01F0">
            <w:rPr>
              <w:rFonts w:ascii="Times New Roman" w:hAnsi="Times New Roman" w:cs="Times New Roman"/>
              <w:sz w:val="24"/>
              <w:szCs w:val="24"/>
            </w:rPr>
            <w:instrText xml:space="preserve"> CITATION Ste11 \l 1033 </w:instrText>
          </w:r>
          <w:r w:rsidR="003402E5"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003402E5" w:rsidRPr="001A01F0">
            <w:rPr>
              <w:rFonts w:ascii="Times New Roman" w:hAnsi="Times New Roman" w:cs="Times New Roman"/>
              <w:sz w:val="24"/>
              <w:szCs w:val="24"/>
            </w:rPr>
            <w:fldChar w:fldCharType="end"/>
          </w:r>
        </w:sdtContent>
      </w:sdt>
    </w:p>
    <w:p w:rsidR="00122839" w:rsidRPr="001A01F0" w:rsidRDefault="00B434F9" w:rsidP="007049F4">
      <w:pPr>
        <w:pStyle w:val="NoSpacing"/>
        <w:numPr>
          <w:ilvl w:val="2"/>
          <w:numId w:val="17"/>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122839" w:rsidRPr="00AF6544">
        <w:rPr>
          <w:rFonts w:ascii="Times New Roman" w:hAnsi="Times New Roman" w:cs="Times New Roman"/>
          <w:i/>
          <w:sz w:val="24"/>
          <w:szCs w:val="24"/>
        </w:rPr>
        <w:t>The retention by underwriters</w:t>
      </w:r>
      <w:r w:rsidR="00122839" w:rsidRPr="001A01F0">
        <w:rPr>
          <w:rFonts w:ascii="Times New Roman" w:hAnsi="Times New Roman" w:cs="Times New Roman"/>
          <w:sz w:val="24"/>
          <w:szCs w:val="24"/>
        </w:rPr>
        <w:t xml:space="preserve"> of residual risk portions may have fostered false confidence in buyers, in effect creating a mutual misunderstanding. Ironically, this could be exacerbated in the future by Dodd-Frank’s requirement that sellers of </w:t>
      </w:r>
      <w:r w:rsidR="00122839" w:rsidRPr="001A01F0">
        <w:rPr>
          <w:rFonts w:ascii="Times New Roman" w:hAnsi="Times New Roman" w:cs="Times New Roman"/>
          <w:sz w:val="24"/>
          <w:szCs w:val="24"/>
        </w:rPr>
        <w:lastRenderedPageBreak/>
        <w:t>securitization products retain a minimum unhedged position in each class of products they sell.</w:t>
      </w:r>
      <w:r w:rsidRPr="001A01F0">
        <w:rPr>
          <w:rFonts w:ascii="Times New Roman" w:hAnsi="Times New Roman" w:cs="Times New Roman"/>
          <w:sz w:val="24"/>
          <w:szCs w:val="24"/>
        </w:rPr>
        <w:t>”</w:t>
      </w:r>
      <w:sdt>
        <w:sdtPr>
          <w:rPr>
            <w:rFonts w:ascii="Times New Roman" w:hAnsi="Times New Roman" w:cs="Times New Roman"/>
            <w:sz w:val="24"/>
            <w:szCs w:val="24"/>
          </w:rPr>
          <w:id w:val="-929583465"/>
          <w:citation/>
        </w:sdtPr>
        <w:sdtContent>
          <w:r w:rsidR="003402E5" w:rsidRPr="001A01F0">
            <w:rPr>
              <w:rFonts w:ascii="Times New Roman" w:hAnsi="Times New Roman" w:cs="Times New Roman"/>
              <w:sz w:val="24"/>
              <w:szCs w:val="24"/>
            </w:rPr>
            <w:fldChar w:fldCharType="begin"/>
          </w:r>
          <w:r w:rsidR="003402E5" w:rsidRPr="001A01F0">
            <w:rPr>
              <w:rFonts w:ascii="Times New Roman" w:hAnsi="Times New Roman" w:cs="Times New Roman"/>
              <w:sz w:val="24"/>
              <w:szCs w:val="24"/>
            </w:rPr>
            <w:instrText xml:space="preserve"> CITATION Ste11 \l 1033 </w:instrText>
          </w:r>
          <w:r w:rsidR="003402E5"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003402E5" w:rsidRPr="001A01F0">
            <w:rPr>
              <w:rFonts w:ascii="Times New Roman" w:hAnsi="Times New Roman" w:cs="Times New Roman"/>
              <w:sz w:val="24"/>
              <w:szCs w:val="24"/>
            </w:rPr>
            <w:fldChar w:fldCharType="end"/>
          </w:r>
        </w:sdtContent>
      </w:sdt>
    </w:p>
    <w:p w:rsidR="003227CB" w:rsidRPr="001A01F0" w:rsidRDefault="003227CB" w:rsidP="00027826">
      <w:pPr>
        <w:pStyle w:val="NoSpacing"/>
        <w:spacing w:line="360" w:lineRule="auto"/>
        <w:jc w:val="both"/>
        <w:rPr>
          <w:rFonts w:ascii="Times New Roman" w:hAnsi="Times New Roman" w:cs="Times New Roman"/>
          <w:sz w:val="24"/>
          <w:szCs w:val="24"/>
        </w:rPr>
      </w:pPr>
    </w:p>
    <w:p w:rsidR="00122839" w:rsidRPr="001A01F0" w:rsidRDefault="00122839" w:rsidP="007049F4">
      <w:pPr>
        <w:pStyle w:val="NoSpacing"/>
        <w:numPr>
          <w:ilvl w:val="0"/>
          <w:numId w:val="16"/>
        </w:numPr>
        <w:spacing w:line="360" w:lineRule="auto"/>
        <w:jc w:val="both"/>
        <w:rPr>
          <w:rFonts w:ascii="Times New Roman" w:hAnsi="Times New Roman" w:cs="Times New Roman"/>
          <w:sz w:val="24"/>
          <w:szCs w:val="24"/>
        </w:rPr>
      </w:pPr>
      <w:r w:rsidRPr="00AF6544">
        <w:rPr>
          <w:rFonts w:ascii="Times New Roman" w:hAnsi="Times New Roman" w:cs="Times New Roman"/>
          <w:b/>
          <w:sz w:val="24"/>
          <w:szCs w:val="24"/>
        </w:rPr>
        <w:t>Imposing Financial-Exposure Limits.</w:t>
      </w:r>
      <w:r w:rsidRPr="001A01F0">
        <w:rPr>
          <w:rFonts w:ascii="Times New Roman" w:hAnsi="Times New Roman" w:cs="Times New Roman"/>
          <w:sz w:val="24"/>
          <w:szCs w:val="24"/>
        </w:rPr>
        <w:t xml:space="preserve"> </w:t>
      </w:r>
      <w:r w:rsidR="00BD7762" w:rsidRPr="001A01F0">
        <w:rPr>
          <w:rFonts w:ascii="Times New Roman" w:hAnsi="Times New Roman" w:cs="Times New Roman"/>
          <w:sz w:val="24"/>
          <w:szCs w:val="24"/>
        </w:rPr>
        <w:t>In this modern era financial system the constituent institutions are so entangled that fall of a single firm can de-stabilize the whole system at large. As to this entanglement limiting the exposure of single firm can save others in the case of default, leading to another regulatory approach: “</w:t>
      </w:r>
      <w:r w:rsidRPr="001A01F0">
        <w:rPr>
          <w:rFonts w:ascii="Times New Roman" w:hAnsi="Times New Roman" w:cs="Times New Roman"/>
          <w:sz w:val="24"/>
          <w:szCs w:val="24"/>
        </w:rPr>
        <w:t>placing limits on an institution’s financial exposure</w:t>
      </w:r>
      <w:r w:rsidR="00BD7762" w:rsidRPr="001A01F0">
        <w:rPr>
          <w:rFonts w:ascii="Times New Roman" w:hAnsi="Times New Roman" w:cs="Times New Roman"/>
          <w:sz w:val="24"/>
          <w:szCs w:val="24"/>
        </w:rPr>
        <w:t>”</w:t>
      </w:r>
      <w:sdt>
        <w:sdtPr>
          <w:rPr>
            <w:rFonts w:ascii="Times New Roman" w:hAnsi="Times New Roman" w:cs="Times New Roman"/>
            <w:sz w:val="24"/>
            <w:szCs w:val="24"/>
          </w:rPr>
          <w:id w:val="352392730"/>
          <w:citation/>
        </w:sdtPr>
        <w:sdtContent>
          <w:r w:rsidR="0013074F" w:rsidRPr="001A01F0">
            <w:rPr>
              <w:rFonts w:ascii="Times New Roman" w:hAnsi="Times New Roman" w:cs="Times New Roman"/>
              <w:sz w:val="24"/>
              <w:szCs w:val="24"/>
            </w:rPr>
            <w:fldChar w:fldCharType="begin"/>
          </w:r>
          <w:r w:rsidR="0013074F" w:rsidRPr="001A01F0">
            <w:rPr>
              <w:rFonts w:ascii="Times New Roman" w:hAnsi="Times New Roman" w:cs="Times New Roman"/>
              <w:sz w:val="24"/>
              <w:szCs w:val="24"/>
            </w:rPr>
            <w:instrText xml:space="preserve"> CITATION Ste11 \l 1033 </w:instrText>
          </w:r>
          <w:r w:rsidR="0013074F"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0013074F"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xml:space="preserve">. The following financial-exposure limits may be considered: </w:t>
      </w:r>
    </w:p>
    <w:p w:rsidR="00122839" w:rsidRPr="001A01F0" w:rsidRDefault="00B36973" w:rsidP="007049F4">
      <w:pPr>
        <w:pStyle w:val="NoSpacing"/>
        <w:numPr>
          <w:ilvl w:val="1"/>
          <w:numId w:val="18"/>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First, leverage helps investors to make the most out of their investment. However, a higher leverage corresponds to a higher possibility of financial distress. There curbing limitation exposure to a reasonable level can help to serve the purpose of preventing default. Thus reducing</w:t>
      </w:r>
      <w:r w:rsidR="00122839" w:rsidRPr="001A01F0">
        <w:rPr>
          <w:rFonts w:ascii="Times New Roman" w:hAnsi="Times New Roman" w:cs="Times New Roman"/>
          <w:sz w:val="24"/>
          <w:szCs w:val="24"/>
        </w:rPr>
        <w:t xml:space="preserve"> the likelihood of financial contagion between institutions. </w:t>
      </w:r>
      <w:r w:rsidRPr="001A01F0">
        <w:rPr>
          <w:rFonts w:ascii="Times New Roman" w:hAnsi="Times New Roman" w:cs="Times New Roman"/>
          <w:sz w:val="24"/>
          <w:szCs w:val="24"/>
        </w:rPr>
        <w:t>“</w:t>
      </w:r>
      <w:r w:rsidR="00122839" w:rsidRPr="001A01F0">
        <w:rPr>
          <w:rFonts w:ascii="Times New Roman" w:hAnsi="Times New Roman" w:cs="Times New Roman"/>
          <w:sz w:val="24"/>
          <w:szCs w:val="24"/>
        </w:rPr>
        <w:t>However, limiting leverage can create significant costs because some leverage is good, and there is no optimal across-the-board amount of leverage that is right for every institution. The Dodd-Frank Act, however, directs the Federal Reserve to set “prudential” capital standards for certain large financial institutions, including a maximum debt-to-</w:t>
      </w:r>
      <w:r w:rsidRPr="001A01F0">
        <w:rPr>
          <w:rFonts w:ascii="Times New Roman" w:hAnsi="Times New Roman" w:cs="Times New Roman"/>
          <w:sz w:val="24"/>
          <w:szCs w:val="24"/>
        </w:rPr>
        <w:t>equity ratio of 15:1.17”</w:t>
      </w:r>
    </w:p>
    <w:p w:rsidR="00122839" w:rsidRPr="001A01F0" w:rsidRDefault="00122839" w:rsidP="007049F4">
      <w:pPr>
        <w:pStyle w:val="NoSpacing"/>
        <w:numPr>
          <w:ilvl w:val="1"/>
          <w:numId w:val="18"/>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Second, </w:t>
      </w:r>
      <w:r w:rsidR="004F457C" w:rsidRPr="001A01F0">
        <w:rPr>
          <w:rFonts w:ascii="Times New Roman" w:hAnsi="Times New Roman" w:cs="Times New Roman"/>
          <w:sz w:val="24"/>
          <w:szCs w:val="24"/>
        </w:rPr>
        <w:t>limiting the right of a business to make investments that are deemed to be overly risky. This approach however can severely undermine the freedom that is needed to make prudent investment decision. “</w:t>
      </w:r>
      <w:r w:rsidRPr="001A01F0">
        <w:rPr>
          <w:rFonts w:ascii="Times New Roman" w:hAnsi="Times New Roman" w:cs="Times New Roman"/>
          <w:sz w:val="24"/>
          <w:szCs w:val="24"/>
        </w:rPr>
        <w:t>One should be highly skeptical of any rule that attempts to protect a sophisticated financial institution from itself. Dodd-Frank’s implementation of the Volker Rule, however, attempts to do precisely that by limiting the ability of banks and certain other finan</w:t>
      </w:r>
      <w:r w:rsidR="004F457C" w:rsidRPr="001A01F0">
        <w:rPr>
          <w:rFonts w:ascii="Times New Roman" w:hAnsi="Times New Roman" w:cs="Times New Roman"/>
          <w:sz w:val="24"/>
          <w:szCs w:val="24"/>
        </w:rPr>
        <w:t>cial institutions to engage in proprietary trading</w:t>
      </w:r>
      <w:r w:rsidRPr="001A01F0">
        <w:rPr>
          <w:rFonts w:ascii="Times New Roman" w:hAnsi="Times New Roman" w:cs="Times New Roman"/>
          <w:sz w:val="24"/>
          <w:szCs w:val="24"/>
        </w:rPr>
        <w:t>—essentially investing in securities for their own account.</w:t>
      </w:r>
      <w:r w:rsidR="004F457C" w:rsidRPr="001A01F0">
        <w:rPr>
          <w:rFonts w:ascii="Times New Roman" w:hAnsi="Times New Roman" w:cs="Times New Roman"/>
          <w:sz w:val="24"/>
          <w:szCs w:val="24"/>
        </w:rPr>
        <w:t>”</w:t>
      </w:r>
    </w:p>
    <w:p w:rsidR="00122839" w:rsidRPr="001A01F0" w:rsidRDefault="00122839" w:rsidP="007049F4">
      <w:pPr>
        <w:pStyle w:val="NoSpacing"/>
        <w:numPr>
          <w:ilvl w:val="1"/>
          <w:numId w:val="18"/>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Thir</w:t>
      </w:r>
      <w:r w:rsidR="004F457C" w:rsidRPr="001A01F0">
        <w:rPr>
          <w:rFonts w:ascii="Times New Roman" w:hAnsi="Times New Roman" w:cs="Times New Roman"/>
          <w:sz w:val="24"/>
          <w:szCs w:val="24"/>
        </w:rPr>
        <w:t xml:space="preserve">d, greater stability can be ensured by limiting </w:t>
      </w:r>
      <w:r w:rsidRPr="001A01F0">
        <w:rPr>
          <w:rFonts w:ascii="Times New Roman" w:hAnsi="Times New Roman" w:cs="Times New Roman"/>
          <w:sz w:val="24"/>
          <w:szCs w:val="24"/>
        </w:rPr>
        <w:t>inter</w:t>
      </w:r>
      <w:r w:rsidR="004F457C" w:rsidRPr="001A01F0">
        <w:rPr>
          <w:rFonts w:ascii="Times New Roman" w:hAnsi="Times New Roman" w:cs="Times New Roman"/>
          <w:sz w:val="24"/>
          <w:szCs w:val="24"/>
        </w:rPr>
        <w:t>-institution financial exposure thus</w:t>
      </w:r>
      <w:r w:rsidRPr="001A01F0">
        <w:rPr>
          <w:rFonts w:ascii="Times New Roman" w:hAnsi="Times New Roman" w:cs="Times New Roman"/>
          <w:sz w:val="24"/>
          <w:szCs w:val="24"/>
        </w:rPr>
        <w:t xml:space="preserve"> diversifying risk, </w:t>
      </w:r>
      <w:r w:rsidR="004F457C" w:rsidRPr="001A01F0">
        <w:rPr>
          <w:rFonts w:ascii="Times New Roman" w:hAnsi="Times New Roman" w:cs="Times New Roman"/>
          <w:sz w:val="24"/>
          <w:szCs w:val="24"/>
        </w:rPr>
        <w:t>“</w:t>
      </w:r>
      <w:r w:rsidRPr="001A01F0">
        <w:rPr>
          <w:rFonts w:ascii="Times New Roman" w:hAnsi="Times New Roman" w:cs="Times New Roman"/>
          <w:sz w:val="24"/>
          <w:szCs w:val="24"/>
        </w:rPr>
        <w:t xml:space="preserve">in effect by reducing the losses of any given contractual counterparty and thus the likelihood that such losses would cause the counterparty to fail. Limits might also reduce the urgency, and hence the panic, that contractual counterparties feel about closing out their positions. This approach </w:t>
      </w:r>
      <w:r w:rsidRPr="001A01F0">
        <w:rPr>
          <w:rFonts w:ascii="Times New Roman" w:hAnsi="Times New Roman" w:cs="Times New Roman"/>
          <w:sz w:val="24"/>
          <w:szCs w:val="24"/>
        </w:rPr>
        <w:lastRenderedPageBreak/>
        <w:t>already applies to banks through lending limits, which restrict the amount of bank exposure to any given customer’s risk. Its application beyond banks to other financial institutions is potentially appealing given the increasing blurring of lines between banks and non-bank financial institutions and the high volumes of financial assets circulating among nonbank financial entities. It is questionable, though, whether the government should impose financial exposure limits on large financial institutions. These institutions have already tried to protect themselves through risk management and risk mitigation. The financial crisis has raised questions, however, whether conflicts of interest among managers and other failures can undermine institutional risk management. Dodd-Frank addresses this problem by requiring many large public financial firms to establish risk committees, including at least one risk-management expert, responsible for enterprise-wide risk management oversight. Limiting Financial Institution Size. This is related to financial exposure limits, but this approach also addresses potential moral-hazard from ins</w:t>
      </w:r>
      <w:r w:rsidR="004F457C" w:rsidRPr="001A01F0">
        <w:rPr>
          <w:rFonts w:ascii="Times New Roman" w:hAnsi="Times New Roman" w:cs="Times New Roman"/>
          <w:sz w:val="24"/>
          <w:szCs w:val="24"/>
        </w:rPr>
        <w:t>titutions who believe they are ‘too big to fail’.</w:t>
      </w:r>
      <w:r w:rsidRPr="001A01F0">
        <w:rPr>
          <w:rFonts w:ascii="Times New Roman" w:hAnsi="Times New Roman" w:cs="Times New Roman"/>
          <w:sz w:val="24"/>
          <w:szCs w:val="24"/>
        </w:rPr>
        <w:t xml:space="preserve"> There is, however, no clear evidence of such risky behavior, and financial institutional losses in the recent financial crisis can be explained by other reasons. Financial institution size should not be artificially limited. Size should be governed by the economies of scale and scope needed for institutions to successfully compete, domestically and abroad—so long as that size is manageable. We should watch out, however, for institutions that increase their size, especially by acquisition of other institutions, primarily to satisfy senior management egos. Dodd-Frank indirectly addresses this concern (at least weakly) by linking senior executive compensation to long-term results—for example, requiring stock exchanges to adopt standards whereby listed companies implement policies to recoup senior executive compensation in the even</w:t>
      </w:r>
      <w:r w:rsidR="004F457C" w:rsidRPr="001A01F0">
        <w:rPr>
          <w:rFonts w:ascii="Times New Roman" w:hAnsi="Times New Roman" w:cs="Times New Roman"/>
          <w:sz w:val="24"/>
          <w:szCs w:val="24"/>
        </w:rPr>
        <w:t>t of an accounting restatement.”</w:t>
      </w:r>
      <w:sdt>
        <w:sdtPr>
          <w:rPr>
            <w:rFonts w:ascii="Times New Roman" w:hAnsi="Times New Roman" w:cs="Times New Roman"/>
            <w:sz w:val="24"/>
            <w:szCs w:val="24"/>
          </w:rPr>
          <w:id w:val="-284586151"/>
          <w:citation/>
        </w:sdtPr>
        <w:sdtContent>
          <w:r w:rsidR="004F457C" w:rsidRPr="001A01F0">
            <w:rPr>
              <w:rFonts w:ascii="Times New Roman" w:hAnsi="Times New Roman" w:cs="Times New Roman"/>
              <w:sz w:val="24"/>
              <w:szCs w:val="24"/>
            </w:rPr>
            <w:fldChar w:fldCharType="begin"/>
          </w:r>
          <w:r w:rsidR="004F457C" w:rsidRPr="001A01F0">
            <w:rPr>
              <w:rFonts w:ascii="Times New Roman" w:hAnsi="Times New Roman" w:cs="Times New Roman"/>
              <w:sz w:val="24"/>
              <w:szCs w:val="24"/>
            </w:rPr>
            <w:instrText xml:space="preserve"> CITATION Ste11 \l 1033 </w:instrText>
          </w:r>
          <w:r w:rsidR="004F457C"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004F457C" w:rsidRPr="001A01F0">
            <w:rPr>
              <w:rFonts w:ascii="Times New Roman" w:hAnsi="Times New Roman" w:cs="Times New Roman"/>
              <w:sz w:val="24"/>
              <w:szCs w:val="24"/>
            </w:rPr>
            <w:fldChar w:fldCharType="end"/>
          </w:r>
        </w:sdtContent>
      </w:sdt>
    </w:p>
    <w:p w:rsidR="003227CB" w:rsidRPr="001A01F0" w:rsidRDefault="003227CB" w:rsidP="00027826">
      <w:pPr>
        <w:pStyle w:val="NoSpacing"/>
        <w:spacing w:line="360" w:lineRule="auto"/>
        <w:jc w:val="both"/>
        <w:rPr>
          <w:rFonts w:ascii="Times New Roman" w:hAnsi="Times New Roman" w:cs="Times New Roman"/>
          <w:sz w:val="24"/>
          <w:szCs w:val="24"/>
        </w:rPr>
      </w:pPr>
    </w:p>
    <w:p w:rsidR="00122839" w:rsidRPr="00AF6544" w:rsidRDefault="00122839" w:rsidP="007049F4">
      <w:pPr>
        <w:pStyle w:val="NoSpacing"/>
        <w:numPr>
          <w:ilvl w:val="0"/>
          <w:numId w:val="19"/>
        </w:numPr>
        <w:spacing w:line="360" w:lineRule="auto"/>
        <w:jc w:val="both"/>
        <w:rPr>
          <w:rFonts w:ascii="Times New Roman" w:hAnsi="Times New Roman" w:cs="Times New Roman"/>
          <w:sz w:val="24"/>
          <w:szCs w:val="24"/>
        </w:rPr>
      </w:pPr>
      <w:r w:rsidRPr="00AF6544">
        <w:rPr>
          <w:rFonts w:ascii="Times New Roman" w:hAnsi="Times New Roman" w:cs="Times New Roman"/>
          <w:b/>
          <w:sz w:val="24"/>
          <w:szCs w:val="24"/>
        </w:rPr>
        <w:t>Ensuring Liquidity.</w:t>
      </w:r>
      <w:r w:rsidR="00D6311B" w:rsidRPr="001A01F0">
        <w:rPr>
          <w:rFonts w:ascii="Times New Roman" w:hAnsi="Times New Roman" w:cs="Times New Roman"/>
          <w:sz w:val="24"/>
          <w:szCs w:val="24"/>
        </w:rPr>
        <w:t xml:space="preserve"> Having enough liquid asset is crucial in order to absorb the blow of a financial difficulty. Liquid assets act as a cushion against financial difficulty providing its firm the breathing space it need so as to survive the hardship. Ensuring liquidity therefore proves to be vital to successfully withstand throughout an economic downturn of </w:t>
      </w:r>
      <w:r w:rsidR="00D6311B" w:rsidRPr="001A01F0">
        <w:rPr>
          <w:rFonts w:ascii="Times New Roman" w:hAnsi="Times New Roman" w:cs="Times New Roman"/>
          <w:sz w:val="24"/>
          <w:szCs w:val="24"/>
        </w:rPr>
        <w:lastRenderedPageBreak/>
        <w:t>difficulties of the sort.</w:t>
      </w:r>
      <w:r w:rsidR="00D6311B" w:rsidRPr="00AF6544">
        <w:rPr>
          <w:rFonts w:ascii="Times New Roman" w:hAnsi="Times New Roman" w:cs="Times New Roman"/>
          <w:sz w:val="24"/>
          <w:szCs w:val="24"/>
        </w:rPr>
        <w:t>“</w:t>
      </w:r>
      <w:r w:rsidRPr="00AF6544">
        <w:rPr>
          <w:rFonts w:ascii="Times New Roman" w:hAnsi="Times New Roman" w:cs="Times New Roman"/>
          <w:sz w:val="24"/>
          <w:szCs w:val="24"/>
        </w:rPr>
        <w:t>Ensuring liquidity could facilitate stability in two ways: by providing liquidity to financial institutions in order to prevent them from defaulting, and by providing liquidity to financial markets as necessary to keep them functioning. Central Bank has had the role of lender of last resort by providing liquidity to banks and other financial institutions in order to prevent them from defaulting.  However, acting as a lender of last resort to institutions can be costly. By providing a lifeline, a lender of last resort can at least theoretically foster moral hazard by encouraging financial institutions— especially those that believe the</w:t>
      </w:r>
      <w:r w:rsidR="00D6311B" w:rsidRPr="00AF6544">
        <w:rPr>
          <w:rFonts w:ascii="Times New Roman" w:hAnsi="Times New Roman" w:cs="Times New Roman"/>
          <w:sz w:val="24"/>
          <w:szCs w:val="24"/>
        </w:rPr>
        <w:t>y are too big to fail</w:t>
      </w:r>
      <w:r w:rsidRPr="00AF6544">
        <w:rPr>
          <w:rFonts w:ascii="Times New Roman" w:hAnsi="Times New Roman" w:cs="Times New Roman"/>
          <w:sz w:val="24"/>
          <w:szCs w:val="24"/>
        </w:rPr>
        <w:t>—to be fiscally reckless. It can also shift costs to taxpayers since loans made to institutions will not be repaid if the institutions eventually fail. For these reasons, the Dodd-Frank Act sharply limits the power of the Federal Reserve to make emergency loans to individual or insolvent financial institutions.  That categorical limitation appears somewhat excessive, though; a lender of last resort can be an important safeguard if it acts judiciously. One way that Dodd-Frank attempts to avoid the need to make emergency loans is by requiring banks a</w:t>
      </w:r>
      <w:r w:rsidR="00D6311B" w:rsidRPr="00AF6544">
        <w:rPr>
          <w:rFonts w:ascii="Times New Roman" w:hAnsi="Times New Roman" w:cs="Times New Roman"/>
          <w:sz w:val="24"/>
          <w:szCs w:val="24"/>
        </w:rPr>
        <w:t>nd—to the extent designated as systemically important</w:t>
      </w:r>
      <w:r w:rsidRPr="00AF6544">
        <w:rPr>
          <w:rFonts w:ascii="Times New Roman" w:hAnsi="Times New Roman" w:cs="Times New Roman"/>
          <w:sz w:val="24"/>
          <w:szCs w:val="24"/>
        </w:rPr>
        <w:t xml:space="preserve">—other financial firms to be subject to a range of capital, leverage, and liquidity requirements and periodic </w:t>
      </w:r>
      <w:r w:rsidR="00D6311B" w:rsidRPr="00AF6544">
        <w:rPr>
          <w:rFonts w:ascii="Times New Roman" w:hAnsi="Times New Roman" w:cs="Times New Roman"/>
          <w:sz w:val="24"/>
          <w:szCs w:val="24"/>
        </w:rPr>
        <w:t>stress testing.</w:t>
      </w:r>
      <w:r w:rsidRPr="00AF6544">
        <w:rPr>
          <w:rFonts w:ascii="Times New Roman" w:hAnsi="Times New Roman" w:cs="Times New Roman"/>
          <w:sz w:val="24"/>
          <w:szCs w:val="24"/>
        </w:rPr>
        <w:t xml:space="preserve">  It also requires these entities </w:t>
      </w:r>
      <w:r w:rsidR="00D6311B" w:rsidRPr="00AF6544">
        <w:rPr>
          <w:rFonts w:ascii="Times New Roman" w:hAnsi="Times New Roman" w:cs="Times New Roman"/>
          <w:sz w:val="24"/>
          <w:szCs w:val="24"/>
        </w:rPr>
        <w:t>to submit a resolution plan that</w:t>
      </w:r>
      <w:r w:rsidRPr="00AF6544">
        <w:rPr>
          <w:rFonts w:ascii="Times New Roman" w:hAnsi="Times New Roman" w:cs="Times New Roman"/>
          <w:sz w:val="24"/>
          <w:szCs w:val="24"/>
        </w:rPr>
        <w:t xml:space="preserve"> sets forth how, in the case of failure, the firm would wind down in a way that minimizes systemic impact.  The intention behind these provisions is to prevent failure and, if failure occurs, to mitigate the need for emergency loans by allowing the firm to fail in an orderly manner. The ultimate question, though, will be whether the ex ante plan matches the ex post reality. Regardless of how one views a lender of last resort to financial institutions, the financial crisis has shown that, in an era of disintermediation, more attention needs to be focused on providing liquidity to financial markets as necessary to keep them functioning. This approach should also be less costly than lending to institutions. A market liquidity provider of last resort, especially if it acts at the outset of a market panic, can profitably invest in securities at a deep discount from the ma</w:t>
      </w:r>
      <w:r w:rsidR="001557C3" w:rsidRPr="00AF6544">
        <w:rPr>
          <w:rFonts w:ascii="Times New Roman" w:hAnsi="Times New Roman" w:cs="Times New Roman"/>
          <w:sz w:val="24"/>
          <w:szCs w:val="24"/>
        </w:rPr>
        <w:t>rket price and still provide a ‘floor’</w:t>
      </w:r>
      <w:r w:rsidRPr="00AF6544">
        <w:rPr>
          <w:rFonts w:ascii="Times New Roman" w:hAnsi="Times New Roman" w:cs="Times New Roman"/>
          <w:sz w:val="24"/>
          <w:szCs w:val="24"/>
        </w:rPr>
        <w:t xml:space="preserve"> to how low the market will drop. Buying at a deep discount will mitigate moral hazard and also make it likely that the market liq</w:t>
      </w:r>
      <w:r w:rsidR="00D6311B" w:rsidRPr="00AF6544">
        <w:rPr>
          <w:rFonts w:ascii="Times New Roman" w:hAnsi="Times New Roman" w:cs="Times New Roman"/>
          <w:sz w:val="24"/>
          <w:szCs w:val="24"/>
        </w:rPr>
        <w:t>uidity provider will be repaid.”</w:t>
      </w:r>
      <w:sdt>
        <w:sdtPr>
          <w:rPr>
            <w:rFonts w:ascii="Times New Roman" w:hAnsi="Times New Roman" w:cs="Times New Roman"/>
            <w:sz w:val="24"/>
            <w:szCs w:val="24"/>
          </w:rPr>
          <w:id w:val="707924740"/>
          <w:citation/>
        </w:sdtPr>
        <w:sdtContent>
          <w:r w:rsidR="00D6311B" w:rsidRPr="00AF6544">
            <w:rPr>
              <w:rFonts w:ascii="Times New Roman" w:hAnsi="Times New Roman" w:cs="Times New Roman"/>
              <w:sz w:val="24"/>
              <w:szCs w:val="24"/>
            </w:rPr>
            <w:fldChar w:fldCharType="begin"/>
          </w:r>
          <w:r w:rsidR="00D6311B" w:rsidRPr="00AF6544">
            <w:rPr>
              <w:rFonts w:ascii="Times New Roman" w:hAnsi="Times New Roman" w:cs="Times New Roman"/>
              <w:sz w:val="24"/>
              <w:szCs w:val="24"/>
            </w:rPr>
            <w:instrText xml:space="preserve"> CITATION Ste11 \l 1033 </w:instrText>
          </w:r>
          <w:r w:rsidR="00D6311B" w:rsidRPr="00AF6544">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00D6311B" w:rsidRPr="00AF6544">
            <w:rPr>
              <w:rFonts w:ascii="Times New Roman" w:hAnsi="Times New Roman" w:cs="Times New Roman"/>
              <w:sz w:val="24"/>
              <w:szCs w:val="24"/>
            </w:rPr>
            <w:fldChar w:fldCharType="end"/>
          </w:r>
        </w:sdtContent>
      </w:sdt>
    </w:p>
    <w:p w:rsidR="003227CB" w:rsidRPr="001A01F0" w:rsidRDefault="003227CB" w:rsidP="00027826">
      <w:pPr>
        <w:pStyle w:val="NoSpacing"/>
        <w:spacing w:line="360" w:lineRule="auto"/>
        <w:jc w:val="both"/>
        <w:rPr>
          <w:rFonts w:ascii="Times New Roman" w:hAnsi="Times New Roman" w:cs="Times New Roman"/>
          <w:sz w:val="24"/>
          <w:szCs w:val="24"/>
        </w:rPr>
      </w:pPr>
    </w:p>
    <w:p w:rsidR="00122839" w:rsidRPr="001A01F0" w:rsidRDefault="00122839" w:rsidP="007049F4">
      <w:pPr>
        <w:pStyle w:val="NoSpacing"/>
        <w:numPr>
          <w:ilvl w:val="0"/>
          <w:numId w:val="20"/>
        </w:numPr>
        <w:spacing w:line="360" w:lineRule="auto"/>
        <w:jc w:val="both"/>
        <w:rPr>
          <w:rFonts w:ascii="Times New Roman" w:hAnsi="Times New Roman" w:cs="Times New Roman"/>
          <w:sz w:val="24"/>
          <w:szCs w:val="24"/>
        </w:rPr>
      </w:pPr>
      <w:r w:rsidRPr="00AF6544">
        <w:rPr>
          <w:rFonts w:ascii="Times New Roman" w:hAnsi="Times New Roman" w:cs="Times New Roman"/>
          <w:b/>
          <w:sz w:val="24"/>
          <w:szCs w:val="24"/>
        </w:rPr>
        <w:lastRenderedPageBreak/>
        <w:t>Reducing Complexity.</w:t>
      </w:r>
      <w:r w:rsidRPr="001A01F0">
        <w:rPr>
          <w:rFonts w:ascii="Times New Roman" w:hAnsi="Times New Roman" w:cs="Times New Roman"/>
          <w:sz w:val="24"/>
          <w:szCs w:val="24"/>
        </w:rPr>
        <w:t xml:space="preserve"> An obvious way to address complexity would be to require investments and other financial products to be more standardized, so market participants do not need to engage in as much due diligence. One of the goals of </w:t>
      </w:r>
      <w:r w:rsidR="007C214F" w:rsidRPr="001A01F0">
        <w:rPr>
          <w:rFonts w:ascii="Times New Roman" w:hAnsi="Times New Roman" w:cs="Times New Roman"/>
          <w:sz w:val="24"/>
          <w:szCs w:val="24"/>
        </w:rPr>
        <w:t>“</w:t>
      </w:r>
      <w:r w:rsidRPr="001A01F0">
        <w:rPr>
          <w:rFonts w:ascii="Times New Roman" w:hAnsi="Times New Roman" w:cs="Times New Roman"/>
          <w:sz w:val="24"/>
          <w:szCs w:val="24"/>
        </w:rPr>
        <w:t>Dodd-Frank is to standardize more derivatives transactions. To this end, the Act requires many derivatives to be cleared through clearinghouses, which generally require a high degree of standardization in the derivatives they clear.</w:t>
      </w:r>
      <w:r w:rsidR="007C214F" w:rsidRPr="001A01F0">
        <w:rPr>
          <w:rFonts w:ascii="Times New Roman" w:hAnsi="Times New Roman" w:cs="Times New Roman"/>
          <w:sz w:val="24"/>
          <w:szCs w:val="24"/>
        </w:rPr>
        <w:t>”</w:t>
      </w:r>
      <w:sdt>
        <w:sdtPr>
          <w:rPr>
            <w:rFonts w:ascii="Times New Roman" w:hAnsi="Times New Roman" w:cs="Times New Roman"/>
            <w:sz w:val="24"/>
            <w:szCs w:val="24"/>
          </w:rPr>
          <w:id w:val="541250682"/>
          <w:citation/>
        </w:sdtPr>
        <w:sdtContent>
          <w:r w:rsidR="007C214F" w:rsidRPr="001A01F0">
            <w:rPr>
              <w:rFonts w:ascii="Times New Roman" w:hAnsi="Times New Roman" w:cs="Times New Roman"/>
              <w:sz w:val="24"/>
              <w:szCs w:val="24"/>
            </w:rPr>
            <w:fldChar w:fldCharType="begin"/>
          </w:r>
          <w:r w:rsidR="007C214F" w:rsidRPr="001A01F0">
            <w:rPr>
              <w:rFonts w:ascii="Times New Roman" w:hAnsi="Times New Roman" w:cs="Times New Roman"/>
              <w:sz w:val="24"/>
              <w:szCs w:val="24"/>
            </w:rPr>
            <w:instrText xml:space="preserve"> CITATION Ste11 \l 1033 </w:instrText>
          </w:r>
          <w:r w:rsidR="007C214F"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(Schwarcz, 2011)</w:t>
          </w:r>
          <w:r w:rsidR="007C214F"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xml:space="preserve"> The overall economic impact of standardization is unclear, though, because standardization can interfere with the ability of parties to achieve the efficiencies that arise when firms craft derivatives tailored to particular needs of investors.</w:t>
      </w:r>
    </w:p>
    <w:p w:rsidR="00AE2B64" w:rsidRPr="001A01F0" w:rsidRDefault="00AE2B64" w:rsidP="00027826">
      <w:pPr>
        <w:pStyle w:val="NoSpacing"/>
        <w:spacing w:line="360" w:lineRule="auto"/>
        <w:jc w:val="both"/>
        <w:rPr>
          <w:rFonts w:ascii="Times New Roman" w:hAnsi="Times New Roman" w:cs="Times New Roman"/>
          <w:color w:val="222222"/>
          <w:sz w:val="24"/>
          <w:szCs w:val="24"/>
        </w:rPr>
      </w:pPr>
    </w:p>
    <w:p w:rsidR="00173B1D" w:rsidRPr="00B83DB3" w:rsidRDefault="00B83DB3" w:rsidP="0027736C">
      <w:pPr>
        <w:pStyle w:val="Heading1"/>
      </w:pPr>
      <w:bookmarkStart w:id="22" w:name="_Toc6873784"/>
      <w:r>
        <w:t xml:space="preserve">5.0 </w:t>
      </w:r>
      <w:r w:rsidR="00173B1D" w:rsidRPr="00B83DB3">
        <w:t>BASEL ACCORD IN MINIMIZING SYTEMIC RISK</w:t>
      </w:r>
      <w:bookmarkEnd w:id="22"/>
    </w:p>
    <w:p w:rsidR="00173B1D" w:rsidRPr="001A01F0" w:rsidRDefault="00173B1D" w:rsidP="00027826">
      <w:pPr>
        <w:pStyle w:val="NoSpacing"/>
        <w:spacing w:line="360" w:lineRule="auto"/>
        <w:jc w:val="both"/>
        <w:rPr>
          <w:rFonts w:ascii="Times New Roman" w:hAnsi="Times New Roman" w:cs="Times New Roman"/>
          <w:color w:val="222222"/>
          <w:sz w:val="24"/>
          <w:szCs w:val="24"/>
        </w:rPr>
      </w:pPr>
    </w:p>
    <w:p w:rsidR="003227CB" w:rsidRPr="00B83DB3" w:rsidRDefault="00B83DB3" w:rsidP="0027736C">
      <w:pPr>
        <w:pStyle w:val="Heading2"/>
      </w:pPr>
      <w:bookmarkStart w:id="23" w:name="_Toc6873785"/>
      <w:r>
        <w:t xml:space="preserve">5.0.1 </w:t>
      </w:r>
      <w:r w:rsidR="003227CB" w:rsidRPr="00B83DB3">
        <w:t>Elements of Risk Management as propounded in Basel- I</w:t>
      </w:r>
      <w:bookmarkEnd w:id="23"/>
    </w:p>
    <w:p w:rsidR="003227CB" w:rsidRPr="001A01F0" w:rsidRDefault="003227C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The Basel-I categorized assets into five risk categories based on the parameters of counter-party, collateral &amp; maturity and applied risk-weights ranging from zero, ten, twenty, fifty, and one hundred percent to each. The total value of each asset is multiplied by its risk weights and this adjusted amount is added across all assets to arrive at the value of total RWAs amount. Under the Basel-I Norms, adequacy of capital was of prime importance and banks were required to maintain a minimum CAR of 8% which meant that a bank has to hold a cushion for risky assets of no less than 8% of total capital and out of which at least 4% shall be of tier 1, or core capital. While Basel- I in1988 focused primarily on credit risk, in the 1996 amendment the CAR also included capital charge for market risk as well as operational risks. So, to maintain at 8% CAR more capital would be pumped in. The Basel– I, 1996 amendment also gave importance to categorize capital into Tier-I ( consisting of Core equity and disclosed Capital Reserves) and Tier-II capital (consisting of mainly supplementary capital such as subordinated debts, un-disclosed reserves, loan loss reserves and hybrid capital instruments So Basel-I Norms basically aimed at strengthening the capital structure of bank. So from risk management perspective, Basel-I (after amendment of 1996) took care of the three prominent risks viz. Credit risk, Market risk and Operational risks, but it lacked risk sensitivity and credit risk mitigants.</w:t>
      </w:r>
    </w:p>
    <w:p w:rsidR="003227CB" w:rsidRPr="001A01F0" w:rsidRDefault="003227CB" w:rsidP="00027826">
      <w:pPr>
        <w:pStyle w:val="NoSpacing"/>
        <w:spacing w:line="360" w:lineRule="auto"/>
        <w:jc w:val="both"/>
        <w:rPr>
          <w:rFonts w:ascii="Times New Roman" w:hAnsi="Times New Roman" w:cs="Times New Roman"/>
          <w:sz w:val="24"/>
          <w:szCs w:val="24"/>
        </w:rPr>
      </w:pPr>
    </w:p>
    <w:p w:rsidR="003227CB" w:rsidRPr="001A01F0" w:rsidRDefault="003227C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lastRenderedPageBreak/>
        <w:t>Risk Management Provisions Propounded In Basel-II: The Basel-II was expected to provide an improved and more comparable way to look at risk-taking across banks. Accordingly, it provided banks themselves to be more effective in detecting changes in risk levels, and to better assess the appropriateness of particular capital levels supporting such risks. Another major contribution to the risk management philosophy consisted in the fact that preparation for and the final implementation of Accord, resulted in increased resources applied to improving bank risk management practices. This also resulted in pricing becoming more reflective of risk and in better bank capital allocation and therefore undoubtedly, led financial institutions to deepen and accelerate their efforts to improve the evaluation, disclosure and management of risks. Thus, Basel-II gave impetus to improvements in bank risk management practices. It has always had this objective in mind in addition to creating a stronger, and a more resilient bank. Basel-II introduced a more scientific and systematic approaches for calculation of the capital charges for all types of risks. Basel-II also sets rigorous standards for the recognition of credit risk mitigation, ensuring that banks have sound internal procedures for assessing the legal certainty of such mitigation, that they include the effects of netting and collateral and that they factor into their calculations mismatches in maturity between hedging and hedged instruments, as well as other forms of risks. Additionally, Pillar-II ICAAP and Pillar-III market disclosures give added impetus to comprehensive improvements in a bank’s risk management practices. Under Pillar II, by regulators under SREP do also assess the integrity of banks’ internal economic capital models - focusing on aspects that are not well captured in the Pillar I framework, such as the firm’s correlation assumptions within and across portfolios and the rigor of its stress testing programs. Finally, under Pillar III, supervisors /regulators will ensure that accurate information about risks is disclosed. Thus, it may be reiterated that Basel-II Norms formalized the strong foundations of strong risk management principles, practices and structure to manage credit risk, Market risk and operational risks.</w:t>
      </w:r>
    </w:p>
    <w:p w:rsidR="003227CB" w:rsidRPr="001A01F0" w:rsidRDefault="003227C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Risk Management Tools Recommended by Basel-III: Basel-III aims to address the causes and remedies of the GFC that befell banks and other financial institutions due to inadequate regulatory provisions in earlier Norms. It’s well-known that GFC caused the massive losses to the USA housing market as a result of the high risk associated with subprime loans which was only financed through assets supported by securitization. The underlying principle behind the formulation of Basel-III as given in introductory lines of Basel-III: “Basel III: A global Regulatory Framework </w:t>
      </w:r>
      <w:r w:rsidRPr="001A01F0">
        <w:rPr>
          <w:rFonts w:ascii="Times New Roman" w:hAnsi="Times New Roman" w:cs="Times New Roman"/>
          <w:sz w:val="24"/>
          <w:szCs w:val="24"/>
        </w:rPr>
        <w:lastRenderedPageBreak/>
        <w:t>For More Resilient Banks and Banking Systems by BCBS, 2009” is to achieve twin objectives; one to make the banking more resilient by strengthening capital and liquidity regulations among the players in global banking and two to minimize systemic revolving risk to improve banks’ ability to withstand any financial turmoil. The specific Macro-Prudential provision to mitigate liquidity crisis under Basel-III is pegged at 30-days Liquidity Coverage Ratio (LCR). The LCR seeks to strengthen and promote the short-term liquidity/stability of banks. Under LCR, latest Basel Norms expect banks to hold adequate liquid low-yielding assets to meet this target. Basel-III also envisages measures to ensure long term liquidity for banks by proposing NSFR. To mitigate credit risk, the framework further increased the minimum capital requirement from 8% to 11.5%. Considering the capital inadequacy of banks that culminated into series of financial crisis, the Basel-III framework proposed a LR which provides that banks total assets should not exceed its capital by 33 times. This measure could reduce lending by banks to strengthen their capital base and also enable banks to have sufficient liquid assets to overcome any funding challenges. Basel–III also proposed additional capital buffers like CCCB and CCB to take care of risks known as systemic risks which assumes crisis-like dimensions fueled by heavy losses suffered by many banks simultaneously during economic down-turn which at times is further aggravated by inter-connectivity and system wide volatility etc. The following table summarizes the various risk management tools and concepts prescribed under Basel-Accords I, II and III and RBI guidelines for implementation by banks in India as referred in chapter-II earlier. It’s evident from the above table that the Basel-I Accord of 1998 and Basel-II proposals of 1999 which was effective worldwide in 2004 covered only the risks (Credit risk, Market risk and Operational risk) at individual bank’s level. But GFC proved that these were inadequate to contain the system wide big crisis which is due to inter-connectedness of banks and financial institutions as well as pro-cyclicity of the various risks due to economic down-turn etc. Basel-III signed in December 2010 and proposed to be implemented globally from December 2018 contains the innovative and revolutionary concept of SRM which is also known as ‘Macro –Prudential’ Risk Management Provisions. The essential elements of these provisions are described here as under.</w:t>
      </w:r>
      <w:sdt>
        <w:sdtPr>
          <w:rPr>
            <w:rFonts w:ascii="Times New Roman" w:hAnsi="Times New Roman" w:cs="Times New Roman"/>
            <w:sz w:val="24"/>
            <w:szCs w:val="24"/>
          </w:rPr>
          <w:id w:val="-1370067781"/>
          <w:citation/>
        </w:sdtPr>
        <w:sdtContent>
          <w:r w:rsidR="00173B1D" w:rsidRPr="001A01F0">
            <w:rPr>
              <w:rFonts w:ascii="Times New Roman" w:hAnsi="Times New Roman" w:cs="Times New Roman"/>
              <w:sz w:val="24"/>
              <w:szCs w:val="24"/>
            </w:rPr>
            <w:fldChar w:fldCharType="begin"/>
          </w:r>
          <w:r w:rsidR="00173B1D" w:rsidRPr="001A01F0">
            <w:rPr>
              <w:rFonts w:ascii="Times New Roman" w:hAnsi="Times New Roman" w:cs="Times New Roman"/>
              <w:sz w:val="24"/>
              <w:szCs w:val="24"/>
            </w:rPr>
            <w:instrText xml:space="preserve"> CITATION BAS \l 1033 </w:instrText>
          </w:r>
          <w:r w:rsidR="00173B1D"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(BASEL Committee)</w:t>
          </w:r>
          <w:r w:rsidR="00173B1D" w:rsidRPr="001A01F0">
            <w:rPr>
              <w:rFonts w:ascii="Times New Roman" w:hAnsi="Times New Roman" w:cs="Times New Roman"/>
              <w:sz w:val="24"/>
              <w:szCs w:val="24"/>
            </w:rPr>
            <w:fldChar w:fldCharType="end"/>
          </w:r>
        </w:sdtContent>
      </w:sdt>
    </w:p>
    <w:p w:rsidR="003227CB" w:rsidRPr="001A01F0" w:rsidRDefault="003227CB" w:rsidP="00027826">
      <w:pPr>
        <w:pStyle w:val="NoSpacing"/>
        <w:spacing w:line="360" w:lineRule="auto"/>
        <w:jc w:val="both"/>
        <w:rPr>
          <w:rFonts w:ascii="Times New Roman" w:hAnsi="Times New Roman" w:cs="Times New Roman"/>
          <w:sz w:val="24"/>
          <w:szCs w:val="24"/>
        </w:rPr>
      </w:pPr>
    </w:p>
    <w:p w:rsidR="003227CB" w:rsidRPr="001A01F0" w:rsidRDefault="003227CB" w:rsidP="00027826">
      <w:pPr>
        <w:pStyle w:val="NoSpacing"/>
        <w:spacing w:line="360" w:lineRule="auto"/>
        <w:jc w:val="both"/>
        <w:rPr>
          <w:rStyle w:val="Strong"/>
          <w:rFonts w:ascii="Times New Roman" w:hAnsi="Times New Roman" w:cs="Times New Roman"/>
          <w:b w:val="0"/>
          <w:bCs w:val="0"/>
          <w:sz w:val="24"/>
          <w:szCs w:val="24"/>
        </w:rPr>
      </w:pPr>
      <w:r w:rsidRPr="001A01F0">
        <w:rPr>
          <w:rFonts w:ascii="Times New Roman" w:hAnsi="Times New Roman" w:cs="Times New Roman"/>
          <w:noProof/>
          <w:sz w:val="24"/>
          <w:szCs w:val="24"/>
        </w:rPr>
        <w:lastRenderedPageBreak/>
        <w:drawing>
          <wp:inline distT="0" distB="0" distL="0" distR="0" wp14:anchorId="57336A17" wp14:editId="6A79C8B9">
            <wp:extent cx="5734050" cy="4848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sel.jpg"/>
                    <pic:cNvPicPr/>
                  </pic:nvPicPr>
                  <pic:blipFill>
                    <a:blip r:embed="rId15">
                      <a:extLst>
                        <a:ext uri="{28A0092B-C50C-407E-A947-70E740481C1C}">
                          <a14:useLocalDpi xmlns:a14="http://schemas.microsoft.com/office/drawing/2010/main" val="0"/>
                        </a:ext>
                      </a:extLst>
                    </a:blip>
                    <a:stretch>
                      <a:fillRect/>
                    </a:stretch>
                  </pic:blipFill>
                  <pic:spPr>
                    <a:xfrm>
                      <a:off x="0" y="0"/>
                      <a:ext cx="5734050" cy="4848225"/>
                    </a:xfrm>
                    <a:prstGeom prst="rect">
                      <a:avLst/>
                    </a:prstGeom>
                  </pic:spPr>
                </pic:pic>
              </a:graphicData>
            </a:graphic>
          </wp:inline>
        </w:drawing>
      </w:r>
    </w:p>
    <w:p w:rsidR="003227CB" w:rsidRPr="001A01F0" w:rsidRDefault="003227CB" w:rsidP="00027826">
      <w:pPr>
        <w:pStyle w:val="NoSpacing"/>
        <w:spacing w:line="360" w:lineRule="auto"/>
        <w:jc w:val="both"/>
        <w:rPr>
          <w:rFonts w:ascii="Times New Roman" w:hAnsi="Times New Roman" w:cs="Times New Roman"/>
          <w:sz w:val="24"/>
          <w:szCs w:val="24"/>
        </w:rPr>
      </w:pPr>
    </w:p>
    <w:p w:rsidR="003227CB" w:rsidRPr="001A01F0" w:rsidRDefault="003227CB" w:rsidP="00027826">
      <w:pPr>
        <w:pStyle w:val="NoSpacing"/>
        <w:spacing w:line="360" w:lineRule="auto"/>
        <w:jc w:val="both"/>
        <w:rPr>
          <w:rFonts w:ascii="Times New Roman" w:hAnsi="Times New Roman" w:cs="Times New Roman"/>
          <w:sz w:val="24"/>
          <w:szCs w:val="24"/>
        </w:rPr>
      </w:pPr>
    </w:p>
    <w:p w:rsidR="003227CB" w:rsidRPr="001A01F0" w:rsidRDefault="003227CB" w:rsidP="00027826">
      <w:pPr>
        <w:pStyle w:val="NoSpacing"/>
        <w:spacing w:line="360" w:lineRule="auto"/>
        <w:jc w:val="both"/>
        <w:rPr>
          <w:rFonts w:ascii="Times New Roman" w:hAnsi="Times New Roman" w:cs="Times New Roman"/>
          <w:sz w:val="24"/>
          <w:szCs w:val="24"/>
        </w:rPr>
      </w:pPr>
    </w:p>
    <w:p w:rsidR="003227CB" w:rsidRPr="001A01F0" w:rsidRDefault="003227CB" w:rsidP="00027826">
      <w:pPr>
        <w:pStyle w:val="NoSpacing"/>
        <w:spacing w:line="360" w:lineRule="auto"/>
        <w:jc w:val="both"/>
        <w:rPr>
          <w:rFonts w:ascii="Times New Roman" w:hAnsi="Times New Roman" w:cs="Times New Roman"/>
          <w:sz w:val="24"/>
          <w:szCs w:val="24"/>
        </w:rPr>
      </w:pPr>
    </w:p>
    <w:p w:rsidR="003227CB" w:rsidRPr="001A01F0" w:rsidRDefault="003227CB" w:rsidP="00027826">
      <w:pPr>
        <w:pStyle w:val="NoSpacing"/>
        <w:spacing w:line="360" w:lineRule="auto"/>
        <w:jc w:val="both"/>
        <w:rPr>
          <w:rFonts w:ascii="Times New Roman" w:hAnsi="Times New Roman" w:cs="Times New Roman"/>
          <w:sz w:val="24"/>
          <w:szCs w:val="24"/>
        </w:rPr>
      </w:pPr>
    </w:p>
    <w:p w:rsidR="003227CB" w:rsidRDefault="003227CB" w:rsidP="00027826">
      <w:pPr>
        <w:pStyle w:val="NoSpacing"/>
        <w:spacing w:line="360" w:lineRule="auto"/>
        <w:jc w:val="both"/>
        <w:rPr>
          <w:rFonts w:ascii="Times New Roman" w:hAnsi="Times New Roman" w:cs="Times New Roman"/>
          <w:sz w:val="24"/>
          <w:szCs w:val="24"/>
        </w:rPr>
      </w:pPr>
    </w:p>
    <w:p w:rsidR="00186FAF" w:rsidRDefault="00186FAF" w:rsidP="00027826">
      <w:pPr>
        <w:pStyle w:val="NoSpacing"/>
        <w:spacing w:line="360" w:lineRule="auto"/>
        <w:jc w:val="both"/>
        <w:rPr>
          <w:rFonts w:ascii="Times New Roman" w:hAnsi="Times New Roman" w:cs="Times New Roman"/>
          <w:sz w:val="24"/>
          <w:szCs w:val="24"/>
        </w:rPr>
      </w:pPr>
    </w:p>
    <w:p w:rsidR="00186FAF" w:rsidRDefault="00186FAF" w:rsidP="00027826">
      <w:pPr>
        <w:pStyle w:val="NoSpacing"/>
        <w:spacing w:line="360" w:lineRule="auto"/>
        <w:jc w:val="both"/>
        <w:rPr>
          <w:rFonts w:ascii="Times New Roman" w:hAnsi="Times New Roman" w:cs="Times New Roman"/>
          <w:sz w:val="24"/>
          <w:szCs w:val="24"/>
        </w:rPr>
      </w:pPr>
    </w:p>
    <w:p w:rsidR="00186FAF" w:rsidRDefault="00186FAF" w:rsidP="00027826">
      <w:pPr>
        <w:pStyle w:val="NoSpacing"/>
        <w:spacing w:line="360" w:lineRule="auto"/>
        <w:jc w:val="both"/>
        <w:rPr>
          <w:rFonts w:ascii="Times New Roman" w:hAnsi="Times New Roman" w:cs="Times New Roman"/>
          <w:sz w:val="24"/>
          <w:szCs w:val="24"/>
        </w:rPr>
      </w:pPr>
    </w:p>
    <w:p w:rsidR="00186FAF" w:rsidRPr="001A01F0" w:rsidRDefault="00186FAF" w:rsidP="00027826">
      <w:pPr>
        <w:pStyle w:val="NoSpacing"/>
        <w:spacing w:line="360" w:lineRule="auto"/>
        <w:jc w:val="both"/>
        <w:rPr>
          <w:rFonts w:ascii="Times New Roman" w:hAnsi="Times New Roman" w:cs="Times New Roman"/>
          <w:sz w:val="24"/>
          <w:szCs w:val="24"/>
        </w:rPr>
      </w:pPr>
    </w:p>
    <w:p w:rsidR="003227CB" w:rsidRPr="00B83DB3" w:rsidRDefault="00B83DB3" w:rsidP="0027736C">
      <w:pPr>
        <w:pStyle w:val="Heading2"/>
      </w:pPr>
      <w:bookmarkStart w:id="24" w:name="_Toc6873786"/>
      <w:r>
        <w:lastRenderedPageBreak/>
        <w:t xml:space="preserve">5.0.2 </w:t>
      </w:r>
      <w:r w:rsidR="003227CB" w:rsidRPr="00B83DB3">
        <w:t>Macro-Prudential tools in Bas</w:t>
      </w:r>
      <w:r w:rsidRPr="00B83DB3">
        <w:t>el-III to counter systemic risk</w:t>
      </w:r>
      <w:bookmarkEnd w:id="24"/>
      <w:r w:rsidR="003227CB" w:rsidRPr="00B83DB3">
        <w:t xml:space="preserve"> </w:t>
      </w:r>
    </w:p>
    <w:p w:rsidR="003227CB" w:rsidRPr="001A01F0" w:rsidRDefault="003227C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Borio (2012) focuses particularly on the interaction between credit and property prices which are associated with cycles of wide amplitude and long duration compared to GDP, and they are inextricably linked with financial crises. Borio suggests modeling this with new approaches to the cycle in risk attitudes which are only loosely linked to underlying values and fundamentals (as opposed to model-consistent expectations in models). This fits nicely with the idea of macro-prudential policy and the need to build buffers in good times and to run them down in bad times. The main causes of systemic risk are interconnectedness of financial institutions that engage in three broad activities: i) credit intermediation; ii) maturity transformation; and iii) leverage</w:t>
      </w:r>
      <w:r w:rsidR="00173B1D" w:rsidRPr="001A01F0">
        <w:rPr>
          <w:rFonts w:ascii="Times New Roman" w:hAnsi="Times New Roman" w:cs="Times New Roman"/>
          <w:sz w:val="24"/>
          <w:szCs w:val="24"/>
        </w:rPr>
        <w:t xml:space="preserve"> </w:t>
      </w:r>
      <w:sdt>
        <w:sdtPr>
          <w:rPr>
            <w:rFonts w:ascii="Times New Roman" w:hAnsi="Times New Roman" w:cs="Times New Roman"/>
            <w:sz w:val="24"/>
            <w:szCs w:val="24"/>
          </w:rPr>
          <w:id w:val="-591865827"/>
          <w:citation/>
        </w:sdtPr>
        <w:sdtContent>
          <w:r w:rsidR="00173B1D" w:rsidRPr="001A01F0">
            <w:rPr>
              <w:rFonts w:ascii="Times New Roman" w:hAnsi="Times New Roman" w:cs="Times New Roman"/>
              <w:sz w:val="24"/>
              <w:szCs w:val="24"/>
            </w:rPr>
            <w:fldChar w:fldCharType="begin"/>
          </w:r>
          <w:r w:rsidR="00173B1D" w:rsidRPr="001A01F0">
            <w:rPr>
              <w:rFonts w:ascii="Times New Roman" w:hAnsi="Times New Roman" w:cs="Times New Roman"/>
              <w:sz w:val="24"/>
              <w:szCs w:val="24"/>
            </w:rPr>
            <w:instrText xml:space="preserve"> CITATION RKS17 \l 1033 </w:instrText>
          </w:r>
          <w:r w:rsidR="00173B1D" w:rsidRPr="001A01F0">
            <w:rPr>
              <w:rFonts w:ascii="Times New Roman" w:hAnsi="Times New Roman" w:cs="Times New Roman"/>
              <w:sz w:val="24"/>
              <w:szCs w:val="24"/>
            </w:rPr>
            <w:fldChar w:fldCharType="separate"/>
          </w:r>
          <w:r w:rsidR="00B83DB3" w:rsidRPr="00B83DB3">
            <w:rPr>
              <w:rFonts w:ascii="Times New Roman" w:hAnsi="Times New Roman" w:cs="Times New Roman"/>
              <w:noProof/>
              <w:sz w:val="24"/>
              <w:szCs w:val="24"/>
            </w:rPr>
            <w:t>(Sinha, 2017)</w:t>
          </w:r>
          <w:r w:rsidR="00173B1D"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These activities extend well beyond banks, to what has been referred to as the Para-banking system, hedge funds, insurance, exchange traded funds, OTC derivatives etc. Further, according to Lim et al the effectiveness of macro-prudential policies largely addresses four different types of systemic risks, viz:</w:t>
      </w:r>
    </w:p>
    <w:p w:rsidR="003227CB" w:rsidRPr="001A01F0" w:rsidRDefault="003227C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Risks generated by strong credit growth. </w:t>
      </w:r>
    </w:p>
    <w:p w:rsidR="003227CB" w:rsidRPr="001A01F0" w:rsidRDefault="003227C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Risks arising from excessive leverage and the consequent deleveraging. </w:t>
      </w:r>
    </w:p>
    <w:p w:rsidR="003227CB" w:rsidRPr="001A01F0" w:rsidRDefault="003227C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Systemic liquidity risk.</w:t>
      </w:r>
    </w:p>
    <w:p w:rsidR="003227CB" w:rsidRPr="001A01F0" w:rsidRDefault="003227C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Risks related to large and volatile capital flows, including foreign currency lending.</w:t>
      </w:r>
    </w:p>
    <w:p w:rsidR="003227CB" w:rsidRPr="001A01F0" w:rsidRDefault="003227CB" w:rsidP="00027826">
      <w:pPr>
        <w:pStyle w:val="NoSpacing"/>
        <w:spacing w:line="360" w:lineRule="auto"/>
        <w:jc w:val="both"/>
        <w:rPr>
          <w:rFonts w:ascii="Times New Roman" w:hAnsi="Times New Roman" w:cs="Times New Roman"/>
          <w:sz w:val="24"/>
          <w:szCs w:val="24"/>
        </w:rPr>
      </w:pPr>
    </w:p>
    <w:p w:rsidR="003227CB" w:rsidRPr="00B83DB3" w:rsidRDefault="00B83DB3" w:rsidP="0027736C">
      <w:pPr>
        <w:pStyle w:val="Heading2"/>
      </w:pPr>
      <w:bookmarkStart w:id="25" w:name="_Toc6873787"/>
      <w:r>
        <w:t xml:space="preserve">5.0.3 </w:t>
      </w:r>
      <w:r w:rsidR="003227CB" w:rsidRPr="00B83DB3">
        <w:t>Systemic Risk Management/ Macro-Prudential Measures of Basel-III</w:t>
      </w:r>
      <w:bookmarkEnd w:id="25"/>
    </w:p>
    <w:p w:rsidR="003227CB" w:rsidRPr="001A01F0" w:rsidRDefault="003227C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The last decade of 20th century marked the advent of economic policies of liberalization and globalization adopted by emerging as well as developed economies of the world. As the integration of financial markets progresses rapidly, regulators become increasingly worried about the threat of systemic risk in the banking sector which may cause the simultaneous failure of several banks culminating into the severe economic crisis which was exactly witnessed during the GFC resulting into the failure of big banks in developed economy like USA. The risk of the financial system as a whole is called systemic risk</w:t>
      </w:r>
      <w:sdt>
        <w:sdtPr>
          <w:rPr>
            <w:rFonts w:ascii="Times New Roman" w:hAnsi="Times New Roman" w:cs="Times New Roman"/>
            <w:sz w:val="24"/>
            <w:szCs w:val="24"/>
          </w:rPr>
          <w:id w:val="1891996977"/>
          <w:citation/>
        </w:sdtPr>
        <w:sdtContent>
          <w:r w:rsidR="00173B1D" w:rsidRPr="001A01F0">
            <w:rPr>
              <w:rFonts w:ascii="Times New Roman" w:hAnsi="Times New Roman" w:cs="Times New Roman"/>
              <w:sz w:val="24"/>
              <w:szCs w:val="24"/>
            </w:rPr>
            <w:fldChar w:fldCharType="begin"/>
          </w:r>
          <w:r w:rsidR="00173B1D" w:rsidRPr="001A01F0">
            <w:rPr>
              <w:rFonts w:ascii="Times New Roman" w:hAnsi="Times New Roman" w:cs="Times New Roman"/>
              <w:sz w:val="24"/>
              <w:szCs w:val="24"/>
            </w:rPr>
            <w:instrText xml:space="preserve"> CITATION RKS17 \l 1033 </w:instrText>
          </w:r>
          <w:r w:rsidR="00173B1D"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(Sinha, 2017)</w:t>
          </w:r>
          <w:r w:rsidR="00173B1D"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Macro-Prudential policies or SRM pay special attention to systemic risk, that is, problems that threaten the health of the financial system as a whole. The Financial Stability Board of BIS (FSB) also defines macro-prudential policy as “one that uses prudential tools to limit systemic or system-wide financial risk”. The term ‘macro-prudential regulation’ characterizes the approach to financial regulation aimed to mitigate the risk of the financial system as a whole i.e., the systemic risk. A clearer definition of the macro-</w:t>
      </w:r>
      <w:r w:rsidRPr="001A01F0">
        <w:rPr>
          <w:rFonts w:ascii="Times New Roman" w:hAnsi="Times New Roman" w:cs="Times New Roman"/>
          <w:sz w:val="24"/>
          <w:szCs w:val="24"/>
        </w:rPr>
        <w:lastRenderedPageBreak/>
        <w:t>prudential term appears in Crockett, who saw two strands to it: i) the pro-cyclicality of the financial cycle, which called for a build-up of cushions in good times that could be run down in bad times (stabilizers); and ii) institutions having similar exposures being inter-connected with each other, which calls for the calibration of prudential tools with respect to the systemic importance of individual institutions”. According to Jaime Caruana systemic risk can be defined as "a risk of disruption to financial services that is caused by an impairment of all or parts of the financial system and has the potential to have serious negative consequences for the real economy." Hence, if a bank loses money from a risky investment, that is not systemic risk. But institutional failure due to their interconnectedness, market seizure, pro-cyclicity, infrastructure breakdown etc. can have serious adverse implications for many other market participants or banks. In these cases, there is a systemic risk dimension resulting into failure of banking industry. Basel-III addresses issues relating to systemic risk through various measures including (i) CCB, (ii) CCCB, (iii) LCR &amp; NSFR, (iv) LR (these measures have been explained in earlier chapter-2.4.3 to 6) and other provisions like; (v) addressing to threats of pro-cyclicality by provisioning requirements etc., (vi) addressing to risks of inter-connectedness; (vii) addressing the too-big-to-fail problem; and last but not the least, (viii) addressing reliance on external credit rating agencies. These risk-mitigating tools of SRM are described here under as the macro-prudential provisions of Basel-III. Banks are inter-connected in a variety of ways. They do participate in an interbank market, which exposes them to the risks of counterparty default and resultant illiquidity issues which are addressed under Basel-III Norms as SRM. Liquidity in financial markets and the soundness of each bank depends on the stability and confidence of the financial sector as a whole. Liquidity problems in a single (D-SIBs) bank will may therefore spill over to other banks. Such problems may ultimately require the monetary and fiscal authorities to re- capitalize such “too big to fail banks”. Banks provide essential services by operating the payments system and ensuring the flows of credit needed to keep the real economy going. But, the financial sector can exhibit cycles that are self-amplifying. This can lead to excessive booms and busts that could be avoided by early treatment with appropriate policies. One symptom of this pro-cyclicality can be large fluctuations in the overall level of credit growth. Wide experience in advanced and emerging market economies has shown that a credit boom – for instance triggered by capital inflows, speculation in housing markets, or high world prices for a country’s commodity exports – can sow the seeds of a subsequent bust, with widespread damage to the overall economy.</w:t>
      </w:r>
    </w:p>
    <w:p w:rsidR="008A46C2" w:rsidRPr="001A01F0" w:rsidRDefault="008A46C2" w:rsidP="00027826">
      <w:pPr>
        <w:pStyle w:val="NoSpacing"/>
        <w:spacing w:line="360" w:lineRule="auto"/>
        <w:jc w:val="both"/>
        <w:rPr>
          <w:rFonts w:ascii="Times New Roman" w:hAnsi="Times New Roman" w:cs="Times New Roman"/>
          <w:sz w:val="24"/>
          <w:szCs w:val="24"/>
        </w:rPr>
      </w:pPr>
    </w:p>
    <w:p w:rsidR="008A46C2" w:rsidRPr="00B83DB3" w:rsidRDefault="00B83DB3" w:rsidP="00186FAF">
      <w:pPr>
        <w:pStyle w:val="Heading1"/>
      </w:pPr>
      <w:bookmarkStart w:id="26" w:name="_Toc6873788"/>
      <w:r>
        <w:t xml:space="preserve">5.1 </w:t>
      </w:r>
      <w:r w:rsidR="008A46C2" w:rsidRPr="00B83DB3">
        <w:t>Shortcomings of the Existing Reform Proposal</w:t>
      </w:r>
      <w:bookmarkEnd w:id="26"/>
      <w:r w:rsidR="008A46C2" w:rsidRPr="00B83DB3">
        <w:t xml:space="preserve"> </w:t>
      </w:r>
    </w:p>
    <w:p w:rsidR="008A46C2" w:rsidRPr="001A01F0" w:rsidRDefault="008A46C2"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While Basel III can be considered a necessary step forward, it has a number of shortcomings with respect to the regulation of Systemically Important Financial Institutions (SIFIs) and systemic risk. Stronger capital requirements can help to enhance the resilience of the financial system to contagion effects, common shocks, and informational spillovers, as they effectively reduce counterparty risk</w:t>
      </w:r>
      <w:r w:rsidR="00310D27" w:rsidRPr="001A01F0">
        <w:rPr>
          <w:rFonts w:ascii="Times New Roman" w:hAnsi="Times New Roman" w:cs="Times New Roman"/>
          <w:sz w:val="24"/>
          <w:szCs w:val="24"/>
        </w:rPr>
        <w:t xml:space="preserve"> </w:t>
      </w:r>
      <w:sdt>
        <w:sdtPr>
          <w:rPr>
            <w:rFonts w:ascii="Times New Roman" w:hAnsi="Times New Roman" w:cs="Times New Roman"/>
            <w:sz w:val="24"/>
            <w:szCs w:val="24"/>
          </w:rPr>
          <w:id w:val="-1673023244"/>
          <w:citation/>
        </w:sdtPr>
        <w:sdtContent>
          <w:r w:rsidR="00310D27" w:rsidRPr="001A01F0">
            <w:rPr>
              <w:rFonts w:ascii="Times New Roman" w:hAnsi="Times New Roman" w:cs="Times New Roman"/>
              <w:sz w:val="24"/>
              <w:szCs w:val="24"/>
            </w:rPr>
            <w:fldChar w:fldCharType="begin"/>
          </w:r>
          <w:r w:rsidR="00310D27" w:rsidRPr="001A01F0">
            <w:rPr>
              <w:rFonts w:ascii="Times New Roman" w:hAnsi="Times New Roman" w:cs="Times New Roman"/>
              <w:sz w:val="24"/>
              <w:szCs w:val="24"/>
            </w:rPr>
            <w:instrText xml:space="preserve"> CITATION CoP11 \l 1033 </w:instrText>
          </w:r>
          <w:r w:rsidR="00310D27" w:rsidRPr="001A01F0">
            <w:rPr>
              <w:rFonts w:ascii="Times New Roman" w:hAnsi="Times New Roman" w:cs="Times New Roman"/>
              <w:sz w:val="24"/>
              <w:szCs w:val="24"/>
            </w:rPr>
            <w:fldChar w:fldCharType="separate"/>
          </w:r>
          <w:r w:rsidR="00B83DB3" w:rsidRPr="00B83DB3">
            <w:rPr>
              <w:rFonts w:ascii="Times New Roman" w:hAnsi="Times New Roman" w:cs="Times New Roman"/>
              <w:noProof/>
              <w:sz w:val="24"/>
              <w:szCs w:val="24"/>
            </w:rPr>
            <w:t>(Georg, 2011)</w:t>
          </w:r>
          <w:r w:rsidR="00310D27"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xml:space="preserve">. In this respect, the increased core capital requirements, as well as the increase in capital quality were steps in the right direction. This is especially the case for the leverage ratio and liquidity requirements. A number of problems remain, however. </w:t>
      </w:r>
    </w:p>
    <w:p w:rsidR="008A46C2" w:rsidRPr="001A01F0" w:rsidRDefault="008A46C2" w:rsidP="007049F4">
      <w:pPr>
        <w:pStyle w:val="NoSpacing"/>
        <w:numPr>
          <w:ilvl w:val="0"/>
          <w:numId w:val="21"/>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The core problem with capital requirements is their dependency on risk weighted assets. As long as the risk-weights for interbank loans and other financial assets do not reflect the true risk associated with these assets, even the strongest capital requirements are rendered useless. In fact, the risk-weights currently implemented largely contributed to the creation of systemic risk as they incentivized banks to hold financial assets (interbank loans, derivatives, etc.) instead of real assets (corporate loans, corporate bonds, etc.) that have lower correlation. Basel III has missed the opportunity to reform the risk weights and rule them out as a source of systemic risk</w:t>
      </w:r>
      <w:sdt>
        <w:sdtPr>
          <w:rPr>
            <w:rFonts w:ascii="Times New Roman" w:hAnsi="Times New Roman" w:cs="Times New Roman"/>
            <w:sz w:val="24"/>
            <w:szCs w:val="24"/>
          </w:rPr>
          <w:id w:val="-1521073399"/>
          <w:citation/>
        </w:sdtPr>
        <w:sdtContent>
          <w:r w:rsidR="000E2E21" w:rsidRPr="001A01F0">
            <w:rPr>
              <w:rFonts w:ascii="Times New Roman" w:hAnsi="Times New Roman" w:cs="Times New Roman"/>
              <w:sz w:val="24"/>
              <w:szCs w:val="24"/>
            </w:rPr>
            <w:fldChar w:fldCharType="begin"/>
          </w:r>
          <w:r w:rsidR="000E2E21" w:rsidRPr="001A01F0">
            <w:rPr>
              <w:rFonts w:ascii="Times New Roman" w:hAnsi="Times New Roman" w:cs="Times New Roman"/>
              <w:sz w:val="24"/>
              <w:szCs w:val="24"/>
            </w:rPr>
            <w:instrText xml:space="preserve"> CITATION CoP11 \l 1033 </w:instrText>
          </w:r>
          <w:r w:rsidR="000E2E21"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(Georg, 2011)</w:t>
          </w:r>
          <w:r w:rsidR="000E2E21"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xml:space="preserve">. The asset value correlation (AVC) factor proposed for large financial institutions in Basel III is a global factor and does not take into account the different magnitudes of correlation of different assets. The correlation between two asset classes (i.e. the correlation between corporate loans and interbank loans) will in general be lower than the correlation of two assets of the same asset class. Banks thus have no incentive to diversify their portfolios but will rather specialize on holding assets of a certain class and gain profits from economies of scale and specialization, effectively creating portfolio lump risks. Portfolio lumpiness, however, is a significant source of systemic risk, as e.g. Georg and Poschmann (2010) show. Therefore, the risk-weights and asset value correlation factor of Basel III fail to mitigate systemic risk. As banks lack the relevant information about the network structure of the financial system, they will necessarily underestimate the correlation of their portfolios and are thus unable to conduct optimal risk management. Only the supervisory authority is able to appropriately map the financial network in a macro prudential risk analysis. The network effect is amplified for SIFIs as the correlations between interbank loans from smaller banks </w:t>
      </w:r>
      <w:r w:rsidRPr="001A01F0">
        <w:rPr>
          <w:rFonts w:ascii="Times New Roman" w:hAnsi="Times New Roman" w:cs="Times New Roman"/>
          <w:sz w:val="24"/>
          <w:szCs w:val="24"/>
        </w:rPr>
        <w:lastRenderedPageBreak/>
        <w:t>to SIFIs will be larger, as it is the very definition of a SIFI that its default causes widespread failure in the financial system.</w:t>
      </w:r>
    </w:p>
    <w:p w:rsidR="008A46C2" w:rsidRPr="001A01F0" w:rsidRDefault="008A46C2" w:rsidP="007049F4">
      <w:pPr>
        <w:pStyle w:val="NoSpacing"/>
        <w:numPr>
          <w:ilvl w:val="0"/>
          <w:numId w:val="21"/>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Basel III aims at regulating SIFIs by imposing additional capital requirements that are deemed to be commensurate with their systemic importance. The systemic importance of a bank, however, is a highly volatile quantity that can rapidly change over time. As it is impossible for banks to raise banking capital over night, they will be forced to hold as much banking capital as is required at the time of their largest systemic importance for the capital requirement to be effective. This argument makes it difficult for regulatory authorities to justify the additional requirements to the banks. Furthermore, capital requirements to prevent banks from gaining systemic importance can only be effective, if these requirements generate costs for the banks that are higher than the benefits from bail-out guarantees (see e.g. Akram and Christophesen (2010) for an analysis of gains from systemic importance). Otherwise, banks would still have an incentive to gain systemic importance. The benefits of bail-out guarantees can be estimated from two factors: (i) the amount of money governments had to spend on recent bail-outs; and (ii) the implicit gains that stem from the extraordinary monetary policy measures. It seems therefore unlikely that imposing additional capital requirements for SIFIs works in practice. This raises the question of what is left of the promise to regulate banks that are too large, too interconnected, or otherwise of systemic importance. Basel III fails to provide a valid answer to that question.</w:t>
      </w:r>
    </w:p>
    <w:p w:rsidR="008A46C2" w:rsidRPr="001A01F0" w:rsidRDefault="008A46C2" w:rsidP="007049F4">
      <w:pPr>
        <w:pStyle w:val="NoSpacing"/>
        <w:numPr>
          <w:ilvl w:val="0"/>
          <w:numId w:val="21"/>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Another problem with imposing additional capital requirements for SIFIs is, that the G20 yet failed to agree on a global lower bound of these requirements. This will lead to a race to the bottom amongst countries, as no country will voluntarily weaken it’s financial sector by imposing large capital requirements for systemically important financial institutions. I have argued that it is very difficult to properly measure the systemic importance of an individual financial institution and regulatory authorities will always have to justify additional capital requirements for those banks that they deem to be of systemic importance. Without the appropriate measures of individual financial institutions, it is almost impossible for a regulatory authority to justify any additional capital charges of significant order. The Financial Stability Board (2010a) addresses the same problem with respect to the requirement that supervisory authorities be pro-active and intervene early </w:t>
      </w:r>
      <w:r w:rsidRPr="001A01F0">
        <w:rPr>
          <w:rFonts w:ascii="Times New Roman" w:hAnsi="Times New Roman" w:cs="Times New Roman"/>
          <w:sz w:val="24"/>
          <w:szCs w:val="24"/>
        </w:rPr>
        <w:lastRenderedPageBreak/>
        <w:t>during the build-up of systemic risks. It is stated that “when supervisors take an early intervention approach, there are often no tangible risk indicators (i.e. losses) to confirm that this intervention is needed, so this makes it difficult to convince a firm and their boards that such measures are necessary to deal proactively with emerging areas of risk within a SIFI”</w:t>
      </w:r>
      <w:sdt>
        <w:sdtPr>
          <w:rPr>
            <w:rFonts w:ascii="Times New Roman" w:hAnsi="Times New Roman" w:cs="Times New Roman"/>
            <w:sz w:val="24"/>
            <w:szCs w:val="24"/>
          </w:rPr>
          <w:id w:val="858239141"/>
          <w:citation/>
        </w:sdtPr>
        <w:sdtContent>
          <w:r w:rsidR="000E2E21" w:rsidRPr="001A01F0">
            <w:rPr>
              <w:rFonts w:ascii="Times New Roman" w:hAnsi="Times New Roman" w:cs="Times New Roman"/>
              <w:sz w:val="24"/>
              <w:szCs w:val="24"/>
            </w:rPr>
            <w:fldChar w:fldCharType="begin"/>
          </w:r>
          <w:r w:rsidR="000E2E21" w:rsidRPr="001A01F0">
            <w:rPr>
              <w:rFonts w:ascii="Times New Roman" w:hAnsi="Times New Roman" w:cs="Times New Roman"/>
              <w:sz w:val="24"/>
              <w:szCs w:val="24"/>
            </w:rPr>
            <w:instrText xml:space="preserve"> CITATION CoP11 \l 1033 </w:instrText>
          </w:r>
          <w:r w:rsidR="000E2E21"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(Georg, 2011)</w:t>
          </w:r>
          <w:r w:rsidR="000E2E21" w:rsidRPr="001A01F0">
            <w:rPr>
              <w:rFonts w:ascii="Times New Roman" w:hAnsi="Times New Roman" w:cs="Times New Roman"/>
              <w:sz w:val="24"/>
              <w:szCs w:val="24"/>
            </w:rPr>
            <w:fldChar w:fldCharType="end"/>
          </w:r>
        </w:sdtContent>
      </w:sdt>
      <w:r w:rsidRPr="001A01F0">
        <w:rPr>
          <w:rFonts w:ascii="Times New Roman" w:hAnsi="Times New Roman" w:cs="Times New Roman"/>
          <w:sz w:val="24"/>
          <w:szCs w:val="24"/>
        </w:rPr>
        <w:t>. The key question is, if it is generally possible to construct measures that detect systemic risks while they are building up. While the indicators currently available in the literature are a huge step forward when compared to the literature before the crisis, they might still fail this particular task.</w:t>
      </w:r>
    </w:p>
    <w:p w:rsidR="008A46C2" w:rsidRPr="001A01F0" w:rsidRDefault="008A46C2" w:rsidP="00027826">
      <w:pPr>
        <w:pStyle w:val="NoSpacing"/>
        <w:spacing w:line="360" w:lineRule="auto"/>
        <w:jc w:val="both"/>
        <w:rPr>
          <w:rFonts w:ascii="Times New Roman" w:hAnsi="Times New Roman" w:cs="Times New Roman"/>
          <w:sz w:val="24"/>
          <w:szCs w:val="24"/>
        </w:rPr>
      </w:pPr>
    </w:p>
    <w:p w:rsidR="008A46C2" w:rsidRPr="001A01F0" w:rsidRDefault="008A46C2" w:rsidP="007049F4">
      <w:pPr>
        <w:pStyle w:val="NoSpacing"/>
        <w:numPr>
          <w:ilvl w:val="0"/>
          <w:numId w:val="21"/>
        </w:numPr>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The different forms of systemic risk are interdependent and reinforce each other. However, informational spillovers are a rarely addressed issue in the G20 discussion on systemic risk. One of the few places where informational spillovers are mentioned is the Financial Stability Board (2010), stating that “Having a capital level that is too low vis-a-vis the risks being taken, especially for SIFIs, can lead to a highly vulnerable financial system. This shortfall contributed to the loss of confidence among counterparties, funds providers and investors”. The enhanced capital requirements of Basel III will reduce the default probability of financial institutions. Therefore it will also reduce the risk of informational spillovers and herding behavior, as market participants are aware of the higher resilience of the financial system. This will strengthen the trust amongst banks, but the question remains if it will prevent liquidity hoarding and fire-sales in a future crisis. The recent experience suggests that banks are well aware of the shortcomings of their risk-assessment and the devastating effects of informational contagion. This manifested with the insolvency of Lehman brothers in September 2008. The systemic impact of this particular insolvency was modest in terms of contagion effects and common shocks. But it was a signal to the remaining banks that they had underestimated the risks they had taken in their asset portfolios. The regulatory reform process thus has to focus on addressing informational spillovers as a relevant form of systemic risk and propose measures to address this issue.</w:t>
      </w:r>
    </w:p>
    <w:p w:rsidR="00EC6087" w:rsidRPr="001A01F0" w:rsidRDefault="00EC6087" w:rsidP="00027826">
      <w:pPr>
        <w:pStyle w:val="NoSpacing"/>
        <w:spacing w:line="360" w:lineRule="auto"/>
        <w:jc w:val="both"/>
        <w:rPr>
          <w:rFonts w:ascii="Times New Roman" w:hAnsi="Times New Roman" w:cs="Times New Roman"/>
          <w:sz w:val="24"/>
          <w:szCs w:val="24"/>
        </w:rPr>
      </w:pPr>
    </w:p>
    <w:p w:rsidR="00EC6087" w:rsidRPr="001A01F0" w:rsidRDefault="00EC6087" w:rsidP="00027826">
      <w:pPr>
        <w:pStyle w:val="NoSpacing"/>
        <w:spacing w:line="360" w:lineRule="auto"/>
        <w:jc w:val="both"/>
        <w:rPr>
          <w:rFonts w:ascii="Times New Roman" w:hAnsi="Times New Roman" w:cs="Times New Roman"/>
          <w:sz w:val="24"/>
          <w:szCs w:val="24"/>
        </w:rPr>
      </w:pPr>
    </w:p>
    <w:p w:rsidR="00EC6087" w:rsidRDefault="00EC6087" w:rsidP="00027826">
      <w:pPr>
        <w:pStyle w:val="NoSpacing"/>
        <w:spacing w:line="360" w:lineRule="auto"/>
        <w:jc w:val="both"/>
        <w:rPr>
          <w:rFonts w:ascii="Times New Roman" w:hAnsi="Times New Roman" w:cs="Times New Roman"/>
          <w:b/>
          <w:sz w:val="24"/>
          <w:szCs w:val="24"/>
        </w:rPr>
      </w:pPr>
    </w:p>
    <w:p w:rsidR="0027736C" w:rsidRPr="001A01F0" w:rsidRDefault="0027736C" w:rsidP="00027826">
      <w:pPr>
        <w:pStyle w:val="NoSpacing"/>
        <w:spacing w:line="360" w:lineRule="auto"/>
        <w:jc w:val="both"/>
        <w:rPr>
          <w:rFonts w:ascii="Times New Roman" w:hAnsi="Times New Roman" w:cs="Times New Roman"/>
          <w:b/>
          <w:sz w:val="24"/>
          <w:szCs w:val="24"/>
        </w:rPr>
      </w:pPr>
    </w:p>
    <w:p w:rsidR="0078191E" w:rsidRPr="001A01F0" w:rsidRDefault="00B83DB3" w:rsidP="0027736C">
      <w:pPr>
        <w:pStyle w:val="Heading1"/>
      </w:pPr>
      <w:bookmarkStart w:id="27" w:name="_Toc6873789"/>
      <w:r>
        <w:lastRenderedPageBreak/>
        <w:t xml:space="preserve">6.0 </w:t>
      </w:r>
      <w:r w:rsidR="0078191E" w:rsidRPr="001A01F0">
        <w:t>Conclusion</w:t>
      </w:r>
      <w:bookmarkEnd w:id="27"/>
    </w:p>
    <w:p w:rsidR="009C288B" w:rsidRPr="001A01F0" w:rsidRDefault="00845C9E"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w:t>
      </w:r>
      <w:r w:rsidR="0078191E" w:rsidRPr="001A01F0">
        <w:rPr>
          <w:rFonts w:ascii="Times New Roman" w:hAnsi="Times New Roman" w:cs="Times New Roman"/>
          <w:sz w:val="24"/>
          <w:szCs w:val="24"/>
        </w:rPr>
        <w:t xml:space="preserve">Systemic risk is a matter of great concern to central bankers, regulators and politicians around the world. The resilience of the global financial payments system is a key component of both domestic and international financial stability. Because a breakdown of the banking system is likely to occur in the context of an (international) financial crisis, the analysis of major financial disasters such as emerging market currency </w:t>
      </w:r>
      <w:r w:rsidR="009C288B" w:rsidRPr="001A01F0">
        <w:rPr>
          <w:rFonts w:ascii="Times New Roman" w:hAnsi="Times New Roman" w:cs="Times New Roman"/>
          <w:sz w:val="24"/>
          <w:szCs w:val="24"/>
        </w:rPr>
        <w:t>crises appears relevant”</w:t>
      </w:r>
      <w:sdt>
        <w:sdtPr>
          <w:rPr>
            <w:rFonts w:ascii="Times New Roman" w:hAnsi="Times New Roman" w:cs="Times New Roman"/>
            <w:sz w:val="24"/>
            <w:szCs w:val="24"/>
          </w:rPr>
          <w:id w:val="330955368"/>
          <w:citation/>
        </w:sdtPr>
        <w:sdtContent>
          <w:r w:rsidR="009C288B" w:rsidRPr="001A01F0">
            <w:rPr>
              <w:rFonts w:ascii="Times New Roman" w:hAnsi="Times New Roman" w:cs="Times New Roman"/>
              <w:sz w:val="24"/>
              <w:szCs w:val="24"/>
            </w:rPr>
            <w:fldChar w:fldCharType="begin"/>
          </w:r>
          <w:r w:rsidR="009C288B" w:rsidRPr="001A01F0">
            <w:rPr>
              <w:rFonts w:ascii="Times New Roman" w:hAnsi="Times New Roman" w:cs="Times New Roman"/>
              <w:sz w:val="24"/>
              <w:szCs w:val="24"/>
            </w:rPr>
            <w:instrText xml:space="preserve"> CITATION Söh15 \l 1033 </w:instrText>
          </w:r>
          <w:r w:rsidR="009C288B" w:rsidRPr="001A01F0">
            <w:rPr>
              <w:rFonts w:ascii="Times New Roman" w:hAnsi="Times New Roman" w:cs="Times New Roman"/>
              <w:sz w:val="24"/>
              <w:szCs w:val="24"/>
            </w:rPr>
            <w:fldChar w:fldCharType="separate"/>
          </w:r>
          <w:r w:rsidR="00B83DB3">
            <w:rPr>
              <w:rFonts w:ascii="Times New Roman" w:hAnsi="Times New Roman" w:cs="Times New Roman"/>
              <w:noProof/>
              <w:sz w:val="24"/>
              <w:szCs w:val="24"/>
            </w:rPr>
            <w:t xml:space="preserve"> </w:t>
          </w:r>
          <w:r w:rsidR="00B83DB3" w:rsidRPr="00B83DB3">
            <w:rPr>
              <w:rFonts w:ascii="Times New Roman" w:hAnsi="Times New Roman" w:cs="Times New Roman"/>
              <w:noProof/>
              <w:sz w:val="24"/>
              <w:szCs w:val="24"/>
            </w:rPr>
            <w:t>(Söhnke M. Bartram, 2015)</w:t>
          </w:r>
          <w:r w:rsidR="009C288B" w:rsidRPr="001A01F0">
            <w:rPr>
              <w:rFonts w:ascii="Times New Roman" w:hAnsi="Times New Roman" w:cs="Times New Roman"/>
              <w:sz w:val="24"/>
              <w:szCs w:val="24"/>
            </w:rPr>
            <w:fldChar w:fldCharType="end"/>
          </w:r>
        </w:sdtContent>
      </w:sdt>
      <w:r w:rsidR="009C288B" w:rsidRPr="001A01F0">
        <w:rPr>
          <w:rFonts w:ascii="Times New Roman" w:hAnsi="Times New Roman" w:cs="Times New Roman"/>
          <w:sz w:val="24"/>
          <w:szCs w:val="24"/>
        </w:rPr>
        <w:t>.</w:t>
      </w:r>
      <w:r w:rsidR="0078191E" w:rsidRPr="001A01F0">
        <w:rPr>
          <w:rFonts w:ascii="Times New Roman" w:hAnsi="Times New Roman" w:cs="Times New Roman"/>
          <w:sz w:val="24"/>
          <w:szCs w:val="24"/>
        </w:rPr>
        <w:t xml:space="preserve"> </w:t>
      </w:r>
      <w:r w:rsidR="009C288B" w:rsidRPr="001A01F0">
        <w:rPr>
          <w:rFonts w:ascii="Times New Roman" w:hAnsi="Times New Roman" w:cs="Times New Roman"/>
          <w:sz w:val="24"/>
          <w:szCs w:val="24"/>
        </w:rPr>
        <w:t>Though there have been many study about the fact of transmission of systemic from market to market, however, to us till now it is vague what actually trigger</w:t>
      </w:r>
      <w:r w:rsidR="00F839BB" w:rsidRPr="001A01F0">
        <w:rPr>
          <w:rFonts w:ascii="Times New Roman" w:hAnsi="Times New Roman" w:cs="Times New Roman"/>
          <w:sz w:val="24"/>
          <w:szCs w:val="24"/>
        </w:rPr>
        <w:t>s</w:t>
      </w:r>
      <w:r w:rsidR="009C288B" w:rsidRPr="001A01F0">
        <w:rPr>
          <w:rFonts w:ascii="Times New Roman" w:hAnsi="Times New Roman" w:cs="Times New Roman"/>
          <w:sz w:val="24"/>
          <w:szCs w:val="24"/>
        </w:rPr>
        <w:t xml:space="preserve"> a systemic risk.</w:t>
      </w:r>
    </w:p>
    <w:p w:rsidR="0078191E" w:rsidRPr="001A01F0" w:rsidRDefault="009C288B"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sz w:val="24"/>
          <w:szCs w:val="24"/>
        </w:rPr>
        <w:t xml:space="preserve"> </w:t>
      </w:r>
      <w:r w:rsidR="0078191E" w:rsidRPr="001A01F0">
        <w:rPr>
          <w:rFonts w:ascii="Times New Roman" w:hAnsi="Times New Roman" w:cs="Times New Roman"/>
          <w:sz w:val="24"/>
          <w:szCs w:val="24"/>
        </w:rPr>
        <w:t xml:space="preserve">Systemic Risk in its very nature has the elusive nature. It is not a risk by itself rather it works as an amplifier for other seemingly simple risks that can lead to some very serious damage. Systemic risk can stem from both endogenous and exogenous risk sources. To account for systemic risk it necessitates a holistic approach. </w:t>
      </w:r>
    </w:p>
    <w:p w:rsidR="00EC6087" w:rsidRPr="001A01F0" w:rsidRDefault="00EC6087" w:rsidP="00027826">
      <w:pPr>
        <w:pStyle w:val="NoSpacing"/>
        <w:spacing w:line="360" w:lineRule="auto"/>
        <w:jc w:val="both"/>
        <w:rPr>
          <w:rFonts w:ascii="Times New Roman" w:hAnsi="Times New Roman" w:cs="Times New Roman"/>
          <w:sz w:val="24"/>
          <w:szCs w:val="24"/>
        </w:rPr>
      </w:pPr>
    </w:p>
    <w:p w:rsidR="004B38FB" w:rsidRPr="001A01F0" w:rsidRDefault="004B38FB" w:rsidP="00027826">
      <w:pPr>
        <w:pStyle w:val="NoSpacing"/>
        <w:spacing w:line="360" w:lineRule="auto"/>
        <w:jc w:val="both"/>
        <w:rPr>
          <w:rFonts w:ascii="Times New Roman" w:hAnsi="Times New Roman" w:cs="Times New Roman"/>
          <w:sz w:val="24"/>
          <w:szCs w:val="24"/>
        </w:rPr>
      </w:pPr>
    </w:p>
    <w:p w:rsidR="009D3D0A" w:rsidRPr="001A01F0" w:rsidRDefault="009D3D0A" w:rsidP="00027826">
      <w:pPr>
        <w:pStyle w:val="NoSpacing"/>
        <w:spacing w:line="360" w:lineRule="auto"/>
        <w:jc w:val="both"/>
        <w:rPr>
          <w:rFonts w:ascii="Times New Roman" w:hAnsi="Times New Roman" w:cs="Times New Roman"/>
          <w:sz w:val="24"/>
          <w:szCs w:val="24"/>
        </w:rPr>
      </w:pPr>
    </w:p>
    <w:p w:rsidR="009D3D0A" w:rsidRPr="001A01F0" w:rsidRDefault="009D3D0A" w:rsidP="00027826">
      <w:pPr>
        <w:pStyle w:val="NoSpacing"/>
        <w:spacing w:line="360" w:lineRule="auto"/>
        <w:jc w:val="both"/>
        <w:rPr>
          <w:rFonts w:ascii="Times New Roman" w:hAnsi="Times New Roman" w:cs="Times New Roman"/>
          <w:sz w:val="24"/>
          <w:szCs w:val="24"/>
        </w:rPr>
      </w:pPr>
    </w:p>
    <w:p w:rsidR="009D3D0A" w:rsidRDefault="009D3D0A" w:rsidP="00027826">
      <w:pPr>
        <w:pStyle w:val="NoSpacing"/>
        <w:spacing w:line="360" w:lineRule="auto"/>
        <w:jc w:val="both"/>
        <w:rPr>
          <w:rFonts w:ascii="Times New Roman" w:hAnsi="Times New Roman" w:cs="Times New Roman"/>
          <w:sz w:val="24"/>
          <w:szCs w:val="24"/>
        </w:rPr>
      </w:pPr>
    </w:p>
    <w:p w:rsidR="00B83DB3" w:rsidRDefault="00B83DB3" w:rsidP="00027826">
      <w:pPr>
        <w:pStyle w:val="NoSpacing"/>
        <w:spacing w:line="360" w:lineRule="auto"/>
        <w:jc w:val="both"/>
        <w:rPr>
          <w:rFonts w:ascii="Times New Roman" w:hAnsi="Times New Roman" w:cs="Times New Roman"/>
          <w:sz w:val="24"/>
          <w:szCs w:val="24"/>
        </w:rPr>
      </w:pPr>
    </w:p>
    <w:p w:rsidR="00B83DB3" w:rsidRDefault="00B83DB3" w:rsidP="00027826">
      <w:pPr>
        <w:pStyle w:val="NoSpacing"/>
        <w:spacing w:line="360" w:lineRule="auto"/>
        <w:jc w:val="both"/>
        <w:rPr>
          <w:rFonts w:ascii="Times New Roman" w:hAnsi="Times New Roman" w:cs="Times New Roman"/>
          <w:sz w:val="24"/>
          <w:szCs w:val="24"/>
        </w:rPr>
      </w:pPr>
    </w:p>
    <w:p w:rsidR="00B83DB3" w:rsidRDefault="00B83DB3" w:rsidP="00027826">
      <w:pPr>
        <w:pStyle w:val="NoSpacing"/>
        <w:spacing w:line="360" w:lineRule="auto"/>
        <w:jc w:val="both"/>
        <w:rPr>
          <w:rFonts w:ascii="Times New Roman" w:hAnsi="Times New Roman" w:cs="Times New Roman"/>
          <w:sz w:val="24"/>
          <w:szCs w:val="24"/>
        </w:rPr>
      </w:pPr>
    </w:p>
    <w:p w:rsidR="00B83DB3" w:rsidRPr="001A01F0" w:rsidRDefault="00B83DB3" w:rsidP="00027826">
      <w:pPr>
        <w:pStyle w:val="NoSpacing"/>
        <w:spacing w:line="360" w:lineRule="auto"/>
        <w:jc w:val="both"/>
        <w:rPr>
          <w:rFonts w:ascii="Times New Roman" w:hAnsi="Times New Roman" w:cs="Times New Roman"/>
          <w:sz w:val="24"/>
          <w:szCs w:val="24"/>
        </w:rPr>
      </w:pPr>
    </w:p>
    <w:p w:rsidR="009D3D0A" w:rsidRDefault="009D3D0A"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Default="0027736C" w:rsidP="00027826">
      <w:pPr>
        <w:pStyle w:val="NoSpacing"/>
        <w:spacing w:line="360" w:lineRule="auto"/>
        <w:jc w:val="both"/>
        <w:rPr>
          <w:rFonts w:ascii="Times New Roman" w:hAnsi="Times New Roman" w:cs="Times New Roman"/>
          <w:sz w:val="24"/>
          <w:szCs w:val="24"/>
        </w:rPr>
      </w:pPr>
    </w:p>
    <w:p w:rsidR="0027736C" w:rsidRPr="001A01F0" w:rsidRDefault="0027736C" w:rsidP="00027826">
      <w:pPr>
        <w:pStyle w:val="NoSpacing"/>
        <w:spacing w:line="360" w:lineRule="auto"/>
        <w:jc w:val="both"/>
        <w:rPr>
          <w:rFonts w:ascii="Times New Roman" w:hAnsi="Times New Roman" w:cs="Times New Roman"/>
          <w:sz w:val="24"/>
          <w:szCs w:val="24"/>
        </w:rPr>
      </w:pPr>
    </w:p>
    <w:sdt>
      <w:sdtPr>
        <w:rPr>
          <w:rFonts w:ascii="Times New Roman" w:hAnsi="Times New Roman" w:cs="Times New Roman"/>
          <w:sz w:val="24"/>
          <w:szCs w:val="24"/>
        </w:rPr>
        <w:id w:val="-77145446"/>
        <w:docPartObj>
          <w:docPartGallery w:val="Bibliographies"/>
          <w:docPartUnique/>
        </w:docPartObj>
      </w:sdtPr>
      <w:sdtEndPr>
        <w:rPr>
          <w:bCs/>
        </w:rPr>
      </w:sdtEndPr>
      <w:sdtContent>
        <w:p w:rsidR="009D3D0A" w:rsidRPr="0027736C" w:rsidRDefault="009D3D0A" w:rsidP="00027826">
          <w:pPr>
            <w:pStyle w:val="NoSpacing"/>
            <w:spacing w:line="360" w:lineRule="auto"/>
            <w:jc w:val="both"/>
            <w:rPr>
              <w:rStyle w:val="Heading1Char"/>
            </w:rPr>
          </w:pPr>
          <w:r w:rsidRPr="0027736C">
            <w:rPr>
              <w:rStyle w:val="Heading1Char"/>
            </w:rPr>
            <w:t>Works Cited</w:t>
          </w:r>
        </w:p>
        <w:p w:rsidR="00B83DB3" w:rsidRDefault="009D3D0A" w:rsidP="00027826">
          <w:pPr>
            <w:pStyle w:val="Bibliography"/>
            <w:spacing w:line="360" w:lineRule="auto"/>
            <w:ind w:left="720" w:hanging="720"/>
            <w:rPr>
              <w:noProof/>
              <w:sz w:val="24"/>
              <w:szCs w:val="24"/>
            </w:rPr>
          </w:pPr>
          <w:r w:rsidRPr="001A01F0">
            <w:rPr>
              <w:rFonts w:ascii="Times New Roman" w:hAnsi="Times New Roman" w:cs="Times New Roman"/>
              <w:sz w:val="24"/>
              <w:szCs w:val="24"/>
            </w:rPr>
            <w:fldChar w:fldCharType="begin"/>
          </w:r>
          <w:r w:rsidRPr="001A01F0">
            <w:rPr>
              <w:rFonts w:ascii="Times New Roman" w:hAnsi="Times New Roman" w:cs="Times New Roman"/>
              <w:sz w:val="24"/>
              <w:szCs w:val="24"/>
            </w:rPr>
            <w:instrText xml:space="preserve"> BIBLIOGRAPHY </w:instrText>
          </w:r>
          <w:r w:rsidRPr="001A01F0">
            <w:rPr>
              <w:rFonts w:ascii="Times New Roman" w:hAnsi="Times New Roman" w:cs="Times New Roman"/>
              <w:sz w:val="24"/>
              <w:szCs w:val="24"/>
            </w:rPr>
            <w:fldChar w:fldCharType="separate"/>
          </w:r>
          <w:r w:rsidR="00B83DB3">
            <w:rPr>
              <w:noProof/>
            </w:rPr>
            <w:t xml:space="preserve">Aziroff. (2017, November 25). </w:t>
          </w:r>
          <w:r w:rsidR="00B83DB3">
            <w:rPr>
              <w:i/>
              <w:iCs/>
              <w:noProof/>
            </w:rPr>
            <w:t>Systemic risk.</w:t>
          </w:r>
          <w:r w:rsidR="00B83DB3">
            <w:rPr>
              <w:noProof/>
            </w:rPr>
            <w:t xml:space="preserve"> Retrieved from Aziroff.com: https://aziroff.com/systemic-risk/</w:t>
          </w:r>
        </w:p>
        <w:p w:rsidR="00B83DB3" w:rsidRDefault="00B83DB3" w:rsidP="00027826">
          <w:pPr>
            <w:pStyle w:val="Bibliography"/>
            <w:spacing w:line="360" w:lineRule="auto"/>
            <w:ind w:left="720" w:hanging="720"/>
            <w:rPr>
              <w:noProof/>
            </w:rPr>
          </w:pPr>
          <w:r>
            <w:rPr>
              <w:noProof/>
            </w:rPr>
            <w:t xml:space="preserve">Bangladesh Bank. (n.d.). </w:t>
          </w:r>
          <w:r>
            <w:rPr>
              <w:i/>
              <w:iCs/>
              <w:noProof/>
            </w:rPr>
            <w:t>Payment System Oversight</w:t>
          </w:r>
          <w:r>
            <w:rPr>
              <w:noProof/>
            </w:rPr>
            <w:t>. Retrieved from Bangladesh Bank: https://www.bb.org.bd/fnansys/paymentsys/pso.php</w:t>
          </w:r>
        </w:p>
        <w:p w:rsidR="00B83DB3" w:rsidRDefault="00B83DB3" w:rsidP="00027826">
          <w:pPr>
            <w:pStyle w:val="Bibliography"/>
            <w:spacing w:line="360" w:lineRule="auto"/>
            <w:ind w:left="720" w:hanging="720"/>
            <w:rPr>
              <w:noProof/>
            </w:rPr>
          </w:pPr>
          <w:r>
            <w:rPr>
              <w:noProof/>
            </w:rPr>
            <w:t xml:space="preserve">BASEL Committee. (n.d.). </w:t>
          </w:r>
          <w:r>
            <w:rPr>
              <w:i/>
              <w:iCs/>
              <w:noProof/>
            </w:rPr>
            <w:t>Basel III: international regulatory framework for banks.</w:t>
          </w:r>
          <w:r>
            <w:rPr>
              <w:noProof/>
            </w:rPr>
            <w:t xml:space="preserve"> Retrieved from BIS: https://www.bis.org/bcbs/basel3.htm?m=3%7C14%7C572</w:t>
          </w:r>
        </w:p>
        <w:p w:rsidR="00B83DB3" w:rsidRDefault="00B83DB3" w:rsidP="00027826">
          <w:pPr>
            <w:pStyle w:val="Bibliography"/>
            <w:spacing w:line="360" w:lineRule="auto"/>
            <w:ind w:left="720" w:hanging="720"/>
            <w:rPr>
              <w:noProof/>
            </w:rPr>
          </w:pPr>
          <w:r>
            <w:rPr>
              <w:noProof/>
            </w:rPr>
            <w:t xml:space="preserve">Brunnermeier, T. A. (2011). CoVaR. </w:t>
          </w:r>
          <w:r>
            <w:rPr>
              <w:i/>
              <w:iCs/>
              <w:noProof/>
            </w:rPr>
            <w:t xml:space="preserve">American Economic Association </w:t>
          </w:r>
          <w:r>
            <w:rPr>
              <w:noProof/>
            </w:rPr>
            <w:t>, 1-12.</w:t>
          </w:r>
        </w:p>
        <w:p w:rsidR="00B83DB3" w:rsidRDefault="00B83DB3" w:rsidP="00027826">
          <w:pPr>
            <w:pStyle w:val="Bibliography"/>
            <w:spacing w:line="360" w:lineRule="auto"/>
            <w:ind w:left="720" w:hanging="720"/>
            <w:rPr>
              <w:noProof/>
            </w:rPr>
          </w:pPr>
          <w:r>
            <w:rPr>
              <w:noProof/>
            </w:rPr>
            <w:t xml:space="preserve">Bucher, M. (2017). Dynamic Conditional Currency Hedging. </w:t>
          </w:r>
          <w:r>
            <w:rPr>
              <w:i/>
              <w:iCs/>
              <w:noProof/>
            </w:rPr>
            <w:t>SSRN</w:t>
          </w:r>
          <w:r>
            <w:rPr>
              <w:noProof/>
            </w:rPr>
            <w:t>, 05-14.</w:t>
          </w:r>
        </w:p>
        <w:p w:rsidR="00B83DB3" w:rsidRDefault="00B83DB3" w:rsidP="00027826">
          <w:pPr>
            <w:pStyle w:val="Bibliography"/>
            <w:spacing w:line="360" w:lineRule="auto"/>
            <w:ind w:left="720" w:hanging="720"/>
            <w:rPr>
              <w:noProof/>
            </w:rPr>
          </w:pPr>
          <w:r>
            <w:rPr>
              <w:noProof/>
            </w:rPr>
            <w:t xml:space="preserve">Caruana, J. (2010). </w:t>
          </w:r>
          <w:r>
            <w:rPr>
              <w:i/>
              <w:iCs/>
              <w:noProof/>
            </w:rPr>
            <w:t>Systemic risk: how to deal with it?</w:t>
          </w:r>
          <w:r>
            <w:rPr>
              <w:noProof/>
            </w:rPr>
            <w:t xml:space="preserve"> BIS.</w:t>
          </w:r>
        </w:p>
        <w:p w:rsidR="00B83DB3" w:rsidRDefault="00B83DB3" w:rsidP="00027826">
          <w:pPr>
            <w:pStyle w:val="Bibliography"/>
            <w:spacing w:line="360" w:lineRule="auto"/>
            <w:ind w:left="720" w:hanging="720"/>
            <w:rPr>
              <w:noProof/>
            </w:rPr>
          </w:pPr>
          <w:r>
            <w:rPr>
              <w:noProof/>
            </w:rPr>
            <w:t xml:space="preserve">Georg, C.-P. (2011). Basel III and Systemic Risk. </w:t>
          </w:r>
          <w:r>
            <w:rPr>
              <w:i/>
              <w:iCs/>
              <w:noProof/>
            </w:rPr>
            <w:t>ECONSTOR</w:t>
          </w:r>
          <w:r>
            <w:rPr>
              <w:noProof/>
            </w:rPr>
            <w:t>, 14-18.</w:t>
          </w:r>
        </w:p>
        <w:p w:rsidR="00B83DB3" w:rsidRDefault="00B83DB3" w:rsidP="00027826">
          <w:pPr>
            <w:pStyle w:val="Bibliography"/>
            <w:spacing w:line="360" w:lineRule="auto"/>
            <w:ind w:left="720" w:hanging="720"/>
            <w:rPr>
              <w:noProof/>
            </w:rPr>
          </w:pPr>
          <w:r>
            <w:rPr>
              <w:noProof/>
            </w:rPr>
            <w:t xml:space="preserve">Gerardo Ferrara, S. L. (November 2018). </w:t>
          </w:r>
          <w:r>
            <w:rPr>
              <w:i/>
              <w:iCs/>
              <w:noProof/>
            </w:rPr>
            <w:t>Systemic illiquidity in the.</w:t>
          </w:r>
          <w:r>
            <w:rPr>
              <w:noProof/>
            </w:rPr>
            <w:t xml:space="preserve"> European Systemic Risk Board.</w:t>
          </w:r>
        </w:p>
        <w:p w:rsidR="00B83DB3" w:rsidRDefault="00B83DB3" w:rsidP="00027826">
          <w:pPr>
            <w:pStyle w:val="Bibliography"/>
            <w:spacing w:line="360" w:lineRule="auto"/>
            <w:ind w:left="720" w:hanging="720"/>
            <w:rPr>
              <w:noProof/>
            </w:rPr>
          </w:pPr>
          <w:r>
            <w:rPr>
              <w:noProof/>
            </w:rPr>
            <w:t xml:space="preserve">Gray, A. A. (Feb 2013). </w:t>
          </w:r>
          <w:r>
            <w:rPr>
              <w:i/>
              <w:iCs/>
              <w:noProof/>
            </w:rPr>
            <w:t>Systemic Contingent Claims Analysis –Estimating Market-Implied Systemic Risk.</w:t>
          </w:r>
          <w:r>
            <w:rPr>
              <w:noProof/>
            </w:rPr>
            <w:t xml:space="preserve"> IMF.</w:t>
          </w:r>
        </w:p>
        <w:p w:rsidR="00B83DB3" w:rsidRDefault="00B83DB3" w:rsidP="00027826">
          <w:pPr>
            <w:pStyle w:val="Bibliography"/>
            <w:spacing w:line="360" w:lineRule="auto"/>
            <w:ind w:left="720" w:hanging="720"/>
            <w:rPr>
              <w:noProof/>
            </w:rPr>
          </w:pPr>
          <w:r>
            <w:rPr>
              <w:noProof/>
            </w:rPr>
            <w:t xml:space="preserve">IAIS. (2018). </w:t>
          </w:r>
          <w:r>
            <w:rPr>
              <w:i/>
              <w:iCs/>
              <w:noProof/>
            </w:rPr>
            <w:t>Holistic Framework for Systemic Risk in the Insurance Sector.</w:t>
          </w:r>
          <w:r>
            <w:rPr>
              <w:noProof/>
            </w:rPr>
            <w:t xml:space="preserve"> International Association of Insurance Supervisors .</w:t>
          </w:r>
        </w:p>
        <w:p w:rsidR="00B83DB3" w:rsidRDefault="00B83DB3" w:rsidP="00027826">
          <w:pPr>
            <w:pStyle w:val="Bibliography"/>
            <w:spacing w:line="360" w:lineRule="auto"/>
            <w:ind w:left="720" w:hanging="720"/>
            <w:rPr>
              <w:noProof/>
            </w:rPr>
          </w:pPr>
          <w:r>
            <w:rPr>
              <w:noProof/>
            </w:rPr>
            <w:t xml:space="preserve">kadlec, C. (may 16, 2011). </w:t>
          </w:r>
          <w:r>
            <w:rPr>
              <w:i/>
              <w:iCs/>
              <w:noProof/>
            </w:rPr>
            <w:t>Governments are the primary creator of systemic risk.</w:t>
          </w:r>
          <w:r>
            <w:rPr>
              <w:noProof/>
            </w:rPr>
            <w:t xml:space="preserve"> Forbes.</w:t>
          </w:r>
        </w:p>
        <w:p w:rsidR="00B83DB3" w:rsidRDefault="00B83DB3" w:rsidP="00027826">
          <w:pPr>
            <w:pStyle w:val="Bibliography"/>
            <w:spacing w:line="360" w:lineRule="auto"/>
            <w:ind w:left="720" w:hanging="720"/>
            <w:rPr>
              <w:noProof/>
            </w:rPr>
          </w:pPr>
          <w:r>
            <w:rPr>
              <w:noProof/>
            </w:rPr>
            <w:t xml:space="preserve">Kuan-Heng Chen, K. K. (2014). Measuring Systemic Risk : Copula CoVaR . </w:t>
          </w:r>
          <w:r>
            <w:rPr>
              <w:i/>
              <w:iCs/>
              <w:noProof/>
            </w:rPr>
            <w:t>SSRN</w:t>
          </w:r>
          <w:r>
            <w:rPr>
              <w:noProof/>
            </w:rPr>
            <w:t>, 6-7.</w:t>
          </w:r>
        </w:p>
        <w:p w:rsidR="00B83DB3" w:rsidRDefault="00B83DB3" w:rsidP="00027826">
          <w:pPr>
            <w:pStyle w:val="Bibliography"/>
            <w:spacing w:line="360" w:lineRule="auto"/>
            <w:ind w:left="720" w:hanging="720"/>
            <w:rPr>
              <w:noProof/>
            </w:rPr>
          </w:pPr>
          <w:r>
            <w:rPr>
              <w:noProof/>
            </w:rPr>
            <w:t xml:space="preserve">Lucas, D. (2014). Evaluating the Government as a Source of Systemic Risk. </w:t>
          </w:r>
          <w:r>
            <w:rPr>
              <w:i/>
              <w:iCs/>
              <w:noProof/>
            </w:rPr>
            <w:t>Journal of Financial Perspectives</w:t>
          </w:r>
          <w:r>
            <w:rPr>
              <w:noProof/>
            </w:rPr>
            <w:t>, 3-5.</w:t>
          </w:r>
        </w:p>
        <w:p w:rsidR="00B83DB3" w:rsidRDefault="00B83DB3" w:rsidP="00027826">
          <w:pPr>
            <w:pStyle w:val="Bibliography"/>
            <w:spacing w:line="360" w:lineRule="auto"/>
            <w:ind w:left="720" w:hanging="720"/>
            <w:rPr>
              <w:noProof/>
            </w:rPr>
          </w:pPr>
          <w:r>
            <w:rPr>
              <w:noProof/>
            </w:rPr>
            <w:t xml:space="preserve">Markus K. Brunnermeier, M. O. (2013). Bubbles, Financial Crises, and Systemic Risk. </w:t>
          </w:r>
          <w:r>
            <w:rPr>
              <w:i/>
              <w:iCs/>
              <w:noProof/>
            </w:rPr>
            <w:t>The National Bureau of Economic Research</w:t>
          </w:r>
          <w:r>
            <w:rPr>
              <w:noProof/>
            </w:rPr>
            <w:t>, 1223.</w:t>
          </w:r>
        </w:p>
        <w:p w:rsidR="00B83DB3" w:rsidRDefault="00B83DB3" w:rsidP="00027826">
          <w:pPr>
            <w:pStyle w:val="Bibliography"/>
            <w:spacing w:line="360" w:lineRule="auto"/>
            <w:ind w:left="720" w:hanging="720"/>
            <w:rPr>
              <w:noProof/>
            </w:rPr>
          </w:pPr>
          <w:r>
            <w:rPr>
              <w:noProof/>
            </w:rPr>
            <w:t xml:space="preserve">Matthieu Bussière, M. F. (2004). Currency Mismatch, Uncertainty and Debt Maturity Structure. </w:t>
          </w:r>
          <w:r>
            <w:rPr>
              <w:i/>
              <w:iCs/>
              <w:noProof/>
            </w:rPr>
            <w:t>European Central Bank</w:t>
          </w:r>
          <w:r>
            <w:rPr>
              <w:noProof/>
            </w:rPr>
            <w:t>, 6-15.</w:t>
          </w:r>
        </w:p>
        <w:p w:rsidR="00B83DB3" w:rsidRDefault="00B83DB3" w:rsidP="00027826">
          <w:pPr>
            <w:pStyle w:val="Bibliography"/>
            <w:spacing w:line="360" w:lineRule="auto"/>
            <w:ind w:left="720" w:hanging="720"/>
            <w:rPr>
              <w:noProof/>
            </w:rPr>
          </w:pPr>
          <w:r>
            <w:rPr>
              <w:noProof/>
            </w:rPr>
            <w:t xml:space="preserve">Minsky, H. P. (May 1992). </w:t>
          </w:r>
          <w:r>
            <w:rPr>
              <w:i/>
              <w:iCs/>
              <w:noProof/>
            </w:rPr>
            <w:t>The Financial Instability Hypothesis*.</w:t>
          </w:r>
          <w:r>
            <w:rPr>
              <w:noProof/>
            </w:rPr>
            <w:t xml:space="preserve"> The Jerome Levy Economics Institute of Bard College.</w:t>
          </w:r>
        </w:p>
        <w:p w:rsidR="00B83DB3" w:rsidRDefault="00B83DB3" w:rsidP="00027826">
          <w:pPr>
            <w:pStyle w:val="Bibliography"/>
            <w:spacing w:line="360" w:lineRule="auto"/>
            <w:ind w:left="720" w:hanging="720"/>
            <w:rPr>
              <w:noProof/>
            </w:rPr>
          </w:pPr>
          <w:r>
            <w:rPr>
              <w:noProof/>
            </w:rPr>
            <w:lastRenderedPageBreak/>
            <w:t xml:space="preserve">Monetary and Capital Markets. (September 2014). TECHNICAL NOTE—SYSTEMIC RISK AND CONTAGION ANALYSIS. </w:t>
          </w:r>
          <w:r>
            <w:rPr>
              <w:i/>
              <w:iCs/>
              <w:noProof/>
            </w:rPr>
            <w:t>International Monetary Fund</w:t>
          </w:r>
          <w:r>
            <w:rPr>
              <w:noProof/>
            </w:rPr>
            <w:t>, 5.</w:t>
          </w:r>
        </w:p>
        <w:p w:rsidR="00B83DB3" w:rsidRDefault="00B83DB3" w:rsidP="00027826">
          <w:pPr>
            <w:pStyle w:val="Bibliography"/>
            <w:spacing w:line="360" w:lineRule="auto"/>
            <w:ind w:left="720" w:hanging="720"/>
            <w:rPr>
              <w:noProof/>
            </w:rPr>
          </w:pPr>
          <w:r>
            <w:rPr>
              <w:noProof/>
            </w:rPr>
            <w:t xml:space="preserve">MSN. (n.d.). </w:t>
          </w:r>
          <w:r>
            <w:rPr>
              <w:i/>
              <w:iCs/>
              <w:noProof/>
            </w:rPr>
            <w:t>Interbank Lending Markets and Repurchase Agreements</w:t>
          </w:r>
          <w:r>
            <w:rPr>
              <w:noProof/>
            </w:rPr>
            <w:t>. Retrieved from MSN: https://www.managementstudyguide.com/types-of-products-in-commercial-banking.htm</w:t>
          </w:r>
        </w:p>
        <w:p w:rsidR="00B83DB3" w:rsidRDefault="00B83DB3" w:rsidP="00027826">
          <w:pPr>
            <w:pStyle w:val="Bibliography"/>
            <w:spacing w:line="360" w:lineRule="auto"/>
            <w:ind w:left="720" w:hanging="720"/>
            <w:rPr>
              <w:noProof/>
            </w:rPr>
          </w:pPr>
          <w:r>
            <w:rPr>
              <w:noProof/>
            </w:rPr>
            <w:t xml:space="preserve">Parisi, P. G. (2016). CoRisk: Measuring Systemic Risk Through Default Probability Contagion. </w:t>
          </w:r>
          <w:r>
            <w:rPr>
              <w:i/>
              <w:iCs/>
              <w:noProof/>
            </w:rPr>
            <w:t>SSRN</w:t>
          </w:r>
          <w:r>
            <w:rPr>
              <w:noProof/>
            </w:rPr>
            <w:t>.</w:t>
          </w:r>
        </w:p>
        <w:p w:rsidR="00B83DB3" w:rsidRDefault="00B83DB3" w:rsidP="00027826">
          <w:pPr>
            <w:pStyle w:val="Bibliography"/>
            <w:spacing w:line="360" w:lineRule="auto"/>
            <w:ind w:left="720" w:hanging="720"/>
            <w:rPr>
              <w:noProof/>
            </w:rPr>
          </w:pPr>
          <w:r>
            <w:rPr>
              <w:noProof/>
            </w:rPr>
            <w:t xml:space="preserve">rjsueppel. (2014, November 24). </w:t>
          </w:r>
          <w:r>
            <w:rPr>
              <w:i/>
              <w:iCs/>
              <w:noProof/>
            </w:rPr>
            <w:t>The power of global financial cycles.</w:t>
          </w:r>
          <w:r>
            <w:rPr>
              <w:noProof/>
            </w:rPr>
            <w:t xml:space="preserve"> Retrieved from sr-sv: http://www.sr-sv.com/the-power-of-global-financial-cycles/</w:t>
          </w:r>
        </w:p>
        <w:p w:rsidR="00B83DB3" w:rsidRDefault="00B83DB3" w:rsidP="00027826">
          <w:pPr>
            <w:pStyle w:val="Bibliography"/>
            <w:spacing w:line="360" w:lineRule="auto"/>
            <w:ind w:left="720" w:hanging="720"/>
            <w:rPr>
              <w:noProof/>
            </w:rPr>
          </w:pPr>
          <w:r>
            <w:rPr>
              <w:noProof/>
            </w:rPr>
            <w:t xml:space="preserve">rjsueppel. (2014, May 2). </w:t>
          </w:r>
          <w:r>
            <w:rPr>
              <w:i/>
              <w:iCs/>
              <w:noProof/>
            </w:rPr>
            <w:t>Understanding global liquidity.</w:t>
          </w:r>
          <w:r>
            <w:rPr>
              <w:noProof/>
            </w:rPr>
            <w:t xml:space="preserve"> Retrieved from SRSV: http://www.sr-sv.com/understanding-global-liquidity/</w:t>
          </w:r>
        </w:p>
        <w:p w:rsidR="00B83DB3" w:rsidRDefault="00B83DB3" w:rsidP="00027826">
          <w:pPr>
            <w:pStyle w:val="Bibliography"/>
            <w:spacing w:line="360" w:lineRule="auto"/>
            <w:ind w:left="720" w:hanging="720"/>
            <w:rPr>
              <w:noProof/>
            </w:rPr>
          </w:pPr>
          <w:r>
            <w:rPr>
              <w:noProof/>
            </w:rPr>
            <w:t xml:space="preserve">Robert Engle, T. R. (September 27, 2018). How Much SRISK Is Too Much?*. </w:t>
          </w:r>
          <w:r>
            <w:rPr>
              <w:i/>
              <w:iCs/>
              <w:noProof/>
            </w:rPr>
            <w:t>SSRN</w:t>
          </w:r>
          <w:r>
            <w:rPr>
              <w:noProof/>
            </w:rPr>
            <w:t>, 4-8.</w:t>
          </w:r>
        </w:p>
        <w:p w:rsidR="00B83DB3" w:rsidRDefault="00B83DB3" w:rsidP="00027826">
          <w:pPr>
            <w:pStyle w:val="Bibliography"/>
            <w:spacing w:line="360" w:lineRule="auto"/>
            <w:ind w:left="720" w:hanging="720"/>
            <w:rPr>
              <w:noProof/>
            </w:rPr>
          </w:pPr>
          <w:r>
            <w:rPr>
              <w:noProof/>
            </w:rPr>
            <w:t xml:space="preserve">Romain Ranciere, A. T. (November 2010 ). A New Index of Currency Mismatch and. </w:t>
          </w:r>
          <w:r>
            <w:rPr>
              <w:i/>
              <w:iCs/>
              <w:noProof/>
            </w:rPr>
            <w:t>IFM</w:t>
          </w:r>
          <w:r>
            <w:rPr>
              <w:noProof/>
            </w:rPr>
            <w:t>, 3-4.</w:t>
          </w:r>
        </w:p>
        <w:p w:rsidR="00B83DB3" w:rsidRDefault="00B83DB3" w:rsidP="00027826">
          <w:pPr>
            <w:pStyle w:val="Bibliography"/>
            <w:spacing w:line="360" w:lineRule="auto"/>
            <w:ind w:left="720" w:hanging="720"/>
            <w:rPr>
              <w:noProof/>
            </w:rPr>
          </w:pPr>
          <w:r>
            <w:rPr>
              <w:noProof/>
            </w:rPr>
            <w:t xml:space="preserve">Schaefer, S. M. (2012). </w:t>
          </w:r>
          <w:r>
            <w:rPr>
              <w:i/>
              <w:iCs/>
              <w:noProof/>
            </w:rPr>
            <w:t>The Default Intensity Model and the Copula Approach.</w:t>
          </w:r>
          <w:r>
            <w:rPr>
              <w:noProof/>
            </w:rPr>
            <w:t xml:space="preserve"> London Business School.</w:t>
          </w:r>
        </w:p>
        <w:p w:rsidR="00B83DB3" w:rsidRDefault="00B83DB3" w:rsidP="00027826">
          <w:pPr>
            <w:pStyle w:val="Bibliography"/>
            <w:spacing w:line="360" w:lineRule="auto"/>
            <w:ind w:left="720" w:hanging="720"/>
            <w:rPr>
              <w:noProof/>
            </w:rPr>
          </w:pPr>
          <w:r>
            <w:rPr>
              <w:noProof/>
            </w:rPr>
            <w:t xml:space="preserve">Schwarcz, S. L. (2011). </w:t>
          </w:r>
          <w:r>
            <w:rPr>
              <w:i/>
              <w:iCs/>
              <w:noProof/>
            </w:rPr>
            <w:t>IDENTIFYING AND MANAGING SYSTEMIC RISK: AN.</w:t>
          </w:r>
          <w:r>
            <w:rPr>
              <w:noProof/>
            </w:rPr>
            <w:t xml:space="preserve"> Harvard Business Law Review.</w:t>
          </w:r>
        </w:p>
        <w:p w:rsidR="00B83DB3" w:rsidRDefault="00B83DB3" w:rsidP="00027826">
          <w:pPr>
            <w:pStyle w:val="Bibliography"/>
            <w:spacing w:line="360" w:lineRule="auto"/>
            <w:ind w:left="720" w:hanging="720"/>
            <w:rPr>
              <w:noProof/>
            </w:rPr>
          </w:pPr>
          <w:r>
            <w:rPr>
              <w:noProof/>
            </w:rPr>
            <w:t xml:space="preserve">Sinha, R. (2017). SYSTEMIC RISK MANAGEMENT UNDER BASEL-III . </w:t>
          </w:r>
          <w:r>
            <w:rPr>
              <w:i/>
              <w:iCs/>
              <w:noProof/>
            </w:rPr>
            <w:t>Shodhganga</w:t>
          </w:r>
          <w:r>
            <w:rPr>
              <w:noProof/>
            </w:rPr>
            <w:t>, 65-82.</w:t>
          </w:r>
        </w:p>
        <w:p w:rsidR="00B83DB3" w:rsidRDefault="00B83DB3" w:rsidP="00027826">
          <w:pPr>
            <w:pStyle w:val="Bibliography"/>
            <w:spacing w:line="360" w:lineRule="auto"/>
            <w:ind w:left="720" w:hanging="720"/>
            <w:rPr>
              <w:noProof/>
            </w:rPr>
          </w:pPr>
          <w:r>
            <w:rPr>
              <w:noProof/>
            </w:rPr>
            <w:t xml:space="preserve">Söhnke M. Bartram, G. W. (2015). Estimating Systemic Risk in the International Financial System. </w:t>
          </w:r>
          <w:r>
            <w:rPr>
              <w:i/>
              <w:iCs/>
              <w:noProof/>
            </w:rPr>
            <w:t>Journal of Financial Economics</w:t>
          </w:r>
          <w:r>
            <w:rPr>
              <w:noProof/>
            </w:rPr>
            <w:t>, 28.</w:t>
          </w:r>
        </w:p>
        <w:p w:rsidR="00B83DB3" w:rsidRDefault="00B83DB3" w:rsidP="00027826">
          <w:pPr>
            <w:pStyle w:val="Bibliography"/>
            <w:spacing w:line="360" w:lineRule="auto"/>
            <w:ind w:left="720" w:hanging="720"/>
            <w:rPr>
              <w:noProof/>
            </w:rPr>
          </w:pPr>
          <w:r>
            <w:rPr>
              <w:noProof/>
            </w:rPr>
            <w:t xml:space="preserve">SR_SV. (2015). </w:t>
          </w:r>
          <w:r>
            <w:rPr>
              <w:i/>
              <w:iCs/>
              <w:noProof/>
            </w:rPr>
            <w:t>Managing (Systemic) Risk</w:t>
          </w:r>
          <w:r>
            <w:rPr>
              <w:noProof/>
            </w:rPr>
            <w:t>. Retrieved from Systemic risk and Systemic value: http://www.sr-sv.com/managing-risk/</w:t>
          </w:r>
        </w:p>
        <w:p w:rsidR="00B83DB3" w:rsidRDefault="00B83DB3" w:rsidP="00027826">
          <w:pPr>
            <w:pStyle w:val="Bibliography"/>
            <w:spacing w:line="360" w:lineRule="auto"/>
            <w:ind w:left="720" w:hanging="720"/>
            <w:rPr>
              <w:noProof/>
            </w:rPr>
          </w:pPr>
          <w:r>
            <w:rPr>
              <w:noProof/>
            </w:rPr>
            <w:t xml:space="preserve">SRSV,EDITOR. (2016, May 22). </w:t>
          </w:r>
          <w:r>
            <w:rPr>
              <w:i/>
              <w:iCs/>
              <w:noProof/>
            </w:rPr>
            <w:t>Climate change and systemic financial risk.</w:t>
          </w:r>
          <w:r>
            <w:rPr>
              <w:noProof/>
            </w:rPr>
            <w:t xml:space="preserve"> Retrieved from SR-SV: http://www.sr-sv.com/climate-change-and-systemic-financial-risk/</w:t>
          </w:r>
        </w:p>
        <w:p w:rsidR="00B83DB3" w:rsidRDefault="00B83DB3" w:rsidP="00027826">
          <w:pPr>
            <w:pStyle w:val="Bibliography"/>
            <w:spacing w:line="360" w:lineRule="auto"/>
            <w:ind w:left="720" w:hanging="720"/>
            <w:rPr>
              <w:noProof/>
            </w:rPr>
          </w:pPr>
          <w:r>
            <w:rPr>
              <w:noProof/>
            </w:rPr>
            <w:t xml:space="preserve">Systemic risk and Systemic value,Editor. (2015, September 13). </w:t>
          </w:r>
          <w:r>
            <w:rPr>
              <w:i/>
              <w:iCs/>
              <w:noProof/>
            </w:rPr>
            <w:t>Why decision makers are unprepared for crises.</w:t>
          </w:r>
          <w:r>
            <w:rPr>
              <w:noProof/>
            </w:rPr>
            <w:t xml:space="preserve"> Retrieved from Systemic risk and Systemic value: http://www.sr-sv.com/why-decision-makers-are-unprepared-for-crises/</w:t>
          </w:r>
        </w:p>
        <w:p w:rsidR="00B83DB3" w:rsidRDefault="00B83DB3" w:rsidP="00027826">
          <w:pPr>
            <w:pStyle w:val="Bibliography"/>
            <w:spacing w:line="360" w:lineRule="auto"/>
            <w:ind w:left="720" w:hanging="720"/>
            <w:rPr>
              <w:noProof/>
            </w:rPr>
          </w:pPr>
          <w:r>
            <w:rPr>
              <w:noProof/>
            </w:rPr>
            <w:t xml:space="preserve">Systemic Risk Centre. (n.d.). </w:t>
          </w:r>
          <w:r>
            <w:rPr>
              <w:i/>
              <w:iCs/>
              <w:noProof/>
            </w:rPr>
            <w:t>Systemic risk</w:t>
          </w:r>
          <w:r>
            <w:rPr>
              <w:noProof/>
            </w:rPr>
            <w:t>. Retrieved from SRC: http://www.systemicrisk.ac.uk/systemic-risk</w:t>
          </w:r>
        </w:p>
        <w:p w:rsidR="00B83DB3" w:rsidRDefault="00B83DB3" w:rsidP="00027826">
          <w:pPr>
            <w:pStyle w:val="Bibliography"/>
            <w:spacing w:line="360" w:lineRule="auto"/>
            <w:ind w:left="720" w:hanging="720"/>
            <w:rPr>
              <w:noProof/>
            </w:rPr>
          </w:pPr>
          <w:r>
            <w:rPr>
              <w:noProof/>
            </w:rPr>
            <w:t xml:space="preserve">Uhlig, H. (September 24, 2009). A Model of a Systemic Bank Run. </w:t>
          </w:r>
          <w:r>
            <w:rPr>
              <w:i/>
              <w:iCs/>
              <w:noProof/>
            </w:rPr>
            <w:t>IMF</w:t>
          </w:r>
          <w:r>
            <w:rPr>
              <w:noProof/>
            </w:rPr>
            <w:t>, 2.</w:t>
          </w:r>
        </w:p>
        <w:p w:rsidR="00B83DB3" w:rsidRDefault="00B83DB3" w:rsidP="00027826">
          <w:pPr>
            <w:pStyle w:val="Bibliography"/>
            <w:spacing w:line="360" w:lineRule="auto"/>
            <w:ind w:left="720" w:hanging="720"/>
            <w:rPr>
              <w:noProof/>
            </w:rPr>
          </w:pPr>
          <w:r>
            <w:rPr>
              <w:noProof/>
            </w:rPr>
            <w:lastRenderedPageBreak/>
            <w:t xml:space="preserve">Wikipedia. (n.d.). </w:t>
          </w:r>
          <w:r>
            <w:rPr>
              <w:i/>
              <w:iCs/>
              <w:noProof/>
            </w:rPr>
            <w:t>Systemic Risk</w:t>
          </w:r>
          <w:r>
            <w:rPr>
              <w:noProof/>
            </w:rPr>
            <w:t>. Retrieved from Wikipedia: https://en.wikipedia.org/wiki/Systemic_risk</w:t>
          </w:r>
        </w:p>
        <w:p w:rsidR="00B83DB3" w:rsidRDefault="00B83DB3" w:rsidP="00027826">
          <w:pPr>
            <w:pStyle w:val="Bibliography"/>
            <w:spacing w:line="360" w:lineRule="auto"/>
            <w:ind w:left="720" w:hanging="720"/>
            <w:rPr>
              <w:noProof/>
            </w:rPr>
          </w:pPr>
          <w:r>
            <w:rPr>
              <w:noProof/>
            </w:rPr>
            <w:t xml:space="preserve">WILL KENTON. (2018, Feb 10). </w:t>
          </w:r>
          <w:r>
            <w:rPr>
              <w:i/>
              <w:iCs/>
              <w:noProof/>
            </w:rPr>
            <w:t>Maturity Mismatch</w:t>
          </w:r>
          <w:r>
            <w:rPr>
              <w:noProof/>
            </w:rPr>
            <w:t>. Retrieved from Investopedia: https://www.investopedia.com/terms/m/maturitymismatch.asp</w:t>
          </w:r>
        </w:p>
        <w:p w:rsidR="00B83DB3" w:rsidRDefault="00B83DB3" w:rsidP="00027826">
          <w:pPr>
            <w:pStyle w:val="Bibliography"/>
            <w:spacing w:line="360" w:lineRule="auto"/>
            <w:ind w:left="720" w:hanging="720"/>
            <w:rPr>
              <w:noProof/>
            </w:rPr>
          </w:pPr>
          <w:r>
            <w:rPr>
              <w:noProof/>
            </w:rPr>
            <w:t xml:space="preserve">Zigrand, J.-P. (2015, Aug 10). </w:t>
          </w:r>
          <w:r>
            <w:rPr>
              <w:i/>
              <w:iCs/>
              <w:noProof/>
            </w:rPr>
            <w:t>How can we control systemic risk?</w:t>
          </w:r>
          <w:r>
            <w:rPr>
              <w:noProof/>
            </w:rPr>
            <w:t xml:space="preserve"> Retrieved from World Economic Forum: https://www.weforum.org/agenda/2015/08/how-can-we-control-systemic-risk/</w:t>
          </w:r>
        </w:p>
        <w:p w:rsidR="009D3D0A" w:rsidRPr="001A01F0" w:rsidRDefault="009D3D0A" w:rsidP="00027826">
          <w:pPr>
            <w:pStyle w:val="NoSpacing"/>
            <w:spacing w:line="360" w:lineRule="auto"/>
            <w:jc w:val="both"/>
            <w:rPr>
              <w:rFonts w:ascii="Times New Roman" w:hAnsi="Times New Roman" w:cs="Times New Roman"/>
              <w:sz w:val="24"/>
              <w:szCs w:val="24"/>
            </w:rPr>
          </w:pPr>
          <w:r w:rsidRPr="001A01F0">
            <w:rPr>
              <w:rFonts w:ascii="Times New Roman" w:hAnsi="Times New Roman" w:cs="Times New Roman"/>
              <w:bCs/>
              <w:sz w:val="24"/>
              <w:szCs w:val="24"/>
            </w:rPr>
            <w:fldChar w:fldCharType="end"/>
          </w:r>
        </w:p>
      </w:sdtContent>
    </w:sdt>
    <w:p w:rsidR="0027736C" w:rsidRDefault="0027736C" w:rsidP="00027826">
      <w:pPr>
        <w:pStyle w:val="NoSpacing"/>
        <w:spacing w:line="360" w:lineRule="auto"/>
        <w:jc w:val="both"/>
        <w:rPr>
          <w:rFonts w:ascii="Times New Roman" w:hAnsi="Times New Roman" w:cs="Times New Roman"/>
          <w:sz w:val="24"/>
          <w:szCs w:val="24"/>
        </w:rPr>
      </w:pPr>
    </w:p>
    <w:p w:rsidR="0027736C" w:rsidRPr="0027736C" w:rsidRDefault="0027736C" w:rsidP="0027736C"/>
    <w:p w:rsidR="0027736C" w:rsidRPr="0027736C" w:rsidRDefault="0027736C" w:rsidP="0027736C"/>
    <w:p w:rsidR="0027736C" w:rsidRDefault="0027736C" w:rsidP="0027736C"/>
    <w:p w:rsidR="009D3D0A" w:rsidRPr="0027736C" w:rsidRDefault="0027736C" w:rsidP="0027736C">
      <w:pPr>
        <w:tabs>
          <w:tab w:val="left" w:pos="7720"/>
        </w:tabs>
      </w:pPr>
      <w:r>
        <w:tab/>
      </w:r>
    </w:p>
    <w:sectPr w:rsidR="009D3D0A" w:rsidRPr="0027736C" w:rsidSect="00EB16AB">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9F4" w:rsidRDefault="007049F4" w:rsidP="009D3D0A">
      <w:pPr>
        <w:spacing w:after="0" w:line="240" w:lineRule="auto"/>
      </w:pPr>
      <w:r>
        <w:separator/>
      </w:r>
    </w:p>
  </w:endnote>
  <w:endnote w:type="continuationSeparator" w:id="0">
    <w:p w:rsidR="007049F4" w:rsidRDefault="007049F4" w:rsidP="009D3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868117"/>
      <w:docPartObj>
        <w:docPartGallery w:val="Page Numbers (Bottom of Page)"/>
        <w:docPartUnique/>
      </w:docPartObj>
    </w:sdtPr>
    <w:sdtEndPr>
      <w:rPr>
        <w:noProof/>
      </w:rPr>
    </w:sdtEndPr>
    <w:sdtContent>
      <w:p w:rsidR="00EB16AB" w:rsidRDefault="00EB16AB">
        <w:pPr>
          <w:pStyle w:val="Footer"/>
          <w:jc w:val="center"/>
        </w:pPr>
        <w:r>
          <w:fldChar w:fldCharType="begin"/>
        </w:r>
        <w:r>
          <w:instrText xml:space="preserve"> PAGE   \* MERGEFORMAT </w:instrText>
        </w:r>
        <w:r>
          <w:fldChar w:fldCharType="separate"/>
        </w:r>
        <w:r w:rsidR="00186FAF">
          <w:rPr>
            <w:noProof/>
          </w:rPr>
          <w:t>14</w:t>
        </w:r>
        <w:r>
          <w:rPr>
            <w:noProof/>
          </w:rPr>
          <w:fldChar w:fldCharType="end"/>
        </w:r>
      </w:p>
    </w:sdtContent>
  </w:sdt>
  <w:p w:rsidR="00EB16AB" w:rsidRDefault="00EB16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9F4" w:rsidRDefault="007049F4" w:rsidP="009D3D0A">
      <w:pPr>
        <w:spacing w:after="0" w:line="240" w:lineRule="auto"/>
      </w:pPr>
      <w:r>
        <w:separator/>
      </w:r>
    </w:p>
  </w:footnote>
  <w:footnote w:type="continuationSeparator" w:id="0">
    <w:p w:rsidR="007049F4" w:rsidRDefault="007049F4" w:rsidP="009D3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83349"/>
    <w:multiLevelType w:val="hybridMultilevel"/>
    <w:tmpl w:val="890C37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D5F46"/>
    <w:multiLevelType w:val="hybridMultilevel"/>
    <w:tmpl w:val="9794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71526"/>
    <w:multiLevelType w:val="hybridMultilevel"/>
    <w:tmpl w:val="F0EC38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3223C"/>
    <w:multiLevelType w:val="hybridMultilevel"/>
    <w:tmpl w:val="0CB4C2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512D21"/>
    <w:multiLevelType w:val="hybridMultilevel"/>
    <w:tmpl w:val="1B7CE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724BFF"/>
    <w:multiLevelType w:val="hybridMultilevel"/>
    <w:tmpl w:val="92C893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7A6D36"/>
    <w:multiLevelType w:val="hybridMultilevel"/>
    <w:tmpl w:val="F15E4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A6201A"/>
    <w:multiLevelType w:val="multilevel"/>
    <w:tmpl w:val="F3302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ED56BC"/>
    <w:multiLevelType w:val="hybridMultilevel"/>
    <w:tmpl w:val="6CC2A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61299A"/>
    <w:multiLevelType w:val="hybridMultilevel"/>
    <w:tmpl w:val="5164D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901C14"/>
    <w:multiLevelType w:val="hybridMultilevel"/>
    <w:tmpl w:val="A6663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1121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6FD790E"/>
    <w:multiLevelType w:val="hybridMultilevel"/>
    <w:tmpl w:val="CCD6B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993FEE"/>
    <w:multiLevelType w:val="hybridMultilevel"/>
    <w:tmpl w:val="F1A4E5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0D7FF0"/>
    <w:multiLevelType w:val="hybridMultilevel"/>
    <w:tmpl w:val="D16A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B37DB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6F705865"/>
    <w:multiLevelType w:val="hybridMultilevel"/>
    <w:tmpl w:val="AEC651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CE7A66"/>
    <w:multiLevelType w:val="hybridMultilevel"/>
    <w:tmpl w:val="D266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C40096"/>
    <w:multiLevelType w:val="hybridMultilevel"/>
    <w:tmpl w:val="6874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2C2358"/>
    <w:multiLevelType w:val="hybridMultilevel"/>
    <w:tmpl w:val="46162B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FB4AA9"/>
    <w:multiLevelType w:val="multilevel"/>
    <w:tmpl w:val="F71EDFD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7DEA477A"/>
    <w:multiLevelType w:val="hybridMultilevel"/>
    <w:tmpl w:val="95263C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9"/>
  </w:num>
  <w:num w:numId="4">
    <w:abstractNumId w:val="17"/>
  </w:num>
  <w:num w:numId="5">
    <w:abstractNumId w:val="1"/>
  </w:num>
  <w:num w:numId="6">
    <w:abstractNumId w:val="14"/>
  </w:num>
  <w:num w:numId="7">
    <w:abstractNumId w:val="8"/>
  </w:num>
  <w:num w:numId="8">
    <w:abstractNumId w:val="4"/>
  </w:num>
  <w:num w:numId="9">
    <w:abstractNumId w:val="18"/>
  </w:num>
  <w:num w:numId="10">
    <w:abstractNumId w:val="16"/>
  </w:num>
  <w:num w:numId="11">
    <w:abstractNumId w:val="11"/>
  </w:num>
  <w:num w:numId="12">
    <w:abstractNumId w:val="19"/>
  </w:num>
  <w:num w:numId="13">
    <w:abstractNumId w:val="5"/>
  </w:num>
  <w:num w:numId="14">
    <w:abstractNumId w:val="0"/>
  </w:num>
  <w:num w:numId="15">
    <w:abstractNumId w:val="6"/>
  </w:num>
  <w:num w:numId="16">
    <w:abstractNumId w:val="2"/>
  </w:num>
  <w:num w:numId="17">
    <w:abstractNumId w:val="15"/>
  </w:num>
  <w:num w:numId="18">
    <w:abstractNumId w:val="7"/>
  </w:num>
  <w:num w:numId="19">
    <w:abstractNumId w:val="3"/>
  </w:num>
  <w:num w:numId="20">
    <w:abstractNumId w:val="21"/>
  </w:num>
  <w:num w:numId="21">
    <w:abstractNumId w:val="13"/>
  </w:num>
  <w:num w:numId="22">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010"/>
    <w:rsid w:val="00003962"/>
    <w:rsid w:val="000102E6"/>
    <w:rsid w:val="00027826"/>
    <w:rsid w:val="00076A7D"/>
    <w:rsid w:val="00081E97"/>
    <w:rsid w:val="00096BD7"/>
    <w:rsid w:val="000E2E21"/>
    <w:rsid w:val="000F42B3"/>
    <w:rsid w:val="00100EFA"/>
    <w:rsid w:val="0010169D"/>
    <w:rsid w:val="00122839"/>
    <w:rsid w:val="0013074F"/>
    <w:rsid w:val="001309CE"/>
    <w:rsid w:val="0014069D"/>
    <w:rsid w:val="0014148A"/>
    <w:rsid w:val="0015521F"/>
    <w:rsid w:val="001557C3"/>
    <w:rsid w:val="00172F76"/>
    <w:rsid w:val="00173B1D"/>
    <w:rsid w:val="00180565"/>
    <w:rsid w:val="00186FAF"/>
    <w:rsid w:val="001A01F0"/>
    <w:rsid w:val="001B7E7F"/>
    <w:rsid w:val="00223FD3"/>
    <w:rsid w:val="00265520"/>
    <w:rsid w:val="0027736C"/>
    <w:rsid w:val="002B1CD8"/>
    <w:rsid w:val="002C72AC"/>
    <w:rsid w:val="002D6A34"/>
    <w:rsid w:val="002E0A7A"/>
    <w:rsid w:val="00310D27"/>
    <w:rsid w:val="003161B2"/>
    <w:rsid w:val="003227CB"/>
    <w:rsid w:val="003344D4"/>
    <w:rsid w:val="003402E5"/>
    <w:rsid w:val="00363D35"/>
    <w:rsid w:val="00366216"/>
    <w:rsid w:val="00366CAA"/>
    <w:rsid w:val="00374E74"/>
    <w:rsid w:val="0037571A"/>
    <w:rsid w:val="00387D27"/>
    <w:rsid w:val="003A053E"/>
    <w:rsid w:val="003A7BDA"/>
    <w:rsid w:val="003B201D"/>
    <w:rsid w:val="003B4957"/>
    <w:rsid w:val="003C3FBD"/>
    <w:rsid w:val="003C4D75"/>
    <w:rsid w:val="003F0A10"/>
    <w:rsid w:val="003F6C08"/>
    <w:rsid w:val="004002E3"/>
    <w:rsid w:val="004104F9"/>
    <w:rsid w:val="00441CA7"/>
    <w:rsid w:val="0044213C"/>
    <w:rsid w:val="004630CA"/>
    <w:rsid w:val="004658D9"/>
    <w:rsid w:val="00497100"/>
    <w:rsid w:val="004B3610"/>
    <w:rsid w:val="004B38FB"/>
    <w:rsid w:val="004B7EE8"/>
    <w:rsid w:val="004C36BE"/>
    <w:rsid w:val="004D1EB8"/>
    <w:rsid w:val="004D6E7A"/>
    <w:rsid w:val="004F457C"/>
    <w:rsid w:val="004F69EE"/>
    <w:rsid w:val="004F7074"/>
    <w:rsid w:val="00504E2B"/>
    <w:rsid w:val="0050531A"/>
    <w:rsid w:val="00506EBF"/>
    <w:rsid w:val="005249A5"/>
    <w:rsid w:val="0055623C"/>
    <w:rsid w:val="005761B8"/>
    <w:rsid w:val="00585139"/>
    <w:rsid w:val="00597C4F"/>
    <w:rsid w:val="005A4010"/>
    <w:rsid w:val="005A5C84"/>
    <w:rsid w:val="005B62E6"/>
    <w:rsid w:val="005D65EC"/>
    <w:rsid w:val="00602060"/>
    <w:rsid w:val="00607034"/>
    <w:rsid w:val="00616B86"/>
    <w:rsid w:val="00622A64"/>
    <w:rsid w:val="006478C6"/>
    <w:rsid w:val="00664768"/>
    <w:rsid w:val="00664A4B"/>
    <w:rsid w:val="006823B7"/>
    <w:rsid w:val="006948B4"/>
    <w:rsid w:val="00695996"/>
    <w:rsid w:val="006B3165"/>
    <w:rsid w:val="006D1983"/>
    <w:rsid w:val="006E572B"/>
    <w:rsid w:val="007049F4"/>
    <w:rsid w:val="007104E7"/>
    <w:rsid w:val="00716D83"/>
    <w:rsid w:val="0078191E"/>
    <w:rsid w:val="00784792"/>
    <w:rsid w:val="007C214F"/>
    <w:rsid w:val="007D654D"/>
    <w:rsid w:val="007E5432"/>
    <w:rsid w:val="007E68E3"/>
    <w:rsid w:val="007F3FB5"/>
    <w:rsid w:val="007F793D"/>
    <w:rsid w:val="00805596"/>
    <w:rsid w:val="00821CD7"/>
    <w:rsid w:val="00845C9E"/>
    <w:rsid w:val="00857A15"/>
    <w:rsid w:val="00861AFC"/>
    <w:rsid w:val="008712C4"/>
    <w:rsid w:val="00874716"/>
    <w:rsid w:val="008760E7"/>
    <w:rsid w:val="00895EDF"/>
    <w:rsid w:val="008A46C2"/>
    <w:rsid w:val="00903F2B"/>
    <w:rsid w:val="00965222"/>
    <w:rsid w:val="00967754"/>
    <w:rsid w:val="00974FD8"/>
    <w:rsid w:val="009C288B"/>
    <w:rsid w:val="009D2B61"/>
    <w:rsid w:val="009D3D0A"/>
    <w:rsid w:val="009D6384"/>
    <w:rsid w:val="009D7D1B"/>
    <w:rsid w:val="009F7D18"/>
    <w:rsid w:val="00A02545"/>
    <w:rsid w:val="00A139E0"/>
    <w:rsid w:val="00A73C08"/>
    <w:rsid w:val="00A80AD5"/>
    <w:rsid w:val="00A8526A"/>
    <w:rsid w:val="00A93FF5"/>
    <w:rsid w:val="00AC667B"/>
    <w:rsid w:val="00AD71BF"/>
    <w:rsid w:val="00AE12B3"/>
    <w:rsid w:val="00AE2B64"/>
    <w:rsid w:val="00AF6544"/>
    <w:rsid w:val="00B25243"/>
    <w:rsid w:val="00B31637"/>
    <w:rsid w:val="00B36973"/>
    <w:rsid w:val="00B37937"/>
    <w:rsid w:val="00B434F9"/>
    <w:rsid w:val="00B71DFF"/>
    <w:rsid w:val="00B77E24"/>
    <w:rsid w:val="00B827E4"/>
    <w:rsid w:val="00B83DB3"/>
    <w:rsid w:val="00B859FD"/>
    <w:rsid w:val="00B85D02"/>
    <w:rsid w:val="00B95885"/>
    <w:rsid w:val="00BC4913"/>
    <w:rsid w:val="00BD7762"/>
    <w:rsid w:val="00C029F7"/>
    <w:rsid w:val="00C12834"/>
    <w:rsid w:val="00C12E03"/>
    <w:rsid w:val="00C22D2B"/>
    <w:rsid w:val="00C41AF8"/>
    <w:rsid w:val="00C6186F"/>
    <w:rsid w:val="00C961F8"/>
    <w:rsid w:val="00CC1C32"/>
    <w:rsid w:val="00CC66B4"/>
    <w:rsid w:val="00CE5C08"/>
    <w:rsid w:val="00D15713"/>
    <w:rsid w:val="00D16113"/>
    <w:rsid w:val="00D2335B"/>
    <w:rsid w:val="00D46FD0"/>
    <w:rsid w:val="00D545B6"/>
    <w:rsid w:val="00D6311B"/>
    <w:rsid w:val="00D7565C"/>
    <w:rsid w:val="00D926A8"/>
    <w:rsid w:val="00DA3FF8"/>
    <w:rsid w:val="00DC2D5E"/>
    <w:rsid w:val="00DC70AE"/>
    <w:rsid w:val="00DD1B21"/>
    <w:rsid w:val="00E009D9"/>
    <w:rsid w:val="00E235F5"/>
    <w:rsid w:val="00E25012"/>
    <w:rsid w:val="00E349DE"/>
    <w:rsid w:val="00E46A66"/>
    <w:rsid w:val="00E52B46"/>
    <w:rsid w:val="00E579A1"/>
    <w:rsid w:val="00E72B92"/>
    <w:rsid w:val="00E75EBC"/>
    <w:rsid w:val="00E76A5B"/>
    <w:rsid w:val="00E91D7C"/>
    <w:rsid w:val="00EA60AE"/>
    <w:rsid w:val="00EB16AB"/>
    <w:rsid w:val="00EC6087"/>
    <w:rsid w:val="00F23760"/>
    <w:rsid w:val="00F35328"/>
    <w:rsid w:val="00F53F35"/>
    <w:rsid w:val="00F839BB"/>
    <w:rsid w:val="00F933DC"/>
    <w:rsid w:val="00FA00E7"/>
    <w:rsid w:val="00FA0282"/>
    <w:rsid w:val="00FB3F5E"/>
    <w:rsid w:val="00FD178B"/>
    <w:rsid w:val="00FE7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40005B-F1E1-4FFD-9D1E-1BF9A194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1A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278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B38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827E4"/>
    <w:pPr>
      <w:spacing w:after="0" w:line="240" w:lineRule="auto"/>
    </w:pPr>
  </w:style>
  <w:style w:type="character" w:styleId="Emphasis">
    <w:name w:val="Emphasis"/>
    <w:basedOn w:val="DefaultParagraphFont"/>
    <w:uiPriority w:val="20"/>
    <w:qFormat/>
    <w:rsid w:val="003161B2"/>
    <w:rPr>
      <w:i/>
      <w:iCs/>
    </w:rPr>
  </w:style>
  <w:style w:type="character" w:styleId="Hyperlink">
    <w:name w:val="Hyperlink"/>
    <w:basedOn w:val="DefaultParagraphFont"/>
    <w:uiPriority w:val="99"/>
    <w:unhideWhenUsed/>
    <w:rsid w:val="005D65EC"/>
    <w:rPr>
      <w:color w:val="0563C1" w:themeColor="hyperlink"/>
      <w:u w:val="single"/>
    </w:rPr>
  </w:style>
  <w:style w:type="paragraph" w:styleId="ListParagraph">
    <w:name w:val="List Paragraph"/>
    <w:basedOn w:val="Normal"/>
    <w:uiPriority w:val="34"/>
    <w:qFormat/>
    <w:rsid w:val="00C12E03"/>
    <w:pPr>
      <w:ind w:left="720"/>
      <w:contextualSpacing/>
    </w:pPr>
  </w:style>
  <w:style w:type="character" w:customStyle="1" w:styleId="Heading1Char">
    <w:name w:val="Heading 1 Char"/>
    <w:basedOn w:val="DefaultParagraphFont"/>
    <w:link w:val="Heading1"/>
    <w:uiPriority w:val="9"/>
    <w:rsid w:val="00C41AF8"/>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478C6"/>
    <w:rPr>
      <w:color w:val="808080"/>
    </w:rPr>
  </w:style>
  <w:style w:type="character" w:customStyle="1" w:styleId="Heading3Char">
    <w:name w:val="Heading 3 Char"/>
    <w:basedOn w:val="DefaultParagraphFont"/>
    <w:link w:val="Heading3"/>
    <w:uiPriority w:val="9"/>
    <w:rsid w:val="004B38F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B38FB"/>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974FD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74FD8"/>
    <w:rPr>
      <w:rFonts w:eastAsiaTheme="minorEastAsia"/>
      <w:color w:val="5A5A5A" w:themeColor="text1" w:themeTint="A5"/>
      <w:spacing w:val="15"/>
    </w:rPr>
  </w:style>
  <w:style w:type="paragraph" w:styleId="Caption">
    <w:name w:val="caption"/>
    <w:basedOn w:val="Normal"/>
    <w:next w:val="Normal"/>
    <w:uiPriority w:val="35"/>
    <w:unhideWhenUsed/>
    <w:qFormat/>
    <w:rsid w:val="004104F9"/>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37571A"/>
  </w:style>
  <w:style w:type="character" w:styleId="Strong">
    <w:name w:val="Strong"/>
    <w:basedOn w:val="DefaultParagraphFont"/>
    <w:uiPriority w:val="22"/>
    <w:qFormat/>
    <w:rsid w:val="003227CB"/>
    <w:rPr>
      <w:b/>
      <w:bCs/>
    </w:rPr>
  </w:style>
  <w:style w:type="paragraph" w:styleId="Header">
    <w:name w:val="header"/>
    <w:basedOn w:val="Normal"/>
    <w:link w:val="HeaderChar"/>
    <w:uiPriority w:val="99"/>
    <w:unhideWhenUsed/>
    <w:rsid w:val="009D3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D0A"/>
  </w:style>
  <w:style w:type="paragraph" w:styleId="Footer">
    <w:name w:val="footer"/>
    <w:basedOn w:val="Normal"/>
    <w:link w:val="FooterChar"/>
    <w:uiPriority w:val="99"/>
    <w:unhideWhenUsed/>
    <w:rsid w:val="009D3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D0A"/>
  </w:style>
  <w:style w:type="character" w:customStyle="1" w:styleId="NoSpacingChar">
    <w:name w:val="No Spacing Char"/>
    <w:basedOn w:val="DefaultParagraphFont"/>
    <w:link w:val="NoSpacing"/>
    <w:uiPriority w:val="1"/>
    <w:rsid w:val="003F6C08"/>
  </w:style>
  <w:style w:type="character" w:customStyle="1" w:styleId="Heading2Char">
    <w:name w:val="Heading 2 Char"/>
    <w:basedOn w:val="DefaultParagraphFont"/>
    <w:link w:val="Heading2"/>
    <w:uiPriority w:val="9"/>
    <w:rsid w:val="00027826"/>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4F7074"/>
    <w:pPr>
      <w:outlineLvl w:val="9"/>
    </w:pPr>
  </w:style>
  <w:style w:type="paragraph" w:styleId="TOC1">
    <w:name w:val="toc 1"/>
    <w:basedOn w:val="Normal"/>
    <w:next w:val="Normal"/>
    <w:autoRedefine/>
    <w:uiPriority w:val="39"/>
    <w:unhideWhenUsed/>
    <w:rsid w:val="004F7074"/>
    <w:pPr>
      <w:spacing w:after="100"/>
    </w:pPr>
  </w:style>
  <w:style w:type="paragraph" w:styleId="TOC2">
    <w:name w:val="toc 2"/>
    <w:basedOn w:val="Normal"/>
    <w:next w:val="Normal"/>
    <w:autoRedefine/>
    <w:uiPriority w:val="39"/>
    <w:unhideWhenUsed/>
    <w:rsid w:val="004F7074"/>
    <w:pPr>
      <w:spacing w:after="100"/>
      <w:ind w:left="220"/>
    </w:pPr>
  </w:style>
  <w:style w:type="paragraph" w:styleId="TOC3">
    <w:name w:val="toc 3"/>
    <w:basedOn w:val="Normal"/>
    <w:next w:val="Normal"/>
    <w:autoRedefine/>
    <w:uiPriority w:val="39"/>
    <w:unhideWhenUsed/>
    <w:rsid w:val="004F707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6566">
      <w:bodyDiv w:val="1"/>
      <w:marLeft w:val="0"/>
      <w:marRight w:val="0"/>
      <w:marTop w:val="0"/>
      <w:marBottom w:val="0"/>
      <w:divBdr>
        <w:top w:val="none" w:sz="0" w:space="0" w:color="auto"/>
        <w:left w:val="none" w:sz="0" w:space="0" w:color="auto"/>
        <w:bottom w:val="none" w:sz="0" w:space="0" w:color="auto"/>
        <w:right w:val="none" w:sz="0" w:space="0" w:color="auto"/>
      </w:divBdr>
    </w:div>
    <w:div w:id="76369907">
      <w:bodyDiv w:val="1"/>
      <w:marLeft w:val="0"/>
      <w:marRight w:val="0"/>
      <w:marTop w:val="0"/>
      <w:marBottom w:val="0"/>
      <w:divBdr>
        <w:top w:val="none" w:sz="0" w:space="0" w:color="auto"/>
        <w:left w:val="none" w:sz="0" w:space="0" w:color="auto"/>
        <w:bottom w:val="none" w:sz="0" w:space="0" w:color="auto"/>
        <w:right w:val="none" w:sz="0" w:space="0" w:color="auto"/>
      </w:divBdr>
    </w:div>
    <w:div w:id="76444492">
      <w:bodyDiv w:val="1"/>
      <w:marLeft w:val="0"/>
      <w:marRight w:val="0"/>
      <w:marTop w:val="0"/>
      <w:marBottom w:val="0"/>
      <w:divBdr>
        <w:top w:val="none" w:sz="0" w:space="0" w:color="auto"/>
        <w:left w:val="none" w:sz="0" w:space="0" w:color="auto"/>
        <w:bottom w:val="none" w:sz="0" w:space="0" w:color="auto"/>
        <w:right w:val="none" w:sz="0" w:space="0" w:color="auto"/>
      </w:divBdr>
    </w:div>
    <w:div w:id="76951213">
      <w:bodyDiv w:val="1"/>
      <w:marLeft w:val="0"/>
      <w:marRight w:val="0"/>
      <w:marTop w:val="0"/>
      <w:marBottom w:val="0"/>
      <w:divBdr>
        <w:top w:val="none" w:sz="0" w:space="0" w:color="auto"/>
        <w:left w:val="none" w:sz="0" w:space="0" w:color="auto"/>
        <w:bottom w:val="none" w:sz="0" w:space="0" w:color="auto"/>
        <w:right w:val="none" w:sz="0" w:space="0" w:color="auto"/>
      </w:divBdr>
    </w:div>
    <w:div w:id="106314397">
      <w:bodyDiv w:val="1"/>
      <w:marLeft w:val="0"/>
      <w:marRight w:val="0"/>
      <w:marTop w:val="0"/>
      <w:marBottom w:val="0"/>
      <w:divBdr>
        <w:top w:val="none" w:sz="0" w:space="0" w:color="auto"/>
        <w:left w:val="none" w:sz="0" w:space="0" w:color="auto"/>
        <w:bottom w:val="none" w:sz="0" w:space="0" w:color="auto"/>
        <w:right w:val="none" w:sz="0" w:space="0" w:color="auto"/>
      </w:divBdr>
    </w:div>
    <w:div w:id="144057349">
      <w:bodyDiv w:val="1"/>
      <w:marLeft w:val="0"/>
      <w:marRight w:val="0"/>
      <w:marTop w:val="0"/>
      <w:marBottom w:val="0"/>
      <w:divBdr>
        <w:top w:val="none" w:sz="0" w:space="0" w:color="auto"/>
        <w:left w:val="none" w:sz="0" w:space="0" w:color="auto"/>
        <w:bottom w:val="none" w:sz="0" w:space="0" w:color="auto"/>
        <w:right w:val="none" w:sz="0" w:space="0" w:color="auto"/>
      </w:divBdr>
    </w:div>
    <w:div w:id="149446442">
      <w:bodyDiv w:val="1"/>
      <w:marLeft w:val="0"/>
      <w:marRight w:val="0"/>
      <w:marTop w:val="0"/>
      <w:marBottom w:val="0"/>
      <w:divBdr>
        <w:top w:val="none" w:sz="0" w:space="0" w:color="auto"/>
        <w:left w:val="none" w:sz="0" w:space="0" w:color="auto"/>
        <w:bottom w:val="none" w:sz="0" w:space="0" w:color="auto"/>
        <w:right w:val="none" w:sz="0" w:space="0" w:color="auto"/>
      </w:divBdr>
    </w:div>
    <w:div w:id="156922812">
      <w:bodyDiv w:val="1"/>
      <w:marLeft w:val="0"/>
      <w:marRight w:val="0"/>
      <w:marTop w:val="0"/>
      <w:marBottom w:val="0"/>
      <w:divBdr>
        <w:top w:val="none" w:sz="0" w:space="0" w:color="auto"/>
        <w:left w:val="none" w:sz="0" w:space="0" w:color="auto"/>
        <w:bottom w:val="none" w:sz="0" w:space="0" w:color="auto"/>
        <w:right w:val="none" w:sz="0" w:space="0" w:color="auto"/>
      </w:divBdr>
    </w:div>
    <w:div w:id="162164545">
      <w:bodyDiv w:val="1"/>
      <w:marLeft w:val="0"/>
      <w:marRight w:val="0"/>
      <w:marTop w:val="0"/>
      <w:marBottom w:val="0"/>
      <w:divBdr>
        <w:top w:val="none" w:sz="0" w:space="0" w:color="auto"/>
        <w:left w:val="none" w:sz="0" w:space="0" w:color="auto"/>
        <w:bottom w:val="none" w:sz="0" w:space="0" w:color="auto"/>
        <w:right w:val="none" w:sz="0" w:space="0" w:color="auto"/>
      </w:divBdr>
    </w:div>
    <w:div w:id="183985157">
      <w:bodyDiv w:val="1"/>
      <w:marLeft w:val="0"/>
      <w:marRight w:val="0"/>
      <w:marTop w:val="0"/>
      <w:marBottom w:val="0"/>
      <w:divBdr>
        <w:top w:val="none" w:sz="0" w:space="0" w:color="auto"/>
        <w:left w:val="none" w:sz="0" w:space="0" w:color="auto"/>
        <w:bottom w:val="none" w:sz="0" w:space="0" w:color="auto"/>
        <w:right w:val="none" w:sz="0" w:space="0" w:color="auto"/>
      </w:divBdr>
    </w:div>
    <w:div w:id="190580864">
      <w:bodyDiv w:val="1"/>
      <w:marLeft w:val="0"/>
      <w:marRight w:val="0"/>
      <w:marTop w:val="0"/>
      <w:marBottom w:val="0"/>
      <w:divBdr>
        <w:top w:val="none" w:sz="0" w:space="0" w:color="auto"/>
        <w:left w:val="none" w:sz="0" w:space="0" w:color="auto"/>
        <w:bottom w:val="none" w:sz="0" w:space="0" w:color="auto"/>
        <w:right w:val="none" w:sz="0" w:space="0" w:color="auto"/>
      </w:divBdr>
    </w:div>
    <w:div w:id="221404469">
      <w:bodyDiv w:val="1"/>
      <w:marLeft w:val="0"/>
      <w:marRight w:val="0"/>
      <w:marTop w:val="0"/>
      <w:marBottom w:val="0"/>
      <w:divBdr>
        <w:top w:val="none" w:sz="0" w:space="0" w:color="auto"/>
        <w:left w:val="none" w:sz="0" w:space="0" w:color="auto"/>
        <w:bottom w:val="none" w:sz="0" w:space="0" w:color="auto"/>
        <w:right w:val="none" w:sz="0" w:space="0" w:color="auto"/>
      </w:divBdr>
    </w:div>
    <w:div w:id="224949293">
      <w:bodyDiv w:val="1"/>
      <w:marLeft w:val="0"/>
      <w:marRight w:val="0"/>
      <w:marTop w:val="0"/>
      <w:marBottom w:val="0"/>
      <w:divBdr>
        <w:top w:val="none" w:sz="0" w:space="0" w:color="auto"/>
        <w:left w:val="none" w:sz="0" w:space="0" w:color="auto"/>
        <w:bottom w:val="none" w:sz="0" w:space="0" w:color="auto"/>
        <w:right w:val="none" w:sz="0" w:space="0" w:color="auto"/>
      </w:divBdr>
    </w:div>
    <w:div w:id="231626730">
      <w:bodyDiv w:val="1"/>
      <w:marLeft w:val="0"/>
      <w:marRight w:val="0"/>
      <w:marTop w:val="0"/>
      <w:marBottom w:val="0"/>
      <w:divBdr>
        <w:top w:val="none" w:sz="0" w:space="0" w:color="auto"/>
        <w:left w:val="none" w:sz="0" w:space="0" w:color="auto"/>
        <w:bottom w:val="none" w:sz="0" w:space="0" w:color="auto"/>
        <w:right w:val="none" w:sz="0" w:space="0" w:color="auto"/>
      </w:divBdr>
    </w:div>
    <w:div w:id="242450250">
      <w:bodyDiv w:val="1"/>
      <w:marLeft w:val="0"/>
      <w:marRight w:val="0"/>
      <w:marTop w:val="0"/>
      <w:marBottom w:val="0"/>
      <w:divBdr>
        <w:top w:val="none" w:sz="0" w:space="0" w:color="auto"/>
        <w:left w:val="none" w:sz="0" w:space="0" w:color="auto"/>
        <w:bottom w:val="none" w:sz="0" w:space="0" w:color="auto"/>
        <w:right w:val="none" w:sz="0" w:space="0" w:color="auto"/>
      </w:divBdr>
    </w:div>
    <w:div w:id="250816009">
      <w:bodyDiv w:val="1"/>
      <w:marLeft w:val="0"/>
      <w:marRight w:val="0"/>
      <w:marTop w:val="0"/>
      <w:marBottom w:val="0"/>
      <w:divBdr>
        <w:top w:val="none" w:sz="0" w:space="0" w:color="auto"/>
        <w:left w:val="none" w:sz="0" w:space="0" w:color="auto"/>
        <w:bottom w:val="none" w:sz="0" w:space="0" w:color="auto"/>
        <w:right w:val="none" w:sz="0" w:space="0" w:color="auto"/>
      </w:divBdr>
    </w:div>
    <w:div w:id="261492570">
      <w:bodyDiv w:val="1"/>
      <w:marLeft w:val="0"/>
      <w:marRight w:val="0"/>
      <w:marTop w:val="0"/>
      <w:marBottom w:val="0"/>
      <w:divBdr>
        <w:top w:val="none" w:sz="0" w:space="0" w:color="auto"/>
        <w:left w:val="none" w:sz="0" w:space="0" w:color="auto"/>
        <w:bottom w:val="none" w:sz="0" w:space="0" w:color="auto"/>
        <w:right w:val="none" w:sz="0" w:space="0" w:color="auto"/>
      </w:divBdr>
    </w:div>
    <w:div w:id="263462724">
      <w:bodyDiv w:val="1"/>
      <w:marLeft w:val="0"/>
      <w:marRight w:val="0"/>
      <w:marTop w:val="0"/>
      <w:marBottom w:val="0"/>
      <w:divBdr>
        <w:top w:val="none" w:sz="0" w:space="0" w:color="auto"/>
        <w:left w:val="none" w:sz="0" w:space="0" w:color="auto"/>
        <w:bottom w:val="none" w:sz="0" w:space="0" w:color="auto"/>
        <w:right w:val="none" w:sz="0" w:space="0" w:color="auto"/>
      </w:divBdr>
    </w:div>
    <w:div w:id="272790603">
      <w:bodyDiv w:val="1"/>
      <w:marLeft w:val="0"/>
      <w:marRight w:val="0"/>
      <w:marTop w:val="0"/>
      <w:marBottom w:val="0"/>
      <w:divBdr>
        <w:top w:val="none" w:sz="0" w:space="0" w:color="auto"/>
        <w:left w:val="none" w:sz="0" w:space="0" w:color="auto"/>
        <w:bottom w:val="none" w:sz="0" w:space="0" w:color="auto"/>
        <w:right w:val="none" w:sz="0" w:space="0" w:color="auto"/>
      </w:divBdr>
    </w:div>
    <w:div w:id="290672070">
      <w:bodyDiv w:val="1"/>
      <w:marLeft w:val="0"/>
      <w:marRight w:val="0"/>
      <w:marTop w:val="0"/>
      <w:marBottom w:val="0"/>
      <w:divBdr>
        <w:top w:val="none" w:sz="0" w:space="0" w:color="auto"/>
        <w:left w:val="none" w:sz="0" w:space="0" w:color="auto"/>
        <w:bottom w:val="none" w:sz="0" w:space="0" w:color="auto"/>
        <w:right w:val="none" w:sz="0" w:space="0" w:color="auto"/>
      </w:divBdr>
    </w:div>
    <w:div w:id="334039095">
      <w:bodyDiv w:val="1"/>
      <w:marLeft w:val="0"/>
      <w:marRight w:val="0"/>
      <w:marTop w:val="0"/>
      <w:marBottom w:val="0"/>
      <w:divBdr>
        <w:top w:val="none" w:sz="0" w:space="0" w:color="auto"/>
        <w:left w:val="none" w:sz="0" w:space="0" w:color="auto"/>
        <w:bottom w:val="none" w:sz="0" w:space="0" w:color="auto"/>
        <w:right w:val="none" w:sz="0" w:space="0" w:color="auto"/>
      </w:divBdr>
    </w:div>
    <w:div w:id="337851946">
      <w:bodyDiv w:val="1"/>
      <w:marLeft w:val="0"/>
      <w:marRight w:val="0"/>
      <w:marTop w:val="0"/>
      <w:marBottom w:val="0"/>
      <w:divBdr>
        <w:top w:val="none" w:sz="0" w:space="0" w:color="auto"/>
        <w:left w:val="none" w:sz="0" w:space="0" w:color="auto"/>
        <w:bottom w:val="none" w:sz="0" w:space="0" w:color="auto"/>
        <w:right w:val="none" w:sz="0" w:space="0" w:color="auto"/>
      </w:divBdr>
    </w:div>
    <w:div w:id="337930682">
      <w:bodyDiv w:val="1"/>
      <w:marLeft w:val="0"/>
      <w:marRight w:val="0"/>
      <w:marTop w:val="0"/>
      <w:marBottom w:val="0"/>
      <w:divBdr>
        <w:top w:val="none" w:sz="0" w:space="0" w:color="auto"/>
        <w:left w:val="none" w:sz="0" w:space="0" w:color="auto"/>
        <w:bottom w:val="none" w:sz="0" w:space="0" w:color="auto"/>
        <w:right w:val="none" w:sz="0" w:space="0" w:color="auto"/>
      </w:divBdr>
    </w:div>
    <w:div w:id="344210830">
      <w:bodyDiv w:val="1"/>
      <w:marLeft w:val="0"/>
      <w:marRight w:val="0"/>
      <w:marTop w:val="0"/>
      <w:marBottom w:val="0"/>
      <w:divBdr>
        <w:top w:val="none" w:sz="0" w:space="0" w:color="auto"/>
        <w:left w:val="none" w:sz="0" w:space="0" w:color="auto"/>
        <w:bottom w:val="none" w:sz="0" w:space="0" w:color="auto"/>
        <w:right w:val="none" w:sz="0" w:space="0" w:color="auto"/>
      </w:divBdr>
    </w:div>
    <w:div w:id="354312361">
      <w:bodyDiv w:val="1"/>
      <w:marLeft w:val="0"/>
      <w:marRight w:val="0"/>
      <w:marTop w:val="0"/>
      <w:marBottom w:val="0"/>
      <w:divBdr>
        <w:top w:val="none" w:sz="0" w:space="0" w:color="auto"/>
        <w:left w:val="none" w:sz="0" w:space="0" w:color="auto"/>
        <w:bottom w:val="none" w:sz="0" w:space="0" w:color="auto"/>
        <w:right w:val="none" w:sz="0" w:space="0" w:color="auto"/>
      </w:divBdr>
    </w:div>
    <w:div w:id="368453732">
      <w:bodyDiv w:val="1"/>
      <w:marLeft w:val="0"/>
      <w:marRight w:val="0"/>
      <w:marTop w:val="0"/>
      <w:marBottom w:val="0"/>
      <w:divBdr>
        <w:top w:val="none" w:sz="0" w:space="0" w:color="auto"/>
        <w:left w:val="none" w:sz="0" w:space="0" w:color="auto"/>
        <w:bottom w:val="none" w:sz="0" w:space="0" w:color="auto"/>
        <w:right w:val="none" w:sz="0" w:space="0" w:color="auto"/>
      </w:divBdr>
    </w:div>
    <w:div w:id="373694243">
      <w:bodyDiv w:val="1"/>
      <w:marLeft w:val="0"/>
      <w:marRight w:val="0"/>
      <w:marTop w:val="0"/>
      <w:marBottom w:val="0"/>
      <w:divBdr>
        <w:top w:val="none" w:sz="0" w:space="0" w:color="auto"/>
        <w:left w:val="none" w:sz="0" w:space="0" w:color="auto"/>
        <w:bottom w:val="none" w:sz="0" w:space="0" w:color="auto"/>
        <w:right w:val="none" w:sz="0" w:space="0" w:color="auto"/>
      </w:divBdr>
    </w:div>
    <w:div w:id="377048456">
      <w:bodyDiv w:val="1"/>
      <w:marLeft w:val="0"/>
      <w:marRight w:val="0"/>
      <w:marTop w:val="0"/>
      <w:marBottom w:val="0"/>
      <w:divBdr>
        <w:top w:val="none" w:sz="0" w:space="0" w:color="auto"/>
        <w:left w:val="none" w:sz="0" w:space="0" w:color="auto"/>
        <w:bottom w:val="none" w:sz="0" w:space="0" w:color="auto"/>
        <w:right w:val="none" w:sz="0" w:space="0" w:color="auto"/>
      </w:divBdr>
    </w:div>
    <w:div w:id="393968666">
      <w:bodyDiv w:val="1"/>
      <w:marLeft w:val="0"/>
      <w:marRight w:val="0"/>
      <w:marTop w:val="0"/>
      <w:marBottom w:val="0"/>
      <w:divBdr>
        <w:top w:val="none" w:sz="0" w:space="0" w:color="auto"/>
        <w:left w:val="none" w:sz="0" w:space="0" w:color="auto"/>
        <w:bottom w:val="none" w:sz="0" w:space="0" w:color="auto"/>
        <w:right w:val="none" w:sz="0" w:space="0" w:color="auto"/>
      </w:divBdr>
    </w:div>
    <w:div w:id="413942638">
      <w:bodyDiv w:val="1"/>
      <w:marLeft w:val="0"/>
      <w:marRight w:val="0"/>
      <w:marTop w:val="0"/>
      <w:marBottom w:val="0"/>
      <w:divBdr>
        <w:top w:val="none" w:sz="0" w:space="0" w:color="auto"/>
        <w:left w:val="none" w:sz="0" w:space="0" w:color="auto"/>
        <w:bottom w:val="none" w:sz="0" w:space="0" w:color="auto"/>
        <w:right w:val="none" w:sz="0" w:space="0" w:color="auto"/>
      </w:divBdr>
    </w:div>
    <w:div w:id="461077884">
      <w:bodyDiv w:val="1"/>
      <w:marLeft w:val="0"/>
      <w:marRight w:val="0"/>
      <w:marTop w:val="0"/>
      <w:marBottom w:val="0"/>
      <w:divBdr>
        <w:top w:val="none" w:sz="0" w:space="0" w:color="auto"/>
        <w:left w:val="none" w:sz="0" w:space="0" w:color="auto"/>
        <w:bottom w:val="none" w:sz="0" w:space="0" w:color="auto"/>
        <w:right w:val="none" w:sz="0" w:space="0" w:color="auto"/>
      </w:divBdr>
    </w:div>
    <w:div w:id="475227172">
      <w:bodyDiv w:val="1"/>
      <w:marLeft w:val="0"/>
      <w:marRight w:val="0"/>
      <w:marTop w:val="0"/>
      <w:marBottom w:val="0"/>
      <w:divBdr>
        <w:top w:val="none" w:sz="0" w:space="0" w:color="auto"/>
        <w:left w:val="none" w:sz="0" w:space="0" w:color="auto"/>
        <w:bottom w:val="none" w:sz="0" w:space="0" w:color="auto"/>
        <w:right w:val="none" w:sz="0" w:space="0" w:color="auto"/>
      </w:divBdr>
    </w:div>
    <w:div w:id="481698417">
      <w:bodyDiv w:val="1"/>
      <w:marLeft w:val="0"/>
      <w:marRight w:val="0"/>
      <w:marTop w:val="0"/>
      <w:marBottom w:val="0"/>
      <w:divBdr>
        <w:top w:val="none" w:sz="0" w:space="0" w:color="auto"/>
        <w:left w:val="none" w:sz="0" w:space="0" w:color="auto"/>
        <w:bottom w:val="none" w:sz="0" w:space="0" w:color="auto"/>
        <w:right w:val="none" w:sz="0" w:space="0" w:color="auto"/>
      </w:divBdr>
    </w:div>
    <w:div w:id="484704657">
      <w:bodyDiv w:val="1"/>
      <w:marLeft w:val="0"/>
      <w:marRight w:val="0"/>
      <w:marTop w:val="0"/>
      <w:marBottom w:val="0"/>
      <w:divBdr>
        <w:top w:val="none" w:sz="0" w:space="0" w:color="auto"/>
        <w:left w:val="none" w:sz="0" w:space="0" w:color="auto"/>
        <w:bottom w:val="none" w:sz="0" w:space="0" w:color="auto"/>
        <w:right w:val="none" w:sz="0" w:space="0" w:color="auto"/>
      </w:divBdr>
    </w:div>
    <w:div w:id="514081222">
      <w:bodyDiv w:val="1"/>
      <w:marLeft w:val="0"/>
      <w:marRight w:val="0"/>
      <w:marTop w:val="0"/>
      <w:marBottom w:val="0"/>
      <w:divBdr>
        <w:top w:val="none" w:sz="0" w:space="0" w:color="auto"/>
        <w:left w:val="none" w:sz="0" w:space="0" w:color="auto"/>
        <w:bottom w:val="none" w:sz="0" w:space="0" w:color="auto"/>
        <w:right w:val="none" w:sz="0" w:space="0" w:color="auto"/>
      </w:divBdr>
    </w:div>
    <w:div w:id="528881321">
      <w:bodyDiv w:val="1"/>
      <w:marLeft w:val="0"/>
      <w:marRight w:val="0"/>
      <w:marTop w:val="0"/>
      <w:marBottom w:val="0"/>
      <w:divBdr>
        <w:top w:val="none" w:sz="0" w:space="0" w:color="auto"/>
        <w:left w:val="none" w:sz="0" w:space="0" w:color="auto"/>
        <w:bottom w:val="none" w:sz="0" w:space="0" w:color="auto"/>
        <w:right w:val="none" w:sz="0" w:space="0" w:color="auto"/>
      </w:divBdr>
    </w:div>
    <w:div w:id="532352421">
      <w:bodyDiv w:val="1"/>
      <w:marLeft w:val="0"/>
      <w:marRight w:val="0"/>
      <w:marTop w:val="0"/>
      <w:marBottom w:val="0"/>
      <w:divBdr>
        <w:top w:val="none" w:sz="0" w:space="0" w:color="auto"/>
        <w:left w:val="none" w:sz="0" w:space="0" w:color="auto"/>
        <w:bottom w:val="none" w:sz="0" w:space="0" w:color="auto"/>
        <w:right w:val="none" w:sz="0" w:space="0" w:color="auto"/>
      </w:divBdr>
    </w:div>
    <w:div w:id="572206148">
      <w:bodyDiv w:val="1"/>
      <w:marLeft w:val="0"/>
      <w:marRight w:val="0"/>
      <w:marTop w:val="0"/>
      <w:marBottom w:val="0"/>
      <w:divBdr>
        <w:top w:val="none" w:sz="0" w:space="0" w:color="auto"/>
        <w:left w:val="none" w:sz="0" w:space="0" w:color="auto"/>
        <w:bottom w:val="none" w:sz="0" w:space="0" w:color="auto"/>
        <w:right w:val="none" w:sz="0" w:space="0" w:color="auto"/>
      </w:divBdr>
    </w:div>
    <w:div w:id="576670248">
      <w:bodyDiv w:val="1"/>
      <w:marLeft w:val="0"/>
      <w:marRight w:val="0"/>
      <w:marTop w:val="0"/>
      <w:marBottom w:val="0"/>
      <w:divBdr>
        <w:top w:val="none" w:sz="0" w:space="0" w:color="auto"/>
        <w:left w:val="none" w:sz="0" w:space="0" w:color="auto"/>
        <w:bottom w:val="none" w:sz="0" w:space="0" w:color="auto"/>
        <w:right w:val="none" w:sz="0" w:space="0" w:color="auto"/>
      </w:divBdr>
    </w:div>
    <w:div w:id="580875997">
      <w:bodyDiv w:val="1"/>
      <w:marLeft w:val="0"/>
      <w:marRight w:val="0"/>
      <w:marTop w:val="0"/>
      <w:marBottom w:val="0"/>
      <w:divBdr>
        <w:top w:val="none" w:sz="0" w:space="0" w:color="auto"/>
        <w:left w:val="none" w:sz="0" w:space="0" w:color="auto"/>
        <w:bottom w:val="none" w:sz="0" w:space="0" w:color="auto"/>
        <w:right w:val="none" w:sz="0" w:space="0" w:color="auto"/>
      </w:divBdr>
    </w:div>
    <w:div w:id="595329146">
      <w:bodyDiv w:val="1"/>
      <w:marLeft w:val="0"/>
      <w:marRight w:val="0"/>
      <w:marTop w:val="0"/>
      <w:marBottom w:val="0"/>
      <w:divBdr>
        <w:top w:val="none" w:sz="0" w:space="0" w:color="auto"/>
        <w:left w:val="none" w:sz="0" w:space="0" w:color="auto"/>
        <w:bottom w:val="none" w:sz="0" w:space="0" w:color="auto"/>
        <w:right w:val="none" w:sz="0" w:space="0" w:color="auto"/>
      </w:divBdr>
    </w:div>
    <w:div w:id="606696263">
      <w:bodyDiv w:val="1"/>
      <w:marLeft w:val="0"/>
      <w:marRight w:val="0"/>
      <w:marTop w:val="0"/>
      <w:marBottom w:val="0"/>
      <w:divBdr>
        <w:top w:val="none" w:sz="0" w:space="0" w:color="auto"/>
        <w:left w:val="none" w:sz="0" w:space="0" w:color="auto"/>
        <w:bottom w:val="none" w:sz="0" w:space="0" w:color="auto"/>
        <w:right w:val="none" w:sz="0" w:space="0" w:color="auto"/>
      </w:divBdr>
    </w:div>
    <w:div w:id="609239965">
      <w:bodyDiv w:val="1"/>
      <w:marLeft w:val="0"/>
      <w:marRight w:val="0"/>
      <w:marTop w:val="0"/>
      <w:marBottom w:val="0"/>
      <w:divBdr>
        <w:top w:val="none" w:sz="0" w:space="0" w:color="auto"/>
        <w:left w:val="none" w:sz="0" w:space="0" w:color="auto"/>
        <w:bottom w:val="none" w:sz="0" w:space="0" w:color="auto"/>
        <w:right w:val="none" w:sz="0" w:space="0" w:color="auto"/>
      </w:divBdr>
    </w:div>
    <w:div w:id="616987180">
      <w:bodyDiv w:val="1"/>
      <w:marLeft w:val="0"/>
      <w:marRight w:val="0"/>
      <w:marTop w:val="0"/>
      <w:marBottom w:val="0"/>
      <w:divBdr>
        <w:top w:val="none" w:sz="0" w:space="0" w:color="auto"/>
        <w:left w:val="none" w:sz="0" w:space="0" w:color="auto"/>
        <w:bottom w:val="none" w:sz="0" w:space="0" w:color="auto"/>
        <w:right w:val="none" w:sz="0" w:space="0" w:color="auto"/>
      </w:divBdr>
    </w:div>
    <w:div w:id="644774630">
      <w:bodyDiv w:val="1"/>
      <w:marLeft w:val="0"/>
      <w:marRight w:val="0"/>
      <w:marTop w:val="0"/>
      <w:marBottom w:val="0"/>
      <w:divBdr>
        <w:top w:val="none" w:sz="0" w:space="0" w:color="auto"/>
        <w:left w:val="none" w:sz="0" w:space="0" w:color="auto"/>
        <w:bottom w:val="none" w:sz="0" w:space="0" w:color="auto"/>
        <w:right w:val="none" w:sz="0" w:space="0" w:color="auto"/>
      </w:divBdr>
    </w:div>
    <w:div w:id="655646111">
      <w:bodyDiv w:val="1"/>
      <w:marLeft w:val="0"/>
      <w:marRight w:val="0"/>
      <w:marTop w:val="0"/>
      <w:marBottom w:val="0"/>
      <w:divBdr>
        <w:top w:val="none" w:sz="0" w:space="0" w:color="auto"/>
        <w:left w:val="none" w:sz="0" w:space="0" w:color="auto"/>
        <w:bottom w:val="none" w:sz="0" w:space="0" w:color="auto"/>
        <w:right w:val="none" w:sz="0" w:space="0" w:color="auto"/>
      </w:divBdr>
    </w:div>
    <w:div w:id="679697840">
      <w:bodyDiv w:val="1"/>
      <w:marLeft w:val="0"/>
      <w:marRight w:val="0"/>
      <w:marTop w:val="0"/>
      <w:marBottom w:val="0"/>
      <w:divBdr>
        <w:top w:val="none" w:sz="0" w:space="0" w:color="auto"/>
        <w:left w:val="none" w:sz="0" w:space="0" w:color="auto"/>
        <w:bottom w:val="none" w:sz="0" w:space="0" w:color="auto"/>
        <w:right w:val="none" w:sz="0" w:space="0" w:color="auto"/>
      </w:divBdr>
    </w:div>
    <w:div w:id="686254812">
      <w:bodyDiv w:val="1"/>
      <w:marLeft w:val="0"/>
      <w:marRight w:val="0"/>
      <w:marTop w:val="0"/>
      <w:marBottom w:val="0"/>
      <w:divBdr>
        <w:top w:val="none" w:sz="0" w:space="0" w:color="auto"/>
        <w:left w:val="none" w:sz="0" w:space="0" w:color="auto"/>
        <w:bottom w:val="none" w:sz="0" w:space="0" w:color="auto"/>
        <w:right w:val="none" w:sz="0" w:space="0" w:color="auto"/>
      </w:divBdr>
    </w:div>
    <w:div w:id="694230245">
      <w:bodyDiv w:val="1"/>
      <w:marLeft w:val="0"/>
      <w:marRight w:val="0"/>
      <w:marTop w:val="0"/>
      <w:marBottom w:val="0"/>
      <w:divBdr>
        <w:top w:val="none" w:sz="0" w:space="0" w:color="auto"/>
        <w:left w:val="none" w:sz="0" w:space="0" w:color="auto"/>
        <w:bottom w:val="none" w:sz="0" w:space="0" w:color="auto"/>
        <w:right w:val="none" w:sz="0" w:space="0" w:color="auto"/>
      </w:divBdr>
    </w:div>
    <w:div w:id="717705458">
      <w:bodyDiv w:val="1"/>
      <w:marLeft w:val="0"/>
      <w:marRight w:val="0"/>
      <w:marTop w:val="0"/>
      <w:marBottom w:val="0"/>
      <w:divBdr>
        <w:top w:val="none" w:sz="0" w:space="0" w:color="auto"/>
        <w:left w:val="none" w:sz="0" w:space="0" w:color="auto"/>
        <w:bottom w:val="none" w:sz="0" w:space="0" w:color="auto"/>
        <w:right w:val="none" w:sz="0" w:space="0" w:color="auto"/>
      </w:divBdr>
    </w:div>
    <w:div w:id="724989918">
      <w:bodyDiv w:val="1"/>
      <w:marLeft w:val="0"/>
      <w:marRight w:val="0"/>
      <w:marTop w:val="0"/>
      <w:marBottom w:val="0"/>
      <w:divBdr>
        <w:top w:val="none" w:sz="0" w:space="0" w:color="auto"/>
        <w:left w:val="none" w:sz="0" w:space="0" w:color="auto"/>
        <w:bottom w:val="none" w:sz="0" w:space="0" w:color="auto"/>
        <w:right w:val="none" w:sz="0" w:space="0" w:color="auto"/>
      </w:divBdr>
    </w:div>
    <w:div w:id="738289697">
      <w:bodyDiv w:val="1"/>
      <w:marLeft w:val="0"/>
      <w:marRight w:val="0"/>
      <w:marTop w:val="0"/>
      <w:marBottom w:val="0"/>
      <w:divBdr>
        <w:top w:val="none" w:sz="0" w:space="0" w:color="auto"/>
        <w:left w:val="none" w:sz="0" w:space="0" w:color="auto"/>
        <w:bottom w:val="none" w:sz="0" w:space="0" w:color="auto"/>
        <w:right w:val="none" w:sz="0" w:space="0" w:color="auto"/>
      </w:divBdr>
    </w:div>
    <w:div w:id="744642636">
      <w:bodyDiv w:val="1"/>
      <w:marLeft w:val="0"/>
      <w:marRight w:val="0"/>
      <w:marTop w:val="0"/>
      <w:marBottom w:val="0"/>
      <w:divBdr>
        <w:top w:val="none" w:sz="0" w:space="0" w:color="auto"/>
        <w:left w:val="none" w:sz="0" w:space="0" w:color="auto"/>
        <w:bottom w:val="none" w:sz="0" w:space="0" w:color="auto"/>
        <w:right w:val="none" w:sz="0" w:space="0" w:color="auto"/>
      </w:divBdr>
    </w:div>
    <w:div w:id="745806309">
      <w:bodyDiv w:val="1"/>
      <w:marLeft w:val="0"/>
      <w:marRight w:val="0"/>
      <w:marTop w:val="0"/>
      <w:marBottom w:val="0"/>
      <w:divBdr>
        <w:top w:val="none" w:sz="0" w:space="0" w:color="auto"/>
        <w:left w:val="none" w:sz="0" w:space="0" w:color="auto"/>
        <w:bottom w:val="none" w:sz="0" w:space="0" w:color="auto"/>
        <w:right w:val="none" w:sz="0" w:space="0" w:color="auto"/>
      </w:divBdr>
    </w:div>
    <w:div w:id="753168311">
      <w:bodyDiv w:val="1"/>
      <w:marLeft w:val="0"/>
      <w:marRight w:val="0"/>
      <w:marTop w:val="0"/>
      <w:marBottom w:val="0"/>
      <w:divBdr>
        <w:top w:val="none" w:sz="0" w:space="0" w:color="auto"/>
        <w:left w:val="none" w:sz="0" w:space="0" w:color="auto"/>
        <w:bottom w:val="none" w:sz="0" w:space="0" w:color="auto"/>
        <w:right w:val="none" w:sz="0" w:space="0" w:color="auto"/>
      </w:divBdr>
    </w:div>
    <w:div w:id="759134560">
      <w:bodyDiv w:val="1"/>
      <w:marLeft w:val="0"/>
      <w:marRight w:val="0"/>
      <w:marTop w:val="0"/>
      <w:marBottom w:val="0"/>
      <w:divBdr>
        <w:top w:val="none" w:sz="0" w:space="0" w:color="auto"/>
        <w:left w:val="none" w:sz="0" w:space="0" w:color="auto"/>
        <w:bottom w:val="none" w:sz="0" w:space="0" w:color="auto"/>
        <w:right w:val="none" w:sz="0" w:space="0" w:color="auto"/>
      </w:divBdr>
    </w:div>
    <w:div w:id="790438294">
      <w:bodyDiv w:val="1"/>
      <w:marLeft w:val="0"/>
      <w:marRight w:val="0"/>
      <w:marTop w:val="0"/>
      <w:marBottom w:val="0"/>
      <w:divBdr>
        <w:top w:val="none" w:sz="0" w:space="0" w:color="auto"/>
        <w:left w:val="none" w:sz="0" w:space="0" w:color="auto"/>
        <w:bottom w:val="none" w:sz="0" w:space="0" w:color="auto"/>
        <w:right w:val="none" w:sz="0" w:space="0" w:color="auto"/>
      </w:divBdr>
    </w:div>
    <w:div w:id="795638940">
      <w:bodyDiv w:val="1"/>
      <w:marLeft w:val="0"/>
      <w:marRight w:val="0"/>
      <w:marTop w:val="0"/>
      <w:marBottom w:val="0"/>
      <w:divBdr>
        <w:top w:val="none" w:sz="0" w:space="0" w:color="auto"/>
        <w:left w:val="none" w:sz="0" w:space="0" w:color="auto"/>
        <w:bottom w:val="none" w:sz="0" w:space="0" w:color="auto"/>
        <w:right w:val="none" w:sz="0" w:space="0" w:color="auto"/>
      </w:divBdr>
    </w:div>
    <w:div w:id="803158559">
      <w:bodyDiv w:val="1"/>
      <w:marLeft w:val="0"/>
      <w:marRight w:val="0"/>
      <w:marTop w:val="0"/>
      <w:marBottom w:val="0"/>
      <w:divBdr>
        <w:top w:val="none" w:sz="0" w:space="0" w:color="auto"/>
        <w:left w:val="none" w:sz="0" w:space="0" w:color="auto"/>
        <w:bottom w:val="none" w:sz="0" w:space="0" w:color="auto"/>
        <w:right w:val="none" w:sz="0" w:space="0" w:color="auto"/>
      </w:divBdr>
    </w:div>
    <w:div w:id="806437403">
      <w:bodyDiv w:val="1"/>
      <w:marLeft w:val="0"/>
      <w:marRight w:val="0"/>
      <w:marTop w:val="0"/>
      <w:marBottom w:val="0"/>
      <w:divBdr>
        <w:top w:val="none" w:sz="0" w:space="0" w:color="auto"/>
        <w:left w:val="none" w:sz="0" w:space="0" w:color="auto"/>
        <w:bottom w:val="none" w:sz="0" w:space="0" w:color="auto"/>
        <w:right w:val="none" w:sz="0" w:space="0" w:color="auto"/>
      </w:divBdr>
    </w:div>
    <w:div w:id="808983230">
      <w:bodyDiv w:val="1"/>
      <w:marLeft w:val="0"/>
      <w:marRight w:val="0"/>
      <w:marTop w:val="0"/>
      <w:marBottom w:val="0"/>
      <w:divBdr>
        <w:top w:val="none" w:sz="0" w:space="0" w:color="auto"/>
        <w:left w:val="none" w:sz="0" w:space="0" w:color="auto"/>
        <w:bottom w:val="none" w:sz="0" w:space="0" w:color="auto"/>
        <w:right w:val="none" w:sz="0" w:space="0" w:color="auto"/>
      </w:divBdr>
    </w:div>
    <w:div w:id="817381489">
      <w:bodyDiv w:val="1"/>
      <w:marLeft w:val="0"/>
      <w:marRight w:val="0"/>
      <w:marTop w:val="0"/>
      <w:marBottom w:val="0"/>
      <w:divBdr>
        <w:top w:val="none" w:sz="0" w:space="0" w:color="auto"/>
        <w:left w:val="none" w:sz="0" w:space="0" w:color="auto"/>
        <w:bottom w:val="none" w:sz="0" w:space="0" w:color="auto"/>
        <w:right w:val="none" w:sz="0" w:space="0" w:color="auto"/>
      </w:divBdr>
    </w:div>
    <w:div w:id="825123514">
      <w:bodyDiv w:val="1"/>
      <w:marLeft w:val="0"/>
      <w:marRight w:val="0"/>
      <w:marTop w:val="0"/>
      <w:marBottom w:val="0"/>
      <w:divBdr>
        <w:top w:val="none" w:sz="0" w:space="0" w:color="auto"/>
        <w:left w:val="none" w:sz="0" w:space="0" w:color="auto"/>
        <w:bottom w:val="none" w:sz="0" w:space="0" w:color="auto"/>
        <w:right w:val="none" w:sz="0" w:space="0" w:color="auto"/>
      </w:divBdr>
      <w:divsChild>
        <w:div w:id="1702783073">
          <w:marLeft w:val="-360"/>
          <w:marRight w:val="-360"/>
          <w:marTop w:val="0"/>
          <w:marBottom w:val="0"/>
          <w:divBdr>
            <w:top w:val="none" w:sz="0" w:space="0" w:color="auto"/>
            <w:left w:val="none" w:sz="0" w:space="0" w:color="auto"/>
            <w:bottom w:val="none" w:sz="0" w:space="0" w:color="auto"/>
            <w:right w:val="none" w:sz="0" w:space="0" w:color="auto"/>
          </w:divBdr>
          <w:divsChild>
            <w:div w:id="233514351">
              <w:marLeft w:val="0"/>
              <w:marRight w:val="0"/>
              <w:marTop w:val="0"/>
              <w:marBottom w:val="0"/>
              <w:divBdr>
                <w:top w:val="none" w:sz="0" w:space="0" w:color="auto"/>
                <w:left w:val="none" w:sz="0" w:space="0" w:color="auto"/>
                <w:bottom w:val="none" w:sz="0" w:space="0" w:color="auto"/>
                <w:right w:val="none" w:sz="0" w:space="0" w:color="auto"/>
              </w:divBdr>
              <w:divsChild>
                <w:div w:id="109328428">
                  <w:marLeft w:val="0"/>
                  <w:marRight w:val="0"/>
                  <w:marTop w:val="0"/>
                  <w:marBottom w:val="0"/>
                  <w:divBdr>
                    <w:top w:val="none" w:sz="0" w:space="0" w:color="auto"/>
                    <w:left w:val="none" w:sz="0" w:space="0" w:color="auto"/>
                    <w:bottom w:val="none" w:sz="0" w:space="0" w:color="auto"/>
                    <w:right w:val="none" w:sz="0" w:space="0" w:color="auto"/>
                  </w:divBdr>
                  <w:divsChild>
                    <w:div w:id="1082878203">
                      <w:marLeft w:val="0"/>
                      <w:marRight w:val="0"/>
                      <w:marTop w:val="0"/>
                      <w:marBottom w:val="525"/>
                      <w:divBdr>
                        <w:top w:val="none" w:sz="0" w:space="0" w:color="auto"/>
                        <w:left w:val="none" w:sz="0" w:space="0" w:color="auto"/>
                        <w:bottom w:val="none" w:sz="0" w:space="0" w:color="auto"/>
                        <w:right w:val="none" w:sz="0" w:space="0" w:color="auto"/>
                      </w:divBdr>
                      <w:divsChild>
                        <w:div w:id="27113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578063">
              <w:marLeft w:val="0"/>
              <w:marRight w:val="0"/>
              <w:marTop w:val="0"/>
              <w:marBottom w:val="0"/>
              <w:divBdr>
                <w:top w:val="none" w:sz="0" w:space="0" w:color="auto"/>
                <w:left w:val="none" w:sz="0" w:space="0" w:color="auto"/>
                <w:bottom w:val="none" w:sz="0" w:space="0" w:color="auto"/>
                <w:right w:val="none" w:sz="0" w:space="0" w:color="auto"/>
              </w:divBdr>
              <w:divsChild>
                <w:div w:id="1791976910">
                  <w:marLeft w:val="0"/>
                  <w:marRight w:val="0"/>
                  <w:marTop w:val="0"/>
                  <w:marBottom w:val="0"/>
                  <w:divBdr>
                    <w:top w:val="none" w:sz="0" w:space="0" w:color="auto"/>
                    <w:left w:val="none" w:sz="0" w:space="0" w:color="auto"/>
                    <w:bottom w:val="none" w:sz="0" w:space="0" w:color="auto"/>
                    <w:right w:val="none" w:sz="0" w:space="0" w:color="auto"/>
                  </w:divBdr>
                  <w:divsChild>
                    <w:div w:id="799300270">
                      <w:marLeft w:val="0"/>
                      <w:marRight w:val="0"/>
                      <w:marTop w:val="0"/>
                      <w:marBottom w:val="326"/>
                      <w:divBdr>
                        <w:top w:val="single" w:sz="12" w:space="12" w:color="EBEBEB"/>
                        <w:left w:val="single" w:sz="12" w:space="31" w:color="EBEBEB"/>
                        <w:bottom w:val="single" w:sz="12" w:space="12" w:color="EBEBEB"/>
                        <w:right w:val="single" w:sz="12" w:space="12" w:color="EBEBEB"/>
                      </w:divBdr>
                    </w:div>
                    <w:div w:id="1864858455">
                      <w:marLeft w:val="0"/>
                      <w:marRight w:val="0"/>
                      <w:marTop w:val="0"/>
                      <w:marBottom w:val="326"/>
                      <w:divBdr>
                        <w:top w:val="single" w:sz="12" w:space="12" w:color="EBEBEB"/>
                        <w:left w:val="single" w:sz="12" w:space="31" w:color="EBEBEB"/>
                        <w:bottom w:val="single" w:sz="12" w:space="12" w:color="EBEBEB"/>
                        <w:right w:val="single" w:sz="12" w:space="12" w:color="EBEBEB"/>
                      </w:divBdr>
                    </w:div>
                  </w:divsChild>
                </w:div>
              </w:divsChild>
            </w:div>
          </w:divsChild>
        </w:div>
        <w:div w:id="2078164554">
          <w:marLeft w:val="-360"/>
          <w:marRight w:val="-360"/>
          <w:marTop w:val="0"/>
          <w:marBottom w:val="0"/>
          <w:divBdr>
            <w:top w:val="none" w:sz="0" w:space="0" w:color="auto"/>
            <w:left w:val="none" w:sz="0" w:space="0" w:color="auto"/>
            <w:bottom w:val="none" w:sz="0" w:space="0" w:color="auto"/>
            <w:right w:val="none" w:sz="0" w:space="0" w:color="auto"/>
          </w:divBdr>
          <w:divsChild>
            <w:div w:id="1691300841">
              <w:marLeft w:val="0"/>
              <w:marRight w:val="0"/>
              <w:marTop w:val="0"/>
              <w:marBottom w:val="0"/>
              <w:divBdr>
                <w:top w:val="none" w:sz="0" w:space="0" w:color="auto"/>
                <w:left w:val="none" w:sz="0" w:space="0" w:color="auto"/>
                <w:bottom w:val="none" w:sz="0" w:space="0" w:color="auto"/>
                <w:right w:val="none" w:sz="0" w:space="0" w:color="auto"/>
              </w:divBdr>
              <w:divsChild>
                <w:div w:id="1701471495">
                  <w:marLeft w:val="0"/>
                  <w:marRight w:val="0"/>
                  <w:marTop w:val="0"/>
                  <w:marBottom w:val="0"/>
                  <w:divBdr>
                    <w:top w:val="none" w:sz="0" w:space="0" w:color="auto"/>
                    <w:left w:val="none" w:sz="0" w:space="0" w:color="auto"/>
                    <w:bottom w:val="none" w:sz="0" w:space="0" w:color="auto"/>
                    <w:right w:val="none" w:sz="0" w:space="0" w:color="auto"/>
                  </w:divBdr>
                  <w:divsChild>
                    <w:div w:id="1119028517">
                      <w:marLeft w:val="0"/>
                      <w:marRight w:val="0"/>
                      <w:marTop w:val="0"/>
                      <w:marBottom w:val="525"/>
                      <w:divBdr>
                        <w:top w:val="none" w:sz="0" w:space="0" w:color="auto"/>
                        <w:left w:val="none" w:sz="0" w:space="0" w:color="auto"/>
                        <w:bottom w:val="none" w:sz="0" w:space="0" w:color="auto"/>
                        <w:right w:val="none" w:sz="0" w:space="0" w:color="auto"/>
                      </w:divBdr>
                      <w:divsChild>
                        <w:div w:id="144862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723443">
      <w:bodyDiv w:val="1"/>
      <w:marLeft w:val="0"/>
      <w:marRight w:val="0"/>
      <w:marTop w:val="0"/>
      <w:marBottom w:val="0"/>
      <w:divBdr>
        <w:top w:val="none" w:sz="0" w:space="0" w:color="auto"/>
        <w:left w:val="none" w:sz="0" w:space="0" w:color="auto"/>
        <w:bottom w:val="none" w:sz="0" w:space="0" w:color="auto"/>
        <w:right w:val="none" w:sz="0" w:space="0" w:color="auto"/>
      </w:divBdr>
    </w:div>
    <w:div w:id="838349188">
      <w:bodyDiv w:val="1"/>
      <w:marLeft w:val="0"/>
      <w:marRight w:val="0"/>
      <w:marTop w:val="0"/>
      <w:marBottom w:val="0"/>
      <w:divBdr>
        <w:top w:val="none" w:sz="0" w:space="0" w:color="auto"/>
        <w:left w:val="none" w:sz="0" w:space="0" w:color="auto"/>
        <w:bottom w:val="none" w:sz="0" w:space="0" w:color="auto"/>
        <w:right w:val="none" w:sz="0" w:space="0" w:color="auto"/>
      </w:divBdr>
    </w:div>
    <w:div w:id="844247091">
      <w:bodyDiv w:val="1"/>
      <w:marLeft w:val="0"/>
      <w:marRight w:val="0"/>
      <w:marTop w:val="0"/>
      <w:marBottom w:val="0"/>
      <w:divBdr>
        <w:top w:val="none" w:sz="0" w:space="0" w:color="auto"/>
        <w:left w:val="none" w:sz="0" w:space="0" w:color="auto"/>
        <w:bottom w:val="none" w:sz="0" w:space="0" w:color="auto"/>
        <w:right w:val="none" w:sz="0" w:space="0" w:color="auto"/>
      </w:divBdr>
    </w:div>
    <w:div w:id="846167142">
      <w:bodyDiv w:val="1"/>
      <w:marLeft w:val="0"/>
      <w:marRight w:val="0"/>
      <w:marTop w:val="0"/>
      <w:marBottom w:val="0"/>
      <w:divBdr>
        <w:top w:val="none" w:sz="0" w:space="0" w:color="auto"/>
        <w:left w:val="none" w:sz="0" w:space="0" w:color="auto"/>
        <w:bottom w:val="none" w:sz="0" w:space="0" w:color="auto"/>
        <w:right w:val="none" w:sz="0" w:space="0" w:color="auto"/>
      </w:divBdr>
    </w:div>
    <w:div w:id="857695695">
      <w:bodyDiv w:val="1"/>
      <w:marLeft w:val="0"/>
      <w:marRight w:val="0"/>
      <w:marTop w:val="0"/>
      <w:marBottom w:val="0"/>
      <w:divBdr>
        <w:top w:val="none" w:sz="0" w:space="0" w:color="auto"/>
        <w:left w:val="none" w:sz="0" w:space="0" w:color="auto"/>
        <w:bottom w:val="none" w:sz="0" w:space="0" w:color="auto"/>
        <w:right w:val="none" w:sz="0" w:space="0" w:color="auto"/>
      </w:divBdr>
    </w:div>
    <w:div w:id="880478879">
      <w:bodyDiv w:val="1"/>
      <w:marLeft w:val="0"/>
      <w:marRight w:val="0"/>
      <w:marTop w:val="0"/>
      <w:marBottom w:val="0"/>
      <w:divBdr>
        <w:top w:val="none" w:sz="0" w:space="0" w:color="auto"/>
        <w:left w:val="none" w:sz="0" w:space="0" w:color="auto"/>
        <w:bottom w:val="none" w:sz="0" w:space="0" w:color="auto"/>
        <w:right w:val="none" w:sz="0" w:space="0" w:color="auto"/>
      </w:divBdr>
    </w:div>
    <w:div w:id="888420184">
      <w:bodyDiv w:val="1"/>
      <w:marLeft w:val="0"/>
      <w:marRight w:val="0"/>
      <w:marTop w:val="0"/>
      <w:marBottom w:val="0"/>
      <w:divBdr>
        <w:top w:val="none" w:sz="0" w:space="0" w:color="auto"/>
        <w:left w:val="none" w:sz="0" w:space="0" w:color="auto"/>
        <w:bottom w:val="none" w:sz="0" w:space="0" w:color="auto"/>
        <w:right w:val="none" w:sz="0" w:space="0" w:color="auto"/>
      </w:divBdr>
    </w:div>
    <w:div w:id="893196128">
      <w:bodyDiv w:val="1"/>
      <w:marLeft w:val="0"/>
      <w:marRight w:val="0"/>
      <w:marTop w:val="0"/>
      <w:marBottom w:val="0"/>
      <w:divBdr>
        <w:top w:val="none" w:sz="0" w:space="0" w:color="auto"/>
        <w:left w:val="none" w:sz="0" w:space="0" w:color="auto"/>
        <w:bottom w:val="none" w:sz="0" w:space="0" w:color="auto"/>
        <w:right w:val="none" w:sz="0" w:space="0" w:color="auto"/>
      </w:divBdr>
    </w:div>
    <w:div w:id="908809737">
      <w:bodyDiv w:val="1"/>
      <w:marLeft w:val="0"/>
      <w:marRight w:val="0"/>
      <w:marTop w:val="0"/>
      <w:marBottom w:val="0"/>
      <w:divBdr>
        <w:top w:val="none" w:sz="0" w:space="0" w:color="auto"/>
        <w:left w:val="none" w:sz="0" w:space="0" w:color="auto"/>
        <w:bottom w:val="none" w:sz="0" w:space="0" w:color="auto"/>
        <w:right w:val="none" w:sz="0" w:space="0" w:color="auto"/>
      </w:divBdr>
    </w:div>
    <w:div w:id="918907558">
      <w:bodyDiv w:val="1"/>
      <w:marLeft w:val="0"/>
      <w:marRight w:val="0"/>
      <w:marTop w:val="0"/>
      <w:marBottom w:val="0"/>
      <w:divBdr>
        <w:top w:val="none" w:sz="0" w:space="0" w:color="auto"/>
        <w:left w:val="none" w:sz="0" w:space="0" w:color="auto"/>
        <w:bottom w:val="none" w:sz="0" w:space="0" w:color="auto"/>
        <w:right w:val="none" w:sz="0" w:space="0" w:color="auto"/>
      </w:divBdr>
    </w:div>
    <w:div w:id="923220374">
      <w:bodyDiv w:val="1"/>
      <w:marLeft w:val="0"/>
      <w:marRight w:val="0"/>
      <w:marTop w:val="0"/>
      <w:marBottom w:val="0"/>
      <w:divBdr>
        <w:top w:val="none" w:sz="0" w:space="0" w:color="auto"/>
        <w:left w:val="none" w:sz="0" w:space="0" w:color="auto"/>
        <w:bottom w:val="none" w:sz="0" w:space="0" w:color="auto"/>
        <w:right w:val="none" w:sz="0" w:space="0" w:color="auto"/>
      </w:divBdr>
    </w:div>
    <w:div w:id="953680375">
      <w:bodyDiv w:val="1"/>
      <w:marLeft w:val="0"/>
      <w:marRight w:val="0"/>
      <w:marTop w:val="0"/>
      <w:marBottom w:val="0"/>
      <w:divBdr>
        <w:top w:val="none" w:sz="0" w:space="0" w:color="auto"/>
        <w:left w:val="none" w:sz="0" w:space="0" w:color="auto"/>
        <w:bottom w:val="none" w:sz="0" w:space="0" w:color="auto"/>
        <w:right w:val="none" w:sz="0" w:space="0" w:color="auto"/>
      </w:divBdr>
    </w:div>
    <w:div w:id="961837332">
      <w:bodyDiv w:val="1"/>
      <w:marLeft w:val="0"/>
      <w:marRight w:val="0"/>
      <w:marTop w:val="0"/>
      <w:marBottom w:val="0"/>
      <w:divBdr>
        <w:top w:val="none" w:sz="0" w:space="0" w:color="auto"/>
        <w:left w:val="none" w:sz="0" w:space="0" w:color="auto"/>
        <w:bottom w:val="none" w:sz="0" w:space="0" w:color="auto"/>
        <w:right w:val="none" w:sz="0" w:space="0" w:color="auto"/>
      </w:divBdr>
    </w:div>
    <w:div w:id="963316464">
      <w:bodyDiv w:val="1"/>
      <w:marLeft w:val="0"/>
      <w:marRight w:val="0"/>
      <w:marTop w:val="0"/>
      <w:marBottom w:val="0"/>
      <w:divBdr>
        <w:top w:val="none" w:sz="0" w:space="0" w:color="auto"/>
        <w:left w:val="none" w:sz="0" w:space="0" w:color="auto"/>
        <w:bottom w:val="none" w:sz="0" w:space="0" w:color="auto"/>
        <w:right w:val="none" w:sz="0" w:space="0" w:color="auto"/>
      </w:divBdr>
    </w:div>
    <w:div w:id="974605487">
      <w:bodyDiv w:val="1"/>
      <w:marLeft w:val="0"/>
      <w:marRight w:val="0"/>
      <w:marTop w:val="0"/>
      <w:marBottom w:val="0"/>
      <w:divBdr>
        <w:top w:val="none" w:sz="0" w:space="0" w:color="auto"/>
        <w:left w:val="none" w:sz="0" w:space="0" w:color="auto"/>
        <w:bottom w:val="none" w:sz="0" w:space="0" w:color="auto"/>
        <w:right w:val="none" w:sz="0" w:space="0" w:color="auto"/>
      </w:divBdr>
    </w:div>
    <w:div w:id="981154730">
      <w:bodyDiv w:val="1"/>
      <w:marLeft w:val="0"/>
      <w:marRight w:val="0"/>
      <w:marTop w:val="0"/>
      <w:marBottom w:val="0"/>
      <w:divBdr>
        <w:top w:val="none" w:sz="0" w:space="0" w:color="auto"/>
        <w:left w:val="none" w:sz="0" w:space="0" w:color="auto"/>
        <w:bottom w:val="none" w:sz="0" w:space="0" w:color="auto"/>
        <w:right w:val="none" w:sz="0" w:space="0" w:color="auto"/>
      </w:divBdr>
    </w:div>
    <w:div w:id="1002009171">
      <w:bodyDiv w:val="1"/>
      <w:marLeft w:val="0"/>
      <w:marRight w:val="0"/>
      <w:marTop w:val="0"/>
      <w:marBottom w:val="0"/>
      <w:divBdr>
        <w:top w:val="none" w:sz="0" w:space="0" w:color="auto"/>
        <w:left w:val="none" w:sz="0" w:space="0" w:color="auto"/>
        <w:bottom w:val="none" w:sz="0" w:space="0" w:color="auto"/>
        <w:right w:val="none" w:sz="0" w:space="0" w:color="auto"/>
      </w:divBdr>
    </w:div>
    <w:div w:id="1008560362">
      <w:bodyDiv w:val="1"/>
      <w:marLeft w:val="0"/>
      <w:marRight w:val="0"/>
      <w:marTop w:val="0"/>
      <w:marBottom w:val="0"/>
      <w:divBdr>
        <w:top w:val="none" w:sz="0" w:space="0" w:color="auto"/>
        <w:left w:val="none" w:sz="0" w:space="0" w:color="auto"/>
        <w:bottom w:val="none" w:sz="0" w:space="0" w:color="auto"/>
        <w:right w:val="none" w:sz="0" w:space="0" w:color="auto"/>
      </w:divBdr>
    </w:div>
    <w:div w:id="1026171667">
      <w:bodyDiv w:val="1"/>
      <w:marLeft w:val="0"/>
      <w:marRight w:val="0"/>
      <w:marTop w:val="0"/>
      <w:marBottom w:val="0"/>
      <w:divBdr>
        <w:top w:val="none" w:sz="0" w:space="0" w:color="auto"/>
        <w:left w:val="none" w:sz="0" w:space="0" w:color="auto"/>
        <w:bottom w:val="none" w:sz="0" w:space="0" w:color="auto"/>
        <w:right w:val="none" w:sz="0" w:space="0" w:color="auto"/>
      </w:divBdr>
    </w:div>
    <w:div w:id="1037513128">
      <w:bodyDiv w:val="1"/>
      <w:marLeft w:val="0"/>
      <w:marRight w:val="0"/>
      <w:marTop w:val="0"/>
      <w:marBottom w:val="0"/>
      <w:divBdr>
        <w:top w:val="none" w:sz="0" w:space="0" w:color="auto"/>
        <w:left w:val="none" w:sz="0" w:space="0" w:color="auto"/>
        <w:bottom w:val="none" w:sz="0" w:space="0" w:color="auto"/>
        <w:right w:val="none" w:sz="0" w:space="0" w:color="auto"/>
      </w:divBdr>
    </w:div>
    <w:div w:id="1049305370">
      <w:bodyDiv w:val="1"/>
      <w:marLeft w:val="0"/>
      <w:marRight w:val="0"/>
      <w:marTop w:val="0"/>
      <w:marBottom w:val="0"/>
      <w:divBdr>
        <w:top w:val="none" w:sz="0" w:space="0" w:color="auto"/>
        <w:left w:val="none" w:sz="0" w:space="0" w:color="auto"/>
        <w:bottom w:val="none" w:sz="0" w:space="0" w:color="auto"/>
        <w:right w:val="none" w:sz="0" w:space="0" w:color="auto"/>
      </w:divBdr>
    </w:div>
    <w:div w:id="1050422331">
      <w:bodyDiv w:val="1"/>
      <w:marLeft w:val="0"/>
      <w:marRight w:val="0"/>
      <w:marTop w:val="0"/>
      <w:marBottom w:val="0"/>
      <w:divBdr>
        <w:top w:val="none" w:sz="0" w:space="0" w:color="auto"/>
        <w:left w:val="none" w:sz="0" w:space="0" w:color="auto"/>
        <w:bottom w:val="none" w:sz="0" w:space="0" w:color="auto"/>
        <w:right w:val="none" w:sz="0" w:space="0" w:color="auto"/>
      </w:divBdr>
    </w:div>
    <w:div w:id="1062488631">
      <w:bodyDiv w:val="1"/>
      <w:marLeft w:val="0"/>
      <w:marRight w:val="0"/>
      <w:marTop w:val="0"/>
      <w:marBottom w:val="0"/>
      <w:divBdr>
        <w:top w:val="none" w:sz="0" w:space="0" w:color="auto"/>
        <w:left w:val="none" w:sz="0" w:space="0" w:color="auto"/>
        <w:bottom w:val="none" w:sz="0" w:space="0" w:color="auto"/>
        <w:right w:val="none" w:sz="0" w:space="0" w:color="auto"/>
      </w:divBdr>
    </w:div>
    <w:div w:id="1070037662">
      <w:bodyDiv w:val="1"/>
      <w:marLeft w:val="0"/>
      <w:marRight w:val="0"/>
      <w:marTop w:val="0"/>
      <w:marBottom w:val="0"/>
      <w:divBdr>
        <w:top w:val="none" w:sz="0" w:space="0" w:color="auto"/>
        <w:left w:val="none" w:sz="0" w:space="0" w:color="auto"/>
        <w:bottom w:val="none" w:sz="0" w:space="0" w:color="auto"/>
        <w:right w:val="none" w:sz="0" w:space="0" w:color="auto"/>
      </w:divBdr>
    </w:div>
    <w:div w:id="1079836699">
      <w:bodyDiv w:val="1"/>
      <w:marLeft w:val="0"/>
      <w:marRight w:val="0"/>
      <w:marTop w:val="0"/>
      <w:marBottom w:val="0"/>
      <w:divBdr>
        <w:top w:val="none" w:sz="0" w:space="0" w:color="auto"/>
        <w:left w:val="none" w:sz="0" w:space="0" w:color="auto"/>
        <w:bottom w:val="none" w:sz="0" w:space="0" w:color="auto"/>
        <w:right w:val="none" w:sz="0" w:space="0" w:color="auto"/>
      </w:divBdr>
    </w:div>
    <w:div w:id="1082721686">
      <w:bodyDiv w:val="1"/>
      <w:marLeft w:val="0"/>
      <w:marRight w:val="0"/>
      <w:marTop w:val="0"/>
      <w:marBottom w:val="0"/>
      <w:divBdr>
        <w:top w:val="none" w:sz="0" w:space="0" w:color="auto"/>
        <w:left w:val="none" w:sz="0" w:space="0" w:color="auto"/>
        <w:bottom w:val="none" w:sz="0" w:space="0" w:color="auto"/>
        <w:right w:val="none" w:sz="0" w:space="0" w:color="auto"/>
      </w:divBdr>
    </w:div>
    <w:div w:id="1101409366">
      <w:bodyDiv w:val="1"/>
      <w:marLeft w:val="0"/>
      <w:marRight w:val="0"/>
      <w:marTop w:val="0"/>
      <w:marBottom w:val="0"/>
      <w:divBdr>
        <w:top w:val="none" w:sz="0" w:space="0" w:color="auto"/>
        <w:left w:val="none" w:sz="0" w:space="0" w:color="auto"/>
        <w:bottom w:val="none" w:sz="0" w:space="0" w:color="auto"/>
        <w:right w:val="none" w:sz="0" w:space="0" w:color="auto"/>
      </w:divBdr>
    </w:div>
    <w:div w:id="1119104660">
      <w:bodyDiv w:val="1"/>
      <w:marLeft w:val="0"/>
      <w:marRight w:val="0"/>
      <w:marTop w:val="0"/>
      <w:marBottom w:val="0"/>
      <w:divBdr>
        <w:top w:val="none" w:sz="0" w:space="0" w:color="auto"/>
        <w:left w:val="none" w:sz="0" w:space="0" w:color="auto"/>
        <w:bottom w:val="none" w:sz="0" w:space="0" w:color="auto"/>
        <w:right w:val="none" w:sz="0" w:space="0" w:color="auto"/>
      </w:divBdr>
    </w:div>
    <w:div w:id="1131292480">
      <w:bodyDiv w:val="1"/>
      <w:marLeft w:val="0"/>
      <w:marRight w:val="0"/>
      <w:marTop w:val="0"/>
      <w:marBottom w:val="0"/>
      <w:divBdr>
        <w:top w:val="none" w:sz="0" w:space="0" w:color="auto"/>
        <w:left w:val="none" w:sz="0" w:space="0" w:color="auto"/>
        <w:bottom w:val="none" w:sz="0" w:space="0" w:color="auto"/>
        <w:right w:val="none" w:sz="0" w:space="0" w:color="auto"/>
      </w:divBdr>
    </w:div>
    <w:div w:id="1136289682">
      <w:bodyDiv w:val="1"/>
      <w:marLeft w:val="0"/>
      <w:marRight w:val="0"/>
      <w:marTop w:val="0"/>
      <w:marBottom w:val="0"/>
      <w:divBdr>
        <w:top w:val="none" w:sz="0" w:space="0" w:color="auto"/>
        <w:left w:val="none" w:sz="0" w:space="0" w:color="auto"/>
        <w:bottom w:val="none" w:sz="0" w:space="0" w:color="auto"/>
        <w:right w:val="none" w:sz="0" w:space="0" w:color="auto"/>
      </w:divBdr>
    </w:div>
    <w:div w:id="1163811188">
      <w:bodyDiv w:val="1"/>
      <w:marLeft w:val="0"/>
      <w:marRight w:val="0"/>
      <w:marTop w:val="0"/>
      <w:marBottom w:val="0"/>
      <w:divBdr>
        <w:top w:val="none" w:sz="0" w:space="0" w:color="auto"/>
        <w:left w:val="none" w:sz="0" w:space="0" w:color="auto"/>
        <w:bottom w:val="none" w:sz="0" w:space="0" w:color="auto"/>
        <w:right w:val="none" w:sz="0" w:space="0" w:color="auto"/>
      </w:divBdr>
    </w:div>
    <w:div w:id="1173496097">
      <w:bodyDiv w:val="1"/>
      <w:marLeft w:val="0"/>
      <w:marRight w:val="0"/>
      <w:marTop w:val="0"/>
      <w:marBottom w:val="0"/>
      <w:divBdr>
        <w:top w:val="none" w:sz="0" w:space="0" w:color="auto"/>
        <w:left w:val="none" w:sz="0" w:space="0" w:color="auto"/>
        <w:bottom w:val="none" w:sz="0" w:space="0" w:color="auto"/>
        <w:right w:val="none" w:sz="0" w:space="0" w:color="auto"/>
      </w:divBdr>
    </w:div>
    <w:div w:id="1184901353">
      <w:bodyDiv w:val="1"/>
      <w:marLeft w:val="0"/>
      <w:marRight w:val="0"/>
      <w:marTop w:val="0"/>
      <w:marBottom w:val="0"/>
      <w:divBdr>
        <w:top w:val="none" w:sz="0" w:space="0" w:color="auto"/>
        <w:left w:val="none" w:sz="0" w:space="0" w:color="auto"/>
        <w:bottom w:val="none" w:sz="0" w:space="0" w:color="auto"/>
        <w:right w:val="none" w:sz="0" w:space="0" w:color="auto"/>
      </w:divBdr>
    </w:div>
    <w:div w:id="1190139995">
      <w:bodyDiv w:val="1"/>
      <w:marLeft w:val="0"/>
      <w:marRight w:val="0"/>
      <w:marTop w:val="0"/>
      <w:marBottom w:val="0"/>
      <w:divBdr>
        <w:top w:val="none" w:sz="0" w:space="0" w:color="auto"/>
        <w:left w:val="none" w:sz="0" w:space="0" w:color="auto"/>
        <w:bottom w:val="none" w:sz="0" w:space="0" w:color="auto"/>
        <w:right w:val="none" w:sz="0" w:space="0" w:color="auto"/>
      </w:divBdr>
    </w:div>
    <w:div w:id="1198203605">
      <w:bodyDiv w:val="1"/>
      <w:marLeft w:val="0"/>
      <w:marRight w:val="0"/>
      <w:marTop w:val="0"/>
      <w:marBottom w:val="0"/>
      <w:divBdr>
        <w:top w:val="none" w:sz="0" w:space="0" w:color="auto"/>
        <w:left w:val="none" w:sz="0" w:space="0" w:color="auto"/>
        <w:bottom w:val="none" w:sz="0" w:space="0" w:color="auto"/>
        <w:right w:val="none" w:sz="0" w:space="0" w:color="auto"/>
      </w:divBdr>
    </w:div>
    <w:div w:id="1200121508">
      <w:bodyDiv w:val="1"/>
      <w:marLeft w:val="0"/>
      <w:marRight w:val="0"/>
      <w:marTop w:val="0"/>
      <w:marBottom w:val="0"/>
      <w:divBdr>
        <w:top w:val="none" w:sz="0" w:space="0" w:color="auto"/>
        <w:left w:val="none" w:sz="0" w:space="0" w:color="auto"/>
        <w:bottom w:val="none" w:sz="0" w:space="0" w:color="auto"/>
        <w:right w:val="none" w:sz="0" w:space="0" w:color="auto"/>
      </w:divBdr>
    </w:div>
    <w:div w:id="1203787890">
      <w:bodyDiv w:val="1"/>
      <w:marLeft w:val="0"/>
      <w:marRight w:val="0"/>
      <w:marTop w:val="0"/>
      <w:marBottom w:val="0"/>
      <w:divBdr>
        <w:top w:val="none" w:sz="0" w:space="0" w:color="auto"/>
        <w:left w:val="none" w:sz="0" w:space="0" w:color="auto"/>
        <w:bottom w:val="none" w:sz="0" w:space="0" w:color="auto"/>
        <w:right w:val="none" w:sz="0" w:space="0" w:color="auto"/>
      </w:divBdr>
    </w:div>
    <w:div w:id="1209680906">
      <w:bodyDiv w:val="1"/>
      <w:marLeft w:val="0"/>
      <w:marRight w:val="0"/>
      <w:marTop w:val="0"/>
      <w:marBottom w:val="0"/>
      <w:divBdr>
        <w:top w:val="none" w:sz="0" w:space="0" w:color="auto"/>
        <w:left w:val="none" w:sz="0" w:space="0" w:color="auto"/>
        <w:bottom w:val="none" w:sz="0" w:space="0" w:color="auto"/>
        <w:right w:val="none" w:sz="0" w:space="0" w:color="auto"/>
      </w:divBdr>
    </w:div>
    <w:div w:id="1220358057">
      <w:bodyDiv w:val="1"/>
      <w:marLeft w:val="0"/>
      <w:marRight w:val="0"/>
      <w:marTop w:val="0"/>
      <w:marBottom w:val="0"/>
      <w:divBdr>
        <w:top w:val="none" w:sz="0" w:space="0" w:color="auto"/>
        <w:left w:val="none" w:sz="0" w:space="0" w:color="auto"/>
        <w:bottom w:val="none" w:sz="0" w:space="0" w:color="auto"/>
        <w:right w:val="none" w:sz="0" w:space="0" w:color="auto"/>
      </w:divBdr>
    </w:div>
    <w:div w:id="1235093756">
      <w:bodyDiv w:val="1"/>
      <w:marLeft w:val="0"/>
      <w:marRight w:val="0"/>
      <w:marTop w:val="0"/>
      <w:marBottom w:val="0"/>
      <w:divBdr>
        <w:top w:val="none" w:sz="0" w:space="0" w:color="auto"/>
        <w:left w:val="none" w:sz="0" w:space="0" w:color="auto"/>
        <w:bottom w:val="none" w:sz="0" w:space="0" w:color="auto"/>
        <w:right w:val="none" w:sz="0" w:space="0" w:color="auto"/>
      </w:divBdr>
    </w:div>
    <w:div w:id="1259945826">
      <w:bodyDiv w:val="1"/>
      <w:marLeft w:val="0"/>
      <w:marRight w:val="0"/>
      <w:marTop w:val="0"/>
      <w:marBottom w:val="0"/>
      <w:divBdr>
        <w:top w:val="none" w:sz="0" w:space="0" w:color="auto"/>
        <w:left w:val="none" w:sz="0" w:space="0" w:color="auto"/>
        <w:bottom w:val="none" w:sz="0" w:space="0" w:color="auto"/>
        <w:right w:val="none" w:sz="0" w:space="0" w:color="auto"/>
      </w:divBdr>
    </w:div>
    <w:div w:id="1273052035">
      <w:bodyDiv w:val="1"/>
      <w:marLeft w:val="0"/>
      <w:marRight w:val="0"/>
      <w:marTop w:val="0"/>
      <w:marBottom w:val="0"/>
      <w:divBdr>
        <w:top w:val="none" w:sz="0" w:space="0" w:color="auto"/>
        <w:left w:val="none" w:sz="0" w:space="0" w:color="auto"/>
        <w:bottom w:val="none" w:sz="0" w:space="0" w:color="auto"/>
        <w:right w:val="none" w:sz="0" w:space="0" w:color="auto"/>
      </w:divBdr>
    </w:div>
    <w:div w:id="1273515018">
      <w:bodyDiv w:val="1"/>
      <w:marLeft w:val="0"/>
      <w:marRight w:val="0"/>
      <w:marTop w:val="0"/>
      <w:marBottom w:val="0"/>
      <w:divBdr>
        <w:top w:val="none" w:sz="0" w:space="0" w:color="auto"/>
        <w:left w:val="none" w:sz="0" w:space="0" w:color="auto"/>
        <w:bottom w:val="none" w:sz="0" w:space="0" w:color="auto"/>
        <w:right w:val="none" w:sz="0" w:space="0" w:color="auto"/>
      </w:divBdr>
    </w:div>
    <w:div w:id="1278635457">
      <w:bodyDiv w:val="1"/>
      <w:marLeft w:val="0"/>
      <w:marRight w:val="0"/>
      <w:marTop w:val="0"/>
      <w:marBottom w:val="0"/>
      <w:divBdr>
        <w:top w:val="none" w:sz="0" w:space="0" w:color="auto"/>
        <w:left w:val="none" w:sz="0" w:space="0" w:color="auto"/>
        <w:bottom w:val="none" w:sz="0" w:space="0" w:color="auto"/>
        <w:right w:val="none" w:sz="0" w:space="0" w:color="auto"/>
      </w:divBdr>
    </w:div>
    <w:div w:id="1283146019">
      <w:bodyDiv w:val="1"/>
      <w:marLeft w:val="0"/>
      <w:marRight w:val="0"/>
      <w:marTop w:val="0"/>
      <w:marBottom w:val="0"/>
      <w:divBdr>
        <w:top w:val="none" w:sz="0" w:space="0" w:color="auto"/>
        <w:left w:val="none" w:sz="0" w:space="0" w:color="auto"/>
        <w:bottom w:val="none" w:sz="0" w:space="0" w:color="auto"/>
        <w:right w:val="none" w:sz="0" w:space="0" w:color="auto"/>
      </w:divBdr>
    </w:div>
    <w:div w:id="1318414207">
      <w:bodyDiv w:val="1"/>
      <w:marLeft w:val="0"/>
      <w:marRight w:val="0"/>
      <w:marTop w:val="0"/>
      <w:marBottom w:val="0"/>
      <w:divBdr>
        <w:top w:val="none" w:sz="0" w:space="0" w:color="auto"/>
        <w:left w:val="none" w:sz="0" w:space="0" w:color="auto"/>
        <w:bottom w:val="none" w:sz="0" w:space="0" w:color="auto"/>
        <w:right w:val="none" w:sz="0" w:space="0" w:color="auto"/>
      </w:divBdr>
    </w:div>
    <w:div w:id="1319462456">
      <w:bodyDiv w:val="1"/>
      <w:marLeft w:val="0"/>
      <w:marRight w:val="0"/>
      <w:marTop w:val="0"/>
      <w:marBottom w:val="0"/>
      <w:divBdr>
        <w:top w:val="none" w:sz="0" w:space="0" w:color="auto"/>
        <w:left w:val="none" w:sz="0" w:space="0" w:color="auto"/>
        <w:bottom w:val="none" w:sz="0" w:space="0" w:color="auto"/>
        <w:right w:val="none" w:sz="0" w:space="0" w:color="auto"/>
      </w:divBdr>
    </w:div>
    <w:div w:id="1324628774">
      <w:bodyDiv w:val="1"/>
      <w:marLeft w:val="0"/>
      <w:marRight w:val="0"/>
      <w:marTop w:val="0"/>
      <w:marBottom w:val="0"/>
      <w:divBdr>
        <w:top w:val="none" w:sz="0" w:space="0" w:color="auto"/>
        <w:left w:val="none" w:sz="0" w:space="0" w:color="auto"/>
        <w:bottom w:val="none" w:sz="0" w:space="0" w:color="auto"/>
        <w:right w:val="none" w:sz="0" w:space="0" w:color="auto"/>
      </w:divBdr>
    </w:div>
    <w:div w:id="1329677864">
      <w:bodyDiv w:val="1"/>
      <w:marLeft w:val="0"/>
      <w:marRight w:val="0"/>
      <w:marTop w:val="0"/>
      <w:marBottom w:val="0"/>
      <w:divBdr>
        <w:top w:val="none" w:sz="0" w:space="0" w:color="auto"/>
        <w:left w:val="none" w:sz="0" w:space="0" w:color="auto"/>
        <w:bottom w:val="none" w:sz="0" w:space="0" w:color="auto"/>
        <w:right w:val="none" w:sz="0" w:space="0" w:color="auto"/>
      </w:divBdr>
    </w:div>
    <w:div w:id="1338725105">
      <w:bodyDiv w:val="1"/>
      <w:marLeft w:val="0"/>
      <w:marRight w:val="0"/>
      <w:marTop w:val="0"/>
      <w:marBottom w:val="0"/>
      <w:divBdr>
        <w:top w:val="none" w:sz="0" w:space="0" w:color="auto"/>
        <w:left w:val="none" w:sz="0" w:space="0" w:color="auto"/>
        <w:bottom w:val="none" w:sz="0" w:space="0" w:color="auto"/>
        <w:right w:val="none" w:sz="0" w:space="0" w:color="auto"/>
      </w:divBdr>
    </w:div>
    <w:div w:id="1340037065">
      <w:bodyDiv w:val="1"/>
      <w:marLeft w:val="0"/>
      <w:marRight w:val="0"/>
      <w:marTop w:val="0"/>
      <w:marBottom w:val="0"/>
      <w:divBdr>
        <w:top w:val="none" w:sz="0" w:space="0" w:color="auto"/>
        <w:left w:val="none" w:sz="0" w:space="0" w:color="auto"/>
        <w:bottom w:val="none" w:sz="0" w:space="0" w:color="auto"/>
        <w:right w:val="none" w:sz="0" w:space="0" w:color="auto"/>
      </w:divBdr>
    </w:div>
    <w:div w:id="1361708237">
      <w:bodyDiv w:val="1"/>
      <w:marLeft w:val="0"/>
      <w:marRight w:val="0"/>
      <w:marTop w:val="0"/>
      <w:marBottom w:val="0"/>
      <w:divBdr>
        <w:top w:val="none" w:sz="0" w:space="0" w:color="auto"/>
        <w:left w:val="none" w:sz="0" w:space="0" w:color="auto"/>
        <w:bottom w:val="none" w:sz="0" w:space="0" w:color="auto"/>
        <w:right w:val="none" w:sz="0" w:space="0" w:color="auto"/>
      </w:divBdr>
    </w:div>
    <w:div w:id="1371345918">
      <w:bodyDiv w:val="1"/>
      <w:marLeft w:val="0"/>
      <w:marRight w:val="0"/>
      <w:marTop w:val="0"/>
      <w:marBottom w:val="0"/>
      <w:divBdr>
        <w:top w:val="none" w:sz="0" w:space="0" w:color="auto"/>
        <w:left w:val="none" w:sz="0" w:space="0" w:color="auto"/>
        <w:bottom w:val="none" w:sz="0" w:space="0" w:color="auto"/>
        <w:right w:val="none" w:sz="0" w:space="0" w:color="auto"/>
      </w:divBdr>
    </w:div>
    <w:div w:id="1380783105">
      <w:bodyDiv w:val="1"/>
      <w:marLeft w:val="0"/>
      <w:marRight w:val="0"/>
      <w:marTop w:val="0"/>
      <w:marBottom w:val="0"/>
      <w:divBdr>
        <w:top w:val="none" w:sz="0" w:space="0" w:color="auto"/>
        <w:left w:val="none" w:sz="0" w:space="0" w:color="auto"/>
        <w:bottom w:val="none" w:sz="0" w:space="0" w:color="auto"/>
        <w:right w:val="none" w:sz="0" w:space="0" w:color="auto"/>
      </w:divBdr>
    </w:div>
    <w:div w:id="1382052481">
      <w:bodyDiv w:val="1"/>
      <w:marLeft w:val="0"/>
      <w:marRight w:val="0"/>
      <w:marTop w:val="0"/>
      <w:marBottom w:val="0"/>
      <w:divBdr>
        <w:top w:val="none" w:sz="0" w:space="0" w:color="auto"/>
        <w:left w:val="none" w:sz="0" w:space="0" w:color="auto"/>
        <w:bottom w:val="none" w:sz="0" w:space="0" w:color="auto"/>
        <w:right w:val="none" w:sz="0" w:space="0" w:color="auto"/>
      </w:divBdr>
    </w:div>
    <w:div w:id="1424835400">
      <w:bodyDiv w:val="1"/>
      <w:marLeft w:val="0"/>
      <w:marRight w:val="0"/>
      <w:marTop w:val="0"/>
      <w:marBottom w:val="0"/>
      <w:divBdr>
        <w:top w:val="none" w:sz="0" w:space="0" w:color="auto"/>
        <w:left w:val="none" w:sz="0" w:space="0" w:color="auto"/>
        <w:bottom w:val="none" w:sz="0" w:space="0" w:color="auto"/>
        <w:right w:val="none" w:sz="0" w:space="0" w:color="auto"/>
      </w:divBdr>
    </w:div>
    <w:div w:id="1453094590">
      <w:bodyDiv w:val="1"/>
      <w:marLeft w:val="0"/>
      <w:marRight w:val="0"/>
      <w:marTop w:val="0"/>
      <w:marBottom w:val="0"/>
      <w:divBdr>
        <w:top w:val="none" w:sz="0" w:space="0" w:color="auto"/>
        <w:left w:val="none" w:sz="0" w:space="0" w:color="auto"/>
        <w:bottom w:val="none" w:sz="0" w:space="0" w:color="auto"/>
        <w:right w:val="none" w:sz="0" w:space="0" w:color="auto"/>
      </w:divBdr>
    </w:div>
    <w:div w:id="1457792466">
      <w:bodyDiv w:val="1"/>
      <w:marLeft w:val="0"/>
      <w:marRight w:val="0"/>
      <w:marTop w:val="0"/>
      <w:marBottom w:val="0"/>
      <w:divBdr>
        <w:top w:val="none" w:sz="0" w:space="0" w:color="auto"/>
        <w:left w:val="none" w:sz="0" w:space="0" w:color="auto"/>
        <w:bottom w:val="none" w:sz="0" w:space="0" w:color="auto"/>
        <w:right w:val="none" w:sz="0" w:space="0" w:color="auto"/>
      </w:divBdr>
    </w:div>
    <w:div w:id="1462307183">
      <w:bodyDiv w:val="1"/>
      <w:marLeft w:val="0"/>
      <w:marRight w:val="0"/>
      <w:marTop w:val="0"/>
      <w:marBottom w:val="0"/>
      <w:divBdr>
        <w:top w:val="none" w:sz="0" w:space="0" w:color="auto"/>
        <w:left w:val="none" w:sz="0" w:space="0" w:color="auto"/>
        <w:bottom w:val="none" w:sz="0" w:space="0" w:color="auto"/>
        <w:right w:val="none" w:sz="0" w:space="0" w:color="auto"/>
      </w:divBdr>
    </w:div>
    <w:div w:id="1464805622">
      <w:bodyDiv w:val="1"/>
      <w:marLeft w:val="0"/>
      <w:marRight w:val="0"/>
      <w:marTop w:val="0"/>
      <w:marBottom w:val="0"/>
      <w:divBdr>
        <w:top w:val="none" w:sz="0" w:space="0" w:color="auto"/>
        <w:left w:val="none" w:sz="0" w:space="0" w:color="auto"/>
        <w:bottom w:val="none" w:sz="0" w:space="0" w:color="auto"/>
        <w:right w:val="none" w:sz="0" w:space="0" w:color="auto"/>
      </w:divBdr>
    </w:div>
    <w:div w:id="1490097742">
      <w:bodyDiv w:val="1"/>
      <w:marLeft w:val="0"/>
      <w:marRight w:val="0"/>
      <w:marTop w:val="0"/>
      <w:marBottom w:val="0"/>
      <w:divBdr>
        <w:top w:val="none" w:sz="0" w:space="0" w:color="auto"/>
        <w:left w:val="none" w:sz="0" w:space="0" w:color="auto"/>
        <w:bottom w:val="none" w:sz="0" w:space="0" w:color="auto"/>
        <w:right w:val="none" w:sz="0" w:space="0" w:color="auto"/>
      </w:divBdr>
    </w:div>
    <w:div w:id="1501002959">
      <w:bodyDiv w:val="1"/>
      <w:marLeft w:val="0"/>
      <w:marRight w:val="0"/>
      <w:marTop w:val="0"/>
      <w:marBottom w:val="0"/>
      <w:divBdr>
        <w:top w:val="none" w:sz="0" w:space="0" w:color="auto"/>
        <w:left w:val="none" w:sz="0" w:space="0" w:color="auto"/>
        <w:bottom w:val="none" w:sz="0" w:space="0" w:color="auto"/>
        <w:right w:val="none" w:sz="0" w:space="0" w:color="auto"/>
      </w:divBdr>
    </w:div>
    <w:div w:id="1519662951">
      <w:bodyDiv w:val="1"/>
      <w:marLeft w:val="0"/>
      <w:marRight w:val="0"/>
      <w:marTop w:val="0"/>
      <w:marBottom w:val="0"/>
      <w:divBdr>
        <w:top w:val="none" w:sz="0" w:space="0" w:color="auto"/>
        <w:left w:val="none" w:sz="0" w:space="0" w:color="auto"/>
        <w:bottom w:val="none" w:sz="0" w:space="0" w:color="auto"/>
        <w:right w:val="none" w:sz="0" w:space="0" w:color="auto"/>
      </w:divBdr>
    </w:div>
    <w:div w:id="1537691344">
      <w:bodyDiv w:val="1"/>
      <w:marLeft w:val="0"/>
      <w:marRight w:val="0"/>
      <w:marTop w:val="0"/>
      <w:marBottom w:val="0"/>
      <w:divBdr>
        <w:top w:val="none" w:sz="0" w:space="0" w:color="auto"/>
        <w:left w:val="none" w:sz="0" w:space="0" w:color="auto"/>
        <w:bottom w:val="none" w:sz="0" w:space="0" w:color="auto"/>
        <w:right w:val="none" w:sz="0" w:space="0" w:color="auto"/>
      </w:divBdr>
    </w:div>
    <w:div w:id="1537696974">
      <w:bodyDiv w:val="1"/>
      <w:marLeft w:val="0"/>
      <w:marRight w:val="0"/>
      <w:marTop w:val="0"/>
      <w:marBottom w:val="0"/>
      <w:divBdr>
        <w:top w:val="none" w:sz="0" w:space="0" w:color="auto"/>
        <w:left w:val="none" w:sz="0" w:space="0" w:color="auto"/>
        <w:bottom w:val="none" w:sz="0" w:space="0" w:color="auto"/>
        <w:right w:val="none" w:sz="0" w:space="0" w:color="auto"/>
      </w:divBdr>
    </w:div>
    <w:div w:id="1543439439">
      <w:bodyDiv w:val="1"/>
      <w:marLeft w:val="0"/>
      <w:marRight w:val="0"/>
      <w:marTop w:val="0"/>
      <w:marBottom w:val="0"/>
      <w:divBdr>
        <w:top w:val="none" w:sz="0" w:space="0" w:color="auto"/>
        <w:left w:val="none" w:sz="0" w:space="0" w:color="auto"/>
        <w:bottom w:val="none" w:sz="0" w:space="0" w:color="auto"/>
        <w:right w:val="none" w:sz="0" w:space="0" w:color="auto"/>
      </w:divBdr>
    </w:div>
    <w:div w:id="1567186690">
      <w:bodyDiv w:val="1"/>
      <w:marLeft w:val="0"/>
      <w:marRight w:val="0"/>
      <w:marTop w:val="0"/>
      <w:marBottom w:val="0"/>
      <w:divBdr>
        <w:top w:val="none" w:sz="0" w:space="0" w:color="auto"/>
        <w:left w:val="none" w:sz="0" w:space="0" w:color="auto"/>
        <w:bottom w:val="none" w:sz="0" w:space="0" w:color="auto"/>
        <w:right w:val="none" w:sz="0" w:space="0" w:color="auto"/>
      </w:divBdr>
    </w:div>
    <w:div w:id="1609240584">
      <w:bodyDiv w:val="1"/>
      <w:marLeft w:val="0"/>
      <w:marRight w:val="0"/>
      <w:marTop w:val="0"/>
      <w:marBottom w:val="0"/>
      <w:divBdr>
        <w:top w:val="none" w:sz="0" w:space="0" w:color="auto"/>
        <w:left w:val="none" w:sz="0" w:space="0" w:color="auto"/>
        <w:bottom w:val="none" w:sz="0" w:space="0" w:color="auto"/>
        <w:right w:val="none" w:sz="0" w:space="0" w:color="auto"/>
      </w:divBdr>
    </w:div>
    <w:div w:id="1609850384">
      <w:bodyDiv w:val="1"/>
      <w:marLeft w:val="0"/>
      <w:marRight w:val="0"/>
      <w:marTop w:val="0"/>
      <w:marBottom w:val="0"/>
      <w:divBdr>
        <w:top w:val="none" w:sz="0" w:space="0" w:color="auto"/>
        <w:left w:val="none" w:sz="0" w:space="0" w:color="auto"/>
        <w:bottom w:val="none" w:sz="0" w:space="0" w:color="auto"/>
        <w:right w:val="none" w:sz="0" w:space="0" w:color="auto"/>
      </w:divBdr>
    </w:div>
    <w:div w:id="1655178545">
      <w:bodyDiv w:val="1"/>
      <w:marLeft w:val="0"/>
      <w:marRight w:val="0"/>
      <w:marTop w:val="0"/>
      <w:marBottom w:val="0"/>
      <w:divBdr>
        <w:top w:val="none" w:sz="0" w:space="0" w:color="auto"/>
        <w:left w:val="none" w:sz="0" w:space="0" w:color="auto"/>
        <w:bottom w:val="none" w:sz="0" w:space="0" w:color="auto"/>
        <w:right w:val="none" w:sz="0" w:space="0" w:color="auto"/>
      </w:divBdr>
    </w:div>
    <w:div w:id="1673603738">
      <w:bodyDiv w:val="1"/>
      <w:marLeft w:val="0"/>
      <w:marRight w:val="0"/>
      <w:marTop w:val="0"/>
      <w:marBottom w:val="0"/>
      <w:divBdr>
        <w:top w:val="none" w:sz="0" w:space="0" w:color="auto"/>
        <w:left w:val="none" w:sz="0" w:space="0" w:color="auto"/>
        <w:bottom w:val="none" w:sz="0" w:space="0" w:color="auto"/>
        <w:right w:val="none" w:sz="0" w:space="0" w:color="auto"/>
      </w:divBdr>
    </w:div>
    <w:div w:id="1674214290">
      <w:bodyDiv w:val="1"/>
      <w:marLeft w:val="0"/>
      <w:marRight w:val="0"/>
      <w:marTop w:val="0"/>
      <w:marBottom w:val="0"/>
      <w:divBdr>
        <w:top w:val="none" w:sz="0" w:space="0" w:color="auto"/>
        <w:left w:val="none" w:sz="0" w:space="0" w:color="auto"/>
        <w:bottom w:val="none" w:sz="0" w:space="0" w:color="auto"/>
        <w:right w:val="none" w:sz="0" w:space="0" w:color="auto"/>
      </w:divBdr>
    </w:div>
    <w:div w:id="1674913943">
      <w:bodyDiv w:val="1"/>
      <w:marLeft w:val="0"/>
      <w:marRight w:val="0"/>
      <w:marTop w:val="0"/>
      <w:marBottom w:val="0"/>
      <w:divBdr>
        <w:top w:val="none" w:sz="0" w:space="0" w:color="auto"/>
        <w:left w:val="none" w:sz="0" w:space="0" w:color="auto"/>
        <w:bottom w:val="none" w:sz="0" w:space="0" w:color="auto"/>
        <w:right w:val="none" w:sz="0" w:space="0" w:color="auto"/>
      </w:divBdr>
    </w:div>
    <w:div w:id="1690446187">
      <w:bodyDiv w:val="1"/>
      <w:marLeft w:val="0"/>
      <w:marRight w:val="0"/>
      <w:marTop w:val="0"/>
      <w:marBottom w:val="0"/>
      <w:divBdr>
        <w:top w:val="none" w:sz="0" w:space="0" w:color="auto"/>
        <w:left w:val="none" w:sz="0" w:space="0" w:color="auto"/>
        <w:bottom w:val="none" w:sz="0" w:space="0" w:color="auto"/>
        <w:right w:val="none" w:sz="0" w:space="0" w:color="auto"/>
      </w:divBdr>
    </w:div>
    <w:div w:id="1692337706">
      <w:bodyDiv w:val="1"/>
      <w:marLeft w:val="0"/>
      <w:marRight w:val="0"/>
      <w:marTop w:val="0"/>
      <w:marBottom w:val="0"/>
      <w:divBdr>
        <w:top w:val="none" w:sz="0" w:space="0" w:color="auto"/>
        <w:left w:val="none" w:sz="0" w:space="0" w:color="auto"/>
        <w:bottom w:val="none" w:sz="0" w:space="0" w:color="auto"/>
        <w:right w:val="none" w:sz="0" w:space="0" w:color="auto"/>
      </w:divBdr>
    </w:div>
    <w:div w:id="1702124517">
      <w:bodyDiv w:val="1"/>
      <w:marLeft w:val="0"/>
      <w:marRight w:val="0"/>
      <w:marTop w:val="0"/>
      <w:marBottom w:val="0"/>
      <w:divBdr>
        <w:top w:val="none" w:sz="0" w:space="0" w:color="auto"/>
        <w:left w:val="none" w:sz="0" w:space="0" w:color="auto"/>
        <w:bottom w:val="none" w:sz="0" w:space="0" w:color="auto"/>
        <w:right w:val="none" w:sz="0" w:space="0" w:color="auto"/>
      </w:divBdr>
    </w:div>
    <w:div w:id="1724602217">
      <w:bodyDiv w:val="1"/>
      <w:marLeft w:val="0"/>
      <w:marRight w:val="0"/>
      <w:marTop w:val="0"/>
      <w:marBottom w:val="0"/>
      <w:divBdr>
        <w:top w:val="none" w:sz="0" w:space="0" w:color="auto"/>
        <w:left w:val="none" w:sz="0" w:space="0" w:color="auto"/>
        <w:bottom w:val="none" w:sz="0" w:space="0" w:color="auto"/>
        <w:right w:val="none" w:sz="0" w:space="0" w:color="auto"/>
      </w:divBdr>
    </w:div>
    <w:div w:id="1729455380">
      <w:bodyDiv w:val="1"/>
      <w:marLeft w:val="0"/>
      <w:marRight w:val="0"/>
      <w:marTop w:val="0"/>
      <w:marBottom w:val="0"/>
      <w:divBdr>
        <w:top w:val="none" w:sz="0" w:space="0" w:color="auto"/>
        <w:left w:val="none" w:sz="0" w:space="0" w:color="auto"/>
        <w:bottom w:val="none" w:sz="0" w:space="0" w:color="auto"/>
        <w:right w:val="none" w:sz="0" w:space="0" w:color="auto"/>
      </w:divBdr>
    </w:div>
    <w:div w:id="1753428457">
      <w:bodyDiv w:val="1"/>
      <w:marLeft w:val="0"/>
      <w:marRight w:val="0"/>
      <w:marTop w:val="0"/>
      <w:marBottom w:val="0"/>
      <w:divBdr>
        <w:top w:val="none" w:sz="0" w:space="0" w:color="auto"/>
        <w:left w:val="none" w:sz="0" w:space="0" w:color="auto"/>
        <w:bottom w:val="none" w:sz="0" w:space="0" w:color="auto"/>
        <w:right w:val="none" w:sz="0" w:space="0" w:color="auto"/>
      </w:divBdr>
    </w:div>
    <w:div w:id="1755128453">
      <w:bodyDiv w:val="1"/>
      <w:marLeft w:val="0"/>
      <w:marRight w:val="0"/>
      <w:marTop w:val="0"/>
      <w:marBottom w:val="0"/>
      <w:divBdr>
        <w:top w:val="none" w:sz="0" w:space="0" w:color="auto"/>
        <w:left w:val="none" w:sz="0" w:space="0" w:color="auto"/>
        <w:bottom w:val="none" w:sz="0" w:space="0" w:color="auto"/>
        <w:right w:val="none" w:sz="0" w:space="0" w:color="auto"/>
      </w:divBdr>
    </w:div>
    <w:div w:id="1767266049">
      <w:bodyDiv w:val="1"/>
      <w:marLeft w:val="0"/>
      <w:marRight w:val="0"/>
      <w:marTop w:val="0"/>
      <w:marBottom w:val="0"/>
      <w:divBdr>
        <w:top w:val="none" w:sz="0" w:space="0" w:color="auto"/>
        <w:left w:val="none" w:sz="0" w:space="0" w:color="auto"/>
        <w:bottom w:val="none" w:sz="0" w:space="0" w:color="auto"/>
        <w:right w:val="none" w:sz="0" w:space="0" w:color="auto"/>
      </w:divBdr>
    </w:div>
    <w:div w:id="1794977131">
      <w:bodyDiv w:val="1"/>
      <w:marLeft w:val="0"/>
      <w:marRight w:val="0"/>
      <w:marTop w:val="0"/>
      <w:marBottom w:val="0"/>
      <w:divBdr>
        <w:top w:val="none" w:sz="0" w:space="0" w:color="auto"/>
        <w:left w:val="none" w:sz="0" w:space="0" w:color="auto"/>
        <w:bottom w:val="none" w:sz="0" w:space="0" w:color="auto"/>
        <w:right w:val="none" w:sz="0" w:space="0" w:color="auto"/>
      </w:divBdr>
    </w:div>
    <w:div w:id="1823041106">
      <w:bodyDiv w:val="1"/>
      <w:marLeft w:val="0"/>
      <w:marRight w:val="0"/>
      <w:marTop w:val="0"/>
      <w:marBottom w:val="0"/>
      <w:divBdr>
        <w:top w:val="none" w:sz="0" w:space="0" w:color="auto"/>
        <w:left w:val="none" w:sz="0" w:space="0" w:color="auto"/>
        <w:bottom w:val="none" w:sz="0" w:space="0" w:color="auto"/>
        <w:right w:val="none" w:sz="0" w:space="0" w:color="auto"/>
      </w:divBdr>
    </w:div>
    <w:div w:id="1831409374">
      <w:bodyDiv w:val="1"/>
      <w:marLeft w:val="0"/>
      <w:marRight w:val="0"/>
      <w:marTop w:val="0"/>
      <w:marBottom w:val="0"/>
      <w:divBdr>
        <w:top w:val="none" w:sz="0" w:space="0" w:color="auto"/>
        <w:left w:val="none" w:sz="0" w:space="0" w:color="auto"/>
        <w:bottom w:val="none" w:sz="0" w:space="0" w:color="auto"/>
        <w:right w:val="none" w:sz="0" w:space="0" w:color="auto"/>
      </w:divBdr>
    </w:div>
    <w:div w:id="1844204469">
      <w:bodyDiv w:val="1"/>
      <w:marLeft w:val="0"/>
      <w:marRight w:val="0"/>
      <w:marTop w:val="0"/>
      <w:marBottom w:val="0"/>
      <w:divBdr>
        <w:top w:val="none" w:sz="0" w:space="0" w:color="auto"/>
        <w:left w:val="none" w:sz="0" w:space="0" w:color="auto"/>
        <w:bottom w:val="none" w:sz="0" w:space="0" w:color="auto"/>
        <w:right w:val="none" w:sz="0" w:space="0" w:color="auto"/>
      </w:divBdr>
    </w:div>
    <w:div w:id="1853228852">
      <w:bodyDiv w:val="1"/>
      <w:marLeft w:val="0"/>
      <w:marRight w:val="0"/>
      <w:marTop w:val="0"/>
      <w:marBottom w:val="0"/>
      <w:divBdr>
        <w:top w:val="none" w:sz="0" w:space="0" w:color="auto"/>
        <w:left w:val="none" w:sz="0" w:space="0" w:color="auto"/>
        <w:bottom w:val="none" w:sz="0" w:space="0" w:color="auto"/>
        <w:right w:val="none" w:sz="0" w:space="0" w:color="auto"/>
      </w:divBdr>
    </w:div>
    <w:div w:id="1872064466">
      <w:bodyDiv w:val="1"/>
      <w:marLeft w:val="0"/>
      <w:marRight w:val="0"/>
      <w:marTop w:val="0"/>
      <w:marBottom w:val="0"/>
      <w:divBdr>
        <w:top w:val="none" w:sz="0" w:space="0" w:color="auto"/>
        <w:left w:val="none" w:sz="0" w:space="0" w:color="auto"/>
        <w:bottom w:val="none" w:sz="0" w:space="0" w:color="auto"/>
        <w:right w:val="none" w:sz="0" w:space="0" w:color="auto"/>
      </w:divBdr>
    </w:div>
    <w:div w:id="1879929033">
      <w:bodyDiv w:val="1"/>
      <w:marLeft w:val="0"/>
      <w:marRight w:val="0"/>
      <w:marTop w:val="0"/>
      <w:marBottom w:val="0"/>
      <w:divBdr>
        <w:top w:val="none" w:sz="0" w:space="0" w:color="auto"/>
        <w:left w:val="none" w:sz="0" w:space="0" w:color="auto"/>
        <w:bottom w:val="none" w:sz="0" w:space="0" w:color="auto"/>
        <w:right w:val="none" w:sz="0" w:space="0" w:color="auto"/>
      </w:divBdr>
    </w:div>
    <w:div w:id="1902666903">
      <w:bodyDiv w:val="1"/>
      <w:marLeft w:val="0"/>
      <w:marRight w:val="0"/>
      <w:marTop w:val="0"/>
      <w:marBottom w:val="0"/>
      <w:divBdr>
        <w:top w:val="none" w:sz="0" w:space="0" w:color="auto"/>
        <w:left w:val="none" w:sz="0" w:space="0" w:color="auto"/>
        <w:bottom w:val="none" w:sz="0" w:space="0" w:color="auto"/>
        <w:right w:val="none" w:sz="0" w:space="0" w:color="auto"/>
      </w:divBdr>
    </w:div>
    <w:div w:id="1920407708">
      <w:bodyDiv w:val="1"/>
      <w:marLeft w:val="0"/>
      <w:marRight w:val="0"/>
      <w:marTop w:val="0"/>
      <w:marBottom w:val="0"/>
      <w:divBdr>
        <w:top w:val="none" w:sz="0" w:space="0" w:color="auto"/>
        <w:left w:val="none" w:sz="0" w:space="0" w:color="auto"/>
        <w:bottom w:val="none" w:sz="0" w:space="0" w:color="auto"/>
        <w:right w:val="none" w:sz="0" w:space="0" w:color="auto"/>
      </w:divBdr>
    </w:div>
    <w:div w:id="1940869952">
      <w:bodyDiv w:val="1"/>
      <w:marLeft w:val="0"/>
      <w:marRight w:val="0"/>
      <w:marTop w:val="0"/>
      <w:marBottom w:val="0"/>
      <w:divBdr>
        <w:top w:val="none" w:sz="0" w:space="0" w:color="auto"/>
        <w:left w:val="none" w:sz="0" w:space="0" w:color="auto"/>
        <w:bottom w:val="none" w:sz="0" w:space="0" w:color="auto"/>
        <w:right w:val="none" w:sz="0" w:space="0" w:color="auto"/>
      </w:divBdr>
    </w:div>
    <w:div w:id="2018341762">
      <w:bodyDiv w:val="1"/>
      <w:marLeft w:val="0"/>
      <w:marRight w:val="0"/>
      <w:marTop w:val="0"/>
      <w:marBottom w:val="0"/>
      <w:divBdr>
        <w:top w:val="none" w:sz="0" w:space="0" w:color="auto"/>
        <w:left w:val="none" w:sz="0" w:space="0" w:color="auto"/>
        <w:bottom w:val="none" w:sz="0" w:space="0" w:color="auto"/>
        <w:right w:val="none" w:sz="0" w:space="0" w:color="auto"/>
      </w:divBdr>
    </w:div>
    <w:div w:id="2023166251">
      <w:bodyDiv w:val="1"/>
      <w:marLeft w:val="0"/>
      <w:marRight w:val="0"/>
      <w:marTop w:val="0"/>
      <w:marBottom w:val="0"/>
      <w:divBdr>
        <w:top w:val="none" w:sz="0" w:space="0" w:color="auto"/>
        <w:left w:val="none" w:sz="0" w:space="0" w:color="auto"/>
        <w:bottom w:val="none" w:sz="0" w:space="0" w:color="auto"/>
        <w:right w:val="none" w:sz="0" w:space="0" w:color="auto"/>
      </w:divBdr>
    </w:div>
    <w:div w:id="2049913230">
      <w:bodyDiv w:val="1"/>
      <w:marLeft w:val="0"/>
      <w:marRight w:val="0"/>
      <w:marTop w:val="0"/>
      <w:marBottom w:val="0"/>
      <w:divBdr>
        <w:top w:val="none" w:sz="0" w:space="0" w:color="auto"/>
        <w:left w:val="none" w:sz="0" w:space="0" w:color="auto"/>
        <w:bottom w:val="none" w:sz="0" w:space="0" w:color="auto"/>
        <w:right w:val="none" w:sz="0" w:space="0" w:color="auto"/>
      </w:divBdr>
    </w:div>
    <w:div w:id="2051294627">
      <w:bodyDiv w:val="1"/>
      <w:marLeft w:val="0"/>
      <w:marRight w:val="0"/>
      <w:marTop w:val="0"/>
      <w:marBottom w:val="0"/>
      <w:divBdr>
        <w:top w:val="none" w:sz="0" w:space="0" w:color="auto"/>
        <w:left w:val="none" w:sz="0" w:space="0" w:color="auto"/>
        <w:bottom w:val="none" w:sz="0" w:space="0" w:color="auto"/>
        <w:right w:val="none" w:sz="0" w:space="0" w:color="auto"/>
      </w:divBdr>
    </w:div>
    <w:div w:id="2052344725">
      <w:bodyDiv w:val="1"/>
      <w:marLeft w:val="0"/>
      <w:marRight w:val="0"/>
      <w:marTop w:val="0"/>
      <w:marBottom w:val="0"/>
      <w:divBdr>
        <w:top w:val="none" w:sz="0" w:space="0" w:color="auto"/>
        <w:left w:val="none" w:sz="0" w:space="0" w:color="auto"/>
        <w:bottom w:val="none" w:sz="0" w:space="0" w:color="auto"/>
        <w:right w:val="none" w:sz="0" w:space="0" w:color="auto"/>
      </w:divBdr>
    </w:div>
    <w:div w:id="2069062766">
      <w:bodyDiv w:val="1"/>
      <w:marLeft w:val="0"/>
      <w:marRight w:val="0"/>
      <w:marTop w:val="0"/>
      <w:marBottom w:val="0"/>
      <w:divBdr>
        <w:top w:val="none" w:sz="0" w:space="0" w:color="auto"/>
        <w:left w:val="none" w:sz="0" w:space="0" w:color="auto"/>
        <w:bottom w:val="none" w:sz="0" w:space="0" w:color="auto"/>
        <w:right w:val="none" w:sz="0" w:space="0" w:color="auto"/>
      </w:divBdr>
    </w:div>
    <w:div w:id="2123498720">
      <w:bodyDiv w:val="1"/>
      <w:marLeft w:val="0"/>
      <w:marRight w:val="0"/>
      <w:marTop w:val="0"/>
      <w:marBottom w:val="0"/>
      <w:divBdr>
        <w:top w:val="none" w:sz="0" w:space="0" w:color="auto"/>
        <w:left w:val="none" w:sz="0" w:space="0" w:color="auto"/>
        <w:bottom w:val="none" w:sz="0" w:space="0" w:color="auto"/>
        <w:right w:val="none" w:sz="0" w:space="0" w:color="auto"/>
      </w:divBdr>
    </w:div>
    <w:div w:id="21459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Beta_(finan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Sys</b:Tag>
    <b:SourceType>InternetSite</b:SourceType>
    <b:Guid>{56D45319-6923-4E82-BCB0-D96D9C659B5E}</b:Guid>
    <b:Title>Systemic risk</b:Title>
    <b:Author>
      <b:Author>
        <b:Corporate>Systemic Risk Centre</b:Corporate>
      </b:Author>
    </b:Author>
    <b:InternetSiteTitle>SRC</b:InternetSiteTitle>
    <b:URL>http://www.systemicrisk.ac.uk/systemic-risk</b:URL>
    <b:RefOrder>1</b:RefOrder>
  </b:Source>
  <b:Source>
    <b:Tag>Uhl09</b:Tag>
    <b:SourceType>JournalArticle</b:SourceType>
    <b:Guid>{5A2E6CA5-E8EA-48D0-89F0-DBAA9B83D2DD}</b:Guid>
    <b:Author>
      <b:Author>
        <b:NameList>
          <b:Person>
            <b:Last>Uhlig</b:Last>
            <b:First>Harald</b:First>
          </b:Person>
        </b:NameList>
      </b:Author>
    </b:Author>
    <b:Title>A Model of a Systemic Bank Run</b:Title>
    <b:Year>September 24, 2009</b:Year>
    <b:JournalName>IMF</b:JournalName>
    <b:Pages>2</b:Pages>
    <b:RefOrder>2</b:RefOrder>
  </b:Source>
  <b:Source>
    <b:Tag>Mar13</b:Tag>
    <b:SourceType>JournalArticle</b:SourceType>
    <b:Guid>{FFE5C8CE-2F3E-41F1-AB34-B3A8E7747C5D}</b:Guid>
    <b:Author>
      <b:Author>
        <b:NameList>
          <b:Person>
            <b:Last>Markus K. Brunnermeier</b:Last>
            <b:First>Martin</b:First>
            <b:Middle>Oehmke</b:Middle>
          </b:Person>
        </b:NameList>
      </b:Author>
    </b:Author>
    <b:Title>Bubbles, Financial Crises, and Systemic Risk</b:Title>
    <b:JournalName>The National Bureau of Economic Research</b:JournalName>
    <b:Year>2013</b:Year>
    <b:Pages>1223</b:Pages>
    <b:RefOrder>4</b:RefOrder>
  </b:Source>
  <b:Source>
    <b:Tag>Mon14</b:Tag>
    <b:SourceType>JournalArticle</b:SourceType>
    <b:Guid>{9E00335E-2B56-45A9-A3BF-B6697F34CC12}</b:Guid>
    <b:Author>
      <b:Author>
        <b:Corporate>Monetary and Capital Markets</b:Corporate>
      </b:Author>
    </b:Author>
    <b:Title>TECHNICAL NOTE—SYSTEMIC RISK AND CONTAGION ANALYSIS</b:Title>
    <b:JournalName>International Monetary Fund</b:JournalName>
    <b:Year>September 2014</b:Year>
    <b:Pages>5</b:Pages>
    <b:RefOrder>5</b:RefOrder>
  </b:Source>
  <b:Source>
    <b:Tag>Ban</b:Tag>
    <b:SourceType>InternetSite</b:SourceType>
    <b:Guid>{BE94C1B4-F25D-4169-9053-C21D83D12E23}</b:Guid>
    <b:Title>Payment System Oversight</b:Title>
    <b:Author>
      <b:Author>
        <b:Corporate>Bangladesh Bank</b:Corporate>
      </b:Author>
    </b:Author>
    <b:InternetSiteTitle>Bangladesh Bank</b:InternetSiteTitle>
    <b:URL>https://www.bb.org.bd/fnansys/paymentsys/pso.php</b:URL>
    <b:RefOrder>6</b:RefOrder>
  </b:Source>
  <b:Source>
    <b:Tag>MSN</b:Tag>
    <b:SourceType>InternetSite</b:SourceType>
    <b:Guid>{9A0E6755-D376-494B-A2A2-4E10D4EE00AF}</b:Guid>
    <b:Author>
      <b:Author>
        <b:Corporate>MSN</b:Corporate>
      </b:Author>
    </b:Author>
    <b:Title>Interbank Lending Markets and Repurchase Agreements</b:Title>
    <b:InternetSiteTitle>MSN</b:InternetSiteTitle>
    <b:URL>https://www.managementstudyguide.com/types-of-products-in-commercial-banking.htm</b:URL>
    <b:RefOrder>7</b:RefOrder>
  </b:Source>
  <b:Source>
    <b:Tag>Ger18</b:Tag>
    <b:SourceType>Report</b:SourceType>
    <b:Guid>{614091E0-C6B3-4C5B-A57B-6628A89BE605}</b:Guid>
    <b:Title>Systemic illiquidity in the</b:Title>
    <b:Year>November 2018</b:Year>
    <b:Publisher>European Systemic Risk Board</b:Publisher>
    <b:Author>
      <b:Author>
        <b:NameList>
          <b:Person>
            <b:Last>Gerardo Ferrara</b:Last>
            <b:First>Sam</b:First>
            <b:Middle>Langfield, Zijun Liu</b:Middle>
          </b:Person>
        </b:NameList>
      </b:Author>
    </b:Author>
    <b:RefOrder>8</b:RefOrder>
  </b:Source>
  <b:Source>
    <b:Tag>Cha11</b:Tag>
    <b:SourceType>Report</b:SourceType>
    <b:Guid>{79105E57-C350-45A6-AAEE-376636D03F20}</b:Guid>
    <b:Author>
      <b:Author>
        <b:NameList>
          <b:Person>
            <b:Last>kadlec</b:Last>
            <b:First>Charles</b:First>
          </b:Person>
        </b:NameList>
      </b:Author>
    </b:Author>
    <b:Title>Governments are the primary creator of systemic risk</b:Title>
    <b:Year>may 16, 2011</b:Year>
    <b:Publisher>Forbes</b:Publisher>
    <b:RefOrder>9</b:RefOrder>
  </b:Source>
  <b:Source>
    <b:Tag>Deb14</b:Tag>
    <b:SourceType>JournalArticle</b:SourceType>
    <b:Guid>{4AC5E60D-BAC1-4597-BBE2-D7AE0FDEFC2F}</b:Guid>
    <b:Title>Evaluating the Government as a Source of Systemic Risk</b:Title>
    <b:Year>2014</b:Year>
    <b:Author>
      <b:Author>
        <b:NameList>
          <b:Person>
            <b:Last>Lucas</b:Last>
            <b:First>Deborah</b:First>
          </b:Person>
        </b:NameList>
      </b:Author>
    </b:Author>
    <b:JournalName>Journal of Financial Perspectives</b:JournalName>
    <b:Pages>3-5</b:Pages>
    <b:RefOrder>10</b:RefOrder>
  </b:Source>
  <b:Source>
    <b:Tag>Mat04</b:Tag>
    <b:SourceType>JournalArticle</b:SourceType>
    <b:Guid>{B237210A-9CA8-45F2-9A36-07DD85EEDA39}</b:Guid>
    <b:Author>
      <b:Author>
        <b:NameList>
          <b:Person>
            <b:Last>Matthieu Bussière</b:Last>
            <b:First>Marcel</b:First>
            <b:Middle>Fratzscher, Winfried Koeniger</b:Middle>
          </b:Person>
        </b:NameList>
      </b:Author>
    </b:Author>
    <b:Title>Currency Mismatch, Uncertainty and Debt Maturity Structure</b:Title>
    <b:JournalName>European Central Bank</b:JournalName>
    <b:Year>2004</b:Year>
    <b:Pages>6-15</b:Pages>
    <b:RefOrder>13</b:RefOrder>
  </b:Source>
  <b:Source>
    <b:Tag>WIL18</b:Tag>
    <b:SourceType>InternetSite</b:SourceType>
    <b:Guid>{22D23FA6-0427-41D9-8ABF-FA4B37E6CBF7}</b:Guid>
    <b:Title>Maturity Mismatch</b:Title>
    <b:Year>2018</b:Year>
    <b:Author>
      <b:Author>
        <b:Corporate>WILL KENTON</b:Corporate>
      </b:Author>
    </b:Author>
    <b:InternetSiteTitle>Investopedia</b:InternetSiteTitle>
    <b:Month>Feb</b:Month>
    <b:Day>10</b:Day>
    <b:URL>https://www.investopedia.com/terms/m/maturitymismatch.asp</b:URL>
    <b:RefOrder>11</b:RefOrder>
  </b:Source>
  <b:Source>
    <b:Tag>Rom10</b:Tag>
    <b:SourceType>JournalArticle</b:SourceType>
    <b:Guid>{08E09F16-7122-4FFE-8289-42C2C280F335}</b:Guid>
    <b:Title>A New Index of Currency Mismatch and</b:Title>
    <b:Year>November 2010 </b:Year>
    <b:Author>
      <b:Author>
        <b:NameList>
          <b:Person>
            <b:Last>Romain Ranciere</b:Last>
            <b:First>Aaron</b:First>
            <b:Middle>Tornell</b:Middle>
          </b:Person>
        </b:NameList>
      </b:Author>
    </b:Author>
    <b:JournalName>IFM</b:JournalName>
    <b:Pages>3-4</b:Pages>
    <b:RefOrder>12</b:RefOrder>
  </b:Source>
  <b:Source>
    <b:Tag>Rob18</b:Tag>
    <b:SourceType>JournalArticle</b:SourceType>
    <b:Guid>{03EF1874-5D34-4810-AE7F-AD37AA9B68C3}</b:Guid>
    <b:Author>
      <b:Author>
        <b:NameList>
          <b:Person>
            <b:Last>Robert Engle</b:Last>
            <b:First>Tianyue</b:First>
            <b:Middle>Ruan</b:Middle>
          </b:Person>
        </b:NameList>
      </b:Author>
    </b:Author>
    <b:Title>How Much SRISK Is Too Much?*</b:Title>
    <b:JournalName>SSRN</b:JournalName>
    <b:Year>September 27, 2018</b:Year>
    <b:Pages>4-8</b:Pages>
    <b:RefOrder>16</b:RefOrder>
  </b:Source>
  <b:Source>
    <b:Tag>Wik</b:Tag>
    <b:SourceType>InternetSite</b:SourceType>
    <b:Guid>{227E4E50-B0F7-4107-A4E7-299FCAD9ED6A}</b:Guid>
    <b:Title>Systemic Risk</b:Title>
    <b:Author>
      <b:Author>
        <b:Corporate>Wikipedia</b:Corporate>
      </b:Author>
    </b:Author>
    <b:InternetSiteTitle>Wikipedia</b:InternetSiteTitle>
    <b:URL>https://en.wikipedia.org/wiki/Systemic_risk</b:URL>
    <b:RefOrder>34</b:RefOrder>
  </b:Source>
  <b:Source>
    <b:Tag>Tob11</b:Tag>
    <b:SourceType>JournalArticle</b:SourceType>
    <b:Guid>{2E8ECB70-FBA8-440C-97DC-3498A695E75E}</b:Guid>
    <b:Title>CoVaR</b:Title>
    <b:Year>2011</b:Year>
    <b:Author>
      <b:Author>
        <b:NameList>
          <b:Person>
            <b:Last>Brunnermeier</b:Last>
            <b:First>Tobias</b:First>
            <b:Middle>Adrian and Markus K.</b:Middle>
          </b:Person>
        </b:NameList>
      </b:Author>
    </b:Author>
    <b:JournalName>American Economic Association </b:JournalName>
    <b:Pages>1-12</b:Pages>
    <b:RefOrder>17</b:RefOrder>
  </b:Source>
  <b:Source>
    <b:Tag>Kua14</b:Tag>
    <b:SourceType>JournalArticle</b:SourceType>
    <b:Guid>{B9C16958-A576-4A92-A42A-C9E348D5F71D}</b:Guid>
    <b:Author>
      <b:Author>
        <b:NameList>
          <b:Person>
            <b:Last>Kuan-Heng Chen</b:Last>
            <b:First>Khaldoun</b:First>
            <b:Middle>Khashanah</b:Middle>
          </b:Person>
        </b:NameList>
      </b:Author>
    </b:Author>
    <b:Title>Measuring Systemic Risk : Copula CoVaR </b:Title>
    <b:JournalName>SSRN</b:JournalName>
    <b:Year>2014</b:Year>
    <b:Pages>6-7</b:Pages>
    <b:RefOrder>18</b:RefOrder>
  </b:Source>
  <b:Source>
    <b:Tag>SR_15</b:Tag>
    <b:SourceType>InternetSite</b:SourceType>
    <b:Guid>{9F77A86B-4642-4F15-A789-3EDE5FD19217}</b:Guid>
    <b:Title>Managing (Systemic) Risk</b:Title>
    <b:Year>2015</b:Year>
    <b:Author>
      <b:Author>
        <b:Corporate>SR_SV</b:Corporate>
      </b:Author>
    </b:Author>
    <b:InternetSiteTitle>Systemic risk and Systemic value</b:InternetSiteTitle>
    <b:URL>http://www.sr-sv.com/managing-risk/</b:URL>
    <b:RefOrder>21</b:RefOrder>
  </b:Source>
  <b:Source>
    <b:Tag>rjs14</b:Tag>
    <b:SourceType>DocumentFromInternetSite</b:SourceType>
    <b:Guid>{6BC17EE7-D5B4-489D-92E3-5217C8926FA1}</b:Guid>
    <b:Title>The power of global financial cycles</b:Title>
    <b:InternetSiteTitle>sr-sv</b:InternetSiteTitle>
    <b:Year>2014</b:Year>
    <b:Month>November</b:Month>
    <b:Day>24</b:Day>
    <b:URL>http://www.sr-sv.com/the-power-of-global-financial-cycles/</b:URL>
    <b:Author>
      <b:Author>
        <b:NameList>
          <b:Person>
            <b:Last>rjsueppel</b:Last>
          </b:Person>
        </b:NameList>
      </b:Author>
    </b:Author>
    <b:RefOrder>35</b:RefOrder>
  </b:Source>
  <b:Source>
    <b:Tag>Sys15</b:Tag>
    <b:SourceType>DocumentFromInternetSite</b:SourceType>
    <b:Guid>{E1DB4C15-1C14-4BBD-BAFC-72ADBE09F913}</b:Guid>
    <b:Author>
      <b:Author>
        <b:Corporate>Systemic risk and Systemic value,Editor</b:Corporate>
      </b:Author>
    </b:Author>
    <b:Title>Why decision makers are unprepared for crises</b:Title>
    <b:InternetSiteTitle>Systemic risk and Systemic value</b:InternetSiteTitle>
    <b:Year>2015</b:Year>
    <b:Month>September </b:Month>
    <b:Day>13</b:Day>
    <b:URL>http://www.sr-sv.com/why-decision-makers-are-unprepared-for-crises/</b:URL>
    <b:RefOrder>23</b:RefOrder>
  </b:Source>
  <b:Source>
    <b:Tag>SRS16</b:Tag>
    <b:SourceType>DocumentFromInternetSite</b:SourceType>
    <b:Guid>{A05BBEA7-35B1-4553-B615-ABD547EFA0E8}</b:Guid>
    <b:Author>
      <b:Author>
        <b:Corporate>SRSV,EDITOR</b:Corporate>
      </b:Author>
    </b:Author>
    <b:Title>Climate change and systemic financial risk</b:Title>
    <b:InternetSiteTitle>SR-SV</b:InternetSiteTitle>
    <b:Year>2016</b:Year>
    <b:Month>May</b:Month>
    <b:Day>22</b:Day>
    <b:URL>http://www.sr-sv.com/climate-change-and-systemic-financial-risk/</b:URL>
    <b:RefOrder>24</b:RefOrder>
  </b:Source>
  <b:Source>
    <b:Tag>Hym92</b:Tag>
    <b:SourceType>Report</b:SourceType>
    <b:Guid>{0DBA02B0-112A-414B-B7BF-3645152DC91D}</b:Guid>
    <b:Author>
      <b:Author>
        <b:NameList>
          <b:Person>
            <b:Last>Minsky</b:Last>
            <b:First>Hyman</b:First>
            <b:Middle>P.</b:Middle>
          </b:Person>
        </b:NameList>
      </b:Author>
    </b:Author>
    <b:Title>The Financial Instability Hypothesis*</b:Title>
    <b:Year>May 1992</b:Year>
    <b:Publisher>The Jerome Levy Economics Institute of Bard College</b:Publisher>
    <b:RefOrder>26</b:RefOrder>
  </b:Source>
  <b:Source>
    <b:Tag>Mel17</b:Tag>
    <b:SourceType>JournalArticle</b:SourceType>
    <b:Guid>{01ADF7C6-1C1C-4A34-A20B-883CF0F6AD52}</b:Guid>
    <b:Title>Dynamic Conditional Currency Hedging</b:Title>
    <b:Year>2017</b:Year>
    <b:Author>
      <b:Author>
        <b:NameList>
          <b:Person>
            <b:Last>Bucher</b:Last>
            <b:First>Melk</b:First>
          </b:Person>
        </b:NameList>
      </b:Author>
    </b:Author>
    <b:JournalName>SSRN</b:JournalName>
    <b:Pages>05-14</b:Pages>
    <b:RefOrder>27</b:RefOrder>
  </b:Source>
  <b:Source>
    <b:Tag>rjs141</b:Tag>
    <b:SourceType>DocumentFromInternetSite</b:SourceType>
    <b:Guid>{EB40A4B2-1CB0-4223-BF89-D9A816E47242}</b:Guid>
    <b:Title>Understanding global liquidity</b:Title>
    <b:Year>2014</b:Year>
    <b:Author>
      <b:Author>
        <b:NameList>
          <b:Person>
            <b:Last>rjsueppel</b:Last>
          </b:Person>
        </b:NameList>
      </b:Author>
    </b:Author>
    <b:InternetSiteTitle>SRSV</b:InternetSiteTitle>
    <b:Month>May</b:Month>
    <b:Day>2</b:Day>
    <b:URL>http://www.sr-sv.com/understanding-global-liquidity/</b:URL>
    <b:RefOrder>22</b:RefOrder>
  </b:Source>
  <b:Source>
    <b:Tag>Jai10</b:Tag>
    <b:SourceType>Report</b:SourceType>
    <b:Guid>{F2D7F1E9-05BD-469C-891E-F5C6EBC38657}</b:Guid>
    <b:Title>Systemic risk: how to deal with it?</b:Title>
    <b:Year>2010</b:Year>
    <b:Author>
      <b:Author>
        <b:NameList>
          <b:Person>
            <b:Last>Caruana</b:Last>
            <b:First>Jaime</b:First>
          </b:Person>
        </b:NameList>
      </b:Author>
    </b:Author>
    <b:Publisher>BIS</b:Publisher>
    <b:RefOrder>28</b:RefOrder>
  </b:Source>
  <b:Source>
    <b:Tag>IAI18</b:Tag>
    <b:SourceType>Report</b:SourceType>
    <b:Guid>{EF08B1DE-9ADC-4151-8A5A-3CACEBE040C2}</b:Guid>
    <b:Author>
      <b:Author>
        <b:Corporate>IAIS</b:Corporate>
      </b:Author>
    </b:Author>
    <b:Title>Holistic Framework for Systemic Risk in the Insurance Sector</b:Title>
    <b:Year>2018</b:Year>
    <b:Publisher>International Association of Insurance Supervisors </b:Publisher>
    <b:RefOrder>14</b:RefOrder>
  </b:Source>
  <b:Source>
    <b:Tag>Jea15</b:Tag>
    <b:SourceType>InternetSite</b:SourceType>
    <b:Guid>{0189275B-434C-4DE6-BE9C-B593225B61AD}</b:Guid>
    <b:Author>
      <b:Author>
        <b:NameList>
          <b:Person>
            <b:Last>Zigrand</b:Last>
            <b:First>Jean-Pierre</b:First>
          </b:Person>
        </b:NameList>
      </b:Author>
    </b:Author>
    <b:Title>How can we control systemic risk?</b:Title>
    <b:Year>2015</b:Year>
    <b:InternetSiteTitle>World Economic Forum</b:InternetSiteTitle>
    <b:Month>Aug</b:Month>
    <b:Day>10</b:Day>
    <b:URL>https://www.weforum.org/agenda/2015/08/how-can-we-control-systemic-risk/</b:URL>
    <b:RefOrder>25</b:RefOrder>
  </b:Source>
  <b:Source>
    <b:Tag>Ste11</b:Tag>
    <b:SourceType>Report</b:SourceType>
    <b:Guid>{F77CF070-0089-487A-A01F-8EC7860BFCBD}</b:Guid>
    <b:Title>IDENTIFYING AND MANAGING SYSTEMIC RISK: AN</b:Title>
    <b:Year>2011</b:Year>
    <b:Author>
      <b:Author>
        <b:NameList>
          <b:Person>
            <b:Last>Schwarcz</b:Last>
            <b:First>Steven</b:First>
            <b:Middle>L.</b:Middle>
          </b:Person>
        </b:NameList>
      </b:Author>
    </b:Author>
    <b:Publisher>Harvard Business Law Review</b:Publisher>
    <b:RefOrder>29</b:RefOrder>
  </b:Source>
  <b:Source>
    <b:Tag>And13</b:Tag>
    <b:SourceType>Report</b:SourceType>
    <b:Guid>{92D8B88A-9103-4671-BE5A-890AD5932255}</b:Guid>
    <b:Author>
      <b:Author>
        <b:NameList>
          <b:Person>
            <b:Last>Gray</b:Last>
            <b:First>Andreas</b:First>
            <b:Middle>A. Jobst and Dale F.</b:Middle>
          </b:Person>
        </b:NameList>
      </b:Author>
    </b:Author>
    <b:Title>Systemic Contingent Claims Analysis –Estimating Market-Implied Systemic Risk</b:Title>
    <b:Year>Feb 2013</b:Year>
    <b:Publisher>IMF</b:Publisher>
    <b:RefOrder>15</b:RefOrder>
  </b:Source>
  <b:Source>
    <b:Tag>Ste12</b:Tag>
    <b:SourceType>Report</b:SourceType>
    <b:Guid>{4783A709-846F-486D-B95F-A0F1B78041BF}</b:Guid>
    <b:Author>
      <b:Author>
        <b:NameList>
          <b:Person>
            <b:Last>Schaefer</b:Last>
            <b:First>Stephen</b:First>
            <b:Middle>M</b:Middle>
          </b:Person>
        </b:NameList>
      </b:Author>
    </b:Author>
    <b:Title>The Default Intensity Model and the Copula Approach</b:Title>
    <b:Year>2012</b:Year>
    <b:Publisher>London Business School</b:Publisher>
    <b:RefOrder>19</b:RefOrder>
  </b:Source>
  <b:Source>
    <b:Tag>Pao16</b:Tag>
    <b:SourceType>JournalArticle</b:SourceType>
    <b:Guid>{03E6B937-DA01-41A3-8060-F44D825CAB88}</b:Guid>
    <b:Title>CoRisk: Measuring Systemic Risk Through Default Probability Contagion</b:Title>
    <b:Year>2016</b:Year>
    <b:Author>
      <b:Author>
        <b:NameList>
          <b:Person>
            <b:Last>Parisi</b:Last>
            <b:First>Paolo</b:First>
            <b:Middle>Giudici and Laura</b:Middle>
          </b:Person>
        </b:NameList>
      </b:Author>
    </b:Author>
    <b:JournalName>SSRN</b:JournalName>
    <b:RefOrder>20</b:RefOrder>
  </b:Source>
  <b:Source>
    <b:Tag>RKS17</b:Tag>
    <b:SourceType>JournalArticle</b:SourceType>
    <b:Guid>{DFA7EE79-53AB-46C0-93EF-B773403D35D4}</b:Guid>
    <b:Author>
      <b:Author>
        <b:NameList>
          <b:Person>
            <b:Last>Sinha</b:Last>
            <b:First>RK</b:First>
          </b:Person>
        </b:NameList>
      </b:Author>
    </b:Author>
    <b:Title>SYSTEMIC RISK MANAGEMENT UNDER BASEL-III </b:Title>
    <b:JournalName>Shodhganga</b:JournalName>
    <b:Year>2017</b:Year>
    <b:Pages>65-82</b:Pages>
    <b:RefOrder>31</b:RefOrder>
  </b:Source>
  <b:Source>
    <b:Tag>BAS</b:Tag>
    <b:SourceType>DocumentFromInternetSite</b:SourceType>
    <b:Guid>{D6547804-B6DC-4599-A53C-D3DF31AA0509}</b:Guid>
    <b:Title>Basel III: international regulatory framework for banks</b:Title>
    <b:InternetSiteTitle>BIS</b:InternetSiteTitle>
    <b:URL>https://www.bis.org/bcbs/basel3.htm?m=3%7C14%7C572</b:URL>
    <b:Author>
      <b:Author>
        <b:Corporate>BASEL Committee</b:Corporate>
      </b:Author>
    </b:Author>
    <b:RefOrder>30</b:RefOrder>
  </b:Source>
  <b:Source>
    <b:Tag>CoP11</b:Tag>
    <b:SourceType>JournalArticle</b:SourceType>
    <b:Guid>{9FE88B60-E142-43C7-85AA-1C9C999F4DF3}</b:Guid>
    <b:Title>Basel III and Systemic Risk</b:Title>
    <b:Year>2011</b:Year>
    <b:Author>
      <b:Author>
        <b:NameList>
          <b:Person>
            <b:Last>Georg</b:Last>
            <b:First>Co-Pierre</b:First>
          </b:Person>
        </b:NameList>
      </b:Author>
    </b:Author>
    <b:JournalName>ECONSTOR</b:JournalName>
    <b:Pages>14-18</b:Pages>
    <b:RefOrder>32</b:RefOrder>
  </b:Source>
  <b:Source>
    <b:Tag>Söh15</b:Tag>
    <b:SourceType>JournalArticle</b:SourceType>
    <b:Guid>{D781DD4B-E2FD-4EAD-BEC3-310687BFD6DD}</b:Guid>
    <b:Author>
      <b:Author>
        <b:NameList>
          <b:Person>
            <b:Last>Söhnke M. Bartram</b:Last>
            <b:First>Gregory</b:First>
            <b:Middle>W. Brown, and John E. Hund</b:Middle>
          </b:Person>
        </b:NameList>
      </b:Author>
    </b:Author>
    <b:Title>Estimating Systemic Risk in the International Financial System</b:Title>
    <b:JournalName>Journal of Financial Economics</b:JournalName>
    <b:Year>2015</b:Year>
    <b:Pages>28</b:Pages>
    <b:RefOrder>33</b:RefOrder>
  </b:Source>
  <b:Source>
    <b:Tag>Azi17</b:Tag>
    <b:SourceType>DocumentFromInternetSite</b:SourceType>
    <b:Guid>{E83D38D0-3EAF-47A9-A865-0263C6145967}</b:Guid>
    <b:Title>Systemic risk</b:Title>
    <b:Year>2017</b:Year>
    <b:Author>
      <b:Author>
        <b:Corporate>Aziroff</b:Corporate>
      </b:Author>
    </b:Author>
    <b:InternetSiteTitle>Aziroff.com</b:InternetSiteTitle>
    <b:Month>November</b:Month>
    <b:Day>25</b:Day>
    <b:URL>https://aziroff.com/systemic-risk/</b:URL>
    <b:RefOrder>3</b:RefOrder>
  </b:Source>
</b:Sources>
</file>

<file path=customXml/itemProps1.xml><?xml version="1.0" encoding="utf-8"?>
<ds:datastoreItem xmlns:ds="http://schemas.openxmlformats.org/officeDocument/2006/customXml" ds:itemID="{FA91A4AC-AE90-4EEE-AAFA-9A60DA369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2708</TotalTime>
  <Pages>54</Pages>
  <Words>16264</Words>
  <Characters>92710</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RISK:</dc:title>
  <dc:subject>An in-depth look </dc:subject>
  <dc:creator>Abir Ahashan</dc:creator>
  <cp:keywords/>
  <dc:description/>
  <cp:lastModifiedBy>Abir Ahashan</cp:lastModifiedBy>
  <cp:revision>87</cp:revision>
  <dcterms:created xsi:type="dcterms:W3CDTF">2019-03-03T12:20:00Z</dcterms:created>
  <dcterms:modified xsi:type="dcterms:W3CDTF">2019-04-22T19:06:00Z</dcterms:modified>
</cp:coreProperties>
</file>