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82" w:rsidRDefault="00500B82" w:rsidP="00500B82">
      <w:pPr>
        <w:widowControl w:val="0"/>
        <w:autoSpaceDE w:val="0"/>
        <w:autoSpaceDN w:val="0"/>
        <w:adjustRightInd w:val="0"/>
        <w:snapToGrid w:val="0"/>
        <w:rPr>
          <w:rFonts w:ascii="Cambria Bold" w:hAnsi="Cambria Bold" w:cs="Cambria Bold"/>
          <w:color w:val="16365D"/>
          <w:sz w:val="42"/>
          <w:szCs w:val="42"/>
        </w:rPr>
      </w:pPr>
    </w:p>
    <w:p w:rsidR="00500B82" w:rsidRDefault="00500B82" w:rsidP="00500B82">
      <w:pPr>
        <w:widowControl w:val="0"/>
        <w:autoSpaceDE w:val="0"/>
        <w:autoSpaceDN w:val="0"/>
        <w:adjustRightInd w:val="0"/>
        <w:snapToGrid w:val="0"/>
        <w:jc w:val="center"/>
        <w:rPr>
          <w:rFonts w:ascii="Cambria Bold" w:hAnsi="Cambria Bold" w:cs="Cambria Bold"/>
          <w:color w:val="16365D"/>
          <w:sz w:val="42"/>
          <w:szCs w:val="42"/>
        </w:rPr>
      </w:pPr>
    </w:p>
    <w:p w:rsidR="00500B82" w:rsidRPr="00E266FC" w:rsidRDefault="008F3502" w:rsidP="00E266FC">
      <w:pPr>
        <w:widowControl w:val="0"/>
        <w:autoSpaceDE w:val="0"/>
        <w:autoSpaceDN w:val="0"/>
        <w:adjustRightInd w:val="0"/>
        <w:snapToGrid w:val="0"/>
        <w:spacing w:after="0"/>
        <w:jc w:val="center"/>
        <w:rPr>
          <w:rFonts w:ascii="Times New Roman" w:hAnsi="Times New Roman" w:cs="Times New Roman"/>
          <w:b/>
          <w:bCs/>
          <w:color w:val="16365D"/>
          <w:sz w:val="48"/>
          <w:szCs w:val="42"/>
        </w:rPr>
      </w:pPr>
      <w:r w:rsidRPr="00E266FC">
        <w:rPr>
          <w:rFonts w:ascii="Times New Roman" w:hAnsi="Times New Roman" w:cs="Times New Roman"/>
          <w:b/>
          <w:bCs/>
          <w:color w:val="16365D"/>
          <w:sz w:val="48"/>
          <w:szCs w:val="42"/>
        </w:rPr>
        <w:t>Project</w:t>
      </w:r>
      <w:r w:rsidR="00500B82" w:rsidRPr="00E266FC">
        <w:rPr>
          <w:rFonts w:ascii="Times New Roman" w:hAnsi="Times New Roman" w:cs="Times New Roman"/>
          <w:b/>
          <w:bCs/>
          <w:color w:val="16365D"/>
          <w:sz w:val="48"/>
          <w:szCs w:val="42"/>
        </w:rPr>
        <w:t xml:space="preserve"> Report</w:t>
      </w:r>
    </w:p>
    <w:p w:rsidR="00500B82" w:rsidRPr="00E266FC" w:rsidRDefault="00500B82" w:rsidP="00E266FC">
      <w:pPr>
        <w:widowControl w:val="0"/>
        <w:autoSpaceDE w:val="0"/>
        <w:autoSpaceDN w:val="0"/>
        <w:adjustRightInd w:val="0"/>
        <w:snapToGrid w:val="0"/>
        <w:spacing w:after="0"/>
        <w:jc w:val="center"/>
        <w:rPr>
          <w:rFonts w:ascii="Times New Roman" w:hAnsi="Times New Roman" w:cs="Times New Roman"/>
          <w:b/>
          <w:bCs/>
          <w:color w:val="16365D"/>
          <w:sz w:val="48"/>
          <w:szCs w:val="42"/>
        </w:rPr>
      </w:pPr>
      <w:r w:rsidRPr="00E266FC">
        <w:rPr>
          <w:rFonts w:ascii="Times New Roman" w:hAnsi="Times New Roman" w:cs="Times New Roman"/>
          <w:b/>
          <w:bCs/>
          <w:color w:val="16365D"/>
          <w:sz w:val="48"/>
          <w:szCs w:val="42"/>
        </w:rPr>
        <w:t>on</w:t>
      </w:r>
    </w:p>
    <w:p w:rsidR="00E266FC" w:rsidRPr="00E266FC" w:rsidRDefault="008F72E8" w:rsidP="00E266FC">
      <w:pPr>
        <w:widowControl w:val="0"/>
        <w:autoSpaceDE w:val="0"/>
        <w:autoSpaceDN w:val="0"/>
        <w:adjustRightInd w:val="0"/>
        <w:snapToGrid w:val="0"/>
        <w:spacing w:after="0"/>
        <w:jc w:val="center"/>
        <w:rPr>
          <w:rFonts w:ascii="Cambria Bold" w:hAnsi="Cambria Bold" w:cs="Cambria Bold"/>
          <w:color w:val="16365D"/>
          <w:sz w:val="46"/>
          <w:szCs w:val="42"/>
        </w:rPr>
      </w:pPr>
      <w:r w:rsidRPr="00E266FC">
        <w:rPr>
          <w:rFonts w:ascii="Times New Roman" w:hAnsi="Times New Roman" w:cs="Times New Roman"/>
          <w:b/>
          <w:bCs/>
          <w:color w:val="16365D"/>
          <w:sz w:val="48"/>
          <w:szCs w:val="42"/>
        </w:rPr>
        <w:t>“Performance analysis</w:t>
      </w:r>
      <w:r w:rsidR="00500B82" w:rsidRPr="00E266FC">
        <w:rPr>
          <w:rFonts w:ascii="Times New Roman" w:hAnsi="Times New Roman" w:cs="Times New Roman"/>
          <w:b/>
          <w:bCs/>
          <w:color w:val="16365D"/>
          <w:sz w:val="48"/>
          <w:szCs w:val="42"/>
        </w:rPr>
        <w:t xml:space="preserve"> of Banking Sectors”</w:t>
      </w:r>
      <w:r w:rsidR="00500B82" w:rsidRPr="00E266FC">
        <w:rPr>
          <w:rFonts w:ascii="Cambria Bold" w:hAnsi="Cambria Bold" w:cs="Cambria Bold"/>
          <w:color w:val="16365D"/>
          <w:sz w:val="46"/>
          <w:szCs w:val="42"/>
        </w:rPr>
        <w:t xml:space="preserve"> </w:t>
      </w:r>
    </w:p>
    <w:p w:rsidR="00E266FC" w:rsidRPr="00E266FC" w:rsidRDefault="00E266FC" w:rsidP="00E266FC">
      <w:pPr>
        <w:widowControl w:val="0"/>
        <w:autoSpaceDE w:val="0"/>
        <w:autoSpaceDN w:val="0"/>
        <w:adjustRightInd w:val="0"/>
        <w:snapToGrid w:val="0"/>
        <w:spacing w:after="0"/>
        <w:jc w:val="center"/>
        <w:rPr>
          <w:rFonts w:ascii="Cambria Bold" w:hAnsi="Cambria Bold" w:cs="Cambria Bold"/>
          <w:color w:val="16365D"/>
          <w:sz w:val="46"/>
          <w:szCs w:val="42"/>
        </w:rPr>
      </w:pPr>
    </w:p>
    <w:p w:rsidR="00E266FC" w:rsidRDefault="00E266FC" w:rsidP="00500B82">
      <w:pPr>
        <w:widowControl w:val="0"/>
        <w:autoSpaceDE w:val="0"/>
        <w:autoSpaceDN w:val="0"/>
        <w:adjustRightInd w:val="0"/>
        <w:snapToGrid w:val="0"/>
        <w:jc w:val="center"/>
        <w:rPr>
          <w:rFonts w:ascii="Cambria Bold" w:hAnsi="Cambria Bold" w:cs="Cambria Bold"/>
          <w:color w:val="16365D"/>
          <w:sz w:val="42"/>
          <w:szCs w:val="42"/>
        </w:rPr>
      </w:pPr>
    </w:p>
    <w:p w:rsidR="00E266FC" w:rsidRDefault="00E266FC" w:rsidP="00500B82">
      <w:pPr>
        <w:widowControl w:val="0"/>
        <w:autoSpaceDE w:val="0"/>
        <w:autoSpaceDN w:val="0"/>
        <w:adjustRightInd w:val="0"/>
        <w:snapToGrid w:val="0"/>
        <w:jc w:val="center"/>
        <w:rPr>
          <w:rFonts w:ascii="Cambria Bold" w:hAnsi="Cambria Bold" w:cs="Cambria Bold"/>
          <w:color w:val="16365D"/>
          <w:sz w:val="42"/>
          <w:szCs w:val="42"/>
        </w:rPr>
      </w:pPr>
    </w:p>
    <w:p w:rsidR="00E266FC" w:rsidRDefault="00E266FC" w:rsidP="00500B82">
      <w:pPr>
        <w:widowControl w:val="0"/>
        <w:autoSpaceDE w:val="0"/>
        <w:autoSpaceDN w:val="0"/>
        <w:adjustRightInd w:val="0"/>
        <w:snapToGrid w:val="0"/>
        <w:jc w:val="center"/>
        <w:rPr>
          <w:rFonts w:ascii="Cambria Bold" w:hAnsi="Cambria Bold" w:cs="Cambria Bold"/>
          <w:color w:val="16365D"/>
          <w:sz w:val="42"/>
          <w:szCs w:val="42"/>
        </w:rPr>
      </w:pPr>
    </w:p>
    <w:p w:rsidR="00500B82" w:rsidRDefault="00500B82" w:rsidP="00500B82">
      <w:pPr>
        <w:widowControl w:val="0"/>
        <w:autoSpaceDE w:val="0"/>
        <w:autoSpaceDN w:val="0"/>
        <w:adjustRightInd w:val="0"/>
        <w:snapToGrid w:val="0"/>
        <w:jc w:val="center"/>
        <w:rPr>
          <w:rFonts w:ascii="Cambria Bold" w:hAnsi="Cambria Bold" w:cs="Cambria Bold"/>
          <w:color w:val="16365D"/>
          <w:sz w:val="42"/>
          <w:szCs w:val="42"/>
        </w:rPr>
      </w:pPr>
      <w:r>
        <w:rPr>
          <w:rFonts w:ascii="Cambria Bold" w:hAnsi="Cambria Bold" w:cs="Cambria Bold"/>
          <w:color w:val="16365D"/>
          <w:sz w:val="42"/>
          <w:szCs w:val="42"/>
        </w:rPr>
        <w:br w:type="page"/>
      </w:r>
    </w:p>
    <w:p w:rsidR="00500B82" w:rsidRDefault="00500B82" w:rsidP="00500B82">
      <w:pPr>
        <w:widowControl w:val="0"/>
        <w:autoSpaceDE w:val="0"/>
        <w:autoSpaceDN w:val="0"/>
        <w:adjustRightInd w:val="0"/>
        <w:snapToGrid w:val="0"/>
        <w:jc w:val="center"/>
        <w:rPr>
          <w:rFonts w:ascii="Cambria Bold" w:hAnsi="Cambria Bold" w:cs="Cambria Bold"/>
          <w:color w:val="16365D"/>
          <w:sz w:val="42"/>
          <w:szCs w:val="42"/>
        </w:rPr>
      </w:pPr>
    </w:p>
    <w:p w:rsidR="00500B82" w:rsidRPr="008F3502" w:rsidRDefault="008F3502" w:rsidP="00500B82">
      <w:pPr>
        <w:widowControl w:val="0"/>
        <w:autoSpaceDE w:val="0"/>
        <w:autoSpaceDN w:val="0"/>
        <w:adjustRightInd w:val="0"/>
        <w:snapToGrid w:val="0"/>
        <w:jc w:val="center"/>
        <w:rPr>
          <w:rFonts w:ascii="Times New Roman" w:hAnsi="Times New Roman" w:cs="Times New Roman"/>
          <w:b/>
          <w:bCs/>
          <w:color w:val="16365D"/>
          <w:sz w:val="42"/>
          <w:szCs w:val="42"/>
        </w:rPr>
      </w:pPr>
      <w:r>
        <w:rPr>
          <w:rFonts w:ascii="Times New Roman" w:hAnsi="Times New Roman" w:cs="Times New Roman"/>
          <w:b/>
          <w:bCs/>
          <w:color w:val="16365D"/>
          <w:sz w:val="42"/>
          <w:szCs w:val="42"/>
        </w:rPr>
        <w:t>Project</w:t>
      </w:r>
      <w:r w:rsidR="00500B82" w:rsidRPr="008F3502">
        <w:rPr>
          <w:rFonts w:ascii="Times New Roman" w:hAnsi="Times New Roman" w:cs="Times New Roman"/>
          <w:b/>
          <w:bCs/>
          <w:color w:val="16365D"/>
          <w:sz w:val="42"/>
          <w:szCs w:val="42"/>
        </w:rPr>
        <w:t xml:space="preserve"> Report </w:t>
      </w:r>
    </w:p>
    <w:p w:rsidR="00500B82" w:rsidRPr="008F3502" w:rsidRDefault="00500B82" w:rsidP="00500B82">
      <w:pPr>
        <w:widowControl w:val="0"/>
        <w:autoSpaceDE w:val="0"/>
        <w:autoSpaceDN w:val="0"/>
        <w:adjustRightInd w:val="0"/>
        <w:snapToGrid w:val="0"/>
        <w:jc w:val="center"/>
        <w:rPr>
          <w:rFonts w:ascii="Times New Roman" w:hAnsi="Times New Roman" w:cs="Times New Roman"/>
          <w:b/>
          <w:bCs/>
          <w:color w:val="16365D"/>
          <w:sz w:val="42"/>
          <w:szCs w:val="42"/>
        </w:rPr>
      </w:pPr>
      <w:r w:rsidRPr="008F3502">
        <w:rPr>
          <w:rFonts w:ascii="Times New Roman" w:hAnsi="Times New Roman" w:cs="Times New Roman"/>
          <w:b/>
          <w:bCs/>
          <w:color w:val="16365D"/>
          <w:sz w:val="42"/>
          <w:szCs w:val="42"/>
        </w:rPr>
        <w:t>on</w:t>
      </w:r>
    </w:p>
    <w:p w:rsidR="00500B82" w:rsidRPr="008F3502" w:rsidRDefault="00651792" w:rsidP="00500B82">
      <w:pPr>
        <w:widowControl w:val="0"/>
        <w:autoSpaceDE w:val="0"/>
        <w:autoSpaceDN w:val="0"/>
        <w:adjustRightInd w:val="0"/>
        <w:jc w:val="center"/>
        <w:rPr>
          <w:rFonts w:ascii="Times New Roman" w:hAnsi="Times New Roman" w:cs="Times New Roman"/>
        </w:rPr>
      </w:pPr>
      <w:r>
        <w:rPr>
          <w:rFonts w:ascii="Times New Roman" w:hAnsi="Times New Roman" w:cs="Times New Roman"/>
          <w:b/>
          <w:bCs/>
          <w:color w:val="16365D"/>
          <w:sz w:val="42"/>
          <w:szCs w:val="42"/>
        </w:rPr>
        <w:t>“Performance analysis</w:t>
      </w:r>
      <w:r w:rsidR="00C8224D" w:rsidRPr="008F3502">
        <w:rPr>
          <w:rFonts w:ascii="Times New Roman" w:hAnsi="Times New Roman" w:cs="Times New Roman"/>
          <w:b/>
          <w:bCs/>
          <w:color w:val="16365D"/>
          <w:sz w:val="42"/>
          <w:szCs w:val="42"/>
        </w:rPr>
        <w:t xml:space="preserve"> of Banking Sectors”</w:t>
      </w:r>
    </w:p>
    <w:p w:rsidR="00500B82" w:rsidRPr="008F3502" w:rsidRDefault="00500B82" w:rsidP="00500B82">
      <w:pPr>
        <w:widowControl w:val="0"/>
        <w:autoSpaceDE w:val="0"/>
        <w:autoSpaceDN w:val="0"/>
        <w:adjustRightInd w:val="0"/>
        <w:jc w:val="center"/>
        <w:rPr>
          <w:rFonts w:ascii="Times New Roman" w:hAnsi="Times New Roman" w:cs="Times New Roman"/>
        </w:rPr>
      </w:pPr>
    </w:p>
    <w:p w:rsidR="00500B82" w:rsidRPr="008F3502" w:rsidRDefault="00500B82" w:rsidP="00500B82">
      <w:pPr>
        <w:widowControl w:val="0"/>
        <w:autoSpaceDE w:val="0"/>
        <w:autoSpaceDN w:val="0"/>
        <w:adjustRightInd w:val="0"/>
        <w:jc w:val="center"/>
        <w:rPr>
          <w:rFonts w:ascii="Times New Roman" w:hAnsi="Times New Roman" w:cs="Times New Roman"/>
        </w:rPr>
      </w:pPr>
    </w:p>
    <w:p w:rsidR="00500B82" w:rsidRPr="00651792" w:rsidRDefault="00500B82" w:rsidP="00500B82">
      <w:pPr>
        <w:widowControl w:val="0"/>
        <w:autoSpaceDE w:val="0"/>
        <w:autoSpaceDN w:val="0"/>
        <w:adjustRightInd w:val="0"/>
        <w:snapToGrid w:val="0"/>
        <w:spacing w:line="360" w:lineRule="auto"/>
        <w:jc w:val="center"/>
        <w:rPr>
          <w:rFonts w:ascii="Times New Roman" w:hAnsi="Times New Roman" w:cs="Times New Roman"/>
          <w:color w:val="4F81BD" w:themeColor="accent1"/>
        </w:rPr>
      </w:pPr>
      <w:r w:rsidRPr="00651792">
        <w:rPr>
          <w:rFonts w:ascii="Times New Roman" w:hAnsi="Times New Roman" w:cs="Times New Roman"/>
          <w:color w:val="4F81BD" w:themeColor="accent1"/>
          <w:sz w:val="28"/>
          <w:szCs w:val="28"/>
        </w:rPr>
        <w:t>Prepared for</w:t>
      </w:r>
    </w:p>
    <w:p w:rsidR="00500B82" w:rsidRPr="0007378F" w:rsidRDefault="00500B82" w:rsidP="00500B82">
      <w:pPr>
        <w:widowControl w:val="0"/>
        <w:autoSpaceDE w:val="0"/>
        <w:autoSpaceDN w:val="0"/>
        <w:adjustRightInd w:val="0"/>
        <w:snapToGrid w:val="0"/>
        <w:spacing w:line="360" w:lineRule="auto"/>
        <w:jc w:val="center"/>
        <w:rPr>
          <w:rFonts w:ascii="Times New Roman" w:hAnsi="Times New Roman" w:cs="Times New Roman"/>
          <w:sz w:val="24"/>
        </w:rPr>
      </w:pPr>
      <w:r w:rsidRPr="0007378F">
        <w:rPr>
          <w:rFonts w:ascii="Times New Roman" w:hAnsi="Times New Roman" w:cs="Times New Roman"/>
          <w:color w:val="000000"/>
          <w:sz w:val="24"/>
        </w:rPr>
        <w:t>Zinnatun Nesa</w:t>
      </w:r>
    </w:p>
    <w:p w:rsidR="00500B82" w:rsidRPr="0007378F" w:rsidRDefault="00500B82" w:rsidP="00E266FC">
      <w:pPr>
        <w:widowControl w:val="0"/>
        <w:autoSpaceDE w:val="0"/>
        <w:autoSpaceDN w:val="0"/>
        <w:adjustRightInd w:val="0"/>
        <w:snapToGrid w:val="0"/>
        <w:spacing w:after="0" w:line="360" w:lineRule="auto"/>
        <w:jc w:val="center"/>
        <w:rPr>
          <w:rFonts w:ascii="Times New Roman" w:hAnsi="Times New Roman" w:cs="Times New Roman"/>
          <w:sz w:val="24"/>
        </w:rPr>
      </w:pPr>
      <w:r w:rsidRPr="0007378F">
        <w:rPr>
          <w:rFonts w:ascii="Times New Roman" w:hAnsi="Times New Roman" w:cs="Times New Roman"/>
          <w:color w:val="000000"/>
          <w:sz w:val="24"/>
        </w:rPr>
        <w:t>Assistant Professor</w:t>
      </w:r>
    </w:p>
    <w:p w:rsidR="00500B82" w:rsidRPr="0007378F" w:rsidRDefault="00500B82" w:rsidP="00E266FC">
      <w:pPr>
        <w:widowControl w:val="0"/>
        <w:autoSpaceDE w:val="0"/>
        <w:autoSpaceDN w:val="0"/>
        <w:adjustRightInd w:val="0"/>
        <w:spacing w:after="0" w:line="360" w:lineRule="auto"/>
        <w:jc w:val="center"/>
        <w:rPr>
          <w:rFonts w:ascii="Times New Roman" w:hAnsi="Times New Roman" w:cs="Times New Roman"/>
          <w:color w:val="000000"/>
          <w:sz w:val="24"/>
        </w:rPr>
      </w:pPr>
      <w:smartTag w:uri="urn:schemas-microsoft-com:office:smarttags" w:element="place">
        <w:smartTag w:uri="urn:schemas-microsoft-com:office:smarttags" w:element="PlaceType">
          <w:r w:rsidRPr="0007378F">
            <w:rPr>
              <w:rFonts w:ascii="Times New Roman" w:hAnsi="Times New Roman" w:cs="Times New Roman"/>
              <w:color w:val="000000"/>
              <w:sz w:val="24"/>
            </w:rPr>
            <w:t>School</w:t>
          </w:r>
        </w:smartTag>
        <w:r w:rsidRPr="0007378F">
          <w:rPr>
            <w:rFonts w:ascii="Times New Roman" w:hAnsi="Times New Roman" w:cs="Times New Roman"/>
            <w:color w:val="000000"/>
            <w:sz w:val="24"/>
          </w:rPr>
          <w:t xml:space="preserve"> of </w:t>
        </w:r>
        <w:smartTag w:uri="urn:schemas-microsoft-com:office:smarttags" w:element="PlaceName">
          <w:r w:rsidRPr="0007378F">
            <w:rPr>
              <w:rFonts w:ascii="Times New Roman" w:hAnsi="Times New Roman" w:cs="Times New Roman"/>
              <w:color w:val="000000"/>
              <w:sz w:val="24"/>
            </w:rPr>
            <w:t>Business</w:t>
          </w:r>
        </w:smartTag>
      </w:smartTag>
      <w:r w:rsidRPr="0007378F">
        <w:rPr>
          <w:rFonts w:ascii="Times New Roman" w:hAnsi="Times New Roman" w:cs="Times New Roman"/>
          <w:color w:val="000000"/>
          <w:sz w:val="24"/>
        </w:rPr>
        <w:t xml:space="preserve"> and Economics</w:t>
      </w:r>
    </w:p>
    <w:p w:rsidR="00500B82" w:rsidRPr="0007378F" w:rsidRDefault="00500B82" w:rsidP="00E266FC">
      <w:pPr>
        <w:widowControl w:val="0"/>
        <w:autoSpaceDE w:val="0"/>
        <w:autoSpaceDN w:val="0"/>
        <w:adjustRightInd w:val="0"/>
        <w:snapToGrid w:val="0"/>
        <w:spacing w:after="0" w:line="360" w:lineRule="auto"/>
        <w:jc w:val="center"/>
        <w:rPr>
          <w:rFonts w:ascii="Times New Roman" w:hAnsi="Times New Roman" w:cs="Times New Roman"/>
          <w:sz w:val="24"/>
        </w:rPr>
      </w:pPr>
      <w:r w:rsidRPr="0007378F">
        <w:rPr>
          <w:rFonts w:ascii="Times New Roman" w:hAnsi="Times New Roman" w:cs="Times New Roman"/>
          <w:color w:val="000000"/>
          <w:sz w:val="24"/>
        </w:rPr>
        <w:t xml:space="preserve">United </w:t>
      </w:r>
      <w:smartTag w:uri="urn:schemas-microsoft-com:office:smarttags" w:element="place">
        <w:smartTag w:uri="urn:schemas-microsoft-com:office:smarttags" w:element="PlaceName">
          <w:r w:rsidRPr="0007378F">
            <w:rPr>
              <w:rFonts w:ascii="Times New Roman" w:hAnsi="Times New Roman" w:cs="Times New Roman"/>
              <w:color w:val="000000"/>
              <w:sz w:val="24"/>
            </w:rPr>
            <w:t>International</w:t>
          </w:r>
        </w:smartTag>
        <w:r w:rsidRPr="0007378F">
          <w:rPr>
            <w:rFonts w:ascii="Times New Roman" w:hAnsi="Times New Roman" w:cs="Times New Roman"/>
            <w:color w:val="000000"/>
            <w:sz w:val="24"/>
          </w:rPr>
          <w:t xml:space="preserve"> </w:t>
        </w:r>
        <w:smartTag w:uri="urn:schemas-microsoft-com:office:smarttags" w:element="PlaceType">
          <w:r w:rsidRPr="0007378F">
            <w:rPr>
              <w:rFonts w:ascii="Times New Roman" w:hAnsi="Times New Roman" w:cs="Times New Roman"/>
              <w:color w:val="000000"/>
              <w:sz w:val="24"/>
            </w:rPr>
            <w:t>University</w:t>
          </w:r>
        </w:smartTag>
      </w:smartTag>
    </w:p>
    <w:p w:rsidR="00500B82" w:rsidRPr="008F3502" w:rsidRDefault="00500B82" w:rsidP="00E266FC">
      <w:pPr>
        <w:widowControl w:val="0"/>
        <w:autoSpaceDE w:val="0"/>
        <w:autoSpaceDN w:val="0"/>
        <w:adjustRightInd w:val="0"/>
        <w:spacing w:line="360" w:lineRule="auto"/>
        <w:jc w:val="center"/>
        <w:rPr>
          <w:rFonts w:ascii="Times New Roman" w:hAnsi="Times New Roman" w:cs="Times New Roman"/>
        </w:rPr>
      </w:pPr>
    </w:p>
    <w:p w:rsidR="00500B82" w:rsidRPr="008F3502" w:rsidRDefault="00500B82" w:rsidP="00500B82">
      <w:pPr>
        <w:widowControl w:val="0"/>
        <w:autoSpaceDE w:val="0"/>
        <w:autoSpaceDN w:val="0"/>
        <w:adjustRightInd w:val="0"/>
        <w:jc w:val="center"/>
        <w:rPr>
          <w:rFonts w:ascii="Times New Roman" w:hAnsi="Times New Roman" w:cs="Times New Roman"/>
        </w:rPr>
      </w:pPr>
    </w:p>
    <w:p w:rsidR="00500B82" w:rsidRPr="008F3502" w:rsidRDefault="00500B82" w:rsidP="00500B82">
      <w:pPr>
        <w:widowControl w:val="0"/>
        <w:autoSpaceDE w:val="0"/>
        <w:autoSpaceDN w:val="0"/>
        <w:adjustRightInd w:val="0"/>
        <w:jc w:val="center"/>
        <w:rPr>
          <w:rFonts w:ascii="Times New Roman" w:hAnsi="Times New Roman" w:cs="Times New Roman"/>
        </w:rPr>
      </w:pPr>
    </w:p>
    <w:p w:rsidR="00500B82" w:rsidRPr="008F3502" w:rsidRDefault="00E266FC" w:rsidP="00500B82">
      <w:pPr>
        <w:widowControl w:val="0"/>
        <w:autoSpaceDE w:val="0"/>
        <w:autoSpaceDN w:val="0"/>
        <w:adjustRightInd w:val="0"/>
        <w:spacing w:line="360" w:lineRule="auto"/>
        <w:jc w:val="center"/>
        <w:rPr>
          <w:rFonts w:ascii="Times New Roman" w:hAnsi="Times New Roman" w:cs="Times New Roman"/>
          <w:color w:val="16365D"/>
          <w:sz w:val="28"/>
          <w:szCs w:val="28"/>
        </w:rPr>
      </w:pPr>
      <w:r>
        <w:rPr>
          <w:rFonts w:ascii="Times New Roman" w:hAnsi="Times New Roman" w:cs="Times New Roman"/>
          <w:color w:val="16365D"/>
          <w:sz w:val="28"/>
          <w:szCs w:val="28"/>
        </w:rPr>
        <w:t>Prepared b</w:t>
      </w:r>
      <w:r w:rsidR="00500B82" w:rsidRPr="008F3502">
        <w:rPr>
          <w:rFonts w:ascii="Times New Roman" w:hAnsi="Times New Roman" w:cs="Times New Roman"/>
          <w:color w:val="16365D"/>
          <w:sz w:val="28"/>
          <w:szCs w:val="28"/>
        </w:rPr>
        <w:t>y</w:t>
      </w:r>
    </w:p>
    <w:p w:rsidR="00500B82" w:rsidRPr="0007378F" w:rsidRDefault="00C8224D" w:rsidP="00500B82">
      <w:pPr>
        <w:widowControl w:val="0"/>
        <w:autoSpaceDE w:val="0"/>
        <w:autoSpaceDN w:val="0"/>
        <w:adjustRightInd w:val="0"/>
        <w:snapToGrid w:val="0"/>
        <w:spacing w:line="360" w:lineRule="auto"/>
        <w:jc w:val="center"/>
        <w:rPr>
          <w:rFonts w:ascii="Times New Roman" w:hAnsi="Times New Roman" w:cs="Times New Roman"/>
          <w:sz w:val="24"/>
        </w:rPr>
      </w:pPr>
      <w:r w:rsidRPr="0007378F">
        <w:rPr>
          <w:rFonts w:ascii="Times New Roman" w:hAnsi="Times New Roman" w:cs="Times New Roman"/>
          <w:color w:val="000000"/>
          <w:sz w:val="24"/>
        </w:rPr>
        <w:t>Shakhawath Hossain</w:t>
      </w:r>
    </w:p>
    <w:p w:rsidR="00500B82" w:rsidRPr="0007378F" w:rsidRDefault="008F3502" w:rsidP="00500B82">
      <w:pPr>
        <w:widowControl w:val="0"/>
        <w:autoSpaceDE w:val="0"/>
        <w:autoSpaceDN w:val="0"/>
        <w:adjustRightInd w:val="0"/>
        <w:snapToGrid w:val="0"/>
        <w:spacing w:line="360" w:lineRule="auto"/>
        <w:jc w:val="center"/>
        <w:rPr>
          <w:rFonts w:ascii="Times New Roman" w:hAnsi="Times New Roman" w:cs="Times New Roman"/>
          <w:sz w:val="24"/>
        </w:rPr>
      </w:pPr>
      <w:r w:rsidRPr="0007378F">
        <w:rPr>
          <w:rFonts w:ascii="Times New Roman" w:hAnsi="Times New Roman" w:cs="Times New Roman"/>
          <w:color w:val="000000"/>
          <w:sz w:val="24"/>
        </w:rPr>
        <w:t>ID: 111 141 017</w:t>
      </w:r>
    </w:p>
    <w:p w:rsidR="00500B82" w:rsidRPr="008F3502" w:rsidRDefault="00500B82" w:rsidP="00500B82">
      <w:pPr>
        <w:widowControl w:val="0"/>
        <w:autoSpaceDE w:val="0"/>
        <w:autoSpaceDN w:val="0"/>
        <w:adjustRightInd w:val="0"/>
        <w:spacing w:line="360" w:lineRule="auto"/>
        <w:jc w:val="center"/>
        <w:rPr>
          <w:rFonts w:ascii="Times New Roman" w:hAnsi="Times New Roman" w:cs="Times New Roman"/>
          <w:color w:val="16365D"/>
          <w:sz w:val="28"/>
          <w:szCs w:val="28"/>
        </w:rPr>
      </w:pPr>
    </w:p>
    <w:p w:rsidR="00500B82" w:rsidRPr="008F3502" w:rsidRDefault="00500B82" w:rsidP="00500B82">
      <w:pPr>
        <w:widowControl w:val="0"/>
        <w:autoSpaceDE w:val="0"/>
        <w:autoSpaceDN w:val="0"/>
        <w:adjustRightInd w:val="0"/>
        <w:spacing w:line="360" w:lineRule="auto"/>
        <w:jc w:val="center"/>
        <w:rPr>
          <w:rFonts w:ascii="Times New Roman" w:hAnsi="Times New Roman" w:cs="Times New Roman"/>
          <w:color w:val="16365D"/>
          <w:sz w:val="28"/>
          <w:szCs w:val="28"/>
        </w:rPr>
      </w:pPr>
    </w:p>
    <w:p w:rsidR="00500B82" w:rsidRPr="008F3502" w:rsidRDefault="00500B82" w:rsidP="00500B82">
      <w:pPr>
        <w:widowControl w:val="0"/>
        <w:autoSpaceDE w:val="0"/>
        <w:autoSpaceDN w:val="0"/>
        <w:adjustRightInd w:val="0"/>
        <w:snapToGrid w:val="0"/>
        <w:jc w:val="center"/>
        <w:rPr>
          <w:rFonts w:ascii="Times New Roman" w:hAnsi="Times New Roman" w:cs="Times New Roman"/>
        </w:rPr>
      </w:pPr>
      <w:r w:rsidRPr="008F3502">
        <w:rPr>
          <w:rFonts w:ascii="Times New Roman" w:hAnsi="Times New Roman" w:cs="Times New Roman"/>
          <w:color w:val="16365D"/>
          <w:sz w:val="28"/>
          <w:szCs w:val="28"/>
        </w:rPr>
        <w:t xml:space="preserve">Date of Submission: </w:t>
      </w:r>
      <w:r w:rsidR="00E06A74">
        <w:rPr>
          <w:rFonts w:ascii="Times New Roman" w:hAnsi="Times New Roman" w:cs="Times New Roman"/>
          <w:color w:val="16365D"/>
          <w:sz w:val="28"/>
          <w:szCs w:val="28"/>
        </w:rPr>
        <w:t>10-07-18</w:t>
      </w:r>
    </w:p>
    <w:p w:rsidR="00061371" w:rsidRPr="00061371" w:rsidRDefault="00500B82" w:rsidP="00BB580D">
      <w:pPr>
        <w:jc w:val="center"/>
        <w:rPr>
          <w:b/>
          <w:sz w:val="28"/>
        </w:rPr>
      </w:pPr>
      <w:r>
        <w:br w:type="page"/>
      </w:r>
      <w:r w:rsidR="00061371" w:rsidRPr="00061371">
        <w:rPr>
          <w:b/>
          <w:sz w:val="28"/>
        </w:rPr>
        <w:lastRenderedPageBreak/>
        <w:t>Letter of Transmittal</w:t>
      </w:r>
    </w:p>
    <w:p w:rsidR="00061371" w:rsidRDefault="00967AD3" w:rsidP="0007378F">
      <w:pPr>
        <w:spacing w:after="0" w:line="360" w:lineRule="auto"/>
        <w:jc w:val="both"/>
        <w:rPr>
          <w:rFonts w:ascii="Times New Roman" w:hAnsi="Times New Roman" w:cs="Times New Roman"/>
          <w:sz w:val="24"/>
          <w:szCs w:val="24"/>
        </w:rPr>
      </w:pPr>
      <w:r w:rsidRPr="0007378F">
        <w:rPr>
          <w:rFonts w:ascii="Times New Roman" w:hAnsi="Times New Roman" w:cs="Times New Roman"/>
          <w:sz w:val="24"/>
          <w:szCs w:val="24"/>
        </w:rPr>
        <w:t>DATE:</w:t>
      </w:r>
      <w:r w:rsidR="00DC7967">
        <w:rPr>
          <w:rFonts w:ascii="Times New Roman" w:hAnsi="Times New Roman" w:cs="Times New Roman"/>
          <w:sz w:val="24"/>
          <w:szCs w:val="24"/>
        </w:rPr>
        <w:t>14</w:t>
      </w:r>
      <w:r w:rsidR="00E06A74">
        <w:rPr>
          <w:rFonts w:ascii="Times New Roman" w:hAnsi="Times New Roman" w:cs="Times New Roman"/>
          <w:sz w:val="24"/>
          <w:szCs w:val="24"/>
        </w:rPr>
        <w:t>-07-18</w:t>
      </w:r>
    </w:p>
    <w:p w:rsidR="00E266FC" w:rsidRPr="0007378F" w:rsidRDefault="00E266FC" w:rsidP="0007378F">
      <w:pPr>
        <w:spacing w:after="0" w:line="360" w:lineRule="auto"/>
        <w:jc w:val="both"/>
        <w:rPr>
          <w:rFonts w:ascii="Times New Roman" w:hAnsi="Times New Roman" w:cs="Times New Roman"/>
          <w:sz w:val="24"/>
          <w:szCs w:val="24"/>
        </w:rPr>
      </w:pPr>
    </w:p>
    <w:p w:rsidR="000A2864" w:rsidRPr="0007378F" w:rsidRDefault="000A2864" w:rsidP="0007378F">
      <w:pPr>
        <w:spacing w:after="0" w:line="360" w:lineRule="auto"/>
        <w:jc w:val="both"/>
        <w:rPr>
          <w:rFonts w:ascii="Times New Roman" w:hAnsi="Times New Roman" w:cs="Times New Roman"/>
          <w:sz w:val="24"/>
          <w:szCs w:val="24"/>
        </w:rPr>
      </w:pPr>
      <w:r w:rsidRPr="0007378F">
        <w:rPr>
          <w:rFonts w:ascii="Times New Roman" w:hAnsi="Times New Roman" w:cs="Times New Roman"/>
          <w:bCs/>
          <w:sz w:val="24"/>
          <w:szCs w:val="24"/>
          <w:lang w:val="en-GB"/>
        </w:rPr>
        <w:t>Ms. Zinnatun Nesa</w:t>
      </w:r>
      <w:r w:rsidRPr="0007378F">
        <w:rPr>
          <w:rFonts w:ascii="Times New Roman" w:hAnsi="Times New Roman" w:cs="Times New Roman"/>
          <w:sz w:val="24"/>
          <w:szCs w:val="24"/>
        </w:rPr>
        <w:t xml:space="preserve"> </w:t>
      </w:r>
    </w:p>
    <w:p w:rsidR="00061371" w:rsidRPr="0007378F" w:rsidRDefault="00061371" w:rsidP="0007378F">
      <w:pPr>
        <w:spacing w:after="0" w:line="360" w:lineRule="auto"/>
        <w:jc w:val="both"/>
        <w:rPr>
          <w:rFonts w:ascii="Times New Roman" w:hAnsi="Times New Roman" w:cs="Times New Roman"/>
          <w:sz w:val="24"/>
          <w:szCs w:val="24"/>
        </w:rPr>
      </w:pPr>
      <w:r w:rsidRPr="0007378F">
        <w:rPr>
          <w:rFonts w:ascii="Times New Roman" w:hAnsi="Times New Roman" w:cs="Times New Roman"/>
          <w:sz w:val="24"/>
          <w:szCs w:val="24"/>
        </w:rPr>
        <w:t xml:space="preserve">Assistant Professor </w:t>
      </w:r>
    </w:p>
    <w:p w:rsidR="00061371" w:rsidRPr="0007378F" w:rsidRDefault="00061371" w:rsidP="0007378F">
      <w:pPr>
        <w:spacing w:after="0" w:line="360" w:lineRule="auto"/>
        <w:jc w:val="both"/>
        <w:rPr>
          <w:rFonts w:ascii="Times New Roman" w:hAnsi="Times New Roman" w:cs="Times New Roman"/>
          <w:sz w:val="24"/>
          <w:szCs w:val="24"/>
        </w:rPr>
      </w:pPr>
      <w:r w:rsidRPr="0007378F">
        <w:rPr>
          <w:rFonts w:ascii="Times New Roman" w:hAnsi="Times New Roman" w:cs="Times New Roman"/>
          <w:sz w:val="24"/>
          <w:szCs w:val="24"/>
        </w:rPr>
        <w:t>School</w:t>
      </w:r>
      <w:r w:rsidR="00E266FC">
        <w:rPr>
          <w:rFonts w:ascii="Times New Roman" w:hAnsi="Times New Roman" w:cs="Times New Roman"/>
          <w:sz w:val="24"/>
          <w:szCs w:val="24"/>
        </w:rPr>
        <w:t xml:space="preserve"> </w:t>
      </w:r>
      <w:r w:rsidRPr="0007378F">
        <w:rPr>
          <w:rFonts w:ascii="Times New Roman" w:hAnsi="Times New Roman" w:cs="Times New Roman"/>
          <w:sz w:val="24"/>
          <w:szCs w:val="24"/>
        </w:rPr>
        <w:t>of Business</w:t>
      </w:r>
      <w:r w:rsidR="00E266FC">
        <w:rPr>
          <w:rFonts w:ascii="Times New Roman" w:hAnsi="Times New Roman" w:cs="Times New Roman"/>
          <w:sz w:val="24"/>
          <w:szCs w:val="24"/>
        </w:rPr>
        <w:t xml:space="preserve"> and E</w:t>
      </w:r>
      <w:r w:rsidRPr="0007378F">
        <w:rPr>
          <w:rFonts w:ascii="Times New Roman" w:hAnsi="Times New Roman" w:cs="Times New Roman"/>
          <w:sz w:val="24"/>
          <w:szCs w:val="24"/>
        </w:rPr>
        <w:t xml:space="preserve">conomics </w:t>
      </w:r>
    </w:p>
    <w:p w:rsidR="00061371" w:rsidRPr="0007378F" w:rsidRDefault="00061371" w:rsidP="0007378F">
      <w:pPr>
        <w:spacing w:after="0" w:line="360" w:lineRule="auto"/>
        <w:jc w:val="both"/>
        <w:rPr>
          <w:rFonts w:ascii="Times New Roman" w:hAnsi="Times New Roman" w:cs="Times New Roman"/>
          <w:sz w:val="24"/>
          <w:szCs w:val="24"/>
        </w:rPr>
      </w:pPr>
      <w:r w:rsidRPr="0007378F">
        <w:rPr>
          <w:rFonts w:ascii="Times New Roman" w:hAnsi="Times New Roman" w:cs="Times New Roman"/>
          <w:sz w:val="24"/>
          <w:szCs w:val="24"/>
        </w:rPr>
        <w:t>United International University</w:t>
      </w:r>
    </w:p>
    <w:p w:rsidR="00061371" w:rsidRPr="0007378F" w:rsidRDefault="00E266FC" w:rsidP="000737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61371" w:rsidRPr="0007378F" w:rsidRDefault="00061371" w:rsidP="0007378F">
      <w:pPr>
        <w:spacing w:line="360" w:lineRule="auto"/>
        <w:jc w:val="both"/>
        <w:rPr>
          <w:rFonts w:ascii="Times New Roman" w:hAnsi="Times New Roman" w:cs="Times New Roman"/>
          <w:sz w:val="24"/>
          <w:szCs w:val="24"/>
        </w:rPr>
      </w:pPr>
    </w:p>
    <w:p w:rsidR="00061371" w:rsidRPr="0007378F" w:rsidRDefault="00E266FC" w:rsidP="0007378F">
      <w:pPr>
        <w:spacing w:line="360" w:lineRule="auto"/>
        <w:jc w:val="both"/>
        <w:rPr>
          <w:rFonts w:ascii="Times New Roman" w:hAnsi="Times New Roman" w:cs="Times New Roman"/>
          <w:sz w:val="24"/>
          <w:szCs w:val="24"/>
        </w:rPr>
      </w:pPr>
      <w:r>
        <w:rPr>
          <w:rFonts w:ascii="Times New Roman" w:hAnsi="Times New Roman" w:cs="Times New Roman"/>
          <w:sz w:val="24"/>
          <w:szCs w:val="24"/>
        </w:rPr>
        <w:t>Subject:</w:t>
      </w:r>
      <w:r w:rsidR="00CA7765">
        <w:rPr>
          <w:rFonts w:ascii="Times New Roman" w:hAnsi="Times New Roman" w:cs="Times New Roman"/>
          <w:sz w:val="24"/>
          <w:szCs w:val="24"/>
        </w:rPr>
        <w:t xml:space="preserve"> </w:t>
      </w:r>
      <w:r>
        <w:rPr>
          <w:rFonts w:ascii="Times New Roman" w:hAnsi="Times New Roman" w:cs="Times New Roman"/>
          <w:sz w:val="24"/>
          <w:szCs w:val="24"/>
        </w:rPr>
        <w:t>R</w:t>
      </w:r>
      <w:r w:rsidR="00061371" w:rsidRPr="0007378F">
        <w:rPr>
          <w:rFonts w:ascii="Times New Roman" w:hAnsi="Times New Roman" w:cs="Times New Roman"/>
          <w:sz w:val="24"/>
          <w:szCs w:val="24"/>
        </w:rPr>
        <w:t>eport</w:t>
      </w:r>
      <w:r>
        <w:rPr>
          <w:rFonts w:ascii="Times New Roman" w:hAnsi="Times New Roman" w:cs="Times New Roman"/>
          <w:sz w:val="24"/>
          <w:szCs w:val="24"/>
        </w:rPr>
        <w:t xml:space="preserve"> submission</w:t>
      </w:r>
      <w:r w:rsidR="00061371" w:rsidRPr="0007378F">
        <w:rPr>
          <w:rFonts w:ascii="Times New Roman" w:hAnsi="Times New Roman" w:cs="Times New Roman"/>
          <w:sz w:val="24"/>
          <w:szCs w:val="24"/>
        </w:rPr>
        <w:t xml:space="preserve"> on “Performance analysis of Banking Industry in Bangladesh’’. </w:t>
      </w:r>
    </w:p>
    <w:p w:rsidR="00061371" w:rsidRPr="0007378F" w:rsidRDefault="000A2864" w:rsidP="0007378F">
      <w:pPr>
        <w:spacing w:line="360" w:lineRule="auto"/>
        <w:jc w:val="both"/>
        <w:rPr>
          <w:rFonts w:ascii="Times New Roman" w:hAnsi="Times New Roman" w:cs="Times New Roman"/>
          <w:sz w:val="24"/>
          <w:szCs w:val="24"/>
        </w:rPr>
      </w:pPr>
      <w:r w:rsidRPr="0007378F">
        <w:rPr>
          <w:rFonts w:ascii="Times New Roman" w:hAnsi="Times New Roman" w:cs="Times New Roman"/>
          <w:sz w:val="24"/>
          <w:szCs w:val="24"/>
        </w:rPr>
        <w:t>Respected Mam</w:t>
      </w:r>
      <w:r w:rsidR="00061371" w:rsidRPr="0007378F">
        <w:rPr>
          <w:rFonts w:ascii="Times New Roman" w:hAnsi="Times New Roman" w:cs="Times New Roman"/>
          <w:sz w:val="24"/>
          <w:szCs w:val="24"/>
        </w:rPr>
        <w:t xml:space="preserve">, </w:t>
      </w:r>
    </w:p>
    <w:p w:rsidR="00061371" w:rsidRPr="0007378F" w:rsidRDefault="00061371" w:rsidP="0007378F">
      <w:pPr>
        <w:spacing w:line="360" w:lineRule="auto"/>
        <w:jc w:val="both"/>
        <w:rPr>
          <w:rFonts w:ascii="Times New Roman" w:hAnsi="Times New Roman" w:cs="Times New Roman"/>
          <w:sz w:val="24"/>
          <w:szCs w:val="24"/>
        </w:rPr>
      </w:pPr>
      <w:r w:rsidRPr="0007378F">
        <w:rPr>
          <w:rFonts w:ascii="Times New Roman" w:hAnsi="Times New Roman" w:cs="Times New Roman"/>
          <w:sz w:val="24"/>
          <w:szCs w:val="24"/>
        </w:rPr>
        <w:t xml:space="preserve">It is my great pleasure to submit the report on “Performance analysis of Banking Industry in Bangladesh’’ that you have assigned me. </w:t>
      </w:r>
    </w:p>
    <w:p w:rsidR="00061371" w:rsidRPr="0007378F" w:rsidRDefault="00061371" w:rsidP="0007378F">
      <w:pPr>
        <w:spacing w:line="360" w:lineRule="auto"/>
        <w:jc w:val="both"/>
        <w:rPr>
          <w:rFonts w:ascii="Times New Roman" w:hAnsi="Times New Roman" w:cs="Times New Roman"/>
          <w:sz w:val="24"/>
          <w:szCs w:val="24"/>
        </w:rPr>
      </w:pPr>
      <w:r w:rsidRPr="0007378F">
        <w:rPr>
          <w:rFonts w:ascii="Times New Roman" w:hAnsi="Times New Roman" w:cs="Times New Roman"/>
          <w:sz w:val="24"/>
          <w:szCs w:val="24"/>
        </w:rPr>
        <w:t xml:space="preserve">It has been a great experience for me to prepare a report. I tried my level best to put meticulous efforts for the preparation of this report. Any shortcomings or flaw may arise as I am novice in this aspect. </w:t>
      </w:r>
    </w:p>
    <w:p w:rsidR="00061371" w:rsidRPr="0007378F" w:rsidRDefault="00061371" w:rsidP="0007378F">
      <w:pPr>
        <w:spacing w:line="360" w:lineRule="auto"/>
        <w:jc w:val="both"/>
        <w:rPr>
          <w:rFonts w:ascii="Times New Roman" w:hAnsi="Times New Roman" w:cs="Times New Roman"/>
          <w:sz w:val="24"/>
          <w:szCs w:val="24"/>
        </w:rPr>
      </w:pPr>
      <w:r w:rsidRPr="0007378F">
        <w:rPr>
          <w:rFonts w:ascii="Times New Roman" w:hAnsi="Times New Roman" w:cs="Times New Roman"/>
          <w:sz w:val="24"/>
          <w:szCs w:val="24"/>
        </w:rPr>
        <w:t xml:space="preserve">I have tried to make each and every element relevant to my topic and discussed under the context of whatever I have learned from the course. It would be pleasure for me, if this report can serve its purposes. </w:t>
      </w:r>
    </w:p>
    <w:p w:rsidR="00061371" w:rsidRPr="0007378F" w:rsidRDefault="00061371" w:rsidP="0007378F">
      <w:pPr>
        <w:spacing w:line="360" w:lineRule="auto"/>
        <w:jc w:val="both"/>
        <w:rPr>
          <w:rFonts w:ascii="Times New Roman" w:hAnsi="Times New Roman" w:cs="Times New Roman"/>
          <w:sz w:val="24"/>
          <w:szCs w:val="24"/>
        </w:rPr>
      </w:pPr>
      <w:r w:rsidRPr="0007378F">
        <w:rPr>
          <w:rFonts w:ascii="Times New Roman" w:hAnsi="Times New Roman" w:cs="Times New Roman"/>
          <w:sz w:val="24"/>
          <w:szCs w:val="24"/>
        </w:rPr>
        <w:t xml:space="preserve">Sincerely yours, </w:t>
      </w:r>
    </w:p>
    <w:p w:rsidR="00061371" w:rsidRPr="0007378F" w:rsidRDefault="00E266FC" w:rsidP="000737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Shakhawath </w:t>
      </w:r>
      <w:r w:rsidR="00061371" w:rsidRPr="0007378F">
        <w:rPr>
          <w:rFonts w:ascii="Times New Roman" w:hAnsi="Times New Roman" w:cs="Times New Roman"/>
          <w:sz w:val="24"/>
          <w:szCs w:val="24"/>
        </w:rPr>
        <w:t>Hossain</w:t>
      </w:r>
    </w:p>
    <w:p w:rsidR="00631993" w:rsidRPr="0007378F" w:rsidRDefault="00061371" w:rsidP="0007378F">
      <w:pPr>
        <w:spacing w:line="360" w:lineRule="auto"/>
        <w:jc w:val="both"/>
        <w:rPr>
          <w:rFonts w:ascii="Times New Roman" w:hAnsi="Times New Roman" w:cs="Times New Roman"/>
          <w:sz w:val="24"/>
          <w:szCs w:val="24"/>
        </w:rPr>
      </w:pPr>
      <w:r w:rsidRPr="0007378F">
        <w:rPr>
          <w:rFonts w:ascii="Times New Roman" w:hAnsi="Times New Roman" w:cs="Times New Roman"/>
          <w:sz w:val="24"/>
          <w:szCs w:val="24"/>
        </w:rPr>
        <w:t>ID: 111-141-017</w:t>
      </w:r>
    </w:p>
    <w:p w:rsidR="00061371" w:rsidRPr="0007378F" w:rsidRDefault="00061371" w:rsidP="0007378F">
      <w:pPr>
        <w:spacing w:line="360" w:lineRule="auto"/>
        <w:jc w:val="both"/>
        <w:rPr>
          <w:rFonts w:ascii="Times New Roman" w:hAnsi="Times New Roman" w:cs="Times New Roman"/>
          <w:sz w:val="24"/>
          <w:szCs w:val="24"/>
        </w:rPr>
      </w:pPr>
      <w:r w:rsidRPr="0007378F">
        <w:rPr>
          <w:rFonts w:ascii="Times New Roman" w:hAnsi="Times New Roman" w:cs="Times New Roman"/>
          <w:sz w:val="24"/>
          <w:szCs w:val="24"/>
        </w:rPr>
        <w:t>BBA (Major in Finance)</w:t>
      </w:r>
    </w:p>
    <w:p w:rsidR="00061371" w:rsidRPr="0007378F" w:rsidRDefault="00061371" w:rsidP="0007378F">
      <w:pPr>
        <w:spacing w:line="360" w:lineRule="auto"/>
        <w:jc w:val="both"/>
        <w:rPr>
          <w:rFonts w:ascii="Times New Roman" w:hAnsi="Times New Roman" w:cs="Times New Roman"/>
          <w:sz w:val="24"/>
          <w:szCs w:val="24"/>
        </w:rPr>
      </w:pPr>
      <w:r w:rsidRPr="0007378F">
        <w:rPr>
          <w:rFonts w:ascii="Times New Roman" w:hAnsi="Times New Roman" w:cs="Times New Roman"/>
          <w:sz w:val="24"/>
          <w:szCs w:val="24"/>
        </w:rPr>
        <w:t>United International University</w:t>
      </w:r>
    </w:p>
    <w:p w:rsidR="00061371" w:rsidRDefault="00061371" w:rsidP="00061371"/>
    <w:p w:rsidR="00061371" w:rsidRDefault="00061371" w:rsidP="00061371"/>
    <w:p w:rsidR="00BD174E" w:rsidRDefault="00BD174E" w:rsidP="00061371"/>
    <w:p w:rsidR="000A2864" w:rsidRDefault="000A2864" w:rsidP="000A2864">
      <w:pPr>
        <w:pStyle w:val="Heading1"/>
        <w:spacing w:line="360" w:lineRule="auto"/>
        <w:ind w:left="432" w:hanging="432"/>
        <w:jc w:val="center"/>
        <w:rPr>
          <w:rFonts w:ascii="Times New Roman" w:hAnsi="Times New Roman" w:cs="Times New Roman"/>
          <w:color w:val="000000" w:themeColor="text1"/>
          <w:sz w:val="36"/>
          <w:szCs w:val="36"/>
        </w:rPr>
      </w:pPr>
    </w:p>
    <w:p w:rsidR="00BD174E" w:rsidRPr="002C5EE6" w:rsidRDefault="00BD174E" w:rsidP="00E266FC">
      <w:pPr>
        <w:pStyle w:val="Heading1"/>
        <w:spacing w:line="360" w:lineRule="auto"/>
        <w:jc w:val="center"/>
        <w:rPr>
          <w:rFonts w:ascii="Times New Roman" w:hAnsi="Times New Roman" w:cs="Times New Roman"/>
          <w:color w:val="000000" w:themeColor="text1"/>
          <w:sz w:val="36"/>
          <w:szCs w:val="36"/>
        </w:rPr>
      </w:pPr>
      <w:r w:rsidRPr="002C5EE6">
        <w:rPr>
          <w:rFonts w:ascii="Times New Roman" w:hAnsi="Times New Roman" w:cs="Times New Roman"/>
          <w:color w:val="000000" w:themeColor="text1"/>
          <w:sz w:val="36"/>
          <w:szCs w:val="36"/>
        </w:rPr>
        <w:t>Acknowledgement</w:t>
      </w:r>
    </w:p>
    <w:p w:rsidR="00BD174E" w:rsidRPr="002C5EE6" w:rsidRDefault="00BD174E" w:rsidP="000A2864">
      <w:pPr>
        <w:spacing w:line="360" w:lineRule="auto"/>
        <w:jc w:val="both"/>
        <w:rPr>
          <w:rFonts w:ascii="Times New Roman" w:hAnsi="Times New Roman" w:cs="Times New Roman"/>
          <w:color w:val="000000" w:themeColor="text1"/>
          <w:sz w:val="32"/>
          <w:szCs w:val="32"/>
        </w:rPr>
      </w:pPr>
    </w:p>
    <w:p w:rsidR="00BD174E" w:rsidRPr="00AA1A2C" w:rsidRDefault="00BD174E" w:rsidP="00500B82">
      <w:pPr>
        <w:spacing w:line="360" w:lineRule="auto"/>
        <w:jc w:val="both"/>
        <w:rPr>
          <w:rFonts w:ascii="Times New Roman" w:hAnsi="Times New Roman" w:cs="Times New Roman"/>
          <w:sz w:val="24"/>
        </w:rPr>
      </w:pPr>
      <w:r w:rsidRPr="00BD174E">
        <w:rPr>
          <w:rFonts w:ascii="Times New Roman" w:hAnsi="Times New Roman" w:cs="Times New Roman"/>
          <w:sz w:val="24"/>
        </w:rPr>
        <w:t>I am Shakhawath Hossain student of United International University. I am completing my project in this trimester and I learn lots of things on this time like, understanding about banking sectors, Government influence in the banking sectors, different types of bank,</w:t>
      </w:r>
      <w:r>
        <w:rPr>
          <w:rFonts w:ascii="Times New Roman" w:hAnsi="Times New Roman" w:cs="Times New Roman"/>
          <w:sz w:val="24"/>
        </w:rPr>
        <w:t xml:space="preserve"> analyze</w:t>
      </w:r>
      <w:r w:rsidRPr="00BD174E">
        <w:rPr>
          <w:rFonts w:ascii="Times New Roman" w:hAnsi="Times New Roman" w:cs="Times New Roman"/>
          <w:sz w:val="24"/>
        </w:rPr>
        <w:t xml:space="preserve"> different types of financial article,</w:t>
      </w:r>
      <w:r w:rsidR="008F4620">
        <w:rPr>
          <w:rFonts w:ascii="Times New Roman" w:hAnsi="Times New Roman" w:cs="Times New Roman"/>
          <w:sz w:val="24"/>
        </w:rPr>
        <w:t xml:space="preserve"> comparison of private commercial bank with foreign bank</w:t>
      </w:r>
      <w:r w:rsidRPr="00BD174E">
        <w:rPr>
          <w:rFonts w:ascii="Times New Roman" w:hAnsi="Times New Roman" w:cs="Times New Roman"/>
          <w:sz w:val="24"/>
        </w:rPr>
        <w:t xml:space="preserve"> understanding about </w:t>
      </w:r>
      <w:bookmarkStart w:id="0" w:name="_Toc515807118"/>
      <w:r w:rsidRPr="00BD174E">
        <w:rPr>
          <w:rFonts w:ascii="Times New Roman" w:hAnsi="Times New Roman" w:cs="Times New Roman"/>
          <w:sz w:val="24"/>
        </w:rPr>
        <w:t>Liquidity ratios</w:t>
      </w:r>
      <w:bookmarkEnd w:id="0"/>
      <w:r w:rsidRPr="00BD174E">
        <w:rPr>
          <w:rFonts w:ascii="Times New Roman" w:hAnsi="Times New Roman" w:cs="Times New Roman"/>
          <w:sz w:val="24"/>
        </w:rPr>
        <w:t xml:space="preserve">, </w:t>
      </w:r>
      <w:bookmarkStart w:id="1" w:name="_Toc515807119"/>
      <w:r w:rsidRPr="00BD174E">
        <w:rPr>
          <w:rFonts w:ascii="Times New Roman" w:hAnsi="Times New Roman" w:cs="Times New Roman"/>
          <w:sz w:val="24"/>
        </w:rPr>
        <w:t>Long term solvency ratios</w:t>
      </w:r>
      <w:bookmarkEnd w:id="1"/>
      <w:r w:rsidRPr="00BD174E">
        <w:rPr>
          <w:rFonts w:ascii="Times New Roman" w:hAnsi="Times New Roman" w:cs="Times New Roman"/>
          <w:sz w:val="24"/>
        </w:rPr>
        <w:t xml:space="preserve">, Turnover ratios, </w:t>
      </w:r>
      <w:bookmarkStart w:id="2" w:name="_Toc515807121"/>
      <w:r w:rsidRPr="00BD174E">
        <w:rPr>
          <w:rFonts w:ascii="Times New Roman" w:hAnsi="Times New Roman" w:cs="Times New Roman"/>
          <w:sz w:val="24"/>
        </w:rPr>
        <w:t>Profitability Ratios</w:t>
      </w:r>
      <w:bookmarkEnd w:id="2"/>
      <w:r w:rsidRPr="00BD174E">
        <w:rPr>
          <w:rFonts w:ascii="Times New Roman" w:hAnsi="Times New Roman" w:cs="Times New Roman"/>
          <w:sz w:val="24"/>
        </w:rPr>
        <w:t xml:space="preserve"> and Present status of Loan Defaults Culture in Bangladesh</w:t>
      </w:r>
      <w:r w:rsidR="00AA1A2C">
        <w:rPr>
          <w:rFonts w:ascii="Times New Roman" w:hAnsi="Times New Roman" w:cs="Times New Roman"/>
          <w:sz w:val="24"/>
        </w:rPr>
        <w:t xml:space="preserve">. </w:t>
      </w:r>
      <w:r>
        <w:rPr>
          <w:rFonts w:ascii="Times New Roman" w:hAnsi="Times New Roman" w:cs="Times New Roman"/>
          <w:sz w:val="24"/>
          <w:szCs w:val="24"/>
        </w:rPr>
        <w:t>Especially I learn that how to analyze bank performance</w:t>
      </w:r>
      <w:r w:rsidR="00AA1A2C">
        <w:rPr>
          <w:rFonts w:ascii="Times New Roman" w:hAnsi="Times New Roman" w:cs="Times New Roman"/>
          <w:sz w:val="24"/>
          <w:szCs w:val="24"/>
        </w:rPr>
        <w:t xml:space="preserve"> and the current situations of the banking sectors of Bangladesh</w:t>
      </w:r>
      <w:r>
        <w:rPr>
          <w:rFonts w:ascii="Times New Roman" w:hAnsi="Times New Roman" w:cs="Times New Roman"/>
          <w:sz w:val="24"/>
          <w:szCs w:val="24"/>
        </w:rPr>
        <w:t xml:space="preserve">. </w:t>
      </w:r>
      <w:r w:rsidRPr="00261E21">
        <w:rPr>
          <w:rFonts w:ascii="Times New Roman" w:hAnsi="Times New Roman" w:cs="Times New Roman"/>
          <w:sz w:val="24"/>
          <w:szCs w:val="24"/>
        </w:rPr>
        <w:t>Those are too much related with our everyday life and also it will helpful for our future life.</w:t>
      </w:r>
      <w:r w:rsidR="00AA1A2C">
        <w:rPr>
          <w:rFonts w:ascii="Times New Roman" w:hAnsi="Times New Roman" w:cs="Times New Roman"/>
          <w:sz w:val="24"/>
          <w:szCs w:val="24"/>
        </w:rPr>
        <w:t xml:space="preserve"> Now I am</w:t>
      </w:r>
      <w:r>
        <w:rPr>
          <w:rFonts w:ascii="Times New Roman" w:hAnsi="Times New Roman" w:cs="Times New Roman"/>
          <w:sz w:val="24"/>
          <w:szCs w:val="24"/>
        </w:rPr>
        <w:t xml:space="preserve"> going to submit the report on </w:t>
      </w:r>
      <w:r w:rsidRPr="0090080F">
        <w:rPr>
          <w:rFonts w:ascii="Times New Roman" w:hAnsi="Times New Roman" w:cs="Times New Roman"/>
          <w:b/>
          <w:sz w:val="24"/>
          <w:szCs w:val="24"/>
        </w:rPr>
        <w:t xml:space="preserve">“Overall Performance Analysis of </w:t>
      </w:r>
      <w:r w:rsidR="00AA1A2C">
        <w:rPr>
          <w:rFonts w:ascii="Times New Roman" w:hAnsi="Times New Roman" w:cs="Times New Roman"/>
          <w:b/>
          <w:sz w:val="24"/>
          <w:szCs w:val="24"/>
        </w:rPr>
        <w:t>Banking sectors</w:t>
      </w:r>
      <w:r w:rsidRPr="0090080F">
        <w:rPr>
          <w:rFonts w:ascii="Times New Roman" w:hAnsi="Times New Roman" w:cs="Times New Roman"/>
          <w:b/>
          <w:sz w:val="24"/>
          <w:szCs w:val="24"/>
        </w:rPr>
        <w:t>”</w:t>
      </w:r>
    </w:p>
    <w:p w:rsidR="00BD174E" w:rsidRPr="00261E21" w:rsidRDefault="00AA1A2C" w:rsidP="00500B82">
      <w:pPr>
        <w:spacing w:line="360" w:lineRule="auto"/>
        <w:jc w:val="both"/>
        <w:rPr>
          <w:rFonts w:ascii="Times New Roman" w:hAnsi="Times New Roman" w:cs="Times New Roman"/>
          <w:b/>
          <w:sz w:val="24"/>
          <w:szCs w:val="24"/>
        </w:rPr>
      </w:pPr>
      <w:r>
        <w:rPr>
          <w:rFonts w:ascii="Times New Roman" w:hAnsi="Times New Roman" w:cs="Times New Roman"/>
          <w:b/>
          <w:bCs/>
          <w:sz w:val="24"/>
          <w:szCs w:val="24"/>
          <w:lang w:val="en-GB"/>
        </w:rPr>
        <w:t>So I am</w:t>
      </w:r>
      <w:r w:rsidR="00BD174E" w:rsidRPr="00261E21">
        <w:rPr>
          <w:rFonts w:ascii="Times New Roman" w:hAnsi="Times New Roman" w:cs="Times New Roman"/>
          <w:b/>
          <w:bCs/>
          <w:sz w:val="24"/>
          <w:szCs w:val="24"/>
          <w:lang w:val="en-GB"/>
        </w:rPr>
        <w:t xml:space="preserve"> </w:t>
      </w:r>
      <w:r w:rsidR="00BD174E" w:rsidRPr="00261E21">
        <w:rPr>
          <w:rFonts w:ascii="Times New Roman" w:hAnsi="Times New Roman" w:cs="Times New Roman"/>
          <w:b/>
          <w:sz w:val="24"/>
          <w:szCs w:val="24"/>
        </w:rPr>
        <w:t>obliged t</w:t>
      </w:r>
      <w:r>
        <w:rPr>
          <w:rFonts w:ascii="Times New Roman" w:hAnsi="Times New Roman" w:cs="Times New Roman"/>
          <w:b/>
          <w:bCs/>
          <w:sz w:val="24"/>
          <w:szCs w:val="24"/>
          <w:lang w:val="en-GB"/>
        </w:rPr>
        <w:t>o my</w:t>
      </w:r>
      <w:r w:rsidR="00BD174E" w:rsidRPr="00261E21">
        <w:rPr>
          <w:rFonts w:ascii="Times New Roman" w:hAnsi="Times New Roman" w:cs="Times New Roman"/>
          <w:b/>
          <w:bCs/>
          <w:sz w:val="24"/>
          <w:szCs w:val="24"/>
          <w:lang w:val="en-GB"/>
        </w:rPr>
        <w:t xml:space="preserve"> honourable faculty</w:t>
      </w:r>
      <w:r w:rsidR="003D20C2">
        <w:rPr>
          <w:rFonts w:ascii="Times New Roman" w:hAnsi="Times New Roman" w:cs="Times New Roman"/>
          <w:b/>
          <w:bCs/>
          <w:sz w:val="24"/>
          <w:szCs w:val="24"/>
          <w:lang w:val="en-GB"/>
        </w:rPr>
        <w:t xml:space="preserve"> Ms. Zinnatun Nesa</w:t>
      </w:r>
      <w:r w:rsidR="00BD174E" w:rsidRPr="00261E21">
        <w:rPr>
          <w:rFonts w:ascii="Times New Roman" w:hAnsi="Times New Roman" w:cs="Times New Roman"/>
          <w:b/>
          <w:bCs/>
          <w:sz w:val="24"/>
          <w:szCs w:val="24"/>
          <w:lang w:val="en-GB"/>
        </w:rPr>
        <w:t>.</w:t>
      </w:r>
    </w:p>
    <w:p w:rsidR="00BD174E" w:rsidRDefault="003D20C2" w:rsidP="00500B82">
      <w:pPr>
        <w:spacing w:line="360" w:lineRule="auto"/>
        <w:jc w:val="both"/>
        <w:rPr>
          <w:rFonts w:ascii="Times New Roman" w:hAnsi="Times New Roman" w:cs="Times New Roman"/>
          <w:sz w:val="24"/>
          <w:szCs w:val="24"/>
        </w:rPr>
      </w:pPr>
      <w:r>
        <w:rPr>
          <w:rFonts w:ascii="Times New Roman" w:hAnsi="Times New Roman" w:cs="Times New Roman"/>
          <w:sz w:val="24"/>
          <w:szCs w:val="24"/>
        </w:rPr>
        <w:t>Finally I am</w:t>
      </w:r>
      <w:r w:rsidR="00BD174E" w:rsidRPr="00261E21">
        <w:rPr>
          <w:rFonts w:ascii="Times New Roman" w:hAnsi="Times New Roman" w:cs="Times New Roman"/>
          <w:sz w:val="24"/>
          <w:szCs w:val="24"/>
        </w:rPr>
        <w:t xml:space="preserve"> going to submit a report on a “</w:t>
      </w:r>
      <w:r w:rsidR="00BD174E">
        <w:rPr>
          <w:rFonts w:ascii="Times New Roman" w:hAnsi="Times New Roman" w:cs="Times New Roman"/>
          <w:sz w:val="24"/>
          <w:szCs w:val="24"/>
        </w:rPr>
        <w:t xml:space="preserve">Structure of </w:t>
      </w:r>
      <w:r w:rsidR="002743CF">
        <w:rPr>
          <w:rFonts w:ascii="Times New Roman" w:hAnsi="Times New Roman" w:cs="Times New Roman"/>
          <w:sz w:val="24"/>
          <w:szCs w:val="24"/>
        </w:rPr>
        <w:t>Banking sectors</w:t>
      </w:r>
      <w:r w:rsidR="00BD174E">
        <w:rPr>
          <w:rFonts w:ascii="Times New Roman" w:hAnsi="Times New Roman" w:cs="Times New Roman"/>
          <w:sz w:val="24"/>
          <w:szCs w:val="24"/>
        </w:rPr>
        <w:t xml:space="preserve"> &amp; Analyze the overall </w:t>
      </w:r>
      <w:r w:rsidR="002743CF">
        <w:rPr>
          <w:rFonts w:ascii="Times New Roman" w:hAnsi="Times New Roman" w:cs="Times New Roman"/>
          <w:sz w:val="24"/>
          <w:szCs w:val="24"/>
        </w:rPr>
        <w:t>performance of banking</w:t>
      </w:r>
      <w:r w:rsidR="00BD174E">
        <w:rPr>
          <w:rFonts w:ascii="Times New Roman" w:hAnsi="Times New Roman" w:cs="Times New Roman"/>
          <w:sz w:val="24"/>
          <w:szCs w:val="24"/>
        </w:rPr>
        <w:t xml:space="preserve"> Industry</w:t>
      </w:r>
      <w:r w:rsidR="00BD174E" w:rsidRPr="00261E21">
        <w:rPr>
          <w:rFonts w:ascii="Times New Roman" w:hAnsi="Times New Roman" w:cs="Times New Roman"/>
          <w:sz w:val="24"/>
          <w:szCs w:val="24"/>
        </w:rPr>
        <w:t>”</w:t>
      </w:r>
      <w:r w:rsidR="00BD174E">
        <w:rPr>
          <w:rFonts w:ascii="Times New Roman" w:hAnsi="Times New Roman" w:cs="Times New Roman"/>
          <w:sz w:val="24"/>
          <w:szCs w:val="24"/>
        </w:rPr>
        <w:t>.</w:t>
      </w:r>
    </w:p>
    <w:p w:rsidR="00BD174E" w:rsidRDefault="00BD174E" w:rsidP="00061371"/>
    <w:p w:rsidR="008F4620" w:rsidRDefault="008F4620" w:rsidP="00061371"/>
    <w:p w:rsidR="008F4620" w:rsidRDefault="008F4620" w:rsidP="00061371"/>
    <w:p w:rsidR="008F4620" w:rsidRDefault="008F4620" w:rsidP="00061371"/>
    <w:p w:rsidR="008F4620" w:rsidRDefault="008F4620" w:rsidP="00061371"/>
    <w:p w:rsidR="00E266FC" w:rsidRDefault="00E266FC" w:rsidP="00061371"/>
    <w:p w:rsidR="00E266FC" w:rsidRDefault="00E266FC" w:rsidP="00061371"/>
    <w:p w:rsidR="00E266FC" w:rsidRDefault="00E266FC" w:rsidP="00061371"/>
    <w:p w:rsidR="00E266FC" w:rsidRDefault="00E266FC" w:rsidP="00061371"/>
    <w:p w:rsidR="00E266FC" w:rsidRDefault="00E266FC" w:rsidP="00061371"/>
    <w:p w:rsidR="00E266FC" w:rsidRDefault="00E266FC" w:rsidP="00061371"/>
    <w:p w:rsidR="008F4620" w:rsidRDefault="008F4620" w:rsidP="00DC7967">
      <w:pPr>
        <w:shd w:val="clear" w:color="auto" w:fill="FFFFFF"/>
        <w:spacing w:after="0" w:line="375" w:lineRule="atLeast"/>
        <w:ind w:left="105" w:right="105"/>
        <w:jc w:val="center"/>
        <w:rPr>
          <w:rFonts w:ascii="Times New Roman" w:eastAsia="Times New Roman" w:hAnsi="Times New Roman" w:cs="Times New Roman"/>
          <w:b/>
          <w:color w:val="000000"/>
          <w:sz w:val="28"/>
          <w:szCs w:val="24"/>
        </w:rPr>
      </w:pPr>
      <w:bookmarkStart w:id="3" w:name="_GoBack"/>
      <w:r w:rsidRPr="00F752A8">
        <w:rPr>
          <w:rFonts w:ascii="Times New Roman" w:eastAsia="Times New Roman" w:hAnsi="Times New Roman" w:cs="Times New Roman"/>
          <w:b/>
          <w:color w:val="000000"/>
          <w:sz w:val="28"/>
          <w:szCs w:val="24"/>
        </w:rPr>
        <w:lastRenderedPageBreak/>
        <w:t>Executive Summary</w:t>
      </w:r>
    </w:p>
    <w:bookmarkEnd w:id="3"/>
    <w:p w:rsidR="00C41FCD" w:rsidRPr="00F752A8" w:rsidRDefault="00C41FCD" w:rsidP="008F4620">
      <w:pPr>
        <w:shd w:val="clear" w:color="auto" w:fill="FFFFFF"/>
        <w:spacing w:after="0" w:line="375" w:lineRule="atLeast"/>
        <w:ind w:left="105" w:right="105"/>
        <w:jc w:val="both"/>
        <w:rPr>
          <w:rFonts w:ascii="Times New Roman" w:eastAsia="Times New Roman" w:hAnsi="Times New Roman" w:cs="Times New Roman"/>
          <w:b/>
          <w:color w:val="000000"/>
          <w:sz w:val="28"/>
          <w:szCs w:val="24"/>
        </w:rPr>
      </w:pPr>
    </w:p>
    <w:p w:rsidR="008F4620" w:rsidRPr="00C41FCD" w:rsidRDefault="008F4620" w:rsidP="00C41FCD">
      <w:pPr>
        <w:spacing w:line="360" w:lineRule="auto"/>
        <w:jc w:val="both"/>
        <w:rPr>
          <w:rFonts w:ascii="Times New Roman" w:hAnsi="Times New Roman" w:cs="Times New Roman"/>
          <w:sz w:val="24"/>
        </w:rPr>
      </w:pPr>
      <w:r w:rsidRPr="00C41FCD">
        <w:rPr>
          <w:rFonts w:ascii="Times New Roman" w:hAnsi="Times New Roman" w:cs="Times New Roman"/>
          <w:sz w:val="24"/>
        </w:rPr>
        <w:t>Project report alone cannot make a student perfect in handling the real business situation; therefore, it is an opportunity for the students to know about the real life situation through this program. A report has to be built for the university and organization requiremen</w:t>
      </w:r>
      <w:r w:rsidR="00E266FC">
        <w:rPr>
          <w:rFonts w:ascii="Times New Roman" w:hAnsi="Times New Roman" w:cs="Times New Roman"/>
          <w:sz w:val="24"/>
        </w:rPr>
        <w:t>t. The topic of the report is “</w:t>
      </w:r>
      <w:r w:rsidRPr="00C41FCD">
        <w:rPr>
          <w:rFonts w:ascii="Times New Roman" w:hAnsi="Times New Roman" w:cs="Times New Roman"/>
          <w:sz w:val="24"/>
        </w:rPr>
        <w:t>Performance Analysis of Banking sectors, Bangladesh”. The main purpose of the report becomes very clear from the topic of the report. The report discusses about the</w:t>
      </w:r>
      <w:r w:rsidR="00806412" w:rsidRPr="00C41FCD">
        <w:rPr>
          <w:rFonts w:ascii="Times New Roman" w:hAnsi="Times New Roman" w:cs="Times New Roman"/>
          <w:sz w:val="24"/>
        </w:rPr>
        <w:t xml:space="preserve"> banking situation of our country.</w:t>
      </w:r>
      <w:r w:rsidRPr="00C41FCD">
        <w:rPr>
          <w:rFonts w:ascii="Times New Roman" w:hAnsi="Times New Roman" w:cs="Times New Roman"/>
          <w:sz w:val="24"/>
        </w:rPr>
        <w:t xml:space="preserve"> </w:t>
      </w:r>
    </w:p>
    <w:p w:rsidR="008F4620" w:rsidRPr="00C41FCD" w:rsidRDefault="008F4620" w:rsidP="00C41FCD">
      <w:pPr>
        <w:spacing w:line="360" w:lineRule="auto"/>
        <w:jc w:val="both"/>
        <w:rPr>
          <w:rFonts w:ascii="Times New Roman" w:hAnsi="Times New Roman" w:cs="Times New Roman"/>
          <w:sz w:val="24"/>
        </w:rPr>
      </w:pPr>
      <w:r w:rsidRPr="00C41FCD">
        <w:rPr>
          <w:rFonts w:ascii="Times New Roman" w:hAnsi="Times New Roman" w:cs="Times New Roman"/>
          <w:sz w:val="24"/>
        </w:rPr>
        <w:t>This repor</w:t>
      </w:r>
      <w:r w:rsidR="00806412" w:rsidRPr="00C41FCD">
        <w:rPr>
          <w:rFonts w:ascii="Times New Roman" w:hAnsi="Times New Roman" w:cs="Times New Roman"/>
          <w:sz w:val="24"/>
        </w:rPr>
        <w:t xml:space="preserve">t is broadly categorized in </w:t>
      </w:r>
      <w:r w:rsidR="00651792">
        <w:rPr>
          <w:rFonts w:ascii="Times New Roman" w:hAnsi="Times New Roman" w:cs="Times New Roman"/>
          <w:sz w:val="24"/>
        </w:rPr>
        <w:t>six</w:t>
      </w:r>
      <w:r w:rsidRPr="00C41FCD">
        <w:rPr>
          <w:rFonts w:ascii="Times New Roman" w:hAnsi="Times New Roman" w:cs="Times New Roman"/>
          <w:sz w:val="24"/>
        </w:rPr>
        <w:t xml:space="preserve"> different parts. In part one introduction, purpose, objective, scope, limitation and methodology of the study is discussed. The main objectives of the report are identifying the General Activities and their overall performance in the last few year</w:t>
      </w:r>
      <w:r w:rsidR="00536843" w:rsidRPr="00C41FCD">
        <w:rPr>
          <w:rFonts w:ascii="Times New Roman" w:hAnsi="Times New Roman" w:cs="Times New Roman"/>
          <w:sz w:val="24"/>
        </w:rPr>
        <w:t>s.</w:t>
      </w:r>
      <w:r w:rsidR="00E266FC">
        <w:rPr>
          <w:rFonts w:ascii="Times New Roman" w:hAnsi="Times New Roman" w:cs="Times New Roman"/>
          <w:sz w:val="24"/>
        </w:rPr>
        <w:t xml:space="preserve"> Part two narrates the banking </w:t>
      </w:r>
      <w:r w:rsidR="00536843" w:rsidRPr="00C41FCD">
        <w:rPr>
          <w:rFonts w:ascii="Times New Roman" w:hAnsi="Times New Roman" w:cs="Times New Roman"/>
          <w:sz w:val="24"/>
        </w:rPr>
        <w:t>profile including different</w:t>
      </w:r>
      <w:r w:rsidRPr="00C41FCD">
        <w:rPr>
          <w:rFonts w:ascii="Times New Roman" w:hAnsi="Times New Roman" w:cs="Times New Roman"/>
          <w:sz w:val="24"/>
        </w:rPr>
        <w:t xml:space="preserve"> Bank’s history, their philo</w:t>
      </w:r>
      <w:r w:rsidR="00536843" w:rsidRPr="00C41FCD">
        <w:rPr>
          <w:rFonts w:ascii="Times New Roman" w:hAnsi="Times New Roman" w:cs="Times New Roman"/>
          <w:sz w:val="24"/>
        </w:rPr>
        <w:t>sophy,</w:t>
      </w:r>
      <w:r w:rsidRPr="00C41FCD">
        <w:rPr>
          <w:rFonts w:ascii="Times New Roman" w:hAnsi="Times New Roman" w:cs="Times New Roman"/>
          <w:sz w:val="24"/>
        </w:rPr>
        <w:t xml:space="preserve"> strategy, activities and performances.</w:t>
      </w:r>
    </w:p>
    <w:p w:rsidR="008F4620" w:rsidRPr="00C41FCD" w:rsidRDefault="008F4620" w:rsidP="00C41FCD">
      <w:pPr>
        <w:spacing w:line="360" w:lineRule="auto"/>
        <w:jc w:val="both"/>
        <w:rPr>
          <w:rFonts w:ascii="Times New Roman" w:hAnsi="Times New Roman" w:cs="Times New Roman"/>
          <w:sz w:val="24"/>
        </w:rPr>
      </w:pPr>
      <w:r w:rsidRPr="00C41FCD">
        <w:rPr>
          <w:rFonts w:ascii="Times New Roman" w:hAnsi="Times New Roman" w:cs="Times New Roman"/>
          <w:sz w:val="24"/>
        </w:rPr>
        <w:t xml:space="preserve">Part three forces on the </w:t>
      </w:r>
      <w:bookmarkStart w:id="4" w:name="_Toc517702061"/>
      <w:r w:rsidR="00536843" w:rsidRPr="00C41FCD">
        <w:rPr>
          <w:rFonts w:ascii="Times New Roman" w:hAnsi="Times New Roman" w:cs="Times New Roman"/>
          <w:sz w:val="24"/>
        </w:rPr>
        <w:t>Financial Literacy</w:t>
      </w:r>
      <w:bookmarkEnd w:id="4"/>
      <w:r w:rsidRPr="00C41FCD">
        <w:rPr>
          <w:rFonts w:ascii="Times New Roman" w:hAnsi="Times New Roman" w:cs="Times New Roman"/>
          <w:sz w:val="24"/>
        </w:rPr>
        <w:t>. It includes</w:t>
      </w:r>
      <w:r w:rsidR="00536843" w:rsidRPr="00C41FCD">
        <w:rPr>
          <w:rFonts w:ascii="Times New Roman" w:hAnsi="Times New Roman" w:cs="Times New Roman"/>
          <w:sz w:val="24"/>
        </w:rPr>
        <w:t xml:space="preserve"> different types of article from different source which discusses about the banking sectors of our country.</w:t>
      </w:r>
      <w:r w:rsidR="00FB6B40" w:rsidRPr="00C41FCD">
        <w:rPr>
          <w:rFonts w:ascii="Times New Roman" w:hAnsi="Times New Roman" w:cs="Times New Roman"/>
          <w:sz w:val="24"/>
        </w:rPr>
        <w:t xml:space="preserve"> This article is written by different famous expert people of our country like university teacher, economists and bankers.  </w:t>
      </w:r>
      <w:r w:rsidR="00536843" w:rsidRPr="00C41FCD">
        <w:rPr>
          <w:rFonts w:ascii="Times New Roman" w:hAnsi="Times New Roman" w:cs="Times New Roman"/>
          <w:sz w:val="24"/>
        </w:rPr>
        <w:t xml:space="preserve"> </w:t>
      </w:r>
      <w:r w:rsidRPr="00C41FCD">
        <w:rPr>
          <w:rFonts w:ascii="Times New Roman" w:hAnsi="Times New Roman" w:cs="Times New Roman"/>
          <w:sz w:val="24"/>
        </w:rPr>
        <w:t xml:space="preserve"> </w:t>
      </w:r>
    </w:p>
    <w:p w:rsidR="008F4620" w:rsidRPr="00C41FCD" w:rsidRDefault="008F4620" w:rsidP="00C41FCD">
      <w:pPr>
        <w:spacing w:line="360" w:lineRule="auto"/>
        <w:jc w:val="both"/>
        <w:rPr>
          <w:rFonts w:ascii="Times New Roman" w:hAnsi="Times New Roman" w:cs="Times New Roman"/>
          <w:sz w:val="24"/>
        </w:rPr>
      </w:pPr>
      <w:r w:rsidRPr="00C41FCD">
        <w:rPr>
          <w:rFonts w:ascii="Times New Roman" w:hAnsi="Times New Roman" w:cs="Times New Roman"/>
          <w:sz w:val="24"/>
        </w:rPr>
        <w:t>Part four</w:t>
      </w:r>
      <w:r w:rsidR="00FB6B40" w:rsidRPr="00C41FCD">
        <w:rPr>
          <w:rFonts w:ascii="Times New Roman" w:hAnsi="Times New Roman" w:cs="Times New Roman"/>
          <w:sz w:val="24"/>
        </w:rPr>
        <w:t xml:space="preserve"> and five</w:t>
      </w:r>
      <w:r w:rsidRPr="00C41FCD">
        <w:rPr>
          <w:rFonts w:ascii="Times New Roman" w:hAnsi="Times New Roman" w:cs="Times New Roman"/>
          <w:sz w:val="24"/>
        </w:rPr>
        <w:t xml:space="preserve"> of the report discussed financial performance and financial statement. That helps to analysis to find out actual position of the bank and also how better performances from before.</w:t>
      </w:r>
    </w:p>
    <w:p w:rsidR="00FB6B40" w:rsidRDefault="00FB6B40" w:rsidP="00C41FCD">
      <w:pPr>
        <w:spacing w:line="360" w:lineRule="auto"/>
        <w:jc w:val="both"/>
        <w:rPr>
          <w:rFonts w:ascii="Times New Roman" w:hAnsi="Times New Roman" w:cs="Times New Roman"/>
          <w:sz w:val="24"/>
        </w:rPr>
      </w:pPr>
      <w:r w:rsidRPr="00C41FCD">
        <w:rPr>
          <w:rFonts w:ascii="Times New Roman" w:hAnsi="Times New Roman" w:cs="Times New Roman"/>
          <w:sz w:val="24"/>
        </w:rPr>
        <w:t>Part six</w:t>
      </w:r>
      <w:r w:rsidR="00C41FCD" w:rsidRPr="00C41FCD">
        <w:rPr>
          <w:rFonts w:ascii="Times New Roman" w:hAnsi="Times New Roman" w:cs="Times New Roman"/>
          <w:sz w:val="24"/>
        </w:rPr>
        <w:t xml:space="preserve"> of the report analyzes</w:t>
      </w:r>
      <w:r w:rsidRPr="00C41FCD">
        <w:rPr>
          <w:rFonts w:ascii="Times New Roman" w:hAnsi="Times New Roman" w:cs="Times New Roman"/>
          <w:sz w:val="24"/>
        </w:rPr>
        <w:t xml:space="preserve"> the </w:t>
      </w:r>
      <w:bookmarkStart w:id="5" w:name="_Toc517702082"/>
      <w:r w:rsidRPr="00C41FCD">
        <w:rPr>
          <w:rFonts w:ascii="Times New Roman" w:hAnsi="Times New Roman" w:cs="Times New Roman"/>
          <w:sz w:val="24"/>
        </w:rPr>
        <w:t>Present status of Loan Defaults situation and Culture of Bangladesh</w:t>
      </w:r>
      <w:bookmarkEnd w:id="5"/>
      <w:r w:rsidRPr="00C41FCD">
        <w:rPr>
          <w:rFonts w:ascii="Times New Roman" w:hAnsi="Times New Roman" w:cs="Times New Roman"/>
          <w:sz w:val="24"/>
        </w:rPr>
        <w:t xml:space="preserve">. </w:t>
      </w:r>
    </w:p>
    <w:p w:rsidR="0007378F" w:rsidRDefault="0007378F" w:rsidP="00C41FCD">
      <w:pPr>
        <w:spacing w:line="360" w:lineRule="auto"/>
        <w:jc w:val="both"/>
        <w:rPr>
          <w:rFonts w:ascii="Times New Roman" w:hAnsi="Times New Roman" w:cs="Times New Roman"/>
          <w:sz w:val="24"/>
        </w:rPr>
      </w:pPr>
    </w:p>
    <w:p w:rsidR="0007378F" w:rsidRDefault="0007378F" w:rsidP="00C41FCD">
      <w:pPr>
        <w:spacing w:line="360" w:lineRule="auto"/>
        <w:jc w:val="both"/>
        <w:rPr>
          <w:rFonts w:ascii="Times New Roman" w:hAnsi="Times New Roman" w:cs="Times New Roman"/>
          <w:sz w:val="24"/>
        </w:rPr>
      </w:pPr>
    </w:p>
    <w:p w:rsidR="0007378F" w:rsidRDefault="0007378F" w:rsidP="00C41FCD">
      <w:pPr>
        <w:spacing w:line="360" w:lineRule="auto"/>
        <w:jc w:val="both"/>
        <w:rPr>
          <w:rFonts w:ascii="Times New Roman" w:hAnsi="Times New Roman" w:cs="Times New Roman"/>
          <w:sz w:val="24"/>
        </w:rPr>
      </w:pPr>
    </w:p>
    <w:p w:rsidR="0007378F" w:rsidRDefault="0007378F" w:rsidP="00C41FCD">
      <w:pPr>
        <w:spacing w:line="360" w:lineRule="auto"/>
        <w:jc w:val="both"/>
        <w:rPr>
          <w:rFonts w:ascii="Times New Roman" w:hAnsi="Times New Roman" w:cs="Times New Roman"/>
          <w:sz w:val="24"/>
        </w:rPr>
      </w:pPr>
    </w:p>
    <w:p w:rsidR="0007378F" w:rsidRDefault="0007378F" w:rsidP="00C41FCD">
      <w:pPr>
        <w:spacing w:line="360" w:lineRule="auto"/>
        <w:jc w:val="both"/>
        <w:rPr>
          <w:rFonts w:ascii="Times New Roman" w:hAnsi="Times New Roman" w:cs="Times New Roman"/>
          <w:sz w:val="24"/>
        </w:rPr>
      </w:pPr>
    </w:p>
    <w:p w:rsidR="0007378F" w:rsidRDefault="0007378F" w:rsidP="00C41FCD">
      <w:pPr>
        <w:spacing w:line="360" w:lineRule="auto"/>
        <w:jc w:val="both"/>
        <w:rPr>
          <w:rFonts w:ascii="Times New Roman" w:hAnsi="Times New Roman" w:cs="Times New Roman"/>
          <w:sz w:val="24"/>
        </w:rPr>
      </w:pPr>
    </w:p>
    <w:p w:rsidR="0007378F" w:rsidRDefault="0007378F" w:rsidP="00C41FCD">
      <w:pPr>
        <w:spacing w:line="360" w:lineRule="auto"/>
        <w:jc w:val="both"/>
        <w:rPr>
          <w:rFonts w:ascii="Times New Roman" w:hAnsi="Times New Roman" w:cs="Times New Roman"/>
          <w:sz w:val="24"/>
        </w:rPr>
      </w:pPr>
    </w:p>
    <w:sdt>
      <w:sdtPr>
        <w:rPr>
          <w:rFonts w:asciiTheme="minorHAnsi" w:eastAsiaTheme="minorHAnsi" w:hAnsiTheme="minorHAnsi" w:cstheme="minorBidi"/>
          <w:b w:val="0"/>
          <w:bCs w:val="0"/>
          <w:color w:val="auto"/>
          <w:sz w:val="22"/>
          <w:szCs w:val="22"/>
          <w:lang w:eastAsia="en-US"/>
        </w:rPr>
        <w:id w:val="-637878989"/>
        <w:docPartObj>
          <w:docPartGallery w:val="Table of Contents"/>
          <w:docPartUnique/>
        </w:docPartObj>
      </w:sdtPr>
      <w:sdtEndPr>
        <w:rPr>
          <w:noProof/>
        </w:rPr>
      </w:sdtEndPr>
      <w:sdtContent>
        <w:p w:rsidR="0007378F" w:rsidRDefault="0007378F" w:rsidP="0007378F">
          <w:pPr>
            <w:pStyle w:val="TOCHeading"/>
          </w:pPr>
          <w:r>
            <w:t>Table of Contents</w:t>
          </w:r>
        </w:p>
        <w:p w:rsidR="0007378F" w:rsidRDefault="0007378F" w:rsidP="0007378F">
          <w:pPr>
            <w:pStyle w:val="TOC1"/>
            <w:tabs>
              <w:tab w:val="left" w:pos="440"/>
              <w:tab w:val="right" w:leader="dot" w:pos="9017"/>
            </w:tabs>
            <w:rPr>
              <w:rFonts w:eastAsiaTheme="minorEastAsia"/>
              <w:noProof/>
            </w:rPr>
          </w:pPr>
          <w:r>
            <w:fldChar w:fldCharType="begin"/>
          </w:r>
          <w:r>
            <w:instrText xml:space="preserve"> TOC \o "1-3" \h \z \u </w:instrText>
          </w:r>
          <w:r>
            <w:fldChar w:fldCharType="separate"/>
          </w:r>
          <w:hyperlink w:anchor="_Toc518818047" w:history="1">
            <w:r w:rsidRPr="00B40355">
              <w:rPr>
                <w:rStyle w:val="Hyperlink"/>
                <w:noProof/>
              </w:rPr>
              <w:t>1</w:t>
            </w:r>
            <w:r>
              <w:rPr>
                <w:rFonts w:eastAsiaTheme="minorEastAsia"/>
                <w:noProof/>
              </w:rPr>
              <w:tab/>
            </w:r>
            <w:r w:rsidRPr="00B40355">
              <w:rPr>
                <w:rStyle w:val="Hyperlink"/>
                <w:noProof/>
              </w:rPr>
              <w:t>Introduction</w:t>
            </w:r>
            <w:r>
              <w:rPr>
                <w:noProof/>
                <w:webHidden/>
              </w:rPr>
              <w:tab/>
            </w:r>
            <w:r>
              <w:rPr>
                <w:noProof/>
                <w:webHidden/>
              </w:rPr>
              <w:fldChar w:fldCharType="begin"/>
            </w:r>
            <w:r>
              <w:rPr>
                <w:noProof/>
                <w:webHidden/>
              </w:rPr>
              <w:instrText xml:space="preserve"> PAGEREF _Toc518818047 \h </w:instrText>
            </w:r>
            <w:r>
              <w:rPr>
                <w:noProof/>
                <w:webHidden/>
              </w:rPr>
            </w:r>
            <w:r>
              <w:rPr>
                <w:noProof/>
                <w:webHidden/>
              </w:rPr>
              <w:fldChar w:fldCharType="separate"/>
            </w:r>
            <w:r>
              <w:rPr>
                <w:noProof/>
                <w:webHidden/>
              </w:rPr>
              <w:t>0</w:t>
            </w:r>
            <w:r>
              <w:rPr>
                <w:noProof/>
                <w:webHidden/>
              </w:rPr>
              <w:fldChar w:fldCharType="end"/>
            </w:r>
          </w:hyperlink>
        </w:p>
        <w:p w:rsidR="0007378F" w:rsidRDefault="00CA7765" w:rsidP="0007378F">
          <w:pPr>
            <w:pStyle w:val="TOC1"/>
            <w:tabs>
              <w:tab w:val="left" w:pos="440"/>
              <w:tab w:val="right" w:leader="dot" w:pos="9017"/>
            </w:tabs>
            <w:rPr>
              <w:rFonts w:eastAsiaTheme="minorEastAsia"/>
              <w:noProof/>
            </w:rPr>
          </w:pPr>
          <w:hyperlink w:anchor="_Toc518818048" w:history="1">
            <w:r w:rsidR="0007378F" w:rsidRPr="00B40355">
              <w:rPr>
                <w:rStyle w:val="Hyperlink"/>
                <w:noProof/>
              </w:rPr>
              <w:t>2</w:t>
            </w:r>
            <w:r w:rsidR="0007378F">
              <w:rPr>
                <w:rFonts w:eastAsiaTheme="minorEastAsia"/>
                <w:noProof/>
              </w:rPr>
              <w:tab/>
            </w:r>
            <w:r w:rsidR="0007378F" w:rsidRPr="00B40355">
              <w:rPr>
                <w:rStyle w:val="Hyperlink"/>
                <w:noProof/>
              </w:rPr>
              <w:t>Overview of Banking  Industary</w:t>
            </w:r>
            <w:r w:rsidR="0007378F">
              <w:rPr>
                <w:noProof/>
                <w:webHidden/>
              </w:rPr>
              <w:tab/>
            </w:r>
            <w:r w:rsidR="0007378F">
              <w:rPr>
                <w:noProof/>
                <w:webHidden/>
              </w:rPr>
              <w:fldChar w:fldCharType="begin"/>
            </w:r>
            <w:r w:rsidR="0007378F">
              <w:rPr>
                <w:noProof/>
                <w:webHidden/>
              </w:rPr>
              <w:instrText xml:space="preserve"> PAGEREF _Toc518818048 \h </w:instrText>
            </w:r>
            <w:r w:rsidR="0007378F">
              <w:rPr>
                <w:noProof/>
                <w:webHidden/>
              </w:rPr>
            </w:r>
            <w:r w:rsidR="0007378F">
              <w:rPr>
                <w:noProof/>
                <w:webHidden/>
              </w:rPr>
              <w:fldChar w:fldCharType="separate"/>
            </w:r>
            <w:r w:rsidR="0007378F">
              <w:rPr>
                <w:noProof/>
                <w:webHidden/>
              </w:rPr>
              <w:t>2</w:t>
            </w:r>
            <w:r w:rsidR="0007378F">
              <w:rPr>
                <w:noProof/>
                <w:webHidden/>
              </w:rPr>
              <w:fldChar w:fldCharType="end"/>
            </w:r>
          </w:hyperlink>
        </w:p>
        <w:p w:rsidR="0007378F" w:rsidRDefault="00CA7765" w:rsidP="0007378F">
          <w:pPr>
            <w:pStyle w:val="TOC2"/>
            <w:tabs>
              <w:tab w:val="left" w:pos="880"/>
              <w:tab w:val="right" w:leader="dot" w:pos="9017"/>
            </w:tabs>
            <w:rPr>
              <w:rFonts w:eastAsiaTheme="minorEastAsia"/>
              <w:noProof/>
            </w:rPr>
          </w:pPr>
          <w:hyperlink w:anchor="_Toc518818049" w:history="1">
            <w:r w:rsidR="0007378F" w:rsidRPr="00B40355">
              <w:rPr>
                <w:rStyle w:val="Hyperlink"/>
                <w:noProof/>
              </w:rPr>
              <w:t>2.1</w:t>
            </w:r>
            <w:r w:rsidR="0007378F">
              <w:rPr>
                <w:rFonts w:eastAsiaTheme="minorEastAsia"/>
                <w:noProof/>
              </w:rPr>
              <w:tab/>
            </w:r>
            <w:r w:rsidR="0007378F" w:rsidRPr="00B40355">
              <w:rPr>
                <w:rStyle w:val="Hyperlink"/>
                <w:noProof/>
              </w:rPr>
              <w:t>Bangladesh Bank</w:t>
            </w:r>
            <w:r w:rsidR="0007378F">
              <w:rPr>
                <w:noProof/>
                <w:webHidden/>
              </w:rPr>
              <w:tab/>
            </w:r>
            <w:r w:rsidR="0007378F">
              <w:rPr>
                <w:noProof/>
                <w:webHidden/>
              </w:rPr>
              <w:fldChar w:fldCharType="begin"/>
            </w:r>
            <w:r w:rsidR="0007378F">
              <w:rPr>
                <w:noProof/>
                <w:webHidden/>
              </w:rPr>
              <w:instrText xml:space="preserve"> PAGEREF _Toc518818049 \h </w:instrText>
            </w:r>
            <w:r w:rsidR="0007378F">
              <w:rPr>
                <w:noProof/>
                <w:webHidden/>
              </w:rPr>
            </w:r>
            <w:r w:rsidR="0007378F">
              <w:rPr>
                <w:noProof/>
                <w:webHidden/>
              </w:rPr>
              <w:fldChar w:fldCharType="separate"/>
            </w:r>
            <w:r w:rsidR="0007378F">
              <w:rPr>
                <w:noProof/>
                <w:webHidden/>
              </w:rPr>
              <w:t>3</w:t>
            </w:r>
            <w:r w:rsidR="0007378F">
              <w:rPr>
                <w:noProof/>
                <w:webHidden/>
              </w:rPr>
              <w:fldChar w:fldCharType="end"/>
            </w:r>
          </w:hyperlink>
        </w:p>
        <w:p w:rsidR="0007378F" w:rsidRDefault="00CA7765" w:rsidP="0007378F">
          <w:pPr>
            <w:pStyle w:val="TOC2"/>
            <w:tabs>
              <w:tab w:val="left" w:pos="880"/>
              <w:tab w:val="right" w:leader="dot" w:pos="9017"/>
            </w:tabs>
            <w:rPr>
              <w:rFonts w:eastAsiaTheme="minorEastAsia"/>
              <w:noProof/>
            </w:rPr>
          </w:pPr>
          <w:hyperlink w:anchor="_Toc518818050" w:history="1">
            <w:r w:rsidR="0007378F" w:rsidRPr="00B40355">
              <w:rPr>
                <w:rStyle w:val="Hyperlink"/>
                <w:noProof/>
              </w:rPr>
              <w:t>2.2</w:t>
            </w:r>
            <w:r w:rsidR="0007378F">
              <w:rPr>
                <w:rFonts w:eastAsiaTheme="minorEastAsia"/>
                <w:noProof/>
              </w:rPr>
              <w:tab/>
            </w:r>
            <w:r w:rsidR="0007378F" w:rsidRPr="00B40355">
              <w:rPr>
                <w:rStyle w:val="Hyperlink"/>
                <w:noProof/>
              </w:rPr>
              <w:t>State-Owned Commercial Bank</w:t>
            </w:r>
            <w:r w:rsidR="0007378F">
              <w:rPr>
                <w:noProof/>
                <w:webHidden/>
              </w:rPr>
              <w:tab/>
            </w:r>
            <w:r w:rsidR="0007378F">
              <w:rPr>
                <w:noProof/>
                <w:webHidden/>
              </w:rPr>
              <w:fldChar w:fldCharType="begin"/>
            </w:r>
            <w:r w:rsidR="0007378F">
              <w:rPr>
                <w:noProof/>
                <w:webHidden/>
              </w:rPr>
              <w:instrText xml:space="preserve"> PAGEREF _Toc518818050 \h </w:instrText>
            </w:r>
            <w:r w:rsidR="0007378F">
              <w:rPr>
                <w:noProof/>
                <w:webHidden/>
              </w:rPr>
            </w:r>
            <w:r w:rsidR="0007378F">
              <w:rPr>
                <w:noProof/>
                <w:webHidden/>
              </w:rPr>
              <w:fldChar w:fldCharType="separate"/>
            </w:r>
            <w:r w:rsidR="0007378F">
              <w:rPr>
                <w:noProof/>
                <w:webHidden/>
              </w:rPr>
              <w:t>3</w:t>
            </w:r>
            <w:r w:rsidR="0007378F">
              <w:rPr>
                <w:noProof/>
                <w:webHidden/>
              </w:rPr>
              <w:fldChar w:fldCharType="end"/>
            </w:r>
          </w:hyperlink>
        </w:p>
        <w:p w:rsidR="0007378F" w:rsidRDefault="00CA7765" w:rsidP="0007378F">
          <w:pPr>
            <w:pStyle w:val="TOC2"/>
            <w:tabs>
              <w:tab w:val="left" w:pos="880"/>
              <w:tab w:val="right" w:leader="dot" w:pos="9017"/>
            </w:tabs>
            <w:rPr>
              <w:rFonts w:eastAsiaTheme="minorEastAsia"/>
              <w:noProof/>
            </w:rPr>
          </w:pPr>
          <w:hyperlink w:anchor="_Toc518818051" w:history="1">
            <w:r w:rsidR="0007378F" w:rsidRPr="00B40355">
              <w:rPr>
                <w:rStyle w:val="Hyperlink"/>
                <w:noProof/>
              </w:rPr>
              <w:t>2.3</w:t>
            </w:r>
            <w:r w:rsidR="0007378F">
              <w:rPr>
                <w:rFonts w:eastAsiaTheme="minorEastAsia"/>
                <w:noProof/>
              </w:rPr>
              <w:tab/>
            </w:r>
            <w:r w:rsidR="0007378F" w:rsidRPr="00B40355">
              <w:rPr>
                <w:rStyle w:val="Hyperlink"/>
                <w:noProof/>
              </w:rPr>
              <w:t>Specialized Bank</w:t>
            </w:r>
            <w:r w:rsidR="0007378F">
              <w:rPr>
                <w:noProof/>
                <w:webHidden/>
              </w:rPr>
              <w:tab/>
            </w:r>
            <w:r w:rsidR="0007378F">
              <w:rPr>
                <w:noProof/>
                <w:webHidden/>
              </w:rPr>
              <w:fldChar w:fldCharType="begin"/>
            </w:r>
            <w:r w:rsidR="0007378F">
              <w:rPr>
                <w:noProof/>
                <w:webHidden/>
              </w:rPr>
              <w:instrText xml:space="preserve"> PAGEREF _Toc518818051 \h </w:instrText>
            </w:r>
            <w:r w:rsidR="0007378F">
              <w:rPr>
                <w:noProof/>
                <w:webHidden/>
              </w:rPr>
            </w:r>
            <w:r w:rsidR="0007378F">
              <w:rPr>
                <w:noProof/>
                <w:webHidden/>
              </w:rPr>
              <w:fldChar w:fldCharType="separate"/>
            </w:r>
            <w:r w:rsidR="0007378F">
              <w:rPr>
                <w:noProof/>
                <w:webHidden/>
              </w:rPr>
              <w:t>3</w:t>
            </w:r>
            <w:r w:rsidR="0007378F">
              <w:rPr>
                <w:noProof/>
                <w:webHidden/>
              </w:rPr>
              <w:fldChar w:fldCharType="end"/>
            </w:r>
          </w:hyperlink>
        </w:p>
        <w:p w:rsidR="0007378F" w:rsidRDefault="00CA7765" w:rsidP="0007378F">
          <w:pPr>
            <w:pStyle w:val="TOC2"/>
            <w:tabs>
              <w:tab w:val="left" w:pos="880"/>
              <w:tab w:val="right" w:leader="dot" w:pos="9017"/>
            </w:tabs>
            <w:rPr>
              <w:rFonts w:eastAsiaTheme="minorEastAsia"/>
              <w:noProof/>
            </w:rPr>
          </w:pPr>
          <w:hyperlink w:anchor="_Toc518818052" w:history="1">
            <w:r w:rsidR="0007378F" w:rsidRPr="00B40355">
              <w:rPr>
                <w:rStyle w:val="Hyperlink"/>
                <w:noProof/>
              </w:rPr>
              <w:t>2.4</w:t>
            </w:r>
            <w:r w:rsidR="0007378F">
              <w:rPr>
                <w:rFonts w:eastAsiaTheme="minorEastAsia"/>
                <w:noProof/>
              </w:rPr>
              <w:tab/>
            </w:r>
            <w:r w:rsidR="0007378F" w:rsidRPr="00B40355">
              <w:rPr>
                <w:rStyle w:val="Hyperlink"/>
                <w:noProof/>
              </w:rPr>
              <w:t>Private Commercial Bank</w:t>
            </w:r>
            <w:r w:rsidR="0007378F">
              <w:rPr>
                <w:noProof/>
                <w:webHidden/>
              </w:rPr>
              <w:tab/>
            </w:r>
            <w:r w:rsidR="0007378F">
              <w:rPr>
                <w:noProof/>
                <w:webHidden/>
              </w:rPr>
              <w:fldChar w:fldCharType="begin"/>
            </w:r>
            <w:r w:rsidR="0007378F">
              <w:rPr>
                <w:noProof/>
                <w:webHidden/>
              </w:rPr>
              <w:instrText xml:space="preserve"> PAGEREF _Toc518818052 \h </w:instrText>
            </w:r>
            <w:r w:rsidR="0007378F">
              <w:rPr>
                <w:noProof/>
                <w:webHidden/>
              </w:rPr>
            </w:r>
            <w:r w:rsidR="0007378F">
              <w:rPr>
                <w:noProof/>
                <w:webHidden/>
              </w:rPr>
              <w:fldChar w:fldCharType="separate"/>
            </w:r>
            <w:r w:rsidR="0007378F">
              <w:rPr>
                <w:noProof/>
                <w:webHidden/>
              </w:rPr>
              <w:t>3</w:t>
            </w:r>
            <w:r w:rsidR="0007378F">
              <w:rPr>
                <w:noProof/>
                <w:webHidden/>
              </w:rPr>
              <w:fldChar w:fldCharType="end"/>
            </w:r>
          </w:hyperlink>
        </w:p>
        <w:p w:rsidR="0007378F" w:rsidRDefault="00CA7765" w:rsidP="0007378F">
          <w:pPr>
            <w:pStyle w:val="TOC2"/>
            <w:tabs>
              <w:tab w:val="left" w:pos="880"/>
              <w:tab w:val="right" w:leader="dot" w:pos="9017"/>
            </w:tabs>
            <w:rPr>
              <w:rFonts w:eastAsiaTheme="minorEastAsia"/>
              <w:noProof/>
            </w:rPr>
          </w:pPr>
          <w:hyperlink w:anchor="_Toc518818053" w:history="1">
            <w:r w:rsidR="0007378F" w:rsidRPr="00B40355">
              <w:rPr>
                <w:rStyle w:val="Hyperlink"/>
                <w:noProof/>
              </w:rPr>
              <w:t>2.5</w:t>
            </w:r>
            <w:r w:rsidR="0007378F">
              <w:rPr>
                <w:rFonts w:eastAsiaTheme="minorEastAsia"/>
                <w:noProof/>
              </w:rPr>
              <w:tab/>
            </w:r>
            <w:r w:rsidR="0007378F" w:rsidRPr="00B40355">
              <w:rPr>
                <w:rStyle w:val="Hyperlink"/>
                <w:noProof/>
              </w:rPr>
              <w:t>Foreign Commercial Banks</w:t>
            </w:r>
            <w:r w:rsidR="0007378F">
              <w:rPr>
                <w:noProof/>
                <w:webHidden/>
              </w:rPr>
              <w:tab/>
            </w:r>
            <w:r w:rsidR="0007378F">
              <w:rPr>
                <w:noProof/>
                <w:webHidden/>
              </w:rPr>
              <w:fldChar w:fldCharType="begin"/>
            </w:r>
            <w:r w:rsidR="0007378F">
              <w:rPr>
                <w:noProof/>
                <w:webHidden/>
              </w:rPr>
              <w:instrText xml:space="preserve"> PAGEREF _Toc518818053 \h </w:instrText>
            </w:r>
            <w:r w:rsidR="0007378F">
              <w:rPr>
                <w:noProof/>
                <w:webHidden/>
              </w:rPr>
            </w:r>
            <w:r w:rsidR="0007378F">
              <w:rPr>
                <w:noProof/>
                <w:webHidden/>
              </w:rPr>
              <w:fldChar w:fldCharType="separate"/>
            </w:r>
            <w:r w:rsidR="0007378F">
              <w:rPr>
                <w:noProof/>
                <w:webHidden/>
              </w:rPr>
              <w:t>4</w:t>
            </w:r>
            <w:r w:rsidR="0007378F">
              <w:rPr>
                <w:noProof/>
                <w:webHidden/>
              </w:rPr>
              <w:fldChar w:fldCharType="end"/>
            </w:r>
          </w:hyperlink>
        </w:p>
        <w:p w:rsidR="0007378F" w:rsidRDefault="00CA7765" w:rsidP="0007378F">
          <w:pPr>
            <w:pStyle w:val="TOC2"/>
            <w:tabs>
              <w:tab w:val="left" w:pos="880"/>
              <w:tab w:val="right" w:leader="dot" w:pos="9017"/>
            </w:tabs>
            <w:rPr>
              <w:rFonts w:eastAsiaTheme="minorEastAsia"/>
              <w:noProof/>
            </w:rPr>
          </w:pPr>
          <w:hyperlink w:anchor="_Toc518818054" w:history="1">
            <w:r w:rsidR="0007378F" w:rsidRPr="00B40355">
              <w:rPr>
                <w:rStyle w:val="Hyperlink"/>
                <w:noProof/>
              </w:rPr>
              <w:t>2.6</w:t>
            </w:r>
            <w:r w:rsidR="0007378F">
              <w:rPr>
                <w:rFonts w:eastAsiaTheme="minorEastAsia"/>
                <w:noProof/>
              </w:rPr>
              <w:tab/>
            </w:r>
            <w:r w:rsidR="0007378F" w:rsidRPr="00B40355">
              <w:rPr>
                <w:rStyle w:val="Hyperlink"/>
                <w:noProof/>
              </w:rPr>
              <w:t>Islamic banking in Bangladesh:</w:t>
            </w:r>
            <w:r w:rsidR="0007378F">
              <w:rPr>
                <w:noProof/>
                <w:webHidden/>
              </w:rPr>
              <w:tab/>
            </w:r>
            <w:r w:rsidR="0007378F">
              <w:rPr>
                <w:noProof/>
                <w:webHidden/>
              </w:rPr>
              <w:fldChar w:fldCharType="begin"/>
            </w:r>
            <w:r w:rsidR="0007378F">
              <w:rPr>
                <w:noProof/>
                <w:webHidden/>
              </w:rPr>
              <w:instrText xml:space="preserve"> PAGEREF _Toc518818054 \h </w:instrText>
            </w:r>
            <w:r w:rsidR="0007378F">
              <w:rPr>
                <w:noProof/>
                <w:webHidden/>
              </w:rPr>
            </w:r>
            <w:r w:rsidR="0007378F">
              <w:rPr>
                <w:noProof/>
                <w:webHidden/>
              </w:rPr>
              <w:fldChar w:fldCharType="separate"/>
            </w:r>
            <w:r w:rsidR="0007378F">
              <w:rPr>
                <w:noProof/>
                <w:webHidden/>
              </w:rPr>
              <w:t>4</w:t>
            </w:r>
            <w:r w:rsidR="0007378F">
              <w:rPr>
                <w:noProof/>
                <w:webHidden/>
              </w:rPr>
              <w:fldChar w:fldCharType="end"/>
            </w:r>
          </w:hyperlink>
        </w:p>
        <w:p w:rsidR="0007378F" w:rsidRDefault="00CA7765" w:rsidP="0007378F">
          <w:pPr>
            <w:pStyle w:val="TOC1"/>
            <w:tabs>
              <w:tab w:val="left" w:pos="440"/>
              <w:tab w:val="right" w:leader="dot" w:pos="9017"/>
            </w:tabs>
            <w:rPr>
              <w:rFonts w:eastAsiaTheme="minorEastAsia"/>
              <w:noProof/>
            </w:rPr>
          </w:pPr>
          <w:hyperlink w:anchor="_Toc518818055" w:history="1">
            <w:r w:rsidR="0007378F" w:rsidRPr="00B40355">
              <w:rPr>
                <w:rStyle w:val="Hyperlink"/>
                <w:noProof/>
              </w:rPr>
              <w:t>3</w:t>
            </w:r>
            <w:r w:rsidR="0007378F">
              <w:rPr>
                <w:rFonts w:eastAsiaTheme="minorEastAsia"/>
                <w:noProof/>
              </w:rPr>
              <w:tab/>
            </w:r>
            <w:r w:rsidR="0007378F" w:rsidRPr="00B40355">
              <w:rPr>
                <w:rStyle w:val="Hyperlink"/>
                <w:noProof/>
              </w:rPr>
              <w:t>Literacy review</w:t>
            </w:r>
            <w:r w:rsidR="0007378F">
              <w:rPr>
                <w:noProof/>
                <w:webHidden/>
              </w:rPr>
              <w:tab/>
            </w:r>
            <w:r w:rsidR="0007378F">
              <w:rPr>
                <w:noProof/>
                <w:webHidden/>
              </w:rPr>
              <w:fldChar w:fldCharType="begin"/>
            </w:r>
            <w:r w:rsidR="0007378F">
              <w:rPr>
                <w:noProof/>
                <w:webHidden/>
              </w:rPr>
              <w:instrText xml:space="preserve"> PAGEREF _Toc518818055 \h </w:instrText>
            </w:r>
            <w:r w:rsidR="0007378F">
              <w:rPr>
                <w:noProof/>
                <w:webHidden/>
              </w:rPr>
            </w:r>
            <w:r w:rsidR="0007378F">
              <w:rPr>
                <w:noProof/>
                <w:webHidden/>
              </w:rPr>
              <w:fldChar w:fldCharType="separate"/>
            </w:r>
            <w:r w:rsidR="0007378F">
              <w:rPr>
                <w:noProof/>
                <w:webHidden/>
              </w:rPr>
              <w:t>4</w:t>
            </w:r>
            <w:r w:rsidR="0007378F">
              <w:rPr>
                <w:noProof/>
                <w:webHidden/>
              </w:rPr>
              <w:fldChar w:fldCharType="end"/>
            </w:r>
          </w:hyperlink>
        </w:p>
        <w:p w:rsidR="0007378F" w:rsidRDefault="00CA7765" w:rsidP="0007378F">
          <w:pPr>
            <w:pStyle w:val="TOC1"/>
            <w:tabs>
              <w:tab w:val="left" w:pos="440"/>
              <w:tab w:val="right" w:leader="dot" w:pos="9017"/>
            </w:tabs>
            <w:rPr>
              <w:rFonts w:eastAsiaTheme="minorEastAsia"/>
              <w:noProof/>
            </w:rPr>
          </w:pPr>
          <w:hyperlink w:anchor="_Toc518818056" w:history="1">
            <w:r w:rsidR="0007378F" w:rsidRPr="00B40355">
              <w:rPr>
                <w:rStyle w:val="Hyperlink"/>
                <w:rFonts w:ascii="Times New Roman" w:hAnsi="Times New Roman" w:cs="Times New Roman"/>
                <w:noProof/>
              </w:rPr>
              <w:t>4</w:t>
            </w:r>
            <w:r w:rsidR="0007378F">
              <w:rPr>
                <w:rFonts w:eastAsiaTheme="minorEastAsia"/>
                <w:noProof/>
              </w:rPr>
              <w:tab/>
            </w:r>
            <w:r w:rsidR="0007378F" w:rsidRPr="00B40355">
              <w:rPr>
                <w:rStyle w:val="Hyperlink"/>
                <w:rFonts w:ascii="Times New Roman" w:hAnsi="Times New Roman" w:cs="Times New Roman"/>
                <w:noProof/>
              </w:rPr>
              <w:t>Financial Performance Analysis</w:t>
            </w:r>
            <w:r w:rsidR="0007378F">
              <w:rPr>
                <w:noProof/>
                <w:webHidden/>
              </w:rPr>
              <w:tab/>
            </w:r>
            <w:r w:rsidR="0007378F">
              <w:rPr>
                <w:noProof/>
                <w:webHidden/>
              </w:rPr>
              <w:fldChar w:fldCharType="begin"/>
            </w:r>
            <w:r w:rsidR="0007378F">
              <w:rPr>
                <w:noProof/>
                <w:webHidden/>
              </w:rPr>
              <w:instrText xml:space="preserve"> PAGEREF _Toc518818056 \h </w:instrText>
            </w:r>
            <w:r w:rsidR="0007378F">
              <w:rPr>
                <w:noProof/>
                <w:webHidden/>
              </w:rPr>
            </w:r>
            <w:r w:rsidR="0007378F">
              <w:rPr>
                <w:noProof/>
                <w:webHidden/>
              </w:rPr>
              <w:fldChar w:fldCharType="separate"/>
            </w:r>
            <w:r w:rsidR="0007378F">
              <w:rPr>
                <w:noProof/>
                <w:webHidden/>
              </w:rPr>
              <w:t>8</w:t>
            </w:r>
            <w:r w:rsidR="0007378F">
              <w:rPr>
                <w:noProof/>
                <w:webHidden/>
              </w:rPr>
              <w:fldChar w:fldCharType="end"/>
            </w:r>
          </w:hyperlink>
        </w:p>
        <w:p w:rsidR="0007378F" w:rsidRDefault="00CA7765" w:rsidP="0007378F">
          <w:pPr>
            <w:pStyle w:val="TOC2"/>
            <w:tabs>
              <w:tab w:val="left" w:pos="880"/>
              <w:tab w:val="right" w:leader="dot" w:pos="9017"/>
            </w:tabs>
            <w:rPr>
              <w:rFonts w:eastAsiaTheme="minorEastAsia"/>
              <w:noProof/>
            </w:rPr>
          </w:pPr>
          <w:hyperlink w:anchor="_Toc518818057" w:history="1">
            <w:r w:rsidR="0007378F" w:rsidRPr="00B40355">
              <w:rPr>
                <w:rStyle w:val="Hyperlink"/>
                <w:rFonts w:ascii="Times New Roman" w:hAnsi="Times New Roman" w:cs="Times New Roman"/>
                <w:noProof/>
              </w:rPr>
              <w:t>4.1</w:t>
            </w:r>
            <w:r w:rsidR="0007378F">
              <w:rPr>
                <w:rFonts w:eastAsiaTheme="minorEastAsia"/>
                <w:noProof/>
              </w:rPr>
              <w:tab/>
            </w:r>
            <w:r w:rsidR="0007378F" w:rsidRPr="00B40355">
              <w:rPr>
                <w:rStyle w:val="Hyperlink"/>
                <w:rFonts w:ascii="Times New Roman" w:hAnsi="Times New Roman" w:cs="Times New Roman"/>
                <w:noProof/>
              </w:rPr>
              <w:t>Ratios Analysis</w:t>
            </w:r>
            <w:r w:rsidR="0007378F">
              <w:rPr>
                <w:noProof/>
                <w:webHidden/>
              </w:rPr>
              <w:tab/>
            </w:r>
            <w:r w:rsidR="0007378F">
              <w:rPr>
                <w:noProof/>
                <w:webHidden/>
              </w:rPr>
              <w:fldChar w:fldCharType="begin"/>
            </w:r>
            <w:r w:rsidR="0007378F">
              <w:rPr>
                <w:noProof/>
                <w:webHidden/>
              </w:rPr>
              <w:instrText xml:space="preserve"> PAGEREF _Toc518818057 \h </w:instrText>
            </w:r>
            <w:r w:rsidR="0007378F">
              <w:rPr>
                <w:noProof/>
                <w:webHidden/>
              </w:rPr>
            </w:r>
            <w:r w:rsidR="0007378F">
              <w:rPr>
                <w:noProof/>
                <w:webHidden/>
              </w:rPr>
              <w:fldChar w:fldCharType="separate"/>
            </w:r>
            <w:r w:rsidR="0007378F">
              <w:rPr>
                <w:noProof/>
                <w:webHidden/>
              </w:rPr>
              <w:t>9</w:t>
            </w:r>
            <w:r w:rsidR="0007378F">
              <w:rPr>
                <w:noProof/>
                <w:webHidden/>
              </w:rPr>
              <w:fldChar w:fldCharType="end"/>
            </w:r>
          </w:hyperlink>
        </w:p>
        <w:p w:rsidR="0007378F" w:rsidRDefault="00CA7765" w:rsidP="0007378F">
          <w:pPr>
            <w:pStyle w:val="TOC3"/>
            <w:tabs>
              <w:tab w:val="left" w:pos="1320"/>
              <w:tab w:val="right" w:leader="dot" w:pos="9017"/>
            </w:tabs>
            <w:rPr>
              <w:rFonts w:eastAsiaTheme="minorEastAsia"/>
              <w:noProof/>
            </w:rPr>
          </w:pPr>
          <w:hyperlink w:anchor="_Toc518818058" w:history="1">
            <w:r w:rsidR="0007378F" w:rsidRPr="00B40355">
              <w:rPr>
                <w:rStyle w:val="Hyperlink"/>
                <w:rFonts w:ascii="Times New Roman" w:hAnsi="Times New Roman" w:cs="Times New Roman"/>
                <w:noProof/>
              </w:rPr>
              <w:t>4.1.1</w:t>
            </w:r>
            <w:r w:rsidR="0007378F">
              <w:rPr>
                <w:rFonts w:eastAsiaTheme="minorEastAsia"/>
                <w:noProof/>
              </w:rPr>
              <w:tab/>
            </w:r>
            <w:r w:rsidR="0007378F" w:rsidRPr="00B40355">
              <w:rPr>
                <w:rStyle w:val="Hyperlink"/>
                <w:rFonts w:ascii="Times New Roman" w:hAnsi="Times New Roman" w:cs="Times New Roman"/>
                <w:noProof/>
              </w:rPr>
              <w:t>Liquidity ratios</w:t>
            </w:r>
            <w:r w:rsidR="0007378F">
              <w:rPr>
                <w:noProof/>
                <w:webHidden/>
              </w:rPr>
              <w:tab/>
            </w:r>
            <w:r w:rsidR="0007378F">
              <w:rPr>
                <w:noProof/>
                <w:webHidden/>
              </w:rPr>
              <w:fldChar w:fldCharType="begin"/>
            </w:r>
            <w:r w:rsidR="0007378F">
              <w:rPr>
                <w:noProof/>
                <w:webHidden/>
              </w:rPr>
              <w:instrText xml:space="preserve"> PAGEREF _Toc518818058 \h </w:instrText>
            </w:r>
            <w:r w:rsidR="0007378F">
              <w:rPr>
                <w:noProof/>
                <w:webHidden/>
              </w:rPr>
            </w:r>
            <w:r w:rsidR="0007378F">
              <w:rPr>
                <w:noProof/>
                <w:webHidden/>
              </w:rPr>
              <w:fldChar w:fldCharType="separate"/>
            </w:r>
            <w:r w:rsidR="0007378F">
              <w:rPr>
                <w:noProof/>
                <w:webHidden/>
              </w:rPr>
              <w:t>9</w:t>
            </w:r>
            <w:r w:rsidR="0007378F">
              <w:rPr>
                <w:noProof/>
                <w:webHidden/>
              </w:rPr>
              <w:fldChar w:fldCharType="end"/>
            </w:r>
          </w:hyperlink>
        </w:p>
        <w:p w:rsidR="0007378F" w:rsidRDefault="00CA7765" w:rsidP="0007378F">
          <w:pPr>
            <w:pStyle w:val="TOC3"/>
            <w:tabs>
              <w:tab w:val="left" w:pos="1320"/>
              <w:tab w:val="right" w:leader="dot" w:pos="9017"/>
            </w:tabs>
            <w:rPr>
              <w:rFonts w:eastAsiaTheme="minorEastAsia"/>
              <w:noProof/>
            </w:rPr>
          </w:pPr>
          <w:hyperlink w:anchor="_Toc518818059" w:history="1">
            <w:r w:rsidR="0007378F" w:rsidRPr="00B40355">
              <w:rPr>
                <w:rStyle w:val="Hyperlink"/>
                <w:noProof/>
              </w:rPr>
              <w:t>4.1.2</w:t>
            </w:r>
            <w:r w:rsidR="0007378F">
              <w:rPr>
                <w:rFonts w:eastAsiaTheme="minorEastAsia"/>
                <w:noProof/>
              </w:rPr>
              <w:tab/>
            </w:r>
            <w:r w:rsidR="0007378F" w:rsidRPr="00B40355">
              <w:rPr>
                <w:rStyle w:val="Hyperlink"/>
                <w:noProof/>
              </w:rPr>
              <w:t>Long term solvency ratios</w:t>
            </w:r>
            <w:r w:rsidR="0007378F">
              <w:rPr>
                <w:noProof/>
                <w:webHidden/>
              </w:rPr>
              <w:tab/>
            </w:r>
            <w:r w:rsidR="0007378F">
              <w:rPr>
                <w:noProof/>
                <w:webHidden/>
              </w:rPr>
              <w:fldChar w:fldCharType="begin"/>
            </w:r>
            <w:r w:rsidR="0007378F">
              <w:rPr>
                <w:noProof/>
                <w:webHidden/>
              </w:rPr>
              <w:instrText xml:space="preserve"> PAGEREF _Toc518818059 \h </w:instrText>
            </w:r>
            <w:r w:rsidR="0007378F">
              <w:rPr>
                <w:noProof/>
                <w:webHidden/>
              </w:rPr>
            </w:r>
            <w:r w:rsidR="0007378F">
              <w:rPr>
                <w:noProof/>
                <w:webHidden/>
              </w:rPr>
              <w:fldChar w:fldCharType="separate"/>
            </w:r>
            <w:r w:rsidR="0007378F">
              <w:rPr>
                <w:noProof/>
                <w:webHidden/>
              </w:rPr>
              <w:t>17</w:t>
            </w:r>
            <w:r w:rsidR="0007378F">
              <w:rPr>
                <w:noProof/>
                <w:webHidden/>
              </w:rPr>
              <w:fldChar w:fldCharType="end"/>
            </w:r>
          </w:hyperlink>
        </w:p>
        <w:p w:rsidR="0007378F" w:rsidRDefault="00CA7765" w:rsidP="0007378F">
          <w:pPr>
            <w:pStyle w:val="TOC3"/>
            <w:tabs>
              <w:tab w:val="left" w:pos="1320"/>
              <w:tab w:val="right" w:leader="dot" w:pos="9017"/>
            </w:tabs>
            <w:rPr>
              <w:rFonts w:eastAsiaTheme="minorEastAsia"/>
              <w:noProof/>
            </w:rPr>
          </w:pPr>
          <w:hyperlink w:anchor="_Toc518818060" w:history="1">
            <w:r w:rsidR="0007378F" w:rsidRPr="00B40355">
              <w:rPr>
                <w:rStyle w:val="Hyperlink"/>
                <w:noProof/>
              </w:rPr>
              <w:t>4.1.3</w:t>
            </w:r>
            <w:r w:rsidR="0007378F">
              <w:rPr>
                <w:rFonts w:eastAsiaTheme="minorEastAsia"/>
                <w:noProof/>
              </w:rPr>
              <w:tab/>
            </w:r>
            <w:r w:rsidR="0007378F" w:rsidRPr="00B40355">
              <w:rPr>
                <w:rStyle w:val="Hyperlink"/>
                <w:noProof/>
              </w:rPr>
              <w:t>Turnover ratios</w:t>
            </w:r>
            <w:r w:rsidR="0007378F">
              <w:rPr>
                <w:noProof/>
                <w:webHidden/>
              </w:rPr>
              <w:tab/>
            </w:r>
            <w:r w:rsidR="0007378F">
              <w:rPr>
                <w:noProof/>
                <w:webHidden/>
              </w:rPr>
              <w:fldChar w:fldCharType="begin"/>
            </w:r>
            <w:r w:rsidR="0007378F">
              <w:rPr>
                <w:noProof/>
                <w:webHidden/>
              </w:rPr>
              <w:instrText xml:space="preserve"> PAGEREF _Toc518818060 \h </w:instrText>
            </w:r>
            <w:r w:rsidR="0007378F">
              <w:rPr>
                <w:noProof/>
                <w:webHidden/>
              </w:rPr>
            </w:r>
            <w:r w:rsidR="0007378F">
              <w:rPr>
                <w:noProof/>
                <w:webHidden/>
              </w:rPr>
              <w:fldChar w:fldCharType="separate"/>
            </w:r>
            <w:r w:rsidR="0007378F">
              <w:rPr>
                <w:noProof/>
                <w:webHidden/>
              </w:rPr>
              <w:t>20</w:t>
            </w:r>
            <w:r w:rsidR="0007378F">
              <w:rPr>
                <w:noProof/>
                <w:webHidden/>
              </w:rPr>
              <w:fldChar w:fldCharType="end"/>
            </w:r>
          </w:hyperlink>
        </w:p>
        <w:p w:rsidR="0007378F" w:rsidRDefault="00CA7765" w:rsidP="0007378F">
          <w:pPr>
            <w:pStyle w:val="TOC3"/>
            <w:tabs>
              <w:tab w:val="left" w:pos="1320"/>
              <w:tab w:val="right" w:leader="dot" w:pos="9017"/>
            </w:tabs>
            <w:rPr>
              <w:rFonts w:eastAsiaTheme="minorEastAsia"/>
              <w:noProof/>
            </w:rPr>
          </w:pPr>
          <w:hyperlink w:anchor="_Toc518818061" w:history="1">
            <w:r w:rsidR="0007378F" w:rsidRPr="00B40355">
              <w:rPr>
                <w:rStyle w:val="Hyperlink"/>
                <w:noProof/>
              </w:rPr>
              <w:t>4.1.4</w:t>
            </w:r>
            <w:r w:rsidR="0007378F">
              <w:rPr>
                <w:rFonts w:eastAsiaTheme="minorEastAsia"/>
                <w:noProof/>
              </w:rPr>
              <w:tab/>
            </w:r>
            <w:r w:rsidR="0007378F" w:rsidRPr="00B40355">
              <w:rPr>
                <w:rStyle w:val="Hyperlink"/>
                <w:noProof/>
              </w:rPr>
              <w:t>Profitability Ratios</w:t>
            </w:r>
            <w:r w:rsidR="0007378F">
              <w:rPr>
                <w:noProof/>
                <w:webHidden/>
              </w:rPr>
              <w:tab/>
            </w:r>
            <w:r w:rsidR="0007378F">
              <w:rPr>
                <w:noProof/>
                <w:webHidden/>
              </w:rPr>
              <w:fldChar w:fldCharType="begin"/>
            </w:r>
            <w:r w:rsidR="0007378F">
              <w:rPr>
                <w:noProof/>
                <w:webHidden/>
              </w:rPr>
              <w:instrText xml:space="preserve"> PAGEREF _Toc518818061 \h </w:instrText>
            </w:r>
            <w:r w:rsidR="0007378F">
              <w:rPr>
                <w:noProof/>
                <w:webHidden/>
              </w:rPr>
            </w:r>
            <w:r w:rsidR="0007378F">
              <w:rPr>
                <w:noProof/>
                <w:webHidden/>
              </w:rPr>
              <w:fldChar w:fldCharType="separate"/>
            </w:r>
            <w:r w:rsidR="0007378F">
              <w:rPr>
                <w:noProof/>
                <w:webHidden/>
              </w:rPr>
              <w:t>23</w:t>
            </w:r>
            <w:r w:rsidR="0007378F">
              <w:rPr>
                <w:noProof/>
                <w:webHidden/>
              </w:rPr>
              <w:fldChar w:fldCharType="end"/>
            </w:r>
          </w:hyperlink>
        </w:p>
        <w:p w:rsidR="0007378F" w:rsidRDefault="00CA7765" w:rsidP="0007378F">
          <w:pPr>
            <w:pStyle w:val="TOC1"/>
            <w:tabs>
              <w:tab w:val="left" w:pos="440"/>
              <w:tab w:val="right" w:leader="dot" w:pos="9017"/>
            </w:tabs>
            <w:rPr>
              <w:rFonts w:eastAsiaTheme="minorEastAsia"/>
              <w:noProof/>
            </w:rPr>
          </w:pPr>
          <w:hyperlink w:anchor="_Toc518818062" w:history="1">
            <w:r w:rsidR="0007378F" w:rsidRPr="00B40355">
              <w:rPr>
                <w:rStyle w:val="Hyperlink"/>
                <w:noProof/>
              </w:rPr>
              <w:t>5</w:t>
            </w:r>
            <w:r w:rsidR="0007378F">
              <w:rPr>
                <w:rFonts w:eastAsiaTheme="minorEastAsia"/>
                <w:noProof/>
              </w:rPr>
              <w:tab/>
            </w:r>
            <w:r w:rsidR="0007378F" w:rsidRPr="00B40355">
              <w:rPr>
                <w:rStyle w:val="Hyperlink"/>
                <w:noProof/>
              </w:rPr>
              <w:t>Trend analysis of nonperforming loan</w:t>
            </w:r>
            <w:r w:rsidR="0007378F">
              <w:rPr>
                <w:noProof/>
                <w:webHidden/>
              </w:rPr>
              <w:tab/>
            </w:r>
            <w:r w:rsidR="0007378F">
              <w:rPr>
                <w:noProof/>
                <w:webHidden/>
              </w:rPr>
              <w:fldChar w:fldCharType="begin"/>
            </w:r>
            <w:r w:rsidR="0007378F">
              <w:rPr>
                <w:noProof/>
                <w:webHidden/>
              </w:rPr>
              <w:instrText xml:space="preserve"> PAGEREF _Toc518818062 \h </w:instrText>
            </w:r>
            <w:r w:rsidR="0007378F">
              <w:rPr>
                <w:noProof/>
                <w:webHidden/>
              </w:rPr>
            </w:r>
            <w:r w:rsidR="0007378F">
              <w:rPr>
                <w:noProof/>
                <w:webHidden/>
              </w:rPr>
              <w:fldChar w:fldCharType="separate"/>
            </w:r>
            <w:r w:rsidR="0007378F">
              <w:rPr>
                <w:noProof/>
                <w:webHidden/>
              </w:rPr>
              <w:t>27</w:t>
            </w:r>
            <w:r w:rsidR="0007378F">
              <w:rPr>
                <w:noProof/>
                <w:webHidden/>
              </w:rPr>
              <w:fldChar w:fldCharType="end"/>
            </w:r>
          </w:hyperlink>
        </w:p>
        <w:p w:rsidR="0007378F" w:rsidRDefault="00CA7765" w:rsidP="0007378F">
          <w:pPr>
            <w:pStyle w:val="TOC2"/>
            <w:tabs>
              <w:tab w:val="left" w:pos="880"/>
              <w:tab w:val="right" w:leader="dot" w:pos="9017"/>
            </w:tabs>
            <w:rPr>
              <w:rFonts w:eastAsiaTheme="minorEastAsia"/>
              <w:noProof/>
            </w:rPr>
          </w:pPr>
          <w:hyperlink w:anchor="_Toc518818063" w:history="1">
            <w:r w:rsidR="0007378F" w:rsidRPr="00B40355">
              <w:rPr>
                <w:rStyle w:val="Hyperlink"/>
                <w:noProof/>
              </w:rPr>
              <w:t>5.1</w:t>
            </w:r>
            <w:r w:rsidR="0007378F">
              <w:rPr>
                <w:rFonts w:eastAsiaTheme="minorEastAsia"/>
                <w:noProof/>
              </w:rPr>
              <w:tab/>
            </w:r>
            <w:r w:rsidR="0007378F" w:rsidRPr="00B40355">
              <w:rPr>
                <w:rStyle w:val="Hyperlink"/>
                <w:noProof/>
              </w:rPr>
              <w:t>Literacy review of non-performing loan of Bangladesh</w:t>
            </w:r>
            <w:r w:rsidR="0007378F">
              <w:rPr>
                <w:noProof/>
                <w:webHidden/>
              </w:rPr>
              <w:tab/>
            </w:r>
            <w:r w:rsidR="0007378F">
              <w:rPr>
                <w:noProof/>
                <w:webHidden/>
              </w:rPr>
              <w:fldChar w:fldCharType="begin"/>
            </w:r>
            <w:r w:rsidR="0007378F">
              <w:rPr>
                <w:noProof/>
                <w:webHidden/>
              </w:rPr>
              <w:instrText xml:space="preserve"> PAGEREF _Toc518818063 \h </w:instrText>
            </w:r>
            <w:r w:rsidR="0007378F">
              <w:rPr>
                <w:noProof/>
                <w:webHidden/>
              </w:rPr>
            </w:r>
            <w:r w:rsidR="0007378F">
              <w:rPr>
                <w:noProof/>
                <w:webHidden/>
              </w:rPr>
              <w:fldChar w:fldCharType="separate"/>
            </w:r>
            <w:r w:rsidR="0007378F">
              <w:rPr>
                <w:noProof/>
                <w:webHidden/>
              </w:rPr>
              <w:t>32</w:t>
            </w:r>
            <w:r w:rsidR="0007378F">
              <w:rPr>
                <w:noProof/>
                <w:webHidden/>
              </w:rPr>
              <w:fldChar w:fldCharType="end"/>
            </w:r>
          </w:hyperlink>
        </w:p>
        <w:p w:rsidR="0007378F" w:rsidRDefault="00CA7765" w:rsidP="0007378F">
          <w:pPr>
            <w:pStyle w:val="TOC1"/>
            <w:tabs>
              <w:tab w:val="left" w:pos="440"/>
              <w:tab w:val="right" w:leader="dot" w:pos="9017"/>
            </w:tabs>
            <w:rPr>
              <w:rFonts w:eastAsiaTheme="minorEastAsia"/>
              <w:noProof/>
            </w:rPr>
          </w:pPr>
          <w:hyperlink w:anchor="_Toc518818064" w:history="1">
            <w:r w:rsidR="0007378F" w:rsidRPr="00B40355">
              <w:rPr>
                <w:rStyle w:val="Hyperlink"/>
                <w:noProof/>
              </w:rPr>
              <w:t>6</w:t>
            </w:r>
            <w:r w:rsidR="0007378F">
              <w:rPr>
                <w:rFonts w:eastAsiaTheme="minorEastAsia"/>
                <w:noProof/>
              </w:rPr>
              <w:tab/>
            </w:r>
            <w:r w:rsidR="0007378F" w:rsidRPr="00B40355">
              <w:rPr>
                <w:rStyle w:val="Hyperlink"/>
                <w:noProof/>
              </w:rPr>
              <w:t>Conclusion:</w:t>
            </w:r>
            <w:r w:rsidR="0007378F">
              <w:rPr>
                <w:noProof/>
                <w:webHidden/>
              </w:rPr>
              <w:tab/>
            </w:r>
            <w:r w:rsidR="0007378F">
              <w:rPr>
                <w:noProof/>
                <w:webHidden/>
              </w:rPr>
              <w:fldChar w:fldCharType="begin"/>
            </w:r>
            <w:r w:rsidR="0007378F">
              <w:rPr>
                <w:noProof/>
                <w:webHidden/>
              </w:rPr>
              <w:instrText xml:space="preserve"> PAGEREF _Toc518818064 \h </w:instrText>
            </w:r>
            <w:r w:rsidR="0007378F">
              <w:rPr>
                <w:noProof/>
                <w:webHidden/>
              </w:rPr>
            </w:r>
            <w:r w:rsidR="0007378F">
              <w:rPr>
                <w:noProof/>
                <w:webHidden/>
              </w:rPr>
              <w:fldChar w:fldCharType="separate"/>
            </w:r>
            <w:r w:rsidR="0007378F">
              <w:rPr>
                <w:noProof/>
                <w:webHidden/>
              </w:rPr>
              <w:t>33</w:t>
            </w:r>
            <w:r w:rsidR="0007378F">
              <w:rPr>
                <w:noProof/>
                <w:webHidden/>
              </w:rPr>
              <w:fldChar w:fldCharType="end"/>
            </w:r>
          </w:hyperlink>
        </w:p>
        <w:p w:rsidR="0007378F" w:rsidRPr="00A05AD7" w:rsidRDefault="0007378F" w:rsidP="0007378F">
          <w:pPr>
            <w:rPr>
              <w:noProof/>
            </w:rPr>
          </w:pPr>
          <w:r>
            <w:rPr>
              <w:b/>
              <w:bCs/>
              <w:noProof/>
            </w:rPr>
            <w:fldChar w:fldCharType="end"/>
          </w:r>
        </w:p>
      </w:sdtContent>
    </w:sdt>
    <w:p w:rsidR="0007378F" w:rsidRDefault="0007378F" w:rsidP="0007378F">
      <w:pPr>
        <w:pStyle w:val="Heading1"/>
        <w:spacing w:before="0"/>
        <w:ind w:left="432"/>
        <w:rPr>
          <w:color w:val="000000" w:themeColor="text1"/>
        </w:rPr>
      </w:pPr>
    </w:p>
    <w:p w:rsidR="0007378F" w:rsidRDefault="0007378F" w:rsidP="0007378F"/>
    <w:p w:rsidR="0007378F" w:rsidRDefault="0007378F" w:rsidP="0007378F"/>
    <w:p w:rsidR="0007378F" w:rsidRDefault="0007378F" w:rsidP="0007378F"/>
    <w:p w:rsidR="0007378F" w:rsidRDefault="0007378F" w:rsidP="0007378F"/>
    <w:p w:rsidR="0007378F" w:rsidRDefault="0007378F" w:rsidP="0007378F"/>
    <w:p w:rsidR="0007378F" w:rsidRDefault="0007378F" w:rsidP="0007378F"/>
    <w:p w:rsidR="0007378F" w:rsidRDefault="0007378F" w:rsidP="0007378F"/>
    <w:p w:rsidR="0007378F" w:rsidRDefault="0007378F" w:rsidP="0007378F">
      <w:pPr>
        <w:pStyle w:val="Heading1"/>
        <w:spacing w:before="0"/>
        <w:rPr>
          <w:rFonts w:asciiTheme="minorHAnsi" w:eastAsiaTheme="minorHAnsi" w:hAnsiTheme="minorHAnsi" w:cstheme="minorBidi"/>
          <w:b w:val="0"/>
          <w:bCs w:val="0"/>
          <w:color w:val="auto"/>
          <w:sz w:val="22"/>
          <w:szCs w:val="22"/>
        </w:rPr>
      </w:pPr>
    </w:p>
    <w:p w:rsidR="0007378F" w:rsidRDefault="0007378F" w:rsidP="0007378F"/>
    <w:p w:rsidR="0007378F" w:rsidRPr="00CB7F43" w:rsidRDefault="0007378F" w:rsidP="0007378F"/>
    <w:p w:rsidR="0007378F" w:rsidRPr="009C4FD0" w:rsidRDefault="0007378F" w:rsidP="0007378F">
      <w:pPr>
        <w:pStyle w:val="Heading1"/>
        <w:numPr>
          <w:ilvl w:val="0"/>
          <w:numId w:val="6"/>
        </w:numPr>
        <w:spacing w:before="0"/>
        <w:rPr>
          <w:color w:val="1F497D" w:themeColor="text2"/>
        </w:rPr>
      </w:pPr>
      <w:bookmarkStart w:id="6" w:name="_Toc518818047"/>
      <w:r w:rsidRPr="009C4FD0">
        <w:rPr>
          <w:color w:val="1F497D" w:themeColor="text2"/>
        </w:rPr>
        <w:t>Introduction</w:t>
      </w:r>
      <w:bookmarkEnd w:id="6"/>
    </w:p>
    <w:p w:rsidR="0007378F" w:rsidRPr="002E3A72" w:rsidRDefault="0007378F" w:rsidP="0007378F">
      <w:pPr>
        <w:widowControl w:val="0"/>
        <w:autoSpaceDE w:val="0"/>
        <w:autoSpaceDN w:val="0"/>
        <w:adjustRightInd w:val="0"/>
        <w:snapToGrid w:val="0"/>
        <w:spacing w:before="240" w:line="360" w:lineRule="auto"/>
        <w:jc w:val="both"/>
        <w:rPr>
          <w:rFonts w:ascii="Times New Roman" w:hAnsi="Times New Roman" w:cs="Times New Roman"/>
          <w:color w:val="000000"/>
          <w:sz w:val="24"/>
          <w:szCs w:val="24"/>
        </w:rPr>
      </w:pPr>
      <w:r w:rsidRPr="002E3A72">
        <w:rPr>
          <w:rFonts w:ascii="Times New Roman" w:hAnsi="Times New Roman" w:cs="Times New Roman"/>
          <w:color w:val="000000"/>
          <w:sz w:val="24"/>
          <w:szCs w:val="24"/>
        </w:rPr>
        <w:t xml:space="preserve">Economic antiquity shows that competition has started everywhere, even with the banking industry and its contribution towards the economy of Bangladesh. From practical knowledge, we will be able to know real life situations of the banking sectors of Bangladesh. Different types of bank perform in the banking sectors of our country. They work in the all over country and provide different types of service to the people. </w:t>
      </w:r>
    </w:p>
    <w:p w:rsidR="0007378F" w:rsidRPr="002E3A72" w:rsidRDefault="0007378F" w:rsidP="0007378F">
      <w:pPr>
        <w:widowControl w:val="0"/>
        <w:autoSpaceDE w:val="0"/>
        <w:autoSpaceDN w:val="0"/>
        <w:adjustRightInd w:val="0"/>
        <w:snapToGrid w:val="0"/>
        <w:spacing w:before="240" w:line="360" w:lineRule="auto"/>
        <w:jc w:val="both"/>
        <w:rPr>
          <w:rFonts w:ascii="Times New Roman" w:hAnsi="Times New Roman" w:cs="Times New Roman"/>
          <w:color w:val="000000"/>
          <w:sz w:val="24"/>
          <w:szCs w:val="24"/>
        </w:rPr>
      </w:pPr>
      <w:r w:rsidRPr="002E3A72">
        <w:rPr>
          <w:rFonts w:ascii="Times New Roman" w:hAnsi="Times New Roman" w:cs="Times New Roman"/>
          <w:color w:val="000000"/>
          <w:sz w:val="24"/>
          <w:szCs w:val="24"/>
        </w:rPr>
        <w:t xml:space="preserve">Banking sectors has huge contribution to our countries economics. If Banking sectors face any volatility then our countries economy will face volatility. Here in this report I will analysis the performance of the banking sectors basis on the five privet commercial bank of our country. There are Dhaka Bank, Brac Bank, Dutch Bangla Bank, Bank Asia and IFIC Bank.  </w:t>
      </w:r>
    </w:p>
    <w:p w:rsidR="0007378F" w:rsidRPr="009C4FD0" w:rsidRDefault="0007378F" w:rsidP="0007378F">
      <w:pPr>
        <w:widowControl w:val="0"/>
        <w:autoSpaceDE w:val="0"/>
        <w:autoSpaceDN w:val="0"/>
        <w:adjustRightInd w:val="0"/>
        <w:snapToGrid w:val="0"/>
        <w:spacing w:line="360" w:lineRule="auto"/>
        <w:jc w:val="both"/>
        <w:rPr>
          <w:color w:val="1F497D" w:themeColor="text2"/>
          <w:sz w:val="24"/>
          <w:szCs w:val="24"/>
        </w:rPr>
      </w:pPr>
      <w:r w:rsidRPr="009C4FD0">
        <w:rPr>
          <w:rFonts w:ascii="Times New Roman" w:hAnsi="Times New Roman" w:cs="Times New Roman"/>
          <w:b/>
          <w:iCs/>
          <w:color w:val="1F497D" w:themeColor="text2"/>
          <w:sz w:val="24"/>
          <w:szCs w:val="24"/>
        </w:rPr>
        <w:t xml:space="preserve">Objective of the Study </w:t>
      </w:r>
    </w:p>
    <w:p w:rsidR="0007378F" w:rsidRPr="009C4FD0" w:rsidRDefault="0007378F" w:rsidP="0007378F">
      <w:pPr>
        <w:pStyle w:val="Default"/>
        <w:spacing w:line="360" w:lineRule="auto"/>
        <w:jc w:val="both"/>
        <w:rPr>
          <w:rFonts w:ascii="Times New Roman" w:hAnsi="Times New Roman" w:cs="Times New Roman"/>
          <w:b/>
        </w:rPr>
      </w:pPr>
      <w:r w:rsidRPr="009C4FD0">
        <w:rPr>
          <w:rFonts w:ascii="Times New Roman" w:hAnsi="Times New Roman" w:cs="Times New Roman"/>
        </w:rPr>
        <w:t>The objective of this report is to complete the partial fulfillment requirement of the BBA program by gathering practical knowledge regarding retail banking, credit management and performance evaluation of the Bank. This practical orientation gives me a chance to co-ordinate my theoretical knowledge with the practical experience.</w:t>
      </w:r>
    </w:p>
    <w:p w:rsidR="0007378F" w:rsidRPr="009C4FD0" w:rsidRDefault="0007378F" w:rsidP="0007378F">
      <w:pPr>
        <w:widowControl w:val="0"/>
        <w:autoSpaceDE w:val="0"/>
        <w:autoSpaceDN w:val="0"/>
        <w:adjustRightInd w:val="0"/>
        <w:snapToGrid w:val="0"/>
        <w:spacing w:line="360" w:lineRule="auto"/>
        <w:jc w:val="both"/>
        <w:rPr>
          <w:rFonts w:ascii="Times New Roman" w:hAnsi="Times New Roman" w:cs="Times New Roman"/>
          <w:b/>
          <w:bCs/>
          <w:color w:val="1F497D" w:themeColor="text2"/>
          <w:sz w:val="24"/>
          <w:szCs w:val="24"/>
        </w:rPr>
      </w:pPr>
      <w:r w:rsidRPr="009C4FD0">
        <w:rPr>
          <w:rFonts w:ascii="Times New Roman" w:hAnsi="Times New Roman" w:cs="Times New Roman"/>
          <w:b/>
          <w:bCs/>
          <w:color w:val="1F497D" w:themeColor="text2"/>
          <w:sz w:val="24"/>
          <w:szCs w:val="24"/>
        </w:rPr>
        <w:t>General Objective</w:t>
      </w:r>
    </w:p>
    <w:p w:rsidR="0007378F" w:rsidRPr="002E3A72" w:rsidRDefault="0007378F" w:rsidP="0007378F">
      <w:pPr>
        <w:widowControl w:val="0"/>
        <w:autoSpaceDE w:val="0"/>
        <w:autoSpaceDN w:val="0"/>
        <w:adjustRightInd w:val="0"/>
        <w:snapToGrid w:val="0"/>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The leading objective of the report, “</w:t>
      </w:r>
      <w:r w:rsidRPr="002E3A72">
        <w:rPr>
          <w:rFonts w:ascii="Times New Roman" w:hAnsi="Times New Roman" w:cs="Times New Roman"/>
          <w:b/>
          <w:sz w:val="24"/>
          <w:szCs w:val="24"/>
        </w:rPr>
        <w:t>Performance analysis of banking sectors of Bangladesh</w:t>
      </w:r>
      <w:r w:rsidRPr="002E3A72">
        <w:rPr>
          <w:rFonts w:ascii="Times New Roman" w:hAnsi="Times New Roman" w:cs="Times New Roman"/>
          <w:sz w:val="24"/>
          <w:szCs w:val="24"/>
        </w:rPr>
        <w:t>”.</w:t>
      </w:r>
    </w:p>
    <w:p w:rsidR="0007378F" w:rsidRPr="009C4FD0" w:rsidRDefault="0007378F" w:rsidP="0007378F">
      <w:pPr>
        <w:widowControl w:val="0"/>
        <w:autoSpaceDE w:val="0"/>
        <w:autoSpaceDN w:val="0"/>
        <w:adjustRightInd w:val="0"/>
        <w:snapToGrid w:val="0"/>
        <w:spacing w:line="360" w:lineRule="auto"/>
        <w:jc w:val="both"/>
        <w:rPr>
          <w:rFonts w:ascii="Times New Roman" w:hAnsi="Times New Roman" w:cs="Times New Roman"/>
          <w:b/>
          <w:bCs/>
          <w:color w:val="1F497D" w:themeColor="text2"/>
          <w:sz w:val="24"/>
          <w:szCs w:val="24"/>
        </w:rPr>
      </w:pPr>
      <w:r w:rsidRPr="009C4FD0">
        <w:rPr>
          <w:rFonts w:ascii="Times New Roman" w:hAnsi="Times New Roman" w:cs="Times New Roman"/>
          <w:b/>
          <w:bCs/>
          <w:color w:val="1F497D" w:themeColor="text2"/>
          <w:sz w:val="24"/>
          <w:szCs w:val="24"/>
        </w:rPr>
        <w:t>Specific Objective</w:t>
      </w:r>
    </w:p>
    <w:p w:rsidR="0007378F" w:rsidRPr="002E3A72" w:rsidRDefault="0007378F" w:rsidP="0007378F">
      <w:pPr>
        <w:widowControl w:val="0"/>
        <w:autoSpaceDE w:val="0"/>
        <w:autoSpaceDN w:val="0"/>
        <w:adjustRightInd w:val="0"/>
        <w:snapToGrid w:val="0"/>
        <w:spacing w:line="360" w:lineRule="auto"/>
        <w:jc w:val="both"/>
        <w:rPr>
          <w:rFonts w:ascii="Times New Roman" w:hAnsi="Times New Roman" w:cs="Times New Roman"/>
          <w:b/>
          <w:bCs/>
          <w:sz w:val="24"/>
          <w:szCs w:val="24"/>
        </w:rPr>
      </w:pPr>
      <w:r w:rsidRPr="002E3A72">
        <w:rPr>
          <w:rFonts w:ascii="Times New Roman" w:hAnsi="Times New Roman" w:cs="Times New Roman"/>
          <w:b/>
          <w:bCs/>
          <w:sz w:val="24"/>
          <w:szCs w:val="24"/>
        </w:rPr>
        <w:t>Part#01</w:t>
      </w:r>
    </w:p>
    <w:p w:rsidR="0007378F" w:rsidRPr="002E3A72" w:rsidRDefault="0007378F" w:rsidP="0007378F">
      <w:pPr>
        <w:pStyle w:val="ListParagraph"/>
        <w:numPr>
          <w:ilvl w:val="0"/>
          <w:numId w:val="19"/>
        </w:num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To assess the present situation of our banking sector.</w:t>
      </w:r>
    </w:p>
    <w:p w:rsidR="0007378F" w:rsidRPr="002E3A72" w:rsidRDefault="0007378F" w:rsidP="0007378F">
      <w:pPr>
        <w:pStyle w:val="ListParagraph"/>
        <w:numPr>
          <w:ilvl w:val="0"/>
          <w:numId w:val="19"/>
        </w:num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To assess the present situation of Current and long-term ratio in our banking sector.</w:t>
      </w:r>
    </w:p>
    <w:p w:rsidR="0007378F" w:rsidRPr="002E3A72" w:rsidRDefault="0007378F" w:rsidP="0007378F">
      <w:pPr>
        <w:pStyle w:val="ListParagraph"/>
        <w:numPr>
          <w:ilvl w:val="0"/>
          <w:numId w:val="19"/>
        </w:num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To identify the present Earning ratio of our banking sector.</w:t>
      </w:r>
    </w:p>
    <w:p w:rsidR="0007378F" w:rsidRPr="002E3A72" w:rsidRDefault="0007378F" w:rsidP="0007378F">
      <w:pPr>
        <w:pStyle w:val="ListParagraph"/>
        <w:numPr>
          <w:ilvl w:val="0"/>
          <w:numId w:val="19"/>
        </w:num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To assess the present situation of non-performing loans in our banking sector.</w:t>
      </w:r>
    </w:p>
    <w:p w:rsidR="0007378F" w:rsidRPr="002E3A72" w:rsidRDefault="0007378F" w:rsidP="0007378F">
      <w:pPr>
        <w:pStyle w:val="ListParagraph"/>
        <w:numPr>
          <w:ilvl w:val="0"/>
          <w:numId w:val="19"/>
        </w:num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 xml:space="preserve">To show the trend of the “loan default problem’’ in Bangladesh. </w:t>
      </w:r>
    </w:p>
    <w:p w:rsidR="0007378F" w:rsidRPr="002E3A72" w:rsidRDefault="0007378F" w:rsidP="0007378F">
      <w:pPr>
        <w:pStyle w:val="ListParagraph"/>
        <w:numPr>
          <w:ilvl w:val="0"/>
          <w:numId w:val="19"/>
        </w:num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To examine the loan default status of commercial banks.</w:t>
      </w:r>
    </w:p>
    <w:p w:rsidR="0007378F" w:rsidRDefault="0007378F" w:rsidP="0007378F">
      <w:pPr>
        <w:widowControl w:val="0"/>
        <w:autoSpaceDE w:val="0"/>
        <w:autoSpaceDN w:val="0"/>
        <w:adjustRightInd w:val="0"/>
        <w:snapToGrid w:val="0"/>
        <w:spacing w:line="360" w:lineRule="auto"/>
        <w:jc w:val="both"/>
        <w:rPr>
          <w:rFonts w:ascii="Times New Roman" w:hAnsi="Times New Roman" w:cs="Times New Roman"/>
          <w:b/>
          <w:bCs/>
          <w:sz w:val="24"/>
          <w:szCs w:val="24"/>
        </w:rPr>
      </w:pPr>
    </w:p>
    <w:p w:rsidR="0007378F" w:rsidRPr="002E3A72" w:rsidRDefault="0007378F" w:rsidP="0007378F">
      <w:pPr>
        <w:widowControl w:val="0"/>
        <w:autoSpaceDE w:val="0"/>
        <w:autoSpaceDN w:val="0"/>
        <w:adjustRightInd w:val="0"/>
        <w:snapToGrid w:val="0"/>
        <w:spacing w:line="360" w:lineRule="auto"/>
        <w:jc w:val="both"/>
        <w:rPr>
          <w:rFonts w:ascii="Times New Roman" w:hAnsi="Times New Roman" w:cs="Times New Roman"/>
          <w:b/>
          <w:bCs/>
          <w:sz w:val="24"/>
          <w:szCs w:val="24"/>
        </w:rPr>
      </w:pPr>
      <w:r w:rsidRPr="002E3A72">
        <w:rPr>
          <w:rFonts w:ascii="Times New Roman" w:hAnsi="Times New Roman" w:cs="Times New Roman"/>
          <w:b/>
          <w:bCs/>
          <w:sz w:val="24"/>
          <w:szCs w:val="24"/>
        </w:rPr>
        <w:t>Part#02</w:t>
      </w:r>
      <w:r w:rsidRPr="002E3A72">
        <w:rPr>
          <w:rFonts w:ascii="Times New Roman" w:hAnsi="Times New Roman" w:cs="Times New Roman"/>
          <w:sz w:val="24"/>
          <w:szCs w:val="24"/>
        </w:rPr>
        <w:t></w:t>
      </w:r>
    </w:p>
    <w:p w:rsidR="0007378F" w:rsidRPr="002E3A72" w:rsidRDefault="0007378F" w:rsidP="0007378F">
      <w:pPr>
        <w:widowControl w:val="0"/>
        <w:autoSpaceDE w:val="0"/>
        <w:autoSpaceDN w:val="0"/>
        <w:adjustRightInd w:val="0"/>
        <w:snapToGrid w:val="0"/>
        <w:spacing w:line="360" w:lineRule="auto"/>
        <w:jc w:val="both"/>
        <w:rPr>
          <w:rFonts w:ascii="Times New Roman" w:hAnsi="Times New Roman" w:cs="Times New Roman"/>
          <w:color w:val="000000"/>
          <w:sz w:val="24"/>
          <w:szCs w:val="24"/>
        </w:rPr>
      </w:pPr>
      <w:r w:rsidRPr="002E3A72">
        <w:rPr>
          <w:rFonts w:ascii="Times New Roman" w:hAnsi="Times New Roman" w:cs="Times New Roman"/>
          <w:color w:val="000000"/>
          <w:sz w:val="24"/>
          <w:szCs w:val="24"/>
        </w:rPr>
        <w:t>The Project study is undertaken to analyze and understand the financial literacy of general people.</w:t>
      </w:r>
    </w:p>
    <w:p w:rsidR="0007378F" w:rsidRPr="009C4FD0" w:rsidRDefault="0007378F" w:rsidP="0007378F">
      <w:pPr>
        <w:pStyle w:val="Default"/>
        <w:spacing w:line="360" w:lineRule="auto"/>
        <w:jc w:val="both"/>
        <w:rPr>
          <w:rFonts w:ascii="Times New Roman" w:hAnsi="Times New Roman" w:cs="Times New Roman"/>
          <w:b/>
          <w:i/>
          <w:iCs/>
          <w:color w:val="1F497D" w:themeColor="text2"/>
        </w:rPr>
      </w:pPr>
      <w:r w:rsidRPr="009C4FD0">
        <w:rPr>
          <w:rFonts w:ascii="Times New Roman" w:hAnsi="Times New Roman" w:cs="Times New Roman"/>
          <w:b/>
          <w:iCs/>
          <w:color w:val="1F497D" w:themeColor="text2"/>
        </w:rPr>
        <w:t>Methodology of Study</w:t>
      </w:r>
      <w:r w:rsidRPr="009C4FD0">
        <w:rPr>
          <w:rFonts w:ascii="Times New Roman" w:hAnsi="Times New Roman" w:cs="Times New Roman"/>
          <w:b/>
          <w:i/>
          <w:iCs/>
          <w:color w:val="1F497D" w:themeColor="text2"/>
        </w:rPr>
        <w:t xml:space="preserve">: </w:t>
      </w:r>
    </w:p>
    <w:p w:rsidR="0007378F" w:rsidRPr="002E3A72" w:rsidRDefault="0007378F" w:rsidP="0007378F">
      <w:p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The research methodology of the study has been enumerated below:</w:t>
      </w:r>
    </w:p>
    <w:p w:rsidR="0007378F" w:rsidRPr="009C4FD0" w:rsidRDefault="0007378F" w:rsidP="0007378F">
      <w:pPr>
        <w:spacing w:line="360" w:lineRule="auto"/>
        <w:jc w:val="both"/>
        <w:rPr>
          <w:rFonts w:ascii="Times New Roman" w:hAnsi="Times New Roman" w:cs="Times New Roman"/>
          <w:b/>
          <w:color w:val="1F497D" w:themeColor="text2"/>
          <w:sz w:val="24"/>
          <w:szCs w:val="24"/>
        </w:rPr>
      </w:pPr>
      <w:r w:rsidRPr="009C4FD0">
        <w:rPr>
          <w:rFonts w:ascii="Times New Roman" w:hAnsi="Times New Roman" w:cs="Times New Roman"/>
          <w:b/>
          <w:color w:val="1F497D" w:themeColor="text2"/>
          <w:sz w:val="24"/>
          <w:szCs w:val="24"/>
        </w:rPr>
        <w:t xml:space="preserve">Sources of Data and Data Collection: </w:t>
      </w:r>
    </w:p>
    <w:p w:rsidR="0007378F" w:rsidRPr="002E3A72" w:rsidRDefault="0007378F" w:rsidP="0007378F">
      <w:p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Data has been collected from the various secondary sources like Annual report, research works of individuals, different publications, journal of different institutions, Bangladesh Bank Credit Risk Grading manual , Bangladesh Bank annual report etc.</w:t>
      </w:r>
    </w:p>
    <w:p w:rsidR="0007378F" w:rsidRPr="009C4FD0" w:rsidRDefault="0007378F" w:rsidP="0007378F">
      <w:pPr>
        <w:spacing w:line="360" w:lineRule="auto"/>
        <w:jc w:val="both"/>
        <w:rPr>
          <w:rFonts w:ascii="Times New Roman" w:hAnsi="Times New Roman" w:cs="Times New Roman"/>
          <w:b/>
          <w:color w:val="1F497D" w:themeColor="text2"/>
          <w:sz w:val="24"/>
          <w:szCs w:val="24"/>
        </w:rPr>
      </w:pPr>
      <w:r w:rsidRPr="009C4FD0">
        <w:rPr>
          <w:rFonts w:ascii="Times New Roman" w:hAnsi="Times New Roman" w:cs="Times New Roman"/>
          <w:b/>
          <w:color w:val="1F497D" w:themeColor="text2"/>
          <w:sz w:val="24"/>
          <w:szCs w:val="24"/>
        </w:rPr>
        <w:t>Limitations of the study:</w:t>
      </w:r>
    </w:p>
    <w:p w:rsidR="0007378F" w:rsidRPr="009169FA" w:rsidRDefault="0007378F" w:rsidP="0007378F">
      <w:pPr>
        <w:spacing w:line="360" w:lineRule="auto"/>
        <w:jc w:val="both"/>
        <w:rPr>
          <w:rFonts w:ascii="Times New Roman" w:hAnsi="Times New Roman" w:cs="Times New Roman"/>
          <w:b/>
          <w:sz w:val="24"/>
          <w:szCs w:val="24"/>
        </w:rPr>
      </w:pPr>
      <w:r w:rsidRPr="002E3A72">
        <w:rPr>
          <w:rFonts w:ascii="Times New Roman" w:hAnsi="Times New Roman" w:cs="Times New Roman"/>
          <w:sz w:val="24"/>
          <w:szCs w:val="24"/>
        </w:rPr>
        <w:t xml:space="preserve">The limitations of the study are </w:t>
      </w:r>
    </w:p>
    <w:p w:rsidR="0007378F" w:rsidRPr="002E3A72" w:rsidRDefault="0007378F" w:rsidP="0007378F">
      <w:p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1.This study did not cover primary and unpublished data.</w:t>
      </w:r>
    </w:p>
    <w:p w:rsidR="0007378F" w:rsidRPr="002E3A72" w:rsidRDefault="0007378F" w:rsidP="0007378F">
      <w:p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 xml:space="preserve"> 2. The major problem faced while conducting the research was unavailability of relevant data.</w:t>
      </w:r>
    </w:p>
    <w:p w:rsidR="0007378F" w:rsidRDefault="0007378F" w:rsidP="0007378F">
      <w:pPr>
        <w:spacing w:line="360" w:lineRule="auto"/>
        <w:jc w:val="both"/>
        <w:rPr>
          <w:rFonts w:ascii="Times New Roman" w:hAnsi="Times New Roman" w:cs="Times New Roman"/>
          <w:sz w:val="24"/>
          <w:szCs w:val="24"/>
        </w:rPr>
      </w:pPr>
      <w:r w:rsidRPr="002E3A72">
        <w:rPr>
          <w:rFonts w:ascii="Times New Roman" w:hAnsi="Times New Roman" w:cs="Times New Roman"/>
          <w:sz w:val="24"/>
          <w:szCs w:val="24"/>
        </w:rPr>
        <w:t xml:space="preserve"> 3. Time constraint.</w:t>
      </w: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Pr="002E3A72" w:rsidRDefault="0007378F" w:rsidP="0007378F">
      <w:pPr>
        <w:spacing w:line="360" w:lineRule="auto"/>
        <w:jc w:val="both"/>
        <w:rPr>
          <w:rFonts w:ascii="Times New Roman" w:hAnsi="Times New Roman" w:cs="Times New Roman"/>
          <w:sz w:val="24"/>
          <w:szCs w:val="24"/>
        </w:rPr>
      </w:pPr>
    </w:p>
    <w:p w:rsidR="0007378F" w:rsidRPr="009C4FD0" w:rsidRDefault="0007378F" w:rsidP="0007378F">
      <w:pPr>
        <w:pStyle w:val="Heading1"/>
        <w:numPr>
          <w:ilvl w:val="0"/>
          <w:numId w:val="6"/>
        </w:numPr>
        <w:spacing w:line="360" w:lineRule="auto"/>
        <w:jc w:val="both"/>
        <w:rPr>
          <w:color w:val="1F497D" w:themeColor="text2"/>
        </w:rPr>
      </w:pPr>
      <w:bookmarkStart w:id="7" w:name="_Toc518818048"/>
      <w:r w:rsidRPr="009C4FD0">
        <w:rPr>
          <w:color w:val="1F497D" w:themeColor="text2"/>
        </w:rPr>
        <w:lastRenderedPageBreak/>
        <w:t>Overview of Banking  Industary</w:t>
      </w:r>
      <w:bookmarkEnd w:id="7"/>
    </w:p>
    <w:p w:rsidR="0007378F" w:rsidRDefault="0007378F" w:rsidP="0007378F">
      <w:pPr>
        <w:spacing w:line="360" w:lineRule="auto"/>
        <w:jc w:val="both"/>
        <w:rPr>
          <w:rFonts w:ascii="Times New Roman" w:hAnsi="Times New Roman" w:cs="Times New Roman"/>
          <w:b/>
          <w:sz w:val="24"/>
          <w:szCs w:val="24"/>
        </w:rPr>
      </w:pPr>
      <w:r w:rsidRPr="00E54950">
        <w:rPr>
          <w:rFonts w:ascii="Times New Roman" w:hAnsi="Times New Roman" w:cs="Times New Roman"/>
          <w:sz w:val="24"/>
          <w:szCs w:val="24"/>
        </w:rPr>
        <w:t xml:space="preserve">A bank is a financial institution whose main aim to bring money </w:t>
      </w:r>
      <w:r w:rsidRPr="003D4840">
        <w:rPr>
          <w:rFonts w:ascii="Times New Roman" w:hAnsi="Times New Roman" w:cs="Times New Roman"/>
          <w:sz w:val="24"/>
          <w:szCs w:val="24"/>
        </w:rPr>
        <w:t xml:space="preserve">from the surplus unit to the deficit unit </w:t>
      </w:r>
      <w:r w:rsidRPr="00E54950">
        <w:rPr>
          <w:rFonts w:ascii="Times New Roman" w:hAnsi="Times New Roman" w:cs="Times New Roman"/>
          <w:sz w:val="24"/>
          <w:szCs w:val="24"/>
        </w:rPr>
        <w:t xml:space="preserve">and earn profit. No doubt that it plays a vital role in forecasting the economic and social condition of a country. </w:t>
      </w:r>
      <w:r w:rsidRPr="003D4840">
        <w:rPr>
          <w:rFonts w:ascii="Times New Roman" w:hAnsi="Times New Roman" w:cs="Times New Roman"/>
          <w:sz w:val="24"/>
          <w:szCs w:val="24"/>
        </w:rPr>
        <w:t>The banking industry in Bangladesh is mixed one comprising nationalized, private, and foreign commercial banks. After the independence, banking industry in Bangladesh started its journey with Bangladesh Bank, 4 nationalized commercialized banks, 2 State owned specialized banks and 3 Foreign Banks. In the 1980's banking industry achieved significant expansion with the entrance of private banks. Overview of Banking Sector in</w:t>
      </w:r>
      <w:r w:rsidRPr="003D4840">
        <w:rPr>
          <w:rFonts w:ascii="Times New Roman" w:hAnsi="Times New Roman" w:cs="Times New Roman"/>
          <w:spacing w:val="-7"/>
          <w:sz w:val="24"/>
          <w:szCs w:val="24"/>
        </w:rPr>
        <w:t xml:space="preserve"> </w:t>
      </w:r>
      <w:r w:rsidRPr="003D4840">
        <w:rPr>
          <w:rFonts w:ascii="Times New Roman" w:hAnsi="Times New Roman" w:cs="Times New Roman"/>
          <w:sz w:val="24"/>
          <w:szCs w:val="24"/>
        </w:rPr>
        <w:t>Bangladesh</w:t>
      </w:r>
      <w:r w:rsidRPr="003D4840">
        <w:rPr>
          <w:rFonts w:ascii="Times New Roman" w:hAnsi="Times New Roman" w:cs="Times New Roman"/>
          <w:b/>
          <w:sz w:val="24"/>
          <w:szCs w:val="24"/>
        </w:rPr>
        <w:t xml:space="preserve"> </w:t>
      </w:r>
    </w:p>
    <w:p w:rsidR="0007378F" w:rsidRPr="009C4FD0" w:rsidRDefault="0007378F" w:rsidP="0007378F">
      <w:pPr>
        <w:pStyle w:val="Heading2"/>
        <w:numPr>
          <w:ilvl w:val="1"/>
          <w:numId w:val="6"/>
        </w:numPr>
        <w:spacing w:before="200" w:line="360" w:lineRule="auto"/>
        <w:rPr>
          <w:color w:val="1F497D" w:themeColor="text2"/>
          <w:sz w:val="24"/>
        </w:rPr>
      </w:pPr>
      <w:bookmarkStart w:id="8" w:name="_Toc518818049"/>
      <w:r w:rsidRPr="009C4FD0">
        <w:rPr>
          <w:color w:val="1F497D" w:themeColor="text2"/>
          <w:sz w:val="24"/>
        </w:rPr>
        <w:t>Bangladesh Bank</w:t>
      </w:r>
      <w:bookmarkEnd w:id="8"/>
      <w:r w:rsidRPr="009C4FD0">
        <w:rPr>
          <w:color w:val="1F497D" w:themeColor="text2"/>
          <w:sz w:val="24"/>
        </w:rPr>
        <w:tab/>
      </w:r>
    </w:p>
    <w:p w:rsidR="0007378F" w:rsidRPr="003D4840" w:rsidRDefault="0007378F" w:rsidP="0007378F">
      <w:pPr>
        <w:spacing w:line="360" w:lineRule="auto"/>
        <w:jc w:val="both"/>
        <w:rPr>
          <w:rFonts w:ascii="Times New Roman" w:hAnsi="Times New Roman" w:cs="Times New Roman"/>
          <w:sz w:val="24"/>
          <w:szCs w:val="24"/>
        </w:rPr>
      </w:pPr>
      <w:r w:rsidRPr="003D4840">
        <w:rPr>
          <w:rFonts w:ascii="Times New Roman" w:hAnsi="Times New Roman" w:cs="Times New Roman"/>
          <w:sz w:val="24"/>
          <w:szCs w:val="24"/>
        </w:rPr>
        <w:t>Bangladesh</w:t>
      </w:r>
      <w:r w:rsidRPr="003D4840">
        <w:rPr>
          <w:rFonts w:ascii="Times New Roman" w:hAnsi="Times New Roman" w:cs="Times New Roman"/>
          <w:spacing w:val="-10"/>
          <w:sz w:val="24"/>
          <w:szCs w:val="24"/>
        </w:rPr>
        <w:t xml:space="preserve"> </w:t>
      </w:r>
      <w:r w:rsidRPr="003D4840">
        <w:rPr>
          <w:rFonts w:ascii="Times New Roman" w:hAnsi="Times New Roman" w:cs="Times New Roman"/>
          <w:sz w:val="24"/>
          <w:szCs w:val="24"/>
        </w:rPr>
        <w:t>Bank,</w:t>
      </w:r>
      <w:r w:rsidRPr="003D4840">
        <w:rPr>
          <w:rFonts w:ascii="Times New Roman" w:hAnsi="Times New Roman" w:cs="Times New Roman"/>
          <w:spacing w:val="-9"/>
          <w:sz w:val="24"/>
          <w:szCs w:val="24"/>
        </w:rPr>
        <w:t xml:space="preserve"> </w:t>
      </w:r>
      <w:r w:rsidRPr="003D4840">
        <w:rPr>
          <w:rFonts w:ascii="Times New Roman" w:hAnsi="Times New Roman" w:cs="Times New Roman"/>
          <w:sz w:val="24"/>
          <w:szCs w:val="24"/>
        </w:rPr>
        <w:t>the</w:t>
      </w:r>
      <w:r w:rsidRPr="003D4840">
        <w:rPr>
          <w:rFonts w:ascii="Times New Roman" w:hAnsi="Times New Roman" w:cs="Times New Roman"/>
          <w:spacing w:val="-8"/>
          <w:sz w:val="24"/>
          <w:szCs w:val="24"/>
        </w:rPr>
        <w:t xml:space="preserve"> </w:t>
      </w:r>
      <w:r w:rsidRPr="003D4840">
        <w:rPr>
          <w:rFonts w:ascii="Times New Roman" w:hAnsi="Times New Roman" w:cs="Times New Roman"/>
          <w:sz w:val="24"/>
          <w:szCs w:val="24"/>
        </w:rPr>
        <w:t>central</w:t>
      </w:r>
      <w:r w:rsidRPr="003D4840">
        <w:rPr>
          <w:rFonts w:ascii="Times New Roman" w:hAnsi="Times New Roman" w:cs="Times New Roman"/>
          <w:spacing w:val="-7"/>
          <w:sz w:val="24"/>
          <w:szCs w:val="24"/>
        </w:rPr>
        <w:t xml:space="preserve"> </w:t>
      </w:r>
      <w:r w:rsidRPr="003D4840">
        <w:rPr>
          <w:rFonts w:ascii="Times New Roman" w:hAnsi="Times New Roman" w:cs="Times New Roman"/>
          <w:sz w:val="24"/>
          <w:szCs w:val="24"/>
        </w:rPr>
        <w:t>bank</w:t>
      </w:r>
      <w:r w:rsidRPr="003D4840">
        <w:rPr>
          <w:rFonts w:ascii="Times New Roman" w:hAnsi="Times New Roman" w:cs="Times New Roman"/>
          <w:spacing w:val="-8"/>
          <w:sz w:val="24"/>
          <w:szCs w:val="24"/>
        </w:rPr>
        <w:t xml:space="preserve"> </w:t>
      </w:r>
      <w:r w:rsidRPr="003D4840">
        <w:rPr>
          <w:rFonts w:ascii="Times New Roman" w:hAnsi="Times New Roman" w:cs="Times New Roman"/>
          <w:sz w:val="24"/>
          <w:szCs w:val="24"/>
        </w:rPr>
        <w:t>and</w:t>
      </w:r>
      <w:r w:rsidRPr="003D4840">
        <w:rPr>
          <w:rFonts w:ascii="Times New Roman" w:hAnsi="Times New Roman" w:cs="Times New Roman"/>
          <w:spacing w:val="-7"/>
          <w:sz w:val="24"/>
          <w:szCs w:val="24"/>
        </w:rPr>
        <w:t xml:space="preserve"> </w:t>
      </w:r>
      <w:r w:rsidRPr="003D4840">
        <w:rPr>
          <w:rFonts w:ascii="Times New Roman" w:hAnsi="Times New Roman" w:cs="Times New Roman"/>
          <w:sz w:val="24"/>
          <w:szCs w:val="24"/>
        </w:rPr>
        <w:t>main</w:t>
      </w:r>
      <w:r w:rsidRPr="003D4840">
        <w:rPr>
          <w:rFonts w:ascii="Times New Roman" w:hAnsi="Times New Roman" w:cs="Times New Roman"/>
          <w:spacing w:val="-7"/>
          <w:sz w:val="24"/>
          <w:szCs w:val="24"/>
        </w:rPr>
        <w:t xml:space="preserve"> </w:t>
      </w:r>
      <w:r w:rsidRPr="003D4840">
        <w:rPr>
          <w:rFonts w:ascii="Times New Roman" w:hAnsi="Times New Roman" w:cs="Times New Roman"/>
          <w:sz w:val="24"/>
          <w:szCs w:val="24"/>
        </w:rPr>
        <w:t>regulatory</w:t>
      </w:r>
      <w:r w:rsidRPr="003D4840">
        <w:rPr>
          <w:rFonts w:ascii="Times New Roman" w:hAnsi="Times New Roman" w:cs="Times New Roman"/>
          <w:spacing w:val="-8"/>
          <w:sz w:val="24"/>
          <w:szCs w:val="24"/>
        </w:rPr>
        <w:t xml:space="preserve"> </w:t>
      </w:r>
      <w:r w:rsidRPr="003D4840">
        <w:rPr>
          <w:rFonts w:ascii="Times New Roman" w:hAnsi="Times New Roman" w:cs="Times New Roman"/>
          <w:sz w:val="24"/>
          <w:szCs w:val="24"/>
        </w:rPr>
        <w:t>body</w:t>
      </w:r>
      <w:r w:rsidRPr="003D4840">
        <w:rPr>
          <w:rFonts w:ascii="Times New Roman" w:hAnsi="Times New Roman" w:cs="Times New Roman"/>
          <w:spacing w:val="-10"/>
          <w:sz w:val="24"/>
          <w:szCs w:val="24"/>
        </w:rPr>
        <w:t xml:space="preserve"> </w:t>
      </w:r>
      <w:r w:rsidRPr="003D4840">
        <w:rPr>
          <w:rFonts w:ascii="Times New Roman" w:hAnsi="Times New Roman" w:cs="Times New Roman"/>
          <w:sz w:val="24"/>
          <w:szCs w:val="24"/>
        </w:rPr>
        <w:t>for</w:t>
      </w:r>
      <w:r w:rsidRPr="003D4840">
        <w:rPr>
          <w:rFonts w:ascii="Times New Roman" w:hAnsi="Times New Roman" w:cs="Times New Roman"/>
          <w:spacing w:val="-8"/>
          <w:sz w:val="24"/>
          <w:szCs w:val="24"/>
        </w:rPr>
        <w:t xml:space="preserve"> </w:t>
      </w:r>
      <w:r w:rsidRPr="003D4840">
        <w:rPr>
          <w:rFonts w:ascii="Times New Roman" w:hAnsi="Times New Roman" w:cs="Times New Roman"/>
          <w:sz w:val="24"/>
          <w:szCs w:val="24"/>
        </w:rPr>
        <w:t>the</w:t>
      </w:r>
      <w:r w:rsidRPr="003D4840">
        <w:rPr>
          <w:rFonts w:ascii="Times New Roman" w:hAnsi="Times New Roman" w:cs="Times New Roman"/>
          <w:spacing w:val="-8"/>
          <w:sz w:val="24"/>
          <w:szCs w:val="24"/>
        </w:rPr>
        <w:t xml:space="preserve"> </w:t>
      </w:r>
      <w:r w:rsidRPr="003D4840">
        <w:rPr>
          <w:rFonts w:ascii="Times New Roman" w:hAnsi="Times New Roman" w:cs="Times New Roman"/>
          <w:sz w:val="24"/>
          <w:szCs w:val="24"/>
        </w:rPr>
        <w:t>country's</w:t>
      </w:r>
      <w:r w:rsidRPr="003D4840">
        <w:rPr>
          <w:rFonts w:ascii="Times New Roman" w:hAnsi="Times New Roman" w:cs="Times New Roman"/>
          <w:spacing w:val="-8"/>
          <w:sz w:val="24"/>
          <w:szCs w:val="24"/>
        </w:rPr>
        <w:t xml:space="preserve"> </w:t>
      </w:r>
      <w:r w:rsidRPr="003D4840">
        <w:rPr>
          <w:rFonts w:ascii="Times New Roman" w:hAnsi="Times New Roman" w:cs="Times New Roman"/>
          <w:sz w:val="24"/>
          <w:szCs w:val="24"/>
        </w:rPr>
        <w:t>financial</w:t>
      </w:r>
      <w:r w:rsidRPr="003D4840">
        <w:rPr>
          <w:rFonts w:ascii="Times New Roman" w:hAnsi="Times New Roman" w:cs="Times New Roman"/>
          <w:spacing w:val="-7"/>
          <w:sz w:val="24"/>
          <w:szCs w:val="24"/>
        </w:rPr>
        <w:t xml:space="preserve"> </w:t>
      </w:r>
      <w:r w:rsidRPr="003D4840">
        <w:rPr>
          <w:rFonts w:ascii="Times New Roman" w:hAnsi="Times New Roman" w:cs="Times New Roman"/>
          <w:sz w:val="24"/>
          <w:szCs w:val="24"/>
        </w:rPr>
        <w:t xml:space="preserve">system and monetary system was established in 16th December, 1971. </w:t>
      </w:r>
      <w:r w:rsidRPr="003D4840">
        <w:rPr>
          <w:rFonts w:ascii="Times New Roman" w:hAnsi="Times New Roman" w:cs="Times New Roman"/>
          <w:spacing w:val="-5"/>
          <w:sz w:val="24"/>
          <w:szCs w:val="24"/>
        </w:rPr>
        <w:t xml:space="preserve">Now, </w:t>
      </w:r>
      <w:r w:rsidRPr="003D4840">
        <w:rPr>
          <w:rFonts w:ascii="Times New Roman" w:hAnsi="Times New Roman" w:cs="Times New Roman"/>
          <w:sz w:val="24"/>
          <w:szCs w:val="24"/>
        </w:rPr>
        <w:t>it has nine offices located at different division of the country among which two in Capital city namely Motijheel and Sadarghat,</w:t>
      </w:r>
      <w:r w:rsidRPr="003D4840">
        <w:rPr>
          <w:rFonts w:ascii="Times New Roman" w:hAnsi="Times New Roman" w:cs="Times New Roman"/>
          <w:spacing w:val="-33"/>
          <w:sz w:val="24"/>
          <w:szCs w:val="24"/>
        </w:rPr>
        <w:t xml:space="preserve"> </w:t>
      </w:r>
      <w:r w:rsidRPr="003D4840">
        <w:rPr>
          <w:rFonts w:ascii="Times New Roman" w:hAnsi="Times New Roman" w:cs="Times New Roman"/>
          <w:sz w:val="24"/>
          <w:szCs w:val="24"/>
        </w:rPr>
        <w:t>two in Rajshahi division namely Bogra and Rajshahi and one is each of the rest five divisions namely Chittagong, Khulna, Sylhet, Barisal and</w:t>
      </w:r>
      <w:r w:rsidRPr="003D4840">
        <w:rPr>
          <w:rFonts w:ascii="Times New Roman" w:hAnsi="Times New Roman" w:cs="Times New Roman"/>
          <w:spacing w:val="-3"/>
          <w:sz w:val="24"/>
          <w:szCs w:val="24"/>
        </w:rPr>
        <w:t xml:space="preserve"> </w:t>
      </w:r>
      <w:r w:rsidRPr="003D4840">
        <w:rPr>
          <w:rFonts w:ascii="Times New Roman" w:hAnsi="Times New Roman" w:cs="Times New Roman"/>
          <w:sz w:val="24"/>
          <w:szCs w:val="24"/>
        </w:rPr>
        <w:t>Rangpur. Bangladesh bank is responsible for all types of task (like credit</w:t>
      </w:r>
      <w:r w:rsidRPr="003D4840">
        <w:rPr>
          <w:rFonts w:ascii="Times New Roman" w:hAnsi="Times New Roman" w:cs="Times New Roman"/>
          <w:spacing w:val="8"/>
          <w:sz w:val="24"/>
          <w:szCs w:val="24"/>
        </w:rPr>
        <w:t xml:space="preserve"> </w:t>
      </w:r>
      <w:r w:rsidRPr="003D4840">
        <w:rPr>
          <w:rFonts w:ascii="Times New Roman" w:hAnsi="Times New Roman" w:cs="Times New Roman"/>
          <w:sz w:val="24"/>
          <w:szCs w:val="24"/>
        </w:rPr>
        <w:t>policies, supervise and monitor banks, Currency issuance, Payment system</w:t>
      </w:r>
      <w:r w:rsidRPr="003D4840">
        <w:rPr>
          <w:rFonts w:ascii="Times New Roman" w:hAnsi="Times New Roman" w:cs="Times New Roman"/>
          <w:spacing w:val="-2"/>
          <w:sz w:val="24"/>
          <w:szCs w:val="24"/>
        </w:rPr>
        <w:t xml:space="preserve"> </w:t>
      </w:r>
      <w:r w:rsidRPr="003D4840">
        <w:rPr>
          <w:rFonts w:ascii="Times New Roman" w:hAnsi="Times New Roman" w:cs="Times New Roman"/>
          <w:sz w:val="24"/>
          <w:szCs w:val="24"/>
        </w:rPr>
        <w:t>management, Bankers to the</w:t>
      </w:r>
      <w:r w:rsidRPr="003D4840">
        <w:rPr>
          <w:rFonts w:ascii="Times New Roman" w:hAnsi="Times New Roman" w:cs="Times New Roman"/>
          <w:spacing w:val="-2"/>
          <w:sz w:val="24"/>
          <w:szCs w:val="24"/>
        </w:rPr>
        <w:t xml:space="preserve"> </w:t>
      </w:r>
      <w:r w:rsidRPr="003D4840">
        <w:rPr>
          <w:rFonts w:ascii="Times New Roman" w:hAnsi="Times New Roman" w:cs="Times New Roman"/>
          <w:sz w:val="24"/>
          <w:szCs w:val="24"/>
        </w:rPr>
        <w:t>Government, prevent money</w:t>
      </w:r>
      <w:r w:rsidRPr="003D4840">
        <w:rPr>
          <w:rFonts w:ascii="Times New Roman" w:hAnsi="Times New Roman" w:cs="Times New Roman"/>
          <w:spacing w:val="8"/>
          <w:sz w:val="24"/>
          <w:szCs w:val="24"/>
        </w:rPr>
        <w:t xml:space="preserve"> </w:t>
      </w:r>
      <w:r w:rsidRPr="003D4840">
        <w:rPr>
          <w:rFonts w:ascii="Times New Roman" w:hAnsi="Times New Roman" w:cs="Times New Roman"/>
          <w:sz w:val="24"/>
          <w:szCs w:val="24"/>
        </w:rPr>
        <w:t>laundering, Preserve all credit</w:t>
      </w:r>
      <w:r w:rsidRPr="003D4840">
        <w:rPr>
          <w:rFonts w:ascii="Times New Roman" w:hAnsi="Times New Roman" w:cs="Times New Roman"/>
          <w:spacing w:val="-4"/>
          <w:sz w:val="24"/>
          <w:szCs w:val="24"/>
        </w:rPr>
        <w:t xml:space="preserve"> </w:t>
      </w:r>
      <w:r w:rsidRPr="003D4840">
        <w:rPr>
          <w:rFonts w:ascii="Times New Roman" w:hAnsi="Times New Roman" w:cs="Times New Roman"/>
          <w:sz w:val="24"/>
          <w:szCs w:val="24"/>
        </w:rPr>
        <w:t xml:space="preserve">information) of banking sectors. </w:t>
      </w:r>
    </w:p>
    <w:p w:rsidR="0007378F" w:rsidRPr="009C4FD0" w:rsidRDefault="0007378F" w:rsidP="0007378F">
      <w:pPr>
        <w:pStyle w:val="Heading2"/>
        <w:numPr>
          <w:ilvl w:val="1"/>
          <w:numId w:val="6"/>
        </w:numPr>
        <w:spacing w:before="200" w:line="360" w:lineRule="auto"/>
        <w:rPr>
          <w:color w:val="1F497D" w:themeColor="text2"/>
          <w:sz w:val="24"/>
        </w:rPr>
      </w:pPr>
      <w:bookmarkStart w:id="9" w:name="_Toc518818050"/>
      <w:r w:rsidRPr="009C4FD0">
        <w:rPr>
          <w:color w:val="1F497D" w:themeColor="text2"/>
          <w:sz w:val="24"/>
        </w:rPr>
        <w:t>State-Owned Commercial Bank</w:t>
      </w:r>
      <w:bookmarkEnd w:id="9"/>
    </w:p>
    <w:p w:rsidR="0007378F" w:rsidRPr="00F134AC" w:rsidRDefault="0007378F" w:rsidP="0007378F">
      <w:pPr>
        <w:spacing w:line="360" w:lineRule="auto"/>
        <w:jc w:val="both"/>
        <w:rPr>
          <w:rFonts w:ascii="Times New Roman" w:hAnsi="Times New Roman" w:cs="Times New Roman"/>
          <w:sz w:val="24"/>
        </w:rPr>
      </w:pPr>
      <w:r w:rsidRPr="00F8500A">
        <w:rPr>
          <w:rFonts w:ascii="Times New Roman" w:hAnsi="Times New Roman" w:cs="Times New Roman"/>
          <w:sz w:val="24"/>
        </w:rPr>
        <w:t xml:space="preserve">Bangladesh has four state commercial bank. These bank are run by the government. These bank start of doing business after the liberation war. There main purpose is to provide different types of the service to the people. These four state owned bank are Janata Bank Ltd, Sonali Bank Ltd, Rupali Bank Ltd and Agrani Bank Ltd. </w:t>
      </w:r>
    </w:p>
    <w:p w:rsidR="0007378F" w:rsidRPr="009C4FD0" w:rsidRDefault="0007378F" w:rsidP="0007378F">
      <w:pPr>
        <w:pStyle w:val="Heading2"/>
        <w:numPr>
          <w:ilvl w:val="1"/>
          <w:numId w:val="6"/>
        </w:numPr>
        <w:spacing w:before="200" w:line="360" w:lineRule="auto"/>
        <w:jc w:val="both"/>
        <w:rPr>
          <w:color w:val="1F497D" w:themeColor="text2"/>
          <w:sz w:val="24"/>
        </w:rPr>
      </w:pPr>
      <w:bookmarkStart w:id="10" w:name="_Toc518818051"/>
      <w:r w:rsidRPr="009C4FD0">
        <w:rPr>
          <w:color w:val="1F497D" w:themeColor="text2"/>
          <w:sz w:val="24"/>
        </w:rPr>
        <w:t>Specialized Bank</w:t>
      </w:r>
      <w:bookmarkEnd w:id="10"/>
      <w:r w:rsidRPr="009C4FD0">
        <w:rPr>
          <w:color w:val="1F497D" w:themeColor="text2"/>
          <w:sz w:val="24"/>
        </w:rPr>
        <w:t xml:space="preserve"> </w:t>
      </w:r>
    </w:p>
    <w:p w:rsidR="0007378F" w:rsidRPr="003D4840" w:rsidRDefault="0007378F" w:rsidP="0007378F">
      <w:pPr>
        <w:spacing w:line="360" w:lineRule="auto"/>
        <w:jc w:val="both"/>
        <w:rPr>
          <w:rFonts w:ascii="Times New Roman" w:hAnsi="Times New Roman" w:cs="Times New Roman"/>
          <w:sz w:val="24"/>
          <w:szCs w:val="24"/>
        </w:rPr>
      </w:pPr>
      <w:r w:rsidRPr="003D4840">
        <w:rPr>
          <w:rFonts w:ascii="Times New Roman" w:hAnsi="Times New Roman" w:cs="Times New Roman"/>
          <w:sz w:val="24"/>
          <w:szCs w:val="24"/>
        </w:rPr>
        <w:t>After independent we have two specialized bank in our country. There are Bangladesh Krishi Bank and Bangladesh Shilpa Bank. Bangladesh Krishi Bank divided in two part one is Rajshahi Krishi Unnayan Bank (RAKUB) for Rajshahi division and another is Bangladesh Krishi bank for other part of Bangladesh in 1987. Bank</w:t>
      </w:r>
      <w:r w:rsidRPr="003D4840">
        <w:rPr>
          <w:rFonts w:ascii="Times New Roman" w:hAnsi="Times New Roman" w:cs="Times New Roman"/>
          <w:spacing w:val="-9"/>
          <w:sz w:val="24"/>
          <w:szCs w:val="24"/>
        </w:rPr>
        <w:t xml:space="preserve"> </w:t>
      </w:r>
      <w:r w:rsidRPr="003D4840">
        <w:rPr>
          <w:rFonts w:ascii="Times New Roman" w:hAnsi="Times New Roman" w:cs="Times New Roman"/>
          <w:sz w:val="24"/>
          <w:szCs w:val="24"/>
        </w:rPr>
        <w:t>of</w:t>
      </w:r>
      <w:r w:rsidRPr="003D4840">
        <w:rPr>
          <w:rFonts w:ascii="Times New Roman" w:hAnsi="Times New Roman" w:cs="Times New Roman"/>
          <w:spacing w:val="-10"/>
          <w:sz w:val="24"/>
          <w:szCs w:val="24"/>
        </w:rPr>
        <w:t xml:space="preserve"> </w:t>
      </w:r>
      <w:r w:rsidRPr="003D4840">
        <w:rPr>
          <w:rFonts w:ascii="Times New Roman" w:hAnsi="Times New Roman" w:cs="Times New Roman"/>
          <w:sz w:val="24"/>
          <w:szCs w:val="24"/>
        </w:rPr>
        <w:t>Small</w:t>
      </w:r>
      <w:r w:rsidRPr="003D4840">
        <w:rPr>
          <w:rFonts w:ascii="Times New Roman" w:hAnsi="Times New Roman" w:cs="Times New Roman"/>
          <w:spacing w:val="-8"/>
          <w:sz w:val="24"/>
          <w:szCs w:val="24"/>
        </w:rPr>
        <w:t xml:space="preserve"> </w:t>
      </w:r>
      <w:r w:rsidRPr="003D4840">
        <w:rPr>
          <w:rFonts w:ascii="Times New Roman" w:hAnsi="Times New Roman" w:cs="Times New Roman"/>
          <w:sz w:val="24"/>
          <w:szCs w:val="24"/>
        </w:rPr>
        <w:t>Industries and Commerce Bangladesh Ltd. (BASIC) was established as private bank for provide support to the small and medium entrepreneurship in 1988. Government</w:t>
      </w:r>
      <w:r w:rsidRPr="003D4840">
        <w:rPr>
          <w:rFonts w:ascii="Times New Roman" w:hAnsi="Times New Roman" w:cs="Times New Roman"/>
          <w:spacing w:val="-11"/>
          <w:sz w:val="24"/>
          <w:szCs w:val="24"/>
        </w:rPr>
        <w:t xml:space="preserve"> </w:t>
      </w:r>
      <w:r w:rsidRPr="003D4840">
        <w:rPr>
          <w:rFonts w:ascii="Times New Roman" w:hAnsi="Times New Roman" w:cs="Times New Roman"/>
          <w:sz w:val="24"/>
          <w:szCs w:val="24"/>
        </w:rPr>
        <w:t>of</w:t>
      </w:r>
      <w:r w:rsidRPr="003D4840">
        <w:rPr>
          <w:rFonts w:ascii="Times New Roman" w:hAnsi="Times New Roman" w:cs="Times New Roman"/>
          <w:spacing w:val="-12"/>
          <w:sz w:val="24"/>
          <w:szCs w:val="24"/>
        </w:rPr>
        <w:t xml:space="preserve"> </w:t>
      </w:r>
      <w:r w:rsidRPr="003D4840">
        <w:rPr>
          <w:rFonts w:ascii="Times New Roman" w:hAnsi="Times New Roman" w:cs="Times New Roman"/>
          <w:sz w:val="24"/>
          <w:szCs w:val="24"/>
        </w:rPr>
        <w:t>Bangladesh</w:t>
      </w:r>
      <w:r w:rsidRPr="003D4840">
        <w:rPr>
          <w:rFonts w:ascii="Times New Roman" w:hAnsi="Times New Roman" w:cs="Times New Roman"/>
          <w:spacing w:val="-10"/>
          <w:sz w:val="24"/>
          <w:szCs w:val="24"/>
        </w:rPr>
        <w:t xml:space="preserve"> </w:t>
      </w:r>
      <w:r w:rsidRPr="003D4840">
        <w:rPr>
          <w:rFonts w:ascii="Times New Roman" w:hAnsi="Times New Roman" w:cs="Times New Roman"/>
          <w:sz w:val="24"/>
          <w:szCs w:val="24"/>
        </w:rPr>
        <w:t>took</w:t>
      </w:r>
      <w:r w:rsidRPr="003D4840">
        <w:rPr>
          <w:rFonts w:ascii="Times New Roman" w:hAnsi="Times New Roman" w:cs="Times New Roman"/>
          <w:spacing w:val="-11"/>
          <w:sz w:val="24"/>
          <w:szCs w:val="24"/>
        </w:rPr>
        <w:t xml:space="preserve"> </w:t>
      </w:r>
      <w:r w:rsidRPr="003D4840">
        <w:rPr>
          <w:rFonts w:ascii="Times New Roman" w:hAnsi="Times New Roman" w:cs="Times New Roman"/>
          <w:sz w:val="24"/>
          <w:szCs w:val="24"/>
        </w:rPr>
        <w:t>the</w:t>
      </w:r>
      <w:r w:rsidRPr="003D4840">
        <w:rPr>
          <w:rFonts w:ascii="Times New Roman" w:hAnsi="Times New Roman" w:cs="Times New Roman"/>
          <w:spacing w:val="-11"/>
          <w:sz w:val="24"/>
          <w:szCs w:val="24"/>
        </w:rPr>
        <w:t xml:space="preserve"> </w:t>
      </w:r>
      <w:r w:rsidRPr="003D4840">
        <w:rPr>
          <w:rFonts w:ascii="Times New Roman" w:hAnsi="Times New Roman" w:cs="Times New Roman"/>
          <w:sz w:val="24"/>
          <w:szCs w:val="24"/>
        </w:rPr>
        <w:t>control</w:t>
      </w:r>
      <w:r w:rsidRPr="003D4840">
        <w:rPr>
          <w:rFonts w:ascii="Times New Roman" w:hAnsi="Times New Roman" w:cs="Times New Roman"/>
          <w:spacing w:val="-10"/>
          <w:sz w:val="24"/>
          <w:szCs w:val="24"/>
        </w:rPr>
        <w:t xml:space="preserve"> </w:t>
      </w:r>
      <w:r w:rsidRPr="003D4840">
        <w:rPr>
          <w:rFonts w:ascii="Times New Roman" w:hAnsi="Times New Roman" w:cs="Times New Roman"/>
          <w:sz w:val="24"/>
          <w:szCs w:val="24"/>
        </w:rPr>
        <w:t>of BASIC Bank in</w:t>
      </w:r>
      <w:r w:rsidRPr="003D4840">
        <w:rPr>
          <w:rFonts w:ascii="Times New Roman" w:hAnsi="Times New Roman" w:cs="Times New Roman"/>
          <w:spacing w:val="-10"/>
          <w:sz w:val="24"/>
          <w:szCs w:val="24"/>
        </w:rPr>
        <w:t xml:space="preserve"> </w:t>
      </w:r>
      <w:r w:rsidRPr="003D4840">
        <w:rPr>
          <w:rFonts w:ascii="Times New Roman" w:hAnsi="Times New Roman" w:cs="Times New Roman"/>
          <w:sz w:val="24"/>
          <w:szCs w:val="24"/>
        </w:rPr>
        <w:t>1993 and declared it as a specialized bank. . Bangladesh Shilpa Bank was merged with Bangladesh Shilpa Rin Sangsta (BSRS) in 2010.</w:t>
      </w:r>
    </w:p>
    <w:p w:rsidR="0007378F" w:rsidRPr="0055611B" w:rsidRDefault="0007378F" w:rsidP="0007378F">
      <w:pPr>
        <w:pStyle w:val="Heading2"/>
        <w:numPr>
          <w:ilvl w:val="1"/>
          <w:numId w:val="6"/>
        </w:numPr>
        <w:spacing w:before="200" w:line="360" w:lineRule="auto"/>
        <w:jc w:val="both"/>
        <w:rPr>
          <w:color w:val="1F497D" w:themeColor="text2"/>
        </w:rPr>
      </w:pPr>
      <w:bookmarkStart w:id="11" w:name="_Toc518818052"/>
      <w:r w:rsidRPr="0055611B">
        <w:rPr>
          <w:color w:val="1F497D" w:themeColor="text2"/>
          <w:sz w:val="24"/>
        </w:rPr>
        <w:lastRenderedPageBreak/>
        <w:t>Private Commercial Bank</w:t>
      </w:r>
      <w:bookmarkEnd w:id="11"/>
    </w:p>
    <w:p w:rsidR="0007378F" w:rsidRPr="009C4FD0" w:rsidRDefault="0007378F" w:rsidP="0007378F">
      <w:pPr>
        <w:spacing w:after="24" w:line="360" w:lineRule="auto"/>
        <w:jc w:val="both"/>
        <w:rPr>
          <w:rFonts w:ascii="Times New Roman" w:eastAsia="Times New Roman" w:hAnsi="Times New Roman" w:cs="Times New Roman"/>
          <w:sz w:val="24"/>
          <w:szCs w:val="24"/>
        </w:rPr>
      </w:pPr>
      <w:r w:rsidRPr="009C4FD0">
        <w:rPr>
          <w:rFonts w:ascii="Times New Roman" w:hAnsi="Times New Roman" w:cs="Times New Roman"/>
          <w:sz w:val="24"/>
          <w:szCs w:val="24"/>
        </w:rPr>
        <w:t>Local private commercial bank dominating the banking sectors of Bangladesh in this present time. More than fifty percent of total assets and deposit is control by the private bank. Bangladesh„s PCBs have quickly occupy market share at the expense of the state-owned commercial</w:t>
      </w:r>
      <w:r w:rsidRPr="009C4FD0">
        <w:rPr>
          <w:rFonts w:ascii="Times New Roman" w:hAnsi="Times New Roman" w:cs="Times New Roman"/>
          <w:spacing w:val="-6"/>
          <w:sz w:val="24"/>
          <w:szCs w:val="24"/>
        </w:rPr>
        <w:t xml:space="preserve"> </w:t>
      </w:r>
      <w:r w:rsidRPr="009C4FD0">
        <w:rPr>
          <w:rFonts w:ascii="Times New Roman" w:hAnsi="Times New Roman" w:cs="Times New Roman"/>
          <w:sz w:val="24"/>
          <w:szCs w:val="24"/>
        </w:rPr>
        <w:t>banks</w:t>
      </w:r>
      <w:r w:rsidRPr="009C4FD0">
        <w:rPr>
          <w:rFonts w:ascii="Times New Roman" w:hAnsi="Times New Roman" w:cs="Times New Roman"/>
          <w:spacing w:val="-5"/>
          <w:sz w:val="24"/>
          <w:szCs w:val="24"/>
        </w:rPr>
        <w:t xml:space="preserve"> </w:t>
      </w:r>
      <w:r w:rsidRPr="009C4FD0">
        <w:rPr>
          <w:rFonts w:ascii="Times New Roman" w:hAnsi="Times New Roman" w:cs="Times New Roman"/>
          <w:sz w:val="24"/>
          <w:szCs w:val="24"/>
        </w:rPr>
        <w:t>(SCB)</w:t>
      </w:r>
      <w:r w:rsidRPr="009C4FD0">
        <w:rPr>
          <w:rFonts w:ascii="Times New Roman" w:hAnsi="Times New Roman" w:cs="Times New Roman"/>
          <w:spacing w:val="-5"/>
          <w:sz w:val="24"/>
          <w:szCs w:val="24"/>
        </w:rPr>
        <w:t xml:space="preserve"> </w:t>
      </w:r>
      <w:r w:rsidRPr="009C4FD0">
        <w:rPr>
          <w:rFonts w:ascii="Times New Roman" w:hAnsi="Times New Roman" w:cs="Times New Roman"/>
          <w:sz w:val="24"/>
          <w:szCs w:val="24"/>
        </w:rPr>
        <w:t>and</w:t>
      </w:r>
      <w:r w:rsidRPr="009C4FD0">
        <w:rPr>
          <w:rFonts w:ascii="Times New Roman" w:hAnsi="Times New Roman" w:cs="Times New Roman"/>
          <w:spacing w:val="-4"/>
          <w:sz w:val="24"/>
          <w:szCs w:val="24"/>
        </w:rPr>
        <w:t xml:space="preserve"> </w:t>
      </w:r>
      <w:r w:rsidRPr="009C4FD0">
        <w:rPr>
          <w:rFonts w:ascii="Times New Roman" w:hAnsi="Times New Roman" w:cs="Times New Roman"/>
          <w:sz w:val="24"/>
          <w:szCs w:val="24"/>
        </w:rPr>
        <w:t>presently</w:t>
      </w:r>
      <w:r w:rsidRPr="009C4FD0">
        <w:rPr>
          <w:rFonts w:ascii="Times New Roman" w:hAnsi="Times New Roman" w:cs="Times New Roman"/>
          <w:spacing w:val="-4"/>
          <w:sz w:val="24"/>
          <w:szCs w:val="24"/>
        </w:rPr>
        <w:t xml:space="preserve"> </w:t>
      </w:r>
      <w:r w:rsidRPr="009C4FD0">
        <w:rPr>
          <w:rFonts w:ascii="Times New Roman" w:hAnsi="Times New Roman" w:cs="Times New Roman"/>
          <w:sz w:val="24"/>
          <w:szCs w:val="24"/>
        </w:rPr>
        <w:t>grasp</w:t>
      </w:r>
      <w:r w:rsidRPr="009C4FD0">
        <w:rPr>
          <w:rFonts w:ascii="Times New Roman" w:hAnsi="Times New Roman" w:cs="Times New Roman"/>
          <w:spacing w:val="-5"/>
          <w:sz w:val="24"/>
          <w:szCs w:val="24"/>
        </w:rPr>
        <w:t xml:space="preserve"> </w:t>
      </w:r>
      <w:r w:rsidRPr="009C4FD0">
        <w:rPr>
          <w:rFonts w:ascii="Times New Roman" w:hAnsi="Times New Roman" w:cs="Times New Roman"/>
          <w:sz w:val="24"/>
          <w:szCs w:val="24"/>
        </w:rPr>
        <w:t>more</w:t>
      </w:r>
      <w:r w:rsidRPr="009C4FD0">
        <w:rPr>
          <w:rFonts w:ascii="Times New Roman" w:hAnsi="Times New Roman" w:cs="Times New Roman"/>
          <w:spacing w:val="-5"/>
          <w:sz w:val="24"/>
          <w:szCs w:val="24"/>
        </w:rPr>
        <w:t xml:space="preserve"> </w:t>
      </w:r>
      <w:r w:rsidRPr="009C4FD0">
        <w:rPr>
          <w:rFonts w:ascii="Times New Roman" w:hAnsi="Times New Roman" w:cs="Times New Roman"/>
          <w:sz w:val="24"/>
          <w:szCs w:val="24"/>
        </w:rPr>
        <w:t>than</w:t>
      </w:r>
      <w:r w:rsidRPr="009C4FD0">
        <w:rPr>
          <w:rFonts w:ascii="Times New Roman" w:hAnsi="Times New Roman" w:cs="Times New Roman"/>
          <w:spacing w:val="-5"/>
          <w:sz w:val="24"/>
          <w:szCs w:val="24"/>
        </w:rPr>
        <w:t xml:space="preserve"> </w:t>
      </w:r>
      <w:r w:rsidRPr="009C4FD0">
        <w:rPr>
          <w:rFonts w:ascii="Times New Roman" w:hAnsi="Times New Roman" w:cs="Times New Roman"/>
          <w:sz w:val="24"/>
          <w:szCs w:val="24"/>
        </w:rPr>
        <w:t>59</w:t>
      </w:r>
      <w:r w:rsidRPr="009C4FD0">
        <w:rPr>
          <w:rFonts w:ascii="Times New Roman" w:hAnsi="Times New Roman" w:cs="Times New Roman"/>
          <w:spacing w:val="-4"/>
          <w:sz w:val="24"/>
          <w:szCs w:val="24"/>
        </w:rPr>
        <w:t xml:space="preserve"> </w:t>
      </w:r>
      <w:r w:rsidRPr="009C4FD0">
        <w:rPr>
          <w:rFonts w:ascii="Times New Roman" w:hAnsi="Times New Roman" w:cs="Times New Roman"/>
          <w:sz w:val="24"/>
          <w:szCs w:val="24"/>
        </w:rPr>
        <w:t>percent</w:t>
      </w:r>
      <w:r w:rsidRPr="009C4FD0">
        <w:rPr>
          <w:rFonts w:ascii="Times New Roman" w:hAnsi="Times New Roman" w:cs="Times New Roman"/>
          <w:spacing w:val="-5"/>
          <w:sz w:val="24"/>
          <w:szCs w:val="24"/>
        </w:rPr>
        <w:t xml:space="preserve"> </w:t>
      </w:r>
      <w:r w:rsidRPr="009C4FD0">
        <w:rPr>
          <w:rFonts w:ascii="Times New Roman" w:hAnsi="Times New Roman" w:cs="Times New Roman"/>
          <w:sz w:val="24"/>
          <w:szCs w:val="24"/>
        </w:rPr>
        <w:t>of</w:t>
      </w:r>
      <w:r w:rsidRPr="009C4FD0">
        <w:rPr>
          <w:rFonts w:ascii="Times New Roman" w:hAnsi="Times New Roman" w:cs="Times New Roman"/>
          <w:spacing w:val="-6"/>
          <w:sz w:val="24"/>
          <w:szCs w:val="24"/>
        </w:rPr>
        <w:t xml:space="preserve"> </w:t>
      </w:r>
      <w:r w:rsidRPr="009C4FD0">
        <w:rPr>
          <w:rFonts w:ascii="Times New Roman" w:hAnsi="Times New Roman" w:cs="Times New Roman"/>
          <w:sz w:val="24"/>
          <w:szCs w:val="24"/>
        </w:rPr>
        <w:t>total</w:t>
      </w:r>
      <w:r w:rsidRPr="009C4FD0">
        <w:rPr>
          <w:rFonts w:ascii="Times New Roman" w:hAnsi="Times New Roman" w:cs="Times New Roman"/>
          <w:spacing w:val="-5"/>
          <w:sz w:val="24"/>
          <w:szCs w:val="24"/>
        </w:rPr>
        <w:t xml:space="preserve"> </w:t>
      </w:r>
      <w:r w:rsidRPr="009C4FD0">
        <w:rPr>
          <w:rFonts w:ascii="Times New Roman" w:hAnsi="Times New Roman" w:cs="Times New Roman"/>
          <w:sz w:val="24"/>
          <w:szCs w:val="24"/>
        </w:rPr>
        <w:t>deposits</w:t>
      </w:r>
      <w:r w:rsidRPr="009C4FD0">
        <w:rPr>
          <w:rFonts w:ascii="Times New Roman" w:hAnsi="Times New Roman" w:cs="Times New Roman"/>
          <w:spacing w:val="-6"/>
          <w:sz w:val="24"/>
          <w:szCs w:val="24"/>
        </w:rPr>
        <w:t xml:space="preserve"> </w:t>
      </w:r>
      <w:r w:rsidRPr="009C4FD0">
        <w:rPr>
          <w:rFonts w:ascii="Times New Roman" w:hAnsi="Times New Roman" w:cs="Times New Roman"/>
          <w:sz w:val="24"/>
          <w:szCs w:val="24"/>
        </w:rPr>
        <w:t>whereas</w:t>
      </w:r>
      <w:r w:rsidRPr="009C4FD0">
        <w:rPr>
          <w:rFonts w:ascii="Times New Roman" w:hAnsi="Times New Roman" w:cs="Times New Roman"/>
          <w:spacing w:val="-3"/>
          <w:sz w:val="24"/>
          <w:szCs w:val="24"/>
        </w:rPr>
        <w:t xml:space="preserve"> </w:t>
      </w:r>
      <w:r w:rsidRPr="009C4FD0">
        <w:rPr>
          <w:rFonts w:ascii="Times New Roman" w:hAnsi="Times New Roman" w:cs="Times New Roman"/>
          <w:sz w:val="24"/>
          <w:szCs w:val="24"/>
        </w:rPr>
        <w:t xml:space="preserve">it is only 28 percent for the SCBs and PCBs assets coverage is 58% whereas it is only 29% in SCBs. In this present time more than thirty private commercial bank doing their operation in our country. Some of well-known private commercial bank are </w:t>
      </w:r>
      <w:hyperlink r:id="rId8" w:tooltip="Bank Asia Limited" w:history="1">
        <w:r w:rsidRPr="009C4FD0">
          <w:rPr>
            <w:rFonts w:ascii="Times New Roman" w:eastAsia="Times New Roman" w:hAnsi="Times New Roman" w:cs="Times New Roman"/>
            <w:sz w:val="24"/>
            <w:szCs w:val="24"/>
          </w:rPr>
          <w:t>Bank Asia Limited</w:t>
        </w:r>
      </w:hyperlink>
      <w:r w:rsidRPr="009C4FD0">
        <w:rPr>
          <w:rFonts w:ascii="Times New Roman" w:eastAsia="Times New Roman" w:hAnsi="Times New Roman" w:cs="Times New Roman"/>
          <w:sz w:val="24"/>
          <w:szCs w:val="24"/>
        </w:rPr>
        <w:t xml:space="preserve">, </w:t>
      </w:r>
      <w:hyperlink r:id="rId9" w:tooltip="BRAC Bank" w:history="1">
        <w:r w:rsidRPr="009C4FD0">
          <w:rPr>
            <w:rFonts w:ascii="Times New Roman" w:eastAsia="Times New Roman" w:hAnsi="Times New Roman" w:cs="Times New Roman"/>
            <w:sz w:val="24"/>
            <w:szCs w:val="24"/>
          </w:rPr>
          <w:t>BRAC Bank Limited</w:t>
        </w:r>
      </w:hyperlink>
      <w:r w:rsidRPr="009C4FD0">
        <w:rPr>
          <w:rFonts w:ascii="Times New Roman" w:eastAsia="Times New Roman" w:hAnsi="Times New Roman" w:cs="Times New Roman"/>
          <w:sz w:val="24"/>
          <w:szCs w:val="24"/>
        </w:rPr>
        <w:t xml:space="preserve">, </w:t>
      </w:r>
      <w:hyperlink r:id="rId10" w:tooltip="Dhaka Bank Limited" w:history="1">
        <w:r w:rsidRPr="009C4FD0">
          <w:rPr>
            <w:rFonts w:ascii="Times New Roman" w:eastAsia="Times New Roman" w:hAnsi="Times New Roman" w:cs="Times New Roman"/>
            <w:sz w:val="24"/>
            <w:szCs w:val="24"/>
          </w:rPr>
          <w:t>Dhaka Bank Limited</w:t>
        </w:r>
      </w:hyperlink>
      <w:r w:rsidRPr="009C4FD0">
        <w:rPr>
          <w:rFonts w:ascii="Times New Roman" w:eastAsia="Times New Roman" w:hAnsi="Times New Roman" w:cs="Times New Roman"/>
          <w:sz w:val="24"/>
          <w:szCs w:val="24"/>
        </w:rPr>
        <w:t xml:space="preserve">, </w:t>
      </w:r>
      <w:hyperlink r:id="rId11" w:tooltip="Dutch Bangla Bank" w:history="1">
        <w:r w:rsidRPr="009C4FD0">
          <w:rPr>
            <w:rFonts w:ascii="Times New Roman" w:eastAsia="Times New Roman" w:hAnsi="Times New Roman" w:cs="Times New Roman"/>
            <w:sz w:val="24"/>
            <w:szCs w:val="24"/>
          </w:rPr>
          <w:t>Dutch-Bangla Bank Limited</w:t>
        </w:r>
      </w:hyperlink>
    </w:p>
    <w:p w:rsidR="0007378F" w:rsidRPr="0055611B" w:rsidRDefault="0007378F" w:rsidP="0007378F">
      <w:pPr>
        <w:pStyle w:val="Heading2"/>
        <w:numPr>
          <w:ilvl w:val="1"/>
          <w:numId w:val="6"/>
        </w:numPr>
        <w:spacing w:before="200" w:line="360" w:lineRule="auto"/>
        <w:jc w:val="both"/>
        <w:rPr>
          <w:color w:val="1F497D" w:themeColor="text2"/>
          <w:sz w:val="24"/>
        </w:rPr>
      </w:pPr>
      <w:bookmarkStart w:id="12" w:name="_Toc518818053"/>
      <w:r w:rsidRPr="0055611B">
        <w:rPr>
          <w:color w:val="1F497D" w:themeColor="text2"/>
          <w:sz w:val="24"/>
        </w:rPr>
        <w:t>Foreign Commercial Banks</w:t>
      </w:r>
      <w:bookmarkEnd w:id="12"/>
      <w:r w:rsidRPr="0055611B">
        <w:rPr>
          <w:color w:val="1F497D" w:themeColor="text2"/>
          <w:sz w:val="24"/>
        </w:rPr>
        <w:t xml:space="preserve"> </w:t>
      </w:r>
    </w:p>
    <w:p w:rsidR="0007378F" w:rsidRPr="002E3A72" w:rsidRDefault="0007378F" w:rsidP="0007378F">
      <w:pPr>
        <w:spacing w:line="360" w:lineRule="auto"/>
        <w:jc w:val="both"/>
        <w:rPr>
          <w:rFonts w:ascii="Times New Roman" w:hAnsi="Times New Roman" w:cs="Times New Roman"/>
          <w:sz w:val="24"/>
        </w:rPr>
      </w:pPr>
      <w:r w:rsidRPr="002E3A72">
        <w:rPr>
          <w:rFonts w:ascii="Times New Roman" w:hAnsi="Times New Roman" w:cs="Times New Roman"/>
          <w:sz w:val="24"/>
        </w:rPr>
        <w:t>We have nine foreign commercial banks in our country in this time. Foreign Commercial Banks suffered for lack of wide spread branch network. Their operation is basically limited to capital city and some other municipal city corporation area. They mainly give focus to the industry sectors. They are not so much interest to the mass service to the general people. Their main earning source is loan to different types of industry, letter of credit (LC) etc.</w:t>
      </w:r>
    </w:p>
    <w:p w:rsidR="0007378F" w:rsidRDefault="0007378F" w:rsidP="0007378F">
      <w:pPr>
        <w:pStyle w:val="Heading2"/>
        <w:numPr>
          <w:ilvl w:val="1"/>
          <w:numId w:val="6"/>
        </w:numPr>
        <w:spacing w:before="200" w:line="360" w:lineRule="auto"/>
        <w:jc w:val="both"/>
      </w:pPr>
      <w:bookmarkStart w:id="13" w:name="_Toc518818054"/>
      <w:r w:rsidRPr="009169FA">
        <w:rPr>
          <w:sz w:val="24"/>
        </w:rPr>
        <w:t>Islamic banking in Bangladesh</w:t>
      </w:r>
      <w:r w:rsidRPr="008968DD">
        <w:t>:</w:t>
      </w:r>
      <w:bookmarkEnd w:id="13"/>
    </w:p>
    <w:p w:rsidR="0007378F" w:rsidRPr="009169FA" w:rsidRDefault="0007378F" w:rsidP="0007378F">
      <w:pPr>
        <w:spacing w:after="0"/>
      </w:pPr>
    </w:p>
    <w:p w:rsidR="0007378F" w:rsidRDefault="0007378F" w:rsidP="0007378F">
      <w:pPr>
        <w:spacing w:line="360" w:lineRule="auto"/>
        <w:jc w:val="both"/>
        <w:rPr>
          <w:rFonts w:ascii="Times New Roman" w:hAnsi="Times New Roman" w:cs="Times New Roman"/>
          <w:sz w:val="24"/>
          <w:szCs w:val="24"/>
        </w:rPr>
      </w:pPr>
      <w:r w:rsidRPr="003D4840">
        <w:rPr>
          <w:rFonts w:ascii="Times New Roman" w:hAnsi="Times New Roman" w:cs="Times New Roman"/>
          <w:sz w:val="24"/>
          <w:szCs w:val="24"/>
        </w:rPr>
        <w:t>Bangladesh has eight</w:t>
      </w:r>
      <w:r>
        <w:rPr>
          <w:rFonts w:ascii="Times New Roman" w:hAnsi="Times New Roman" w:cs="Times New Roman"/>
          <w:sz w:val="24"/>
          <w:szCs w:val="24"/>
        </w:rPr>
        <w:t xml:space="preserve"> Islamic banks</w:t>
      </w:r>
      <w:r w:rsidRPr="003D4840">
        <w:rPr>
          <w:rFonts w:ascii="Times New Roman" w:hAnsi="Times New Roman" w:cs="Times New Roman"/>
          <w:sz w:val="24"/>
          <w:szCs w:val="24"/>
        </w:rPr>
        <w:t>, while several non-Islamic banks offer Islamic-banking services alongside their normal operations. As of 2017, Islamic banking, led by </w:t>
      </w:r>
      <w:r>
        <w:rPr>
          <w:rFonts w:ascii="Times New Roman" w:hAnsi="Times New Roman" w:cs="Times New Roman"/>
          <w:sz w:val="24"/>
          <w:szCs w:val="24"/>
        </w:rPr>
        <w:t>Islamic Bank Bangladesh Ltd</w:t>
      </w:r>
      <w:r w:rsidRPr="003D4840">
        <w:rPr>
          <w:rFonts w:ascii="Times New Roman" w:hAnsi="Times New Roman" w:cs="Times New Roman"/>
          <w:sz w:val="24"/>
          <w:szCs w:val="24"/>
        </w:rPr>
        <w:t xml:space="preserve">, controls 20% of deposits in Bangladesh. Bangladesh operates the world’s biggest Islamic microfinance scheme. According to Bangladeshi government polling, Islamic banking has an overall approval rating of 84% among the country's population. </w:t>
      </w: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Pr="0055611B" w:rsidRDefault="0007378F" w:rsidP="0007378F">
      <w:pPr>
        <w:pStyle w:val="Heading1"/>
        <w:numPr>
          <w:ilvl w:val="0"/>
          <w:numId w:val="6"/>
        </w:numPr>
        <w:spacing w:line="360" w:lineRule="auto"/>
        <w:jc w:val="both"/>
        <w:rPr>
          <w:color w:val="1F497D" w:themeColor="text2"/>
        </w:rPr>
      </w:pPr>
      <w:bookmarkStart w:id="14" w:name="_Toc518818055"/>
      <w:r w:rsidRPr="0055611B">
        <w:rPr>
          <w:color w:val="1F497D" w:themeColor="text2"/>
        </w:rPr>
        <w:lastRenderedPageBreak/>
        <w:t>Litera</w:t>
      </w:r>
      <w:r w:rsidR="001F75BD">
        <w:rPr>
          <w:color w:val="1F497D" w:themeColor="text2"/>
        </w:rPr>
        <w:t xml:space="preserve">ture </w:t>
      </w:r>
      <w:r w:rsidRPr="0055611B">
        <w:rPr>
          <w:color w:val="1F497D" w:themeColor="text2"/>
        </w:rPr>
        <w:t>review</w:t>
      </w:r>
      <w:bookmarkEnd w:id="14"/>
      <w:r>
        <w:rPr>
          <w:color w:val="1F497D" w:themeColor="text2"/>
        </w:rPr>
        <w:t xml:space="preserve">   </w:t>
      </w:r>
    </w:p>
    <w:p w:rsidR="0007378F" w:rsidRPr="00D83822" w:rsidRDefault="0007378F" w:rsidP="00B61DEE">
      <w:pPr>
        <w:spacing w:after="0" w:line="360" w:lineRule="auto"/>
        <w:jc w:val="both"/>
        <w:rPr>
          <w:rFonts w:ascii="Times New Roman" w:hAnsi="Times New Roman" w:cs="Times New Roman"/>
          <w:sz w:val="24"/>
          <w:szCs w:val="24"/>
        </w:rPr>
      </w:pPr>
      <w:r w:rsidRPr="00466EDC">
        <w:rPr>
          <w:rFonts w:ascii="Times New Roman" w:hAnsi="Times New Roman" w:cs="Times New Roman"/>
          <w:sz w:val="24"/>
          <w:szCs w:val="24"/>
        </w:rPr>
        <w:t xml:space="preserve">Bangladesh follow mixed banking process. We are seeing in our country different types of bank (like state ran, private, foreign commercial bank) doing work side by side. From the last </w:t>
      </w:r>
      <w:r w:rsidR="00D83822" w:rsidRPr="00466EDC">
        <w:rPr>
          <w:rFonts w:ascii="Times New Roman" w:hAnsi="Times New Roman" w:cs="Times New Roman"/>
          <w:sz w:val="24"/>
          <w:szCs w:val="24"/>
        </w:rPr>
        <w:t>decade’s</w:t>
      </w:r>
      <w:r w:rsidRPr="00466EDC">
        <w:rPr>
          <w:rFonts w:ascii="Times New Roman" w:hAnsi="Times New Roman" w:cs="Times New Roman"/>
          <w:sz w:val="24"/>
          <w:szCs w:val="24"/>
        </w:rPr>
        <w:t xml:space="preserve"> presser on our banking sectors increase from both domestic and abroad for make it profitable. At the same</w:t>
      </w:r>
      <w:r w:rsidR="00D83822">
        <w:rPr>
          <w:rFonts w:ascii="Times New Roman" w:hAnsi="Times New Roman" w:cs="Times New Roman"/>
          <w:sz w:val="24"/>
          <w:szCs w:val="24"/>
        </w:rPr>
        <w:t xml:space="preserve"> time according to the research Roy and Khan</w:t>
      </w:r>
      <w:r w:rsidR="00B61DEE">
        <w:rPr>
          <w:rFonts w:ascii="Times New Roman" w:hAnsi="Times New Roman" w:cs="Times New Roman"/>
          <w:sz w:val="24"/>
          <w:szCs w:val="24"/>
        </w:rPr>
        <w:t xml:space="preserve"> </w:t>
      </w:r>
      <w:r w:rsidR="00D83822">
        <w:t>(</w:t>
      </w:r>
      <w:r w:rsidR="00D83822" w:rsidRPr="00466EDC">
        <w:rPr>
          <w:rFonts w:ascii="Times New Roman" w:hAnsi="Times New Roman" w:cs="Times New Roman"/>
          <w:sz w:val="24"/>
          <w:szCs w:val="24"/>
        </w:rPr>
        <w:t>2013</w:t>
      </w:r>
      <w:r w:rsidR="00D83822">
        <w:rPr>
          <w:rFonts w:ascii="Times New Roman" w:hAnsi="Times New Roman" w:cs="Times New Roman"/>
          <w:sz w:val="24"/>
          <w:szCs w:val="24"/>
        </w:rPr>
        <w:t>)</w:t>
      </w:r>
      <w:r w:rsidR="00D83822">
        <w:t xml:space="preserve"> </w:t>
      </w:r>
      <w:r w:rsidRPr="00466EDC">
        <w:rPr>
          <w:rFonts w:ascii="Times New Roman" w:hAnsi="Times New Roman" w:cs="Times New Roman"/>
          <w:sz w:val="24"/>
          <w:szCs w:val="24"/>
        </w:rPr>
        <w:t>domestic commercial bank of Bangladesh are far behind of foreign commercial bank</w:t>
      </w:r>
      <w:r w:rsidR="00B61DEE">
        <w:rPr>
          <w:rFonts w:ascii="Times New Roman" w:hAnsi="Times New Roman" w:cs="Times New Roman"/>
          <w:sz w:val="24"/>
          <w:szCs w:val="24"/>
        </w:rPr>
        <w:t>.</w:t>
      </w:r>
    </w:p>
    <w:p w:rsidR="0007378F" w:rsidRPr="00466EDC" w:rsidRDefault="0007378F" w:rsidP="00B61DEE">
      <w:pPr>
        <w:spacing w:after="0" w:line="360" w:lineRule="auto"/>
        <w:jc w:val="both"/>
        <w:rPr>
          <w:rFonts w:ascii="Times New Roman" w:hAnsi="Times New Roman" w:cs="Times New Roman"/>
          <w:sz w:val="24"/>
          <w:szCs w:val="24"/>
        </w:rPr>
      </w:pPr>
      <w:r w:rsidRPr="00466EDC">
        <w:rPr>
          <w:rFonts w:ascii="Times New Roman" w:hAnsi="Times New Roman" w:cs="Times New Roman"/>
          <w:sz w:val="24"/>
          <w:szCs w:val="24"/>
        </w:rPr>
        <w:t xml:space="preserve">According to the </w:t>
      </w:r>
      <w:r w:rsidR="00B61DEE">
        <w:rPr>
          <w:rFonts w:ascii="Times New Roman" w:hAnsi="Times New Roman" w:cs="Times New Roman"/>
          <w:sz w:val="24"/>
          <w:szCs w:val="24"/>
        </w:rPr>
        <w:t xml:space="preserve">review of ASA University,2013, </w:t>
      </w:r>
      <w:r w:rsidRPr="00466EDC">
        <w:rPr>
          <w:rFonts w:ascii="Times New Roman" w:hAnsi="Times New Roman" w:cs="Times New Roman"/>
          <w:sz w:val="24"/>
          <w:szCs w:val="24"/>
        </w:rPr>
        <w:t>Bangladesh Bank measure performance of the banking sectors through the use of CAMEL frame work. Under CAMEL frame work involves analysis and evaluation of the five important element of banking operations. There are capital adequacy (c), asset quality (A), management quality (M), earning ability (E) and liquidity (L). Here we show two type of bank performance “domestic private commercial banks (PCBs), and foreign commercial banks (FCBs)".</w:t>
      </w:r>
      <w:r>
        <w:rPr>
          <w:rFonts w:ascii="Times New Roman" w:hAnsi="Times New Roman" w:cs="Times New Roman"/>
          <w:sz w:val="24"/>
          <w:szCs w:val="24"/>
        </w:rPr>
        <w:t xml:space="preserve">Researcher analysis the bank’s eight year performance in through the CAMEL process.  </w:t>
      </w:r>
    </w:p>
    <w:p w:rsidR="0007378F" w:rsidRPr="00466EDC" w:rsidRDefault="0007378F" w:rsidP="0007378F">
      <w:pPr>
        <w:spacing w:line="360" w:lineRule="auto"/>
        <w:jc w:val="both"/>
        <w:rPr>
          <w:rFonts w:ascii="Times New Roman" w:hAnsi="Times New Roman" w:cs="Times New Roman"/>
          <w:spacing w:val="-3"/>
          <w:sz w:val="24"/>
          <w:szCs w:val="24"/>
        </w:rPr>
      </w:pPr>
      <w:r w:rsidRPr="00466EDC">
        <w:rPr>
          <w:rFonts w:ascii="Times New Roman" w:hAnsi="Times New Roman" w:cs="Times New Roman"/>
          <w:sz w:val="24"/>
          <w:szCs w:val="24"/>
        </w:rPr>
        <w:t>Capital adequacy refers of the financial strength of a bank, usually express as a ratio of its shareholders' fund to total assets. Capital</w:t>
      </w:r>
      <w:r w:rsidRPr="00466EDC">
        <w:rPr>
          <w:rFonts w:ascii="Times New Roman" w:hAnsi="Times New Roman" w:cs="Times New Roman"/>
          <w:spacing w:val="-9"/>
          <w:sz w:val="24"/>
          <w:szCs w:val="24"/>
        </w:rPr>
        <w:t xml:space="preserve"> </w:t>
      </w:r>
      <w:r w:rsidRPr="00466EDC">
        <w:rPr>
          <w:rFonts w:ascii="Times New Roman" w:hAnsi="Times New Roman" w:cs="Times New Roman"/>
          <w:sz w:val="24"/>
          <w:szCs w:val="24"/>
        </w:rPr>
        <w:t>adequacy</w:t>
      </w:r>
      <w:r w:rsidRPr="00466EDC">
        <w:rPr>
          <w:rFonts w:ascii="Times New Roman" w:hAnsi="Times New Roman" w:cs="Times New Roman"/>
          <w:spacing w:val="-8"/>
          <w:sz w:val="24"/>
          <w:szCs w:val="24"/>
        </w:rPr>
        <w:t xml:space="preserve"> </w:t>
      </w:r>
      <w:r w:rsidRPr="00466EDC">
        <w:rPr>
          <w:rFonts w:ascii="Times New Roman" w:hAnsi="Times New Roman" w:cs="Times New Roman"/>
          <w:sz w:val="24"/>
          <w:szCs w:val="24"/>
        </w:rPr>
        <w:t>focuses</w:t>
      </w:r>
      <w:r w:rsidRPr="00466EDC">
        <w:rPr>
          <w:rFonts w:ascii="Times New Roman" w:hAnsi="Times New Roman" w:cs="Times New Roman"/>
          <w:spacing w:val="-10"/>
          <w:sz w:val="24"/>
          <w:szCs w:val="24"/>
        </w:rPr>
        <w:t xml:space="preserve"> </w:t>
      </w:r>
      <w:r w:rsidRPr="00466EDC">
        <w:rPr>
          <w:rFonts w:ascii="Times New Roman" w:hAnsi="Times New Roman" w:cs="Times New Roman"/>
          <w:sz w:val="24"/>
          <w:szCs w:val="24"/>
        </w:rPr>
        <w:t>on</w:t>
      </w:r>
      <w:r w:rsidRPr="00466EDC">
        <w:rPr>
          <w:rFonts w:ascii="Times New Roman" w:hAnsi="Times New Roman" w:cs="Times New Roman"/>
          <w:spacing w:val="-8"/>
          <w:sz w:val="24"/>
          <w:szCs w:val="24"/>
        </w:rPr>
        <w:t xml:space="preserve"> </w:t>
      </w:r>
      <w:r w:rsidRPr="00466EDC">
        <w:rPr>
          <w:rFonts w:ascii="Times New Roman" w:hAnsi="Times New Roman" w:cs="Times New Roman"/>
          <w:sz w:val="24"/>
          <w:szCs w:val="24"/>
        </w:rPr>
        <w:t>the</w:t>
      </w:r>
      <w:r w:rsidRPr="00466EDC">
        <w:rPr>
          <w:rFonts w:ascii="Times New Roman" w:hAnsi="Times New Roman" w:cs="Times New Roman"/>
          <w:spacing w:val="-8"/>
          <w:sz w:val="24"/>
          <w:szCs w:val="24"/>
        </w:rPr>
        <w:t xml:space="preserve"> </w:t>
      </w:r>
      <w:r w:rsidRPr="00466EDC">
        <w:rPr>
          <w:rFonts w:ascii="Times New Roman" w:hAnsi="Times New Roman" w:cs="Times New Roman"/>
          <w:sz w:val="24"/>
          <w:szCs w:val="24"/>
        </w:rPr>
        <w:t>total</w:t>
      </w:r>
      <w:r w:rsidRPr="00466EDC">
        <w:rPr>
          <w:rFonts w:ascii="Times New Roman" w:hAnsi="Times New Roman" w:cs="Times New Roman"/>
          <w:spacing w:val="-9"/>
          <w:sz w:val="24"/>
          <w:szCs w:val="24"/>
        </w:rPr>
        <w:t xml:space="preserve"> </w:t>
      </w:r>
      <w:r w:rsidRPr="00466EDC">
        <w:rPr>
          <w:rFonts w:ascii="Times New Roman" w:hAnsi="Times New Roman" w:cs="Times New Roman"/>
          <w:sz w:val="24"/>
          <w:szCs w:val="24"/>
        </w:rPr>
        <w:t>position</w:t>
      </w:r>
      <w:r w:rsidRPr="00466EDC">
        <w:rPr>
          <w:rFonts w:ascii="Times New Roman" w:hAnsi="Times New Roman" w:cs="Times New Roman"/>
          <w:spacing w:val="-10"/>
          <w:sz w:val="24"/>
          <w:szCs w:val="24"/>
        </w:rPr>
        <w:t xml:space="preserve"> </w:t>
      </w:r>
      <w:r w:rsidRPr="00466EDC">
        <w:rPr>
          <w:rFonts w:ascii="Times New Roman" w:hAnsi="Times New Roman" w:cs="Times New Roman"/>
          <w:sz w:val="24"/>
          <w:szCs w:val="24"/>
        </w:rPr>
        <w:t>of</w:t>
      </w:r>
      <w:r w:rsidRPr="00466EDC">
        <w:rPr>
          <w:rFonts w:ascii="Times New Roman" w:hAnsi="Times New Roman" w:cs="Times New Roman"/>
          <w:spacing w:val="-8"/>
          <w:sz w:val="24"/>
          <w:szCs w:val="24"/>
        </w:rPr>
        <w:t xml:space="preserve"> </w:t>
      </w:r>
      <w:r w:rsidRPr="00466EDC">
        <w:rPr>
          <w:rFonts w:ascii="Times New Roman" w:hAnsi="Times New Roman" w:cs="Times New Roman"/>
          <w:sz w:val="24"/>
          <w:szCs w:val="24"/>
        </w:rPr>
        <w:t>bank’s</w:t>
      </w:r>
      <w:r w:rsidRPr="00466EDC">
        <w:rPr>
          <w:rFonts w:ascii="Times New Roman" w:hAnsi="Times New Roman" w:cs="Times New Roman"/>
          <w:spacing w:val="-8"/>
          <w:sz w:val="24"/>
          <w:szCs w:val="24"/>
        </w:rPr>
        <w:t xml:space="preserve"> </w:t>
      </w:r>
      <w:r w:rsidRPr="00466EDC">
        <w:rPr>
          <w:rFonts w:ascii="Times New Roman" w:hAnsi="Times New Roman" w:cs="Times New Roman"/>
          <w:sz w:val="24"/>
          <w:szCs w:val="24"/>
        </w:rPr>
        <w:t>capital</w:t>
      </w:r>
      <w:r w:rsidRPr="00466EDC">
        <w:rPr>
          <w:rFonts w:ascii="Times New Roman" w:hAnsi="Times New Roman" w:cs="Times New Roman"/>
          <w:spacing w:val="-10"/>
          <w:sz w:val="24"/>
          <w:szCs w:val="24"/>
        </w:rPr>
        <w:t xml:space="preserve"> </w:t>
      </w:r>
      <w:r w:rsidRPr="00466EDC">
        <w:rPr>
          <w:rFonts w:ascii="Times New Roman" w:hAnsi="Times New Roman" w:cs="Times New Roman"/>
          <w:sz w:val="24"/>
          <w:szCs w:val="24"/>
        </w:rPr>
        <w:t>and</w:t>
      </w:r>
      <w:r w:rsidRPr="00466EDC">
        <w:rPr>
          <w:rFonts w:ascii="Times New Roman" w:hAnsi="Times New Roman" w:cs="Times New Roman"/>
          <w:spacing w:val="-7"/>
          <w:sz w:val="24"/>
          <w:szCs w:val="24"/>
        </w:rPr>
        <w:t xml:space="preserve"> </w:t>
      </w:r>
      <w:r w:rsidRPr="00466EDC">
        <w:rPr>
          <w:rFonts w:ascii="Times New Roman" w:hAnsi="Times New Roman" w:cs="Times New Roman"/>
          <w:sz w:val="24"/>
          <w:szCs w:val="24"/>
        </w:rPr>
        <w:t>the</w:t>
      </w:r>
      <w:r w:rsidRPr="00466EDC">
        <w:rPr>
          <w:rFonts w:ascii="Times New Roman" w:hAnsi="Times New Roman" w:cs="Times New Roman"/>
          <w:spacing w:val="-9"/>
          <w:sz w:val="24"/>
          <w:szCs w:val="24"/>
        </w:rPr>
        <w:t xml:space="preserve"> </w:t>
      </w:r>
      <w:r w:rsidRPr="00466EDC">
        <w:rPr>
          <w:rFonts w:ascii="Times New Roman" w:hAnsi="Times New Roman" w:cs="Times New Roman"/>
          <w:sz w:val="24"/>
          <w:szCs w:val="24"/>
        </w:rPr>
        <w:t>protection</w:t>
      </w:r>
      <w:r w:rsidRPr="00466EDC">
        <w:rPr>
          <w:rFonts w:ascii="Times New Roman" w:hAnsi="Times New Roman" w:cs="Times New Roman"/>
          <w:spacing w:val="-9"/>
          <w:sz w:val="24"/>
          <w:szCs w:val="24"/>
        </w:rPr>
        <w:t xml:space="preserve"> </w:t>
      </w:r>
      <w:r w:rsidRPr="00466EDC">
        <w:rPr>
          <w:rFonts w:ascii="Times New Roman" w:hAnsi="Times New Roman" w:cs="Times New Roman"/>
          <w:sz w:val="24"/>
          <w:szCs w:val="24"/>
        </w:rPr>
        <w:t>of</w:t>
      </w:r>
      <w:r w:rsidRPr="00466EDC">
        <w:rPr>
          <w:rFonts w:ascii="Times New Roman" w:hAnsi="Times New Roman" w:cs="Times New Roman"/>
          <w:spacing w:val="-9"/>
          <w:sz w:val="24"/>
          <w:szCs w:val="24"/>
        </w:rPr>
        <w:t xml:space="preserve"> </w:t>
      </w:r>
      <w:r w:rsidRPr="00466EDC">
        <w:rPr>
          <w:rFonts w:ascii="Times New Roman" w:hAnsi="Times New Roman" w:cs="Times New Roman"/>
          <w:sz w:val="24"/>
          <w:szCs w:val="24"/>
        </w:rPr>
        <w:t xml:space="preserve">depositors and other creditors from the potential shocks of losses that a bank might </w:t>
      </w:r>
      <w:r w:rsidRPr="00466EDC">
        <w:rPr>
          <w:rFonts w:ascii="Times New Roman" w:hAnsi="Times New Roman" w:cs="Times New Roman"/>
          <w:spacing w:val="-3"/>
          <w:sz w:val="24"/>
          <w:szCs w:val="24"/>
        </w:rPr>
        <w:t xml:space="preserve">incur. </w:t>
      </w:r>
    </w:p>
    <w:p w:rsidR="0007378F" w:rsidRDefault="0007378F" w:rsidP="0007378F">
      <w:pPr>
        <w:spacing w:line="360" w:lineRule="auto"/>
        <w:jc w:val="both"/>
        <w:rPr>
          <w:rFonts w:ascii="Times New Roman" w:hAnsi="Times New Roman" w:cs="Times New Roman"/>
          <w:sz w:val="24"/>
          <w:szCs w:val="24"/>
        </w:rPr>
      </w:pPr>
      <w:r w:rsidRPr="00CA10D3">
        <w:rPr>
          <w:rFonts w:ascii="Times New Roman" w:hAnsi="Times New Roman" w:cs="Times New Roman"/>
          <w:sz w:val="24"/>
          <w:szCs w:val="24"/>
        </w:rPr>
        <w:t>Researcher found that every year from 2004 to 2011 capital adequacy of foreign commercial bank is higher from the domestic private commercial bank. Which refers the performance of foreign commercial bank is better from the domestic private commercial bank.</w:t>
      </w:r>
    </w:p>
    <w:p w:rsidR="0007378F" w:rsidRPr="00466EDC" w:rsidRDefault="0007378F" w:rsidP="0007378F">
      <w:pPr>
        <w:spacing w:line="360" w:lineRule="auto"/>
        <w:jc w:val="both"/>
        <w:rPr>
          <w:rFonts w:ascii="Times New Roman" w:hAnsi="Times New Roman" w:cs="Times New Roman"/>
          <w:sz w:val="24"/>
          <w:szCs w:val="24"/>
        </w:rPr>
      </w:pPr>
      <w:r w:rsidRPr="00466EDC">
        <w:rPr>
          <w:rFonts w:ascii="Times New Roman" w:hAnsi="Times New Roman" w:cs="Times New Roman"/>
          <w:sz w:val="24"/>
          <w:szCs w:val="24"/>
        </w:rPr>
        <w:t>Asset quality is an important measure of the strength of banks. The most important indicator of bank asset quality in the loan portfolio is the ratio of gross non-performing loans (NPLs) to total loans.</w:t>
      </w:r>
    </w:p>
    <w:p w:rsidR="0007378F" w:rsidRPr="00466EDC" w:rsidRDefault="0007378F" w:rsidP="0007378F">
      <w:pPr>
        <w:spacing w:line="360" w:lineRule="auto"/>
        <w:jc w:val="both"/>
        <w:rPr>
          <w:rFonts w:ascii="Times New Roman" w:hAnsi="Times New Roman" w:cs="Times New Roman"/>
          <w:sz w:val="24"/>
          <w:szCs w:val="24"/>
        </w:rPr>
      </w:pPr>
      <w:r w:rsidRPr="00CA10D3">
        <w:rPr>
          <w:rFonts w:ascii="Times New Roman" w:hAnsi="Times New Roman" w:cs="Times New Roman"/>
          <w:sz w:val="24"/>
          <w:szCs w:val="24"/>
        </w:rPr>
        <w:t>Researcher</w:t>
      </w:r>
      <w:r w:rsidRPr="00466EDC">
        <w:rPr>
          <w:rFonts w:ascii="Times New Roman" w:hAnsi="Times New Roman" w:cs="Times New Roman"/>
          <w:sz w:val="24"/>
          <w:szCs w:val="24"/>
        </w:rPr>
        <w:t xml:space="preserve"> </w:t>
      </w:r>
      <w:r>
        <w:rPr>
          <w:rFonts w:ascii="Times New Roman" w:hAnsi="Times New Roman" w:cs="Times New Roman"/>
          <w:sz w:val="24"/>
          <w:szCs w:val="24"/>
        </w:rPr>
        <w:t>get that</w:t>
      </w:r>
      <w:r w:rsidRPr="00466EDC">
        <w:rPr>
          <w:rFonts w:ascii="Times New Roman" w:hAnsi="Times New Roman" w:cs="Times New Roman"/>
          <w:sz w:val="24"/>
          <w:szCs w:val="24"/>
        </w:rPr>
        <w:t xml:space="preserve"> every year from 2004 to 2011 non-performing loan ratio of foreign commercial bank is lower from the domestic priv</w:t>
      </w:r>
      <w:r>
        <w:rPr>
          <w:rFonts w:ascii="Times New Roman" w:hAnsi="Times New Roman" w:cs="Times New Roman"/>
          <w:sz w:val="24"/>
          <w:szCs w:val="24"/>
        </w:rPr>
        <w:t>ate commercial bank</w:t>
      </w:r>
      <w:r w:rsidRPr="00466EDC">
        <w:rPr>
          <w:rFonts w:ascii="Times New Roman" w:hAnsi="Times New Roman" w:cs="Times New Roman"/>
          <w:sz w:val="24"/>
          <w:szCs w:val="24"/>
        </w:rPr>
        <w:t>.</w:t>
      </w:r>
      <w:r>
        <w:rPr>
          <w:rFonts w:ascii="Times New Roman" w:hAnsi="Times New Roman" w:cs="Times New Roman"/>
          <w:sz w:val="24"/>
          <w:szCs w:val="24"/>
        </w:rPr>
        <w:t xml:space="preserve"> In 2010 non-performing loan of private commercial bank was 3.2 percent and at the same time foreign commercial bank non-performing loan was 3.0 percent which is lower than the private commercial bank. </w:t>
      </w:r>
      <w:r w:rsidRPr="00466EDC">
        <w:rPr>
          <w:rFonts w:ascii="Times New Roman" w:hAnsi="Times New Roman" w:cs="Times New Roman"/>
          <w:sz w:val="24"/>
          <w:szCs w:val="24"/>
        </w:rPr>
        <w:t>Which refers the performance of foreign commercial bank performance is better from the domestic private commercial bank.</w:t>
      </w:r>
    </w:p>
    <w:p w:rsidR="0007378F" w:rsidRPr="00466EDC" w:rsidRDefault="0007378F" w:rsidP="0007378F">
      <w:pPr>
        <w:spacing w:line="360" w:lineRule="auto"/>
        <w:jc w:val="both"/>
        <w:rPr>
          <w:rFonts w:ascii="Times New Roman" w:hAnsi="Times New Roman" w:cs="Times New Roman"/>
          <w:sz w:val="24"/>
          <w:szCs w:val="24"/>
        </w:rPr>
      </w:pPr>
      <w:r w:rsidRPr="00466EDC">
        <w:rPr>
          <w:rFonts w:ascii="Times New Roman" w:hAnsi="Times New Roman" w:cs="Times New Roman"/>
          <w:sz w:val="24"/>
          <w:szCs w:val="24"/>
        </w:rPr>
        <w:t xml:space="preserve">The capacity/efficiency of the management of a bank can be measured with the help of certain ratios. A good and expert management is very important for the strength and </w:t>
      </w:r>
      <w:r w:rsidRPr="00466EDC">
        <w:rPr>
          <w:rFonts w:ascii="Times New Roman" w:hAnsi="Times New Roman" w:cs="Times New Roman"/>
          <w:sz w:val="24"/>
          <w:szCs w:val="24"/>
        </w:rPr>
        <w:lastRenderedPageBreak/>
        <w:t xml:space="preserve">continuous growth of the financial institution. We cannot make any conclusion about management base on the quantity rather we should make comment base on the quality of the management. Management must need some experience about income, expenses, interest rate, policy making then it became a sound management. We can see the member of foreign bank management is more knowledgeable, expert compare with the member of the domestic private commercial bank. </w:t>
      </w:r>
    </w:p>
    <w:p w:rsidR="0007378F" w:rsidRDefault="0007378F" w:rsidP="0007378F">
      <w:pPr>
        <w:spacing w:line="360" w:lineRule="auto"/>
        <w:jc w:val="both"/>
        <w:rPr>
          <w:rFonts w:ascii="Times New Roman" w:hAnsi="Times New Roman" w:cs="Times New Roman"/>
          <w:sz w:val="24"/>
          <w:szCs w:val="24"/>
        </w:rPr>
      </w:pPr>
      <w:r w:rsidRPr="00466EDC">
        <w:rPr>
          <w:rFonts w:ascii="Times New Roman" w:hAnsi="Times New Roman" w:cs="Times New Roman"/>
          <w:sz w:val="24"/>
          <w:szCs w:val="24"/>
        </w:rPr>
        <w:t>There are various indicators of earning and profitability, but most representative and widely used indicator is Return on Assets (ROA), which is supplemented by Return on Equity (ROE).</w:t>
      </w:r>
    </w:p>
    <w:p w:rsidR="0007378F" w:rsidRDefault="0007378F" w:rsidP="0007378F">
      <w:pPr>
        <w:spacing w:line="360" w:lineRule="auto"/>
        <w:jc w:val="both"/>
        <w:rPr>
          <w:rFonts w:ascii="Times New Roman" w:hAnsi="Times New Roman" w:cs="Times New Roman"/>
          <w:sz w:val="24"/>
          <w:szCs w:val="24"/>
        </w:rPr>
      </w:pPr>
      <w:r>
        <w:rPr>
          <w:rFonts w:ascii="Times New Roman" w:hAnsi="Times New Roman" w:cs="Times New Roman"/>
          <w:sz w:val="24"/>
          <w:szCs w:val="24"/>
        </w:rPr>
        <w:t>Researcher get that</w:t>
      </w:r>
      <w:r w:rsidRPr="00466EDC">
        <w:rPr>
          <w:rFonts w:ascii="Times New Roman" w:hAnsi="Times New Roman" w:cs="Times New Roman"/>
          <w:sz w:val="24"/>
          <w:szCs w:val="24"/>
        </w:rPr>
        <w:t xml:space="preserve"> every year from 2004 to 2011 return on assets (ROA) of foreign commercial bank is higher from the domestic private commercial bank.</w:t>
      </w:r>
      <w:r>
        <w:rPr>
          <w:rFonts w:ascii="Times New Roman" w:hAnsi="Times New Roman" w:cs="Times New Roman"/>
          <w:sz w:val="24"/>
          <w:szCs w:val="24"/>
        </w:rPr>
        <w:t xml:space="preserve"> Return on assets of private commercial bank was 1.6 percent and foreign commercial bank was 3.2 percent in 2011. </w:t>
      </w:r>
      <w:r w:rsidRPr="00466EDC">
        <w:rPr>
          <w:rFonts w:ascii="Times New Roman" w:hAnsi="Times New Roman" w:cs="Times New Roman"/>
          <w:sz w:val="24"/>
          <w:szCs w:val="24"/>
        </w:rPr>
        <w:t>Which refers the performance of foreign commercial bank performance is better from the domestic private commercial bank.</w:t>
      </w:r>
    </w:p>
    <w:p w:rsidR="0007378F" w:rsidRPr="00466EDC" w:rsidRDefault="0007378F" w:rsidP="0007378F">
      <w:pPr>
        <w:spacing w:line="360" w:lineRule="auto"/>
        <w:jc w:val="both"/>
        <w:rPr>
          <w:rFonts w:ascii="Times New Roman" w:hAnsi="Times New Roman" w:cs="Times New Roman"/>
          <w:sz w:val="24"/>
          <w:szCs w:val="24"/>
        </w:rPr>
      </w:pPr>
      <w:r>
        <w:rPr>
          <w:rFonts w:ascii="Times New Roman" w:hAnsi="Times New Roman" w:cs="Times New Roman"/>
          <w:sz w:val="24"/>
          <w:szCs w:val="24"/>
        </w:rPr>
        <w:t>Researchers identify</w:t>
      </w:r>
      <w:r w:rsidRPr="00466EDC">
        <w:rPr>
          <w:rFonts w:ascii="Times New Roman" w:hAnsi="Times New Roman" w:cs="Times New Roman"/>
          <w:sz w:val="24"/>
          <w:szCs w:val="24"/>
        </w:rPr>
        <w:t xml:space="preserve"> </w:t>
      </w:r>
      <w:r>
        <w:rPr>
          <w:rFonts w:ascii="Times New Roman" w:hAnsi="Times New Roman" w:cs="Times New Roman"/>
          <w:sz w:val="24"/>
          <w:szCs w:val="24"/>
        </w:rPr>
        <w:t>that</w:t>
      </w:r>
      <w:r w:rsidRPr="00466EDC">
        <w:rPr>
          <w:rFonts w:ascii="Times New Roman" w:hAnsi="Times New Roman" w:cs="Times New Roman"/>
          <w:sz w:val="24"/>
          <w:szCs w:val="24"/>
        </w:rPr>
        <w:t xml:space="preserve"> every year from 2004 to 2011 return on equity (ROE) of foreign commercial bank is higher from the domestic private commercial bank. Which refers the performance of foreign commercial bank performance is better from the domestic private commercial bank.</w:t>
      </w:r>
      <w:r>
        <w:rPr>
          <w:rFonts w:ascii="Times New Roman" w:hAnsi="Times New Roman" w:cs="Times New Roman"/>
          <w:sz w:val="24"/>
          <w:szCs w:val="24"/>
        </w:rPr>
        <w:t xml:space="preserve"> At the same time it attract people for invest those bank.</w:t>
      </w:r>
    </w:p>
    <w:p w:rsidR="0007378F" w:rsidRDefault="0007378F" w:rsidP="000737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Researcher found that every year </w:t>
      </w:r>
      <w:r w:rsidRPr="00466EDC">
        <w:rPr>
          <w:rFonts w:ascii="Times New Roman" w:hAnsi="Times New Roman" w:cs="Times New Roman"/>
          <w:sz w:val="24"/>
          <w:szCs w:val="24"/>
        </w:rPr>
        <w:t>from 2004 to 2011 liquid assets of foreign commercial bank is higher from the domestic private commercial bank.</w:t>
      </w:r>
      <w:r>
        <w:rPr>
          <w:rFonts w:ascii="Times New Roman" w:hAnsi="Times New Roman" w:cs="Times New Roman"/>
          <w:sz w:val="24"/>
          <w:szCs w:val="24"/>
        </w:rPr>
        <w:t xml:space="preserve"> Most of the time foreign commercial bank hold liquid assets 1.5 times of private commercial bank of our country. </w:t>
      </w:r>
      <w:r w:rsidRPr="00466EDC">
        <w:rPr>
          <w:rFonts w:ascii="Times New Roman" w:hAnsi="Times New Roman" w:cs="Times New Roman"/>
          <w:sz w:val="24"/>
          <w:szCs w:val="24"/>
        </w:rPr>
        <w:t>Which re</w:t>
      </w:r>
      <w:r>
        <w:rPr>
          <w:rFonts w:ascii="Times New Roman" w:hAnsi="Times New Roman" w:cs="Times New Roman"/>
          <w:sz w:val="24"/>
          <w:szCs w:val="24"/>
        </w:rPr>
        <w:t>fers foreign bank can easily ma</w:t>
      </w:r>
      <w:r w:rsidRPr="00466EDC">
        <w:rPr>
          <w:rFonts w:ascii="Times New Roman" w:hAnsi="Times New Roman" w:cs="Times New Roman"/>
          <w:sz w:val="24"/>
          <w:szCs w:val="24"/>
        </w:rPr>
        <w:t xml:space="preserve">ke transaction with customer compare with domestic private commercial bank and they won’t face any presser for </w:t>
      </w:r>
      <w:r>
        <w:rPr>
          <w:rFonts w:ascii="Times New Roman" w:hAnsi="Times New Roman" w:cs="Times New Roman"/>
          <w:sz w:val="24"/>
          <w:szCs w:val="24"/>
        </w:rPr>
        <w:t xml:space="preserve">pay </w:t>
      </w:r>
      <w:r w:rsidRPr="00466EDC">
        <w:rPr>
          <w:rFonts w:ascii="Times New Roman" w:hAnsi="Times New Roman" w:cs="Times New Roman"/>
          <w:sz w:val="24"/>
          <w:szCs w:val="24"/>
        </w:rPr>
        <w:t>liquid assets like cash</w:t>
      </w:r>
      <w:r>
        <w:rPr>
          <w:rFonts w:ascii="Times New Roman" w:hAnsi="Times New Roman" w:cs="Times New Roman"/>
          <w:sz w:val="24"/>
          <w:szCs w:val="24"/>
        </w:rPr>
        <w:t xml:space="preserve"> to their and client.</w:t>
      </w:r>
      <w:r w:rsidRPr="00466EDC">
        <w:rPr>
          <w:rFonts w:ascii="Times New Roman" w:hAnsi="Times New Roman" w:cs="Times New Roman"/>
          <w:sz w:val="24"/>
          <w:szCs w:val="24"/>
        </w:rPr>
        <w:t xml:space="preserve"> </w:t>
      </w:r>
    </w:p>
    <w:p w:rsidR="0007378F" w:rsidRPr="00466EDC" w:rsidRDefault="00B61DEE" w:rsidP="000737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Roy and Khan </w:t>
      </w:r>
      <w:r>
        <w:t>(</w:t>
      </w:r>
      <w:r w:rsidRPr="00466EDC">
        <w:rPr>
          <w:rFonts w:ascii="Times New Roman" w:hAnsi="Times New Roman" w:cs="Times New Roman"/>
          <w:sz w:val="24"/>
          <w:szCs w:val="24"/>
        </w:rPr>
        <w:t>2013</w:t>
      </w:r>
      <w:r>
        <w:rPr>
          <w:rFonts w:ascii="Times New Roman" w:hAnsi="Times New Roman" w:cs="Times New Roman"/>
          <w:sz w:val="24"/>
          <w:szCs w:val="24"/>
        </w:rPr>
        <w:t>)</w:t>
      </w:r>
      <w:r>
        <w:t xml:space="preserve"> </w:t>
      </w:r>
      <w:r>
        <w:t>conducted a study on</w:t>
      </w:r>
      <w:r w:rsidR="0007378F" w:rsidRPr="00466EDC">
        <w:rPr>
          <w:rFonts w:ascii="Times New Roman" w:hAnsi="Times New Roman" w:cs="Times New Roman"/>
          <w:sz w:val="24"/>
          <w:szCs w:val="24"/>
        </w:rPr>
        <w:t xml:space="preserve"> the clients  taken ten renowned private commercial private bank of Dhaka city during the data collection period. It covers all clients of the bank who deposited and withdrew cash on a regular basis in a particular time. There is a significant relationship between banks overall service quality and bank reputation in the context of banking industry of Bangladesh.</w:t>
      </w:r>
    </w:p>
    <w:p w:rsidR="0007378F" w:rsidRPr="00466EDC" w:rsidRDefault="0007378F" w:rsidP="0007378F">
      <w:pPr>
        <w:spacing w:line="360" w:lineRule="auto"/>
        <w:jc w:val="both"/>
        <w:rPr>
          <w:rFonts w:ascii="Times New Roman" w:hAnsi="Times New Roman" w:cs="Times New Roman"/>
          <w:sz w:val="24"/>
          <w:szCs w:val="24"/>
        </w:rPr>
      </w:pPr>
      <w:r w:rsidRPr="00466EDC">
        <w:rPr>
          <w:rFonts w:ascii="Times New Roman" w:hAnsi="Times New Roman" w:cs="Times New Roman"/>
          <w:sz w:val="24"/>
          <w:szCs w:val="24"/>
        </w:rPr>
        <w:t xml:space="preserve">The result of correlation analysis depicts that banks overall service quality is positively and significantly correlated with bank reputation (r = 0.809, p&lt; .01). It is obvious that a positive </w:t>
      </w:r>
      <w:r w:rsidRPr="00466EDC">
        <w:rPr>
          <w:rFonts w:ascii="Times New Roman" w:hAnsi="Times New Roman" w:cs="Times New Roman"/>
          <w:sz w:val="24"/>
          <w:szCs w:val="24"/>
        </w:rPr>
        <w:lastRenderedPageBreak/>
        <w:t>correlation exist between service quality and reputation because if people get best service from the bank he will recommend that bank to others thus reputation enhances. Foreign commercial bank try to maintain international standard for provide service to the customer. So customer feel more attract to the foreign commercial bank compare with domestic commercial bank. Thus, the result of correlation analysis provided support for hypothesis 1.</w:t>
      </w:r>
    </w:p>
    <w:p w:rsidR="0007378F" w:rsidRPr="00466EDC" w:rsidRDefault="0007378F" w:rsidP="0007378F">
      <w:pPr>
        <w:spacing w:line="360" w:lineRule="auto"/>
        <w:jc w:val="both"/>
        <w:rPr>
          <w:rFonts w:ascii="Times New Roman" w:hAnsi="Times New Roman" w:cs="Times New Roman"/>
          <w:sz w:val="24"/>
          <w:szCs w:val="24"/>
        </w:rPr>
      </w:pPr>
      <w:r w:rsidRPr="00466EDC">
        <w:rPr>
          <w:rFonts w:ascii="Times New Roman" w:hAnsi="Times New Roman" w:cs="Times New Roman"/>
          <w:sz w:val="24"/>
          <w:szCs w:val="24"/>
        </w:rPr>
        <w:t>There is a significant relationship between overall product quality and bank reputation in the context of banking industry of Bangladesh.</w:t>
      </w:r>
    </w:p>
    <w:p w:rsidR="0007378F" w:rsidRPr="00466EDC" w:rsidRDefault="0007378F" w:rsidP="0007378F">
      <w:pPr>
        <w:spacing w:line="360" w:lineRule="auto"/>
        <w:jc w:val="both"/>
        <w:rPr>
          <w:rFonts w:ascii="Times New Roman" w:hAnsi="Times New Roman" w:cs="Times New Roman"/>
          <w:sz w:val="24"/>
          <w:szCs w:val="24"/>
        </w:rPr>
      </w:pPr>
      <w:r w:rsidRPr="00466EDC">
        <w:rPr>
          <w:rFonts w:ascii="Times New Roman" w:hAnsi="Times New Roman" w:cs="Times New Roman"/>
          <w:sz w:val="24"/>
          <w:szCs w:val="24"/>
        </w:rPr>
        <w:t xml:space="preserve">The result of correlation analysis depicts that banks overall product quality is positively and strongly correlated with bank reputation (r = 0.742, p&lt; .01). Foreign commercial bank product quality and reputation is worldwide. That’s why people can trust and believe foreign commercial bank more compare with domestic private commercial bank. Thus, the result of correlation analysis provided support for hypothesis 2.  </w:t>
      </w:r>
    </w:p>
    <w:p w:rsidR="0007378F" w:rsidRPr="00466EDC" w:rsidRDefault="0007378F" w:rsidP="0007378F">
      <w:pPr>
        <w:spacing w:line="360" w:lineRule="auto"/>
        <w:jc w:val="both"/>
        <w:rPr>
          <w:rFonts w:ascii="Times New Roman" w:hAnsi="Times New Roman" w:cs="Times New Roman"/>
          <w:sz w:val="24"/>
          <w:szCs w:val="24"/>
        </w:rPr>
      </w:pPr>
      <w:r w:rsidRPr="00466EDC">
        <w:rPr>
          <w:rFonts w:ascii="Times New Roman" w:hAnsi="Times New Roman" w:cs="Times New Roman"/>
          <w:sz w:val="24"/>
          <w:szCs w:val="24"/>
        </w:rPr>
        <w:t>There is a significant relationship between corporate social performance and bank reputation in the context of banking industry of Bangladesh.</w:t>
      </w:r>
    </w:p>
    <w:p w:rsidR="0007378F" w:rsidRPr="00466EDC" w:rsidRDefault="0007378F" w:rsidP="0007378F">
      <w:pPr>
        <w:spacing w:line="360" w:lineRule="auto"/>
        <w:jc w:val="both"/>
        <w:rPr>
          <w:rFonts w:ascii="Times New Roman" w:hAnsi="Times New Roman" w:cs="Times New Roman"/>
          <w:sz w:val="24"/>
          <w:szCs w:val="24"/>
        </w:rPr>
      </w:pPr>
      <w:r w:rsidRPr="00466EDC">
        <w:rPr>
          <w:rFonts w:ascii="Times New Roman" w:hAnsi="Times New Roman" w:cs="Times New Roman"/>
          <w:sz w:val="24"/>
          <w:szCs w:val="24"/>
        </w:rPr>
        <w:t>The result of correlation analysis depicts that corporate social performance is positively and weakly correlated with bank reputation (r = 0.362, p&lt;.01). Because social performance indicates social responsibility and firms contribution to social welfare that makes a good perception among clients. Foreign commercial bank spends more money compare with domestic private commercial bank for corporate social responsibility in the worldwide. It create a positive image in the peoples mind. Thus, the result of correlation analysis provided support for hypothesis 3.</w:t>
      </w:r>
    </w:p>
    <w:p w:rsidR="0007378F" w:rsidRDefault="0007378F" w:rsidP="0007378F">
      <w:pPr>
        <w:spacing w:line="360" w:lineRule="auto"/>
        <w:jc w:val="both"/>
        <w:rPr>
          <w:rFonts w:ascii="Times New Roman" w:hAnsi="Times New Roman" w:cs="Times New Roman"/>
          <w:sz w:val="24"/>
          <w:szCs w:val="24"/>
        </w:rPr>
      </w:pPr>
      <w:r w:rsidRPr="00466EDC">
        <w:rPr>
          <w:rFonts w:ascii="Times New Roman" w:hAnsi="Times New Roman" w:cs="Times New Roman"/>
          <w:sz w:val="24"/>
          <w:szCs w:val="24"/>
        </w:rPr>
        <w:t xml:space="preserve">After the analysis of these two reports we can say the performance of foreign commercial bank is better compare domestic private commercial bank of our country. Here in this report I am also focusing to the performance analysis of domestic private commercial bank basis on the ratio analysis of some domestic private commercial bank of our country. </w:t>
      </w:r>
    </w:p>
    <w:p w:rsidR="0007378F" w:rsidRDefault="0007378F" w:rsidP="0007378F">
      <w:pPr>
        <w:spacing w:line="360" w:lineRule="auto"/>
        <w:jc w:val="both"/>
        <w:rPr>
          <w:rFonts w:ascii="Times New Roman" w:hAnsi="Times New Roman" w:cs="Times New Roman"/>
          <w:sz w:val="24"/>
          <w:szCs w:val="24"/>
        </w:rPr>
      </w:pPr>
    </w:p>
    <w:p w:rsidR="0007378F" w:rsidRDefault="0007378F" w:rsidP="0007378F">
      <w:pPr>
        <w:spacing w:line="360" w:lineRule="auto"/>
        <w:jc w:val="both"/>
        <w:rPr>
          <w:rFonts w:ascii="Times New Roman" w:hAnsi="Times New Roman" w:cs="Times New Roman"/>
          <w:sz w:val="24"/>
          <w:szCs w:val="24"/>
        </w:rPr>
      </w:pPr>
    </w:p>
    <w:p w:rsidR="0007378F" w:rsidRPr="00DE105D" w:rsidRDefault="0007378F" w:rsidP="0007378F">
      <w:pPr>
        <w:spacing w:line="360" w:lineRule="auto"/>
        <w:jc w:val="both"/>
        <w:rPr>
          <w:rFonts w:ascii="Times New Roman" w:hAnsi="Times New Roman" w:cs="Times New Roman"/>
          <w:sz w:val="24"/>
          <w:szCs w:val="24"/>
        </w:rPr>
      </w:pPr>
    </w:p>
    <w:p w:rsidR="0007378F" w:rsidRPr="0055611B" w:rsidRDefault="0007378F" w:rsidP="0007378F">
      <w:pPr>
        <w:pStyle w:val="Heading1"/>
        <w:numPr>
          <w:ilvl w:val="0"/>
          <w:numId w:val="6"/>
        </w:numPr>
        <w:spacing w:line="360" w:lineRule="auto"/>
        <w:jc w:val="both"/>
        <w:rPr>
          <w:rFonts w:ascii="Times New Roman" w:hAnsi="Times New Roman" w:cs="Times New Roman"/>
          <w:color w:val="1F497D" w:themeColor="text2"/>
        </w:rPr>
      </w:pPr>
      <w:bookmarkStart w:id="15" w:name="_Toc518818056"/>
      <w:r w:rsidRPr="0055611B">
        <w:rPr>
          <w:rFonts w:ascii="Times New Roman" w:hAnsi="Times New Roman" w:cs="Times New Roman"/>
          <w:color w:val="1F497D" w:themeColor="text2"/>
        </w:rPr>
        <w:lastRenderedPageBreak/>
        <w:t>Financial Performance Analysis</w:t>
      </w:r>
      <w:bookmarkEnd w:id="15"/>
    </w:p>
    <w:p w:rsidR="0007378F" w:rsidRPr="00A7212E" w:rsidRDefault="0007378F" w:rsidP="0007378F">
      <w:pPr>
        <w:spacing w:before="240" w:line="360" w:lineRule="auto"/>
        <w:jc w:val="both"/>
        <w:rPr>
          <w:rFonts w:ascii="Times New Roman" w:hAnsi="Times New Roman" w:cs="Times New Roman"/>
          <w:sz w:val="24"/>
        </w:rPr>
      </w:pPr>
      <w:r w:rsidRPr="00A7212E">
        <w:rPr>
          <w:rFonts w:ascii="Times New Roman" w:hAnsi="Times New Roman" w:cs="Times New Roman"/>
          <w:sz w:val="24"/>
        </w:rPr>
        <w:t xml:space="preserve">Financial performance analysis is the process of identifying the financial strengths and weaknesses of the bank by properly analyzing the relationship within the items of profit and loss account and balance sheet. Financial performance analysis forecasting the bank’s future growth and situation of the bank. Through the financial statement analysis we can easily understand the bank’s position and performance. This analysis can be done by the owners, management, shareholders, and experts. Financial performance analysis can be done base on the many things. Here in this report I am doing financial performance analysis base on the ratio analysis.   </w:t>
      </w:r>
    </w:p>
    <w:p w:rsidR="0007378F" w:rsidRPr="0055611B" w:rsidRDefault="0007378F" w:rsidP="0007378F">
      <w:pPr>
        <w:pStyle w:val="Heading2"/>
        <w:numPr>
          <w:ilvl w:val="1"/>
          <w:numId w:val="6"/>
        </w:numPr>
        <w:spacing w:before="200"/>
        <w:rPr>
          <w:rFonts w:ascii="Times New Roman" w:hAnsi="Times New Roman" w:cs="Times New Roman"/>
          <w:color w:val="1F497D" w:themeColor="text2"/>
          <w:sz w:val="24"/>
        </w:rPr>
      </w:pPr>
      <w:bookmarkStart w:id="16" w:name="_Toc518818057"/>
      <w:r w:rsidRPr="0055611B">
        <w:rPr>
          <w:rFonts w:ascii="Times New Roman" w:hAnsi="Times New Roman" w:cs="Times New Roman"/>
          <w:color w:val="1F497D" w:themeColor="text2"/>
          <w:sz w:val="24"/>
        </w:rPr>
        <w:t>Ratios Analysis</w:t>
      </w:r>
      <w:bookmarkEnd w:id="16"/>
    </w:p>
    <w:p w:rsidR="0007378F" w:rsidRDefault="0007378F" w:rsidP="0007378F">
      <w:pPr>
        <w:spacing w:before="240" w:line="360" w:lineRule="auto"/>
        <w:jc w:val="both"/>
        <w:rPr>
          <w:rFonts w:ascii="Times New Roman" w:hAnsi="Times New Roman" w:cs="Times New Roman"/>
          <w:sz w:val="24"/>
        </w:rPr>
      </w:pPr>
      <w:r w:rsidRPr="006F0FFC">
        <w:rPr>
          <w:rFonts w:ascii="Times New Roman" w:hAnsi="Times New Roman" w:cs="Times New Roman"/>
          <w:sz w:val="24"/>
        </w:rPr>
        <w:t>Ratio analysis is the way through which we can find out the financial condition of the organization from the different angl</w:t>
      </w:r>
      <w:r>
        <w:rPr>
          <w:rFonts w:ascii="Times New Roman" w:hAnsi="Times New Roman" w:cs="Times New Roman"/>
          <w:sz w:val="24"/>
        </w:rPr>
        <w:t>e. Here I have done more than 3</w:t>
      </w:r>
      <w:r w:rsidRPr="006F0FFC">
        <w:rPr>
          <w:rFonts w:ascii="Times New Roman" w:hAnsi="Times New Roman" w:cs="Times New Roman"/>
          <w:sz w:val="24"/>
        </w:rPr>
        <w:t>0 ratios those are important to find out the orga</w:t>
      </w:r>
      <w:r>
        <w:rPr>
          <w:rFonts w:ascii="Times New Roman" w:hAnsi="Times New Roman" w:cs="Times New Roman"/>
          <w:sz w:val="24"/>
        </w:rPr>
        <w:t>nization financial condition. I</w:t>
      </w:r>
      <w:r w:rsidRPr="006F0FFC">
        <w:rPr>
          <w:rFonts w:ascii="Times New Roman" w:hAnsi="Times New Roman" w:cs="Times New Roman"/>
          <w:sz w:val="24"/>
        </w:rPr>
        <w:t xml:space="preserve"> analyze the ratios from five big sectors those are liquidity ratios, long term solvency ratios, turnover ratios, profitability ratios and market value ratios.</w:t>
      </w:r>
    </w:p>
    <w:p w:rsidR="0007378F" w:rsidRPr="006F0FFC" w:rsidRDefault="0007378F" w:rsidP="0007378F">
      <w:pPr>
        <w:spacing w:before="240" w:line="360" w:lineRule="auto"/>
        <w:jc w:val="both"/>
        <w:rPr>
          <w:rFonts w:ascii="Times New Roman" w:hAnsi="Times New Roman" w:cs="Times New Roman"/>
          <w:sz w:val="24"/>
        </w:rPr>
      </w:pPr>
      <w:r>
        <w:rPr>
          <w:rFonts w:ascii="Times New Roman" w:hAnsi="Times New Roman" w:cs="Times New Roman"/>
          <w:sz w:val="24"/>
        </w:rPr>
        <w:t>For my</w:t>
      </w:r>
      <w:r w:rsidRPr="006F0FFC">
        <w:rPr>
          <w:rFonts w:ascii="Times New Roman" w:hAnsi="Times New Roman" w:cs="Times New Roman"/>
          <w:sz w:val="24"/>
        </w:rPr>
        <w:t xml:space="preserve"> ratios a</w:t>
      </w:r>
      <w:r>
        <w:rPr>
          <w:rFonts w:ascii="Times New Roman" w:hAnsi="Times New Roman" w:cs="Times New Roman"/>
          <w:sz w:val="24"/>
        </w:rPr>
        <w:t>nalysis I selected “Dhaka Bank, Brac Bank, Dutch Bangla Bank</w:t>
      </w:r>
      <w:r w:rsidRPr="006F0FFC">
        <w:rPr>
          <w:rFonts w:ascii="Times New Roman" w:hAnsi="Times New Roman" w:cs="Times New Roman"/>
          <w:sz w:val="24"/>
        </w:rPr>
        <w:t xml:space="preserve"> and hav</w:t>
      </w:r>
      <w:r>
        <w:rPr>
          <w:rFonts w:ascii="Times New Roman" w:hAnsi="Times New Roman" w:cs="Times New Roman"/>
          <w:sz w:val="24"/>
        </w:rPr>
        <w:t>e taken their financial data. I took three years data for my better analysis and here I</w:t>
      </w:r>
      <w:r w:rsidRPr="006F0FFC">
        <w:rPr>
          <w:rFonts w:ascii="Times New Roman" w:hAnsi="Times New Roman" w:cs="Times New Roman"/>
          <w:sz w:val="24"/>
        </w:rPr>
        <w:t xml:space="preserve"> show the data for 3 years and discus about the findings that in which position “Dhaka Bank</w:t>
      </w:r>
      <w:r>
        <w:rPr>
          <w:rFonts w:ascii="Times New Roman" w:hAnsi="Times New Roman" w:cs="Times New Roman"/>
          <w:sz w:val="24"/>
        </w:rPr>
        <w:t>, Brac Bank, Dutch Bangla Bank</w:t>
      </w:r>
      <w:r w:rsidRPr="006F0FFC">
        <w:rPr>
          <w:rFonts w:ascii="Times New Roman" w:hAnsi="Times New Roman" w:cs="Times New Roman"/>
          <w:sz w:val="24"/>
        </w:rPr>
        <w:t xml:space="preserve">” is now and what are their future prospects. </w:t>
      </w:r>
    </w:p>
    <w:p w:rsidR="0007378F" w:rsidRPr="0055611B" w:rsidRDefault="0007378F" w:rsidP="0007378F">
      <w:pPr>
        <w:pStyle w:val="Heading3"/>
        <w:numPr>
          <w:ilvl w:val="2"/>
          <w:numId w:val="6"/>
        </w:numPr>
        <w:rPr>
          <w:rFonts w:ascii="Times New Roman" w:hAnsi="Times New Roman" w:cs="Times New Roman"/>
          <w:color w:val="1F497D" w:themeColor="text2"/>
          <w:sz w:val="24"/>
        </w:rPr>
      </w:pPr>
      <w:bookmarkStart w:id="17" w:name="_Toc518818058"/>
      <w:r w:rsidRPr="0055611B">
        <w:rPr>
          <w:rFonts w:ascii="Times New Roman" w:hAnsi="Times New Roman" w:cs="Times New Roman"/>
          <w:color w:val="1F497D" w:themeColor="text2"/>
          <w:sz w:val="24"/>
        </w:rPr>
        <w:t>Liquidity ratios</w:t>
      </w:r>
      <w:bookmarkEnd w:id="17"/>
    </w:p>
    <w:p w:rsidR="0007378F" w:rsidRDefault="0007378F" w:rsidP="0007378F">
      <w:pPr>
        <w:spacing w:before="240" w:line="360" w:lineRule="auto"/>
        <w:jc w:val="both"/>
        <w:rPr>
          <w:rFonts w:ascii="Times New Roman" w:hAnsi="Times New Roman" w:cs="Times New Roman"/>
          <w:sz w:val="24"/>
        </w:rPr>
      </w:pPr>
      <w:r w:rsidRPr="006F0FFC">
        <w:rPr>
          <w:rFonts w:ascii="Times New Roman" w:hAnsi="Times New Roman" w:cs="Times New Roman"/>
          <w:sz w:val="24"/>
        </w:rPr>
        <w:t>Liquidity ratios are most useful</w:t>
      </w:r>
      <w:r>
        <w:rPr>
          <w:rFonts w:ascii="Times New Roman" w:hAnsi="Times New Roman" w:cs="Times New Roman"/>
          <w:sz w:val="24"/>
        </w:rPr>
        <w:t xml:space="preserve"> ratio</w:t>
      </w:r>
      <w:r w:rsidRPr="006F0FFC">
        <w:rPr>
          <w:rFonts w:ascii="Times New Roman" w:hAnsi="Times New Roman" w:cs="Times New Roman"/>
          <w:sz w:val="24"/>
        </w:rPr>
        <w:t xml:space="preserve"> when they are used in comparative form</w:t>
      </w:r>
      <w:r>
        <w:rPr>
          <w:rFonts w:ascii="Times New Roman" w:hAnsi="Times New Roman" w:cs="Times New Roman"/>
          <w:sz w:val="24"/>
        </w:rPr>
        <w:t>. This analysis may be occurred</w:t>
      </w:r>
      <w:r w:rsidRPr="006F0FFC">
        <w:rPr>
          <w:rFonts w:ascii="Times New Roman" w:hAnsi="Times New Roman" w:cs="Times New Roman"/>
          <w:sz w:val="24"/>
        </w:rPr>
        <w:t xml:space="preserve"> internally or exte</w:t>
      </w:r>
      <w:r>
        <w:rPr>
          <w:rFonts w:ascii="Times New Roman" w:hAnsi="Times New Roman" w:cs="Times New Roman"/>
          <w:sz w:val="24"/>
        </w:rPr>
        <w:t>rnally. Liquidity ratios identify a company's capacity</w:t>
      </w:r>
      <w:r w:rsidRPr="006F0FFC">
        <w:rPr>
          <w:rFonts w:ascii="Times New Roman" w:hAnsi="Times New Roman" w:cs="Times New Roman"/>
          <w:sz w:val="24"/>
        </w:rPr>
        <w:t xml:space="preserve"> to pay debt obligations and its margin of safety through the calculation of metrics including the current ratio, quick ratio and operating cash flow ratio. </w:t>
      </w:r>
      <w:r>
        <w:rPr>
          <w:rFonts w:ascii="Times New Roman" w:hAnsi="Times New Roman" w:cs="Times New Roman"/>
          <w:sz w:val="24"/>
        </w:rPr>
        <w:t>Current liabilities are measured for identifying those liquid assets has the capacity to pay</w:t>
      </w:r>
      <w:r w:rsidRPr="006F0FFC">
        <w:rPr>
          <w:rFonts w:ascii="Times New Roman" w:hAnsi="Times New Roman" w:cs="Times New Roman"/>
          <w:sz w:val="24"/>
        </w:rPr>
        <w:t xml:space="preserve"> short terms debt in an</w:t>
      </w:r>
      <w:r>
        <w:rPr>
          <w:rFonts w:ascii="Times New Roman" w:hAnsi="Times New Roman" w:cs="Times New Roman"/>
          <w:sz w:val="24"/>
        </w:rPr>
        <w:t>y</w:t>
      </w:r>
      <w:r w:rsidRPr="006F0FFC">
        <w:rPr>
          <w:rFonts w:ascii="Times New Roman" w:hAnsi="Times New Roman" w:cs="Times New Roman"/>
          <w:sz w:val="24"/>
        </w:rPr>
        <w:t xml:space="preserve"> emergency</w:t>
      </w:r>
      <w:r>
        <w:rPr>
          <w:rFonts w:ascii="Times New Roman" w:hAnsi="Times New Roman" w:cs="Times New Roman"/>
          <w:sz w:val="24"/>
        </w:rPr>
        <w:t xml:space="preserve"> situation</w:t>
      </w:r>
      <w:r w:rsidRPr="006F0FFC">
        <w:rPr>
          <w:rFonts w:ascii="Times New Roman" w:hAnsi="Times New Roman" w:cs="Times New Roman"/>
          <w:sz w:val="24"/>
        </w:rPr>
        <w:t xml:space="preserve">. liquidity ratios </w:t>
      </w:r>
      <w:r>
        <w:rPr>
          <w:rFonts w:ascii="Times New Roman" w:hAnsi="Times New Roman" w:cs="Times New Roman"/>
          <w:sz w:val="24"/>
        </w:rPr>
        <w:t>mostly use for analyzing Bankruptcy</w:t>
      </w:r>
      <w:r w:rsidRPr="006F0FFC">
        <w:rPr>
          <w:rFonts w:ascii="Times New Roman" w:hAnsi="Times New Roman" w:cs="Times New Roman"/>
          <w:sz w:val="24"/>
        </w:rPr>
        <w:t xml:space="preserve"> and mortgage </w:t>
      </w:r>
      <w:r>
        <w:rPr>
          <w:rFonts w:ascii="Times New Roman" w:hAnsi="Times New Roman" w:cs="Times New Roman"/>
          <w:sz w:val="24"/>
        </w:rPr>
        <w:t>originators</w:t>
      </w:r>
      <w:r w:rsidRPr="006F0FFC">
        <w:rPr>
          <w:rFonts w:ascii="Times New Roman" w:hAnsi="Times New Roman" w:cs="Times New Roman"/>
          <w:sz w:val="24"/>
        </w:rPr>
        <w:t xml:space="preserve"> to</w:t>
      </w:r>
      <w:r>
        <w:rPr>
          <w:rFonts w:ascii="Times New Roman" w:hAnsi="Times New Roman" w:cs="Times New Roman"/>
          <w:sz w:val="24"/>
        </w:rPr>
        <w:t xml:space="preserve"> evaluate going concern issues.</w:t>
      </w:r>
    </w:p>
    <w:p w:rsidR="0007378F" w:rsidRDefault="0007378F" w:rsidP="0007378F">
      <w:pPr>
        <w:spacing w:before="240" w:line="360" w:lineRule="auto"/>
        <w:jc w:val="both"/>
        <w:rPr>
          <w:rFonts w:ascii="Times New Roman" w:hAnsi="Times New Roman" w:cs="Times New Roman"/>
          <w:sz w:val="24"/>
        </w:rPr>
      </w:pPr>
      <w:r w:rsidRPr="006F0FFC">
        <w:rPr>
          <w:rFonts w:ascii="Times New Roman" w:hAnsi="Times New Roman" w:cs="Times New Roman"/>
          <w:sz w:val="24"/>
        </w:rPr>
        <w:t>Liquidity ratios are some tools through which we can measure the cash c</w:t>
      </w:r>
      <w:r>
        <w:rPr>
          <w:rFonts w:ascii="Times New Roman" w:hAnsi="Times New Roman" w:cs="Times New Roman"/>
          <w:sz w:val="24"/>
        </w:rPr>
        <w:t xml:space="preserve">onditions of the organization. </w:t>
      </w:r>
      <w:r w:rsidRPr="006F0FFC">
        <w:rPr>
          <w:rFonts w:ascii="Times New Roman" w:hAnsi="Times New Roman" w:cs="Times New Roman"/>
          <w:sz w:val="24"/>
        </w:rPr>
        <w:t>Here</w:t>
      </w:r>
      <w:r>
        <w:rPr>
          <w:rFonts w:ascii="Times New Roman" w:hAnsi="Times New Roman" w:cs="Times New Roman"/>
          <w:sz w:val="24"/>
        </w:rPr>
        <w:t xml:space="preserve"> we are focusing some</w:t>
      </w:r>
      <w:r w:rsidRPr="006F0FFC">
        <w:rPr>
          <w:rFonts w:ascii="Times New Roman" w:hAnsi="Times New Roman" w:cs="Times New Roman"/>
          <w:sz w:val="24"/>
        </w:rPr>
        <w:t xml:space="preserve"> tools</w:t>
      </w:r>
      <w:r>
        <w:rPr>
          <w:rFonts w:ascii="Times New Roman" w:hAnsi="Times New Roman" w:cs="Times New Roman"/>
          <w:sz w:val="24"/>
        </w:rPr>
        <w:t xml:space="preserve"> of liquidity ratio</w:t>
      </w:r>
      <w:r w:rsidRPr="006F0FFC">
        <w:rPr>
          <w:rFonts w:ascii="Times New Roman" w:hAnsi="Times New Roman" w:cs="Times New Roman"/>
          <w:sz w:val="24"/>
        </w:rPr>
        <w:t xml:space="preserve"> and we measure it’s liquidate </w:t>
      </w:r>
      <w:r w:rsidRPr="006F0FFC">
        <w:rPr>
          <w:rFonts w:ascii="Times New Roman" w:hAnsi="Times New Roman" w:cs="Times New Roman"/>
          <w:sz w:val="24"/>
        </w:rPr>
        <w:lastRenderedPageBreak/>
        <w:t>condition of “Dhaka Bank</w:t>
      </w:r>
      <w:r w:rsidRPr="00FF5D03">
        <w:rPr>
          <w:rFonts w:ascii="Times New Roman" w:hAnsi="Times New Roman" w:cs="Times New Roman"/>
          <w:sz w:val="24"/>
        </w:rPr>
        <w:t xml:space="preserve"> </w:t>
      </w:r>
      <w:r>
        <w:rPr>
          <w:rFonts w:ascii="Times New Roman" w:hAnsi="Times New Roman" w:cs="Times New Roman"/>
          <w:sz w:val="24"/>
        </w:rPr>
        <w:t>Brac Bank, Dutch Bangla Bank, Bank asia, IFIC Bank</w:t>
      </w:r>
      <w:r w:rsidRPr="006F0FFC">
        <w:rPr>
          <w:rFonts w:ascii="Times New Roman" w:hAnsi="Times New Roman" w:cs="Times New Roman"/>
          <w:sz w:val="24"/>
        </w:rPr>
        <w:t>”. Here we show some</w:t>
      </w:r>
      <w:r>
        <w:rPr>
          <w:rFonts w:ascii="Times New Roman" w:hAnsi="Times New Roman" w:cs="Times New Roman"/>
          <w:sz w:val="24"/>
        </w:rPr>
        <w:t xml:space="preserve"> ratio and it’s formula</w:t>
      </w:r>
      <w:r w:rsidRPr="006F0FFC">
        <w:rPr>
          <w:rFonts w:ascii="Times New Roman" w:hAnsi="Times New Roman" w:cs="Times New Roman"/>
          <w:sz w:val="24"/>
        </w:rPr>
        <w:t xml:space="preserve"> and trend of the positions and discussed about it. Like- </w:t>
      </w:r>
    </w:p>
    <w:tbl>
      <w:tblPr>
        <w:tblStyle w:val="MediumGrid1-Accent5"/>
        <w:tblW w:w="0" w:type="auto"/>
        <w:tblLook w:val="04A0" w:firstRow="1" w:lastRow="0" w:firstColumn="1" w:lastColumn="0" w:noHBand="0" w:noVBand="1"/>
      </w:tblPr>
      <w:tblGrid>
        <w:gridCol w:w="1438"/>
        <w:gridCol w:w="2127"/>
        <w:gridCol w:w="5678"/>
      </w:tblGrid>
      <w:tr w:rsidR="0007378F" w:rsidRPr="00D0554E" w:rsidTr="00E2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Pr>
          <w:p w:rsidR="0007378F" w:rsidRPr="00D0554E" w:rsidRDefault="0007378F" w:rsidP="00E266FC">
            <w:pPr>
              <w:spacing w:before="240" w:line="360" w:lineRule="auto"/>
              <w:jc w:val="center"/>
              <w:rPr>
                <w:rFonts w:ascii="Times New Roman" w:hAnsi="Times New Roman" w:cs="Times New Roman"/>
                <w:b w:val="0"/>
                <w:sz w:val="24"/>
              </w:rPr>
            </w:pPr>
            <w:r w:rsidRPr="00D0554E">
              <w:rPr>
                <w:rFonts w:ascii="Times New Roman" w:hAnsi="Times New Roman" w:cs="Times New Roman"/>
                <w:b w:val="0"/>
                <w:sz w:val="24"/>
              </w:rPr>
              <w:t>Ratio</w:t>
            </w:r>
          </w:p>
        </w:tc>
        <w:tc>
          <w:tcPr>
            <w:tcW w:w="2127" w:type="dxa"/>
          </w:tcPr>
          <w:p w:rsidR="0007378F" w:rsidRPr="00D0554E" w:rsidRDefault="0007378F" w:rsidP="00E266FC">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0554E">
              <w:rPr>
                <w:rFonts w:ascii="Times New Roman" w:hAnsi="Times New Roman" w:cs="Times New Roman"/>
                <w:b w:val="0"/>
                <w:sz w:val="24"/>
              </w:rPr>
              <w:t>Formula</w:t>
            </w:r>
          </w:p>
        </w:tc>
        <w:tc>
          <w:tcPr>
            <w:tcW w:w="5678" w:type="dxa"/>
          </w:tcPr>
          <w:p w:rsidR="0007378F" w:rsidRPr="00D0554E" w:rsidRDefault="0007378F" w:rsidP="00E266FC">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0554E">
              <w:rPr>
                <w:rFonts w:ascii="Times New Roman" w:hAnsi="Times New Roman" w:cs="Times New Roman"/>
                <w:b w:val="0"/>
                <w:sz w:val="24"/>
              </w:rPr>
              <w:t>Definition</w:t>
            </w: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Pr>
          <w:p w:rsidR="0007378F" w:rsidRPr="00A7212E" w:rsidRDefault="0007378F" w:rsidP="00E266FC">
            <w:pPr>
              <w:spacing w:line="360" w:lineRule="auto"/>
              <w:rPr>
                <w:rFonts w:ascii="Times New Roman" w:hAnsi="Times New Roman" w:cs="Times New Roman"/>
                <w:color w:val="000000"/>
                <w:sz w:val="24"/>
                <w:szCs w:val="24"/>
              </w:rPr>
            </w:pPr>
            <w:r w:rsidRPr="00A7212E">
              <w:rPr>
                <w:rFonts w:ascii="Times New Roman" w:hAnsi="Times New Roman" w:cs="Times New Roman"/>
                <w:color w:val="000000"/>
                <w:sz w:val="24"/>
                <w:szCs w:val="24"/>
              </w:rPr>
              <w:t>Current ratio</w:t>
            </w:r>
          </w:p>
        </w:tc>
        <w:tc>
          <w:tcPr>
            <w:tcW w:w="2127" w:type="dxa"/>
          </w:tcPr>
          <w:p w:rsidR="0007378F" w:rsidRPr="00A7212E" w:rsidRDefault="0007378F" w:rsidP="00E266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A7212E">
              <w:rPr>
                <w:rFonts w:ascii="Times New Roman" w:hAnsi="Times New Roman" w:cs="Times New Roman"/>
                <w:color w:val="000000"/>
                <w:sz w:val="24"/>
                <w:szCs w:val="24"/>
              </w:rPr>
              <w:t>C.A / C.L</w:t>
            </w:r>
          </w:p>
        </w:tc>
        <w:tc>
          <w:tcPr>
            <w:tcW w:w="5678" w:type="dxa"/>
          </w:tcPr>
          <w:p w:rsidR="0007378F" w:rsidRPr="00A7212E" w:rsidRDefault="0007378F" w:rsidP="00E266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212E">
              <w:rPr>
                <w:rStyle w:val="tgc"/>
                <w:rFonts w:ascii="Times New Roman" w:hAnsi="Times New Roman" w:cs="Times New Roman"/>
                <w:sz w:val="24"/>
                <w:szCs w:val="24"/>
              </w:rPr>
              <w:t xml:space="preserve">The </w:t>
            </w:r>
            <w:r w:rsidRPr="00A7212E">
              <w:rPr>
                <w:rStyle w:val="tgc"/>
                <w:rFonts w:ascii="Times New Roman" w:hAnsi="Times New Roman" w:cs="Times New Roman"/>
                <w:bCs/>
                <w:sz w:val="24"/>
                <w:szCs w:val="24"/>
              </w:rPr>
              <w:t>current ratio</w:t>
            </w:r>
            <w:r w:rsidRPr="00A7212E">
              <w:rPr>
                <w:rStyle w:val="tgc"/>
                <w:rFonts w:ascii="Times New Roman" w:hAnsi="Times New Roman" w:cs="Times New Roman"/>
                <w:sz w:val="24"/>
                <w:szCs w:val="24"/>
              </w:rPr>
              <w:t xml:space="preserve"> is a liquidity </w:t>
            </w:r>
            <w:r w:rsidRPr="00A7212E">
              <w:rPr>
                <w:rStyle w:val="tgc"/>
                <w:rFonts w:ascii="Times New Roman" w:hAnsi="Times New Roman" w:cs="Times New Roman"/>
                <w:bCs/>
                <w:sz w:val="24"/>
                <w:szCs w:val="24"/>
              </w:rPr>
              <w:t>ratio</w:t>
            </w:r>
            <w:r w:rsidRPr="00A7212E">
              <w:rPr>
                <w:rStyle w:val="tgc"/>
                <w:rFonts w:ascii="Times New Roman" w:hAnsi="Times New Roman" w:cs="Times New Roman"/>
                <w:sz w:val="24"/>
                <w:szCs w:val="24"/>
              </w:rPr>
              <w:t xml:space="preserve"> that measures a company's ability to pay short-term and long-term obligations and debt</w:t>
            </w:r>
          </w:p>
        </w:tc>
      </w:tr>
      <w:tr w:rsidR="0007378F" w:rsidTr="00E266FC">
        <w:tc>
          <w:tcPr>
            <w:cnfStyle w:val="001000000000" w:firstRow="0" w:lastRow="0" w:firstColumn="1" w:lastColumn="0" w:oddVBand="0" w:evenVBand="0" w:oddHBand="0" w:evenHBand="0" w:firstRowFirstColumn="0" w:firstRowLastColumn="0" w:lastRowFirstColumn="0" w:lastRowLastColumn="0"/>
            <w:tcW w:w="1438" w:type="dxa"/>
          </w:tcPr>
          <w:p w:rsidR="0007378F" w:rsidRPr="00A7212E" w:rsidRDefault="0007378F" w:rsidP="00E266FC">
            <w:pPr>
              <w:rPr>
                <w:rFonts w:ascii="Times New Roman" w:hAnsi="Times New Roman" w:cs="Times New Roman"/>
                <w:color w:val="000000"/>
                <w:sz w:val="24"/>
                <w:szCs w:val="24"/>
              </w:rPr>
            </w:pPr>
            <w:r w:rsidRPr="00A7212E">
              <w:rPr>
                <w:rFonts w:ascii="Times New Roman" w:hAnsi="Times New Roman" w:cs="Times New Roman"/>
                <w:color w:val="000000"/>
                <w:sz w:val="24"/>
                <w:szCs w:val="24"/>
              </w:rPr>
              <w:t>Quick ratio</w:t>
            </w:r>
          </w:p>
        </w:tc>
        <w:tc>
          <w:tcPr>
            <w:tcW w:w="2127" w:type="dxa"/>
          </w:tcPr>
          <w:p w:rsidR="0007378F" w:rsidRPr="00A7212E"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A7212E">
              <w:rPr>
                <w:rFonts w:ascii="Times New Roman" w:hAnsi="Times New Roman" w:cs="Times New Roman"/>
                <w:color w:val="000000"/>
                <w:sz w:val="24"/>
                <w:szCs w:val="24"/>
              </w:rPr>
              <w:t>(C.A-Inventory)/C.L</w:t>
            </w:r>
          </w:p>
        </w:tc>
        <w:tc>
          <w:tcPr>
            <w:tcW w:w="5678" w:type="dxa"/>
          </w:tcPr>
          <w:p w:rsidR="0007378F" w:rsidRPr="00A7212E" w:rsidRDefault="0007378F" w:rsidP="00E266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212E">
              <w:rPr>
                <w:rFonts w:ascii="Times New Roman" w:hAnsi="Times New Roman" w:cs="Times New Roman"/>
                <w:sz w:val="24"/>
                <w:szCs w:val="24"/>
              </w:rPr>
              <w:t>Quick ratio identify the company’s ability to meet its short-term obligations and loan with its most liquid assets.</w:t>
            </w: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Pr>
          <w:p w:rsidR="0007378F" w:rsidRPr="00A7212E" w:rsidRDefault="0007378F" w:rsidP="00E266FC">
            <w:pPr>
              <w:rPr>
                <w:rFonts w:ascii="Times New Roman" w:hAnsi="Times New Roman" w:cs="Times New Roman"/>
                <w:color w:val="000000"/>
                <w:sz w:val="24"/>
                <w:szCs w:val="24"/>
              </w:rPr>
            </w:pPr>
            <w:r w:rsidRPr="00A7212E">
              <w:rPr>
                <w:rFonts w:ascii="Times New Roman" w:hAnsi="Times New Roman" w:cs="Times New Roman"/>
                <w:color w:val="000000"/>
                <w:sz w:val="24"/>
                <w:szCs w:val="24"/>
              </w:rPr>
              <w:t>Cash ratio</w:t>
            </w:r>
          </w:p>
        </w:tc>
        <w:tc>
          <w:tcPr>
            <w:tcW w:w="2127" w:type="dxa"/>
          </w:tcPr>
          <w:p w:rsidR="0007378F" w:rsidRPr="00A7212E"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A7212E">
              <w:rPr>
                <w:rFonts w:ascii="Times New Roman" w:hAnsi="Times New Roman" w:cs="Times New Roman"/>
                <w:color w:val="000000"/>
                <w:sz w:val="24"/>
                <w:szCs w:val="24"/>
              </w:rPr>
              <w:t>Cash/Current liability</w:t>
            </w:r>
          </w:p>
        </w:tc>
        <w:tc>
          <w:tcPr>
            <w:tcW w:w="5678" w:type="dxa"/>
          </w:tcPr>
          <w:p w:rsidR="0007378F" w:rsidRPr="00A7212E" w:rsidRDefault="0007378F" w:rsidP="00E266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212E">
              <w:rPr>
                <w:rFonts w:ascii="Times New Roman" w:hAnsi="Times New Roman" w:cs="Times New Roman"/>
                <w:sz w:val="24"/>
                <w:szCs w:val="24"/>
              </w:rPr>
              <w:t>Cash ratio show the ratio of a company's total </w:t>
            </w:r>
            <w:hyperlink r:id="rId12" w:history="1">
              <w:r w:rsidRPr="00A7212E">
                <w:rPr>
                  <w:rStyle w:val="Hyperlink"/>
                  <w:rFonts w:ascii="Times New Roman" w:hAnsi="Times New Roman" w:cs="Times New Roman"/>
                  <w:color w:val="auto"/>
                  <w:sz w:val="24"/>
                  <w:szCs w:val="24"/>
                </w:rPr>
                <w:t>cash and cash equivalents</w:t>
              </w:r>
            </w:hyperlink>
            <w:r w:rsidRPr="00A7212E">
              <w:rPr>
                <w:rFonts w:ascii="Times New Roman" w:hAnsi="Times New Roman" w:cs="Times New Roman"/>
                <w:sz w:val="24"/>
                <w:szCs w:val="24"/>
              </w:rPr>
              <w:t xml:space="preserve"> to its </w:t>
            </w:r>
            <w:hyperlink r:id="rId13" w:history="1">
              <w:r w:rsidRPr="00A7212E">
                <w:rPr>
                  <w:rStyle w:val="Hyperlink"/>
                  <w:rFonts w:ascii="Times New Roman" w:hAnsi="Times New Roman" w:cs="Times New Roman"/>
                  <w:color w:val="auto"/>
                  <w:sz w:val="24"/>
                  <w:szCs w:val="24"/>
                </w:rPr>
                <w:t>current liabilities</w:t>
              </w:r>
            </w:hyperlink>
            <w:r w:rsidRPr="00A7212E">
              <w:rPr>
                <w:rFonts w:ascii="Times New Roman" w:hAnsi="Times New Roman" w:cs="Times New Roman"/>
                <w:sz w:val="24"/>
                <w:szCs w:val="24"/>
              </w:rPr>
              <w:t>.</w:t>
            </w:r>
          </w:p>
        </w:tc>
      </w:tr>
      <w:tr w:rsidR="0007378F" w:rsidTr="00E266FC">
        <w:tc>
          <w:tcPr>
            <w:cnfStyle w:val="001000000000" w:firstRow="0" w:lastRow="0" w:firstColumn="1" w:lastColumn="0" w:oddVBand="0" w:evenVBand="0" w:oddHBand="0" w:evenHBand="0" w:firstRowFirstColumn="0" w:firstRowLastColumn="0" w:lastRowFirstColumn="0" w:lastRowLastColumn="0"/>
            <w:tcW w:w="1438" w:type="dxa"/>
          </w:tcPr>
          <w:p w:rsidR="0007378F" w:rsidRPr="00A7212E" w:rsidRDefault="0007378F" w:rsidP="00E266FC">
            <w:pPr>
              <w:rPr>
                <w:rFonts w:ascii="Times New Roman" w:hAnsi="Times New Roman" w:cs="Times New Roman"/>
                <w:color w:val="000000"/>
                <w:sz w:val="24"/>
                <w:szCs w:val="24"/>
              </w:rPr>
            </w:pPr>
            <w:r w:rsidRPr="00A7212E">
              <w:rPr>
                <w:rFonts w:ascii="Times New Roman" w:hAnsi="Times New Roman" w:cs="Times New Roman"/>
                <w:color w:val="000000"/>
                <w:sz w:val="24"/>
                <w:szCs w:val="24"/>
              </w:rPr>
              <w:t>Net Working Capital</w:t>
            </w:r>
          </w:p>
        </w:tc>
        <w:tc>
          <w:tcPr>
            <w:tcW w:w="2127" w:type="dxa"/>
          </w:tcPr>
          <w:p w:rsidR="0007378F" w:rsidRPr="00A7212E"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A7212E">
              <w:rPr>
                <w:rFonts w:ascii="Times New Roman" w:hAnsi="Times New Roman" w:cs="Times New Roman"/>
                <w:color w:val="000000"/>
                <w:sz w:val="24"/>
                <w:szCs w:val="24"/>
              </w:rPr>
              <w:t>Current Assets - Current Liabilities</w:t>
            </w:r>
          </w:p>
        </w:tc>
        <w:tc>
          <w:tcPr>
            <w:tcW w:w="5678" w:type="dxa"/>
          </w:tcPr>
          <w:p w:rsidR="0007378F" w:rsidRPr="00A7212E" w:rsidRDefault="0007378F" w:rsidP="00E266F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212E">
              <w:rPr>
                <w:rFonts w:ascii="Times New Roman" w:hAnsi="Times New Roman" w:cs="Times New Roman"/>
                <w:sz w:val="24"/>
                <w:szCs w:val="24"/>
              </w:rPr>
              <w:t>Net working capital show the difference between a company’s </w:t>
            </w:r>
            <w:hyperlink r:id="rId14" w:history="1">
              <w:r w:rsidRPr="00A7212E">
                <w:rPr>
                  <w:rStyle w:val="Hyperlink"/>
                  <w:rFonts w:ascii="Times New Roman" w:hAnsi="Times New Roman" w:cs="Times New Roman"/>
                  <w:color w:val="auto"/>
                  <w:sz w:val="24"/>
                  <w:szCs w:val="24"/>
                </w:rPr>
                <w:t>current assets</w:t>
              </w:r>
            </w:hyperlink>
            <w:r w:rsidRPr="00A7212E">
              <w:rPr>
                <w:rFonts w:ascii="Times New Roman" w:hAnsi="Times New Roman" w:cs="Times New Roman"/>
                <w:sz w:val="24"/>
                <w:szCs w:val="24"/>
              </w:rPr>
              <w:t xml:space="preserve"> and </w:t>
            </w:r>
            <w:hyperlink r:id="rId15" w:history="1">
              <w:r w:rsidRPr="00A7212E">
                <w:rPr>
                  <w:rStyle w:val="Hyperlink"/>
                  <w:rFonts w:ascii="Times New Roman" w:hAnsi="Times New Roman" w:cs="Times New Roman"/>
                  <w:color w:val="auto"/>
                  <w:sz w:val="24"/>
                  <w:szCs w:val="24"/>
                </w:rPr>
                <w:t>current liabilities</w:t>
              </w:r>
            </w:hyperlink>
            <w:r w:rsidRPr="00A7212E">
              <w:rPr>
                <w:rFonts w:ascii="Times New Roman" w:hAnsi="Times New Roman" w:cs="Times New Roman"/>
                <w:sz w:val="24"/>
                <w:szCs w:val="24"/>
              </w:rPr>
              <w:t>.</w:t>
            </w:r>
          </w:p>
          <w:p w:rsidR="0007378F" w:rsidRPr="00A7212E" w:rsidRDefault="0007378F" w:rsidP="00E266F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Pr>
          <w:p w:rsidR="0007378F" w:rsidRPr="00A7212E" w:rsidRDefault="0007378F" w:rsidP="00E266FC">
            <w:pPr>
              <w:rPr>
                <w:rFonts w:ascii="Times New Roman" w:hAnsi="Times New Roman" w:cs="Times New Roman"/>
                <w:color w:val="000000"/>
                <w:sz w:val="24"/>
                <w:szCs w:val="24"/>
              </w:rPr>
            </w:pPr>
            <w:r w:rsidRPr="00A7212E">
              <w:rPr>
                <w:rFonts w:ascii="Times New Roman" w:hAnsi="Times New Roman" w:cs="Times New Roman"/>
                <w:color w:val="000000"/>
                <w:sz w:val="24"/>
                <w:szCs w:val="24"/>
              </w:rPr>
              <w:t>Borrowed funds to total assets</w:t>
            </w:r>
          </w:p>
        </w:tc>
        <w:tc>
          <w:tcPr>
            <w:tcW w:w="2127" w:type="dxa"/>
          </w:tcPr>
          <w:p w:rsidR="0007378F" w:rsidRPr="00A7212E"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A7212E">
              <w:rPr>
                <w:rFonts w:ascii="Times New Roman" w:hAnsi="Times New Roman" w:cs="Times New Roman"/>
                <w:sz w:val="24"/>
                <w:szCs w:val="24"/>
              </w:rPr>
              <w:t>(short term debt + long term debt)/total assets</w:t>
            </w:r>
          </w:p>
        </w:tc>
        <w:tc>
          <w:tcPr>
            <w:tcW w:w="5678" w:type="dxa"/>
          </w:tcPr>
          <w:p w:rsidR="0007378F" w:rsidRPr="00A7212E" w:rsidRDefault="0007378F" w:rsidP="00E266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212E">
              <w:rPr>
                <w:rFonts w:ascii="Times New Roman" w:hAnsi="Times New Roman" w:cs="Times New Roman"/>
                <w:sz w:val="24"/>
                <w:szCs w:val="24"/>
              </w:rPr>
              <w:t>Borrowed funds to total assets refers the total amount of debt relative to assets</w:t>
            </w:r>
          </w:p>
        </w:tc>
      </w:tr>
      <w:tr w:rsidR="0007378F" w:rsidTr="00E266FC">
        <w:tc>
          <w:tcPr>
            <w:cnfStyle w:val="001000000000" w:firstRow="0" w:lastRow="0" w:firstColumn="1" w:lastColumn="0" w:oddVBand="0" w:evenVBand="0" w:oddHBand="0" w:evenHBand="0" w:firstRowFirstColumn="0" w:firstRowLastColumn="0" w:lastRowFirstColumn="0" w:lastRowLastColumn="0"/>
            <w:tcW w:w="1438" w:type="dxa"/>
          </w:tcPr>
          <w:p w:rsidR="0007378F" w:rsidRPr="00A7212E" w:rsidRDefault="0007378F" w:rsidP="00E266FC">
            <w:pPr>
              <w:rPr>
                <w:rFonts w:ascii="Times New Roman" w:hAnsi="Times New Roman" w:cs="Times New Roman"/>
                <w:color w:val="000000"/>
                <w:sz w:val="24"/>
                <w:szCs w:val="24"/>
              </w:rPr>
            </w:pPr>
            <w:r w:rsidRPr="00A7212E">
              <w:rPr>
                <w:rFonts w:ascii="Times New Roman" w:hAnsi="Times New Roman" w:cs="Times New Roman"/>
                <w:color w:val="000000"/>
                <w:sz w:val="24"/>
                <w:szCs w:val="24"/>
              </w:rPr>
              <w:t>Core deposit to total assets</w:t>
            </w:r>
          </w:p>
        </w:tc>
        <w:tc>
          <w:tcPr>
            <w:tcW w:w="2127" w:type="dxa"/>
          </w:tcPr>
          <w:p w:rsidR="0007378F" w:rsidRPr="00A7212E"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A7212E">
              <w:rPr>
                <w:rFonts w:ascii="Times New Roman" w:hAnsi="Times New Roman" w:cs="Times New Roman"/>
                <w:color w:val="000000"/>
                <w:sz w:val="24"/>
                <w:szCs w:val="24"/>
              </w:rPr>
              <w:t>fixed deposit/ total assets</w:t>
            </w:r>
          </w:p>
        </w:tc>
        <w:tc>
          <w:tcPr>
            <w:tcW w:w="5678" w:type="dxa"/>
          </w:tcPr>
          <w:p w:rsidR="0007378F" w:rsidRPr="00A7212E" w:rsidRDefault="0007378F" w:rsidP="00E266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7212E">
              <w:rPr>
                <w:rFonts w:ascii="Times New Roman" w:hAnsi="Times New Roman" w:cs="Times New Roman"/>
                <w:sz w:val="24"/>
                <w:szCs w:val="24"/>
              </w:rPr>
              <w:t>Core deposits refers the </w:t>
            </w:r>
            <w:hyperlink r:id="rId16" w:history="1">
              <w:r w:rsidRPr="00A7212E">
                <w:rPr>
                  <w:rStyle w:val="Hyperlink"/>
                  <w:rFonts w:ascii="Times New Roman" w:hAnsi="Times New Roman" w:cs="Times New Roman"/>
                  <w:color w:val="auto"/>
                  <w:sz w:val="24"/>
                  <w:szCs w:val="24"/>
                </w:rPr>
                <w:t>deposits</w:t>
              </w:r>
            </w:hyperlink>
            <w:r w:rsidRPr="00A7212E">
              <w:rPr>
                <w:rFonts w:ascii="Times New Roman" w:hAnsi="Times New Roman" w:cs="Times New Roman"/>
                <w:sz w:val="24"/>
                <w:szCs w:val="24"/>
              </w:rPr>
              <w:t> that form a stable source of funds for a lending bank</w:t>
            </w: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Pr>
          <w:p w:rsidR="0007378F" w:rsidRPr="00A7212E" w:rsidRDefault="0007378F" w:rsidP="00E266FC">
            <w:pPr>
              <w:rPr>
                <w:rFonts w:ascii="Times New Roman" w:hAnsi="Times New Roman" w:cs="Times New Roman"/>
                <w:color w:val="000000"/>
                <w:sz w:val="24"/>
                <w:szCs w:val="24"/>
              </w:rPr>
            </w:pPr>
            <w:r w:rsidRPr="00A7212E">
              <w:rPr>
                <w:rFonts w:ascii="Times New Roman" w:hAnsi="Times New Roman" w:cs="Times New Roman"/>
                <w:color w:val="000000"/>
                <w:sz w:val="24"/>
                <w:szCs w:val="24"/>
              </w:rPr>
              <w:t>Loans to deposits</w:t>
            </w:r>
          </w:p>
        </w:tc>
        <w:tc>
          <w:tcPr>
            <w:tcW w:w="2127" w:type="dxa"/>
          </w:tcPr>
          <w:p w:rsidR="0007378F" w:rsidRPr="00A7212E"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A7212E">
              <w:rPr>
                <w:rFonts w:ascii="Times New Roman" w:hAnsi="Times New Roman" w:cs="Times New Roman"/>
                <w:color w:val="000000"/>
                <w:sz w:val="24"/>
                <w:szCs w:val="24"/>
              </w:rPr>
              <w:t>Total loan/Total deposit</w:t>
            </w:r>
          </w:p>
        </w:tc>
        <w:tc>
          <w:tcPr>
            <w:tcW w:w="5678" w:type="dxa"/>
          </w:tcPr>
          <w:p w:rsidR="0007378F" w:rsidRPr="00A7212E" w:rsidRDefault="0007378F" w:rsidP="00E266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7212E">
              <w:rPr>
                <w:rFonts w:ascii="Times New Roman" w:hAnsi="Times New Roman" w:cs="Times New Roman"/>
                <w:sz w:val="24"/>
                <w:szCs w:val="24"/>
              </w:rPr>
              <w:t xml:space="preserve">Loan to deposit ratio </w:t>
            </w:r>
            <w:r>
              <w:rPr>
                <w:rFonts w:ascii="Times New Roman" w:hAnsi="Times New Roman" w:cs="Times New Roman"/>
                <w:sz w:val="24"/>
                <w:szCs w:val="24"/>
              </w:rPr>
              <w:t>refers</w:t>
            </w:r>
            <w:r w:rsidRPr="00A7212E">
              <w:rPr>
                <w:rFonts w:ascii="Times New Roman" w:hAnsi="Times New Roman" w:cs="Times New Roman"/>
                <w:sz w:val="24"/>
                <w:szCs w:val="24"/>
              </w:rPr>
              <w:t xml:space="preserve"> the bank’s total loan to its deposits for a specific period</w:t>
            </w:r>
            <w:r>
              <w:rPr>
                <w:rFonts w:ascii="Times New Roman" w:hAnsi="Times New Roman" w:cs="Times New Roman"/>
                <w:sz w:val="24"/>
                <w:szCs w:val="24"/>
              </w:rPr>
              <w:t>.</w:t>
            </w:r>
          </w:p>
        </w:tc>
      </w:tr>
    </w:tbl>
    <w:p w:rsidR="0007378F" w:rsidRDefault="0007378F" w:rsidP="00D83822">
      <w:pPr>
        <w:spacing w:after="0" w:line="360" w:lineRule="auto"/>
        <w:jc w:val="both"/>
        <w:rPr>
          <w:rFonts w:ascii="Times New Roman" w:hAnsi="Times New Roman" w:cs="Times New Roman"/>
          <w:sz w:val="24"/>
        </w:rPr>
      </w:pPr>
    </w:p>
    <w:p w:rsidR="0007378F" w:rsidRPr="0055611B" w:rsidRDefault="0007378F" w:rsidP="00D83822">
      <w:pPr>
        <w:pStyle w:val="ListParagraph"/>
        <w:numPr>
          <w:ilvl w:val="0"/>
          <w:numId w:val="41"/>
        </w:numPr>
        <w:spacing w:after="0"/>
        <w:rPr>
          <w:rFonts w:asciiTheme="majorHAnsi" w:hAnsiTheme="majorHAnsi"/>
          <w:b/>
          <w:color w:val="1F497D" w:themeColor="text2"/>
          <w:sz w:val="24"/>
        </w:rPr>
      </w:pPr>
      <w:r w:rsidRPr="0055611B">
        <w:rPr>
          <w:rFonts w:asciiTheme="majorHAnsi" w:hAnsiTheme="majorHAnsi"/>
          <w:b/>
          <w:color w:val="1F497D" w:themeColor="text2"/>
          <w:sz w:val="24"/>
        </w:rPr>
        <w:t>Current Ratio</w:t>
      </w:r>
    </w:p>
    <w:p w:rsidR="0007378F" w:rsidRPr="006F0FFC" w:rsidRDefault="0007378F" w:rsidP="00D83822">
      <w:pPr>
        <w:spacing w:after="0" w:line="360" w:lineRule="auto"/>
        <w:jc w:val="both"/>
        <w:rPr>
          <w:rFonts w:ascii="Times New Roman" w:hAnsi="Times New Roman" w:cs="Times New Roman"/>
          <w:sz w:val="24"/>
          <w:szCs w:val="24"/>
        </w:rPr>
      </w:pPr>
      <w:r w:rsidRPr="006F0FFC">
        <w:rPr>
          <w:rStyle w:val="tgc"/>
          <w:rFonts w:ascii="Times New Roman" w:hAnsi="Times New Roman" w:cs="Times New Roman"/>
          <w:sz w:val="24"/>
          <w:szCs w:val="24"/>
        </w:rPr>
        <w:t xml:space="preserve">The </w:t>
      </w:r>
      <w:r w:rsidRPr="006F0FFC">
        <w:rPr>
          <w:rStyle w:val="tgc"/>
          <w:rFonts w:ascii="Times New Roman" w:hAnsi="Times New Roman" w:cs="Times New Roman"/>
          <w:bCs/>
          <w:sz w:val="24"/>
          <w:szCs w:val="24"/>
        </w:rPr>
        <w:t>current ratio</w:t>
      </w:r>
      <w:r w:rsidRPr="006F0FFC">
        <w:rPr>
          <w:rStyle w:val="tgc"/>
          <w:rFonts w:ascii="Times New Roman" w:hAnsi="Times New Roman" w:cs="Times New Roman"/>
          <w:sz w:val="24"/>
          <w:szCs w:val="24"/>
        </w:rPr>
        <w:t xml:space="preserve"> is a liquidity </w:t>
      </w:r>
      <w:r w:rsidRPr="006F0FFC">
        <w:rPr>
          <w:rStyle w:val="tgc"/>
          <w:rFonts w:ascii="Times New Roman" w:hAnsi="Times New Roman" w:cs="Times New Roman"/>
          <w:bCs/>
          <w:sz w:val="24"/>
          <w:szCs w:val="24"/>
        </w:rPr>
        <w:t>ratio</w:t>
      </w:r>
      <w:r w:rsidRPr="006F0FFC">
        <w:rPr>
          <w:rStyle w:val="tgc"/>
          <w:rFonts w:ascii="Times New Roman" w:hAnsi="Times New Roman" w:cs="Times New Roman"/>
          <w:sz w:val="24"/>
          <w:szCs w:val="24"/>
        </w:rPr>
        <w:t xml:space="preserve"> that measures a company's ability to pay short-term and long-term obligations</w:t>
      </w:r>
      <w:r>
        <w:rPr>
          <w:rStyle w:val="tgc"/>
          <w:rFonts w:ascii="Times New Roman" w:hAnsi="Times New Roman" w:cs="Times New Roman"/>
          <w:sz w:val="24"/>
          <w:szCs w:val="24"/>
        </w:rPr>
        <w:t xml:space="preserve"> and debt</w:t>
      </w:r>
      <w:r w:rsidRPr="006F0FFC">
        <w:rPr>
          <w:rStyle w:val="tgc"/>
          <w:rFonts w:ascii="Times New Roman" w:hAnsi="Times New Roman" w:cs="Times New Roman"/>
          <w:sz w:val="24"/>
          <w:szCs w:val="24"/>
        </w:rPr>
        <w:t xml:space="preserve">. To gauge this ability, the </w:t>
      </w:r>
      <w:r w:rsidRPr="006F0FFC">
        <w:rPr>
          <w:rStyle w:val="tgc"/>
          <w:rFonts w:ascii="Times New Roman" w:hAnsi="Times New Roman" w:cs="Times New Roman"/>
          <w:bCs/>
          <w:sz w:val="24"/>
          <w:szCs w:val="24"/>
        </w:rPr>
        <w:t>current ratio</w:t>
      </w:r>
      <w:r w:rsidRPr="006F0FFC">
        <w:rPr>
          <w:rStyle w:val="tgc"/>
          <w:rFonts w:ascii="Times New Roman" w:hAnsi="Times New Roman" w:cs="Times New Roman"/>
          <w:sz w:val="24"/>
          <w:szCs w:val="24"/>
        </w:rPr>
        <w:t xml:space="preserve"> considers the </w:t>
      </w:r>
      <w:r w:rsidRPr="006F0FFC">
        <w:rPr>
          <w:rStyle w:val="tgc"/>
          <w:rFonts w:ascii="Times New Roman" w:hAnsi="Times New Roman" w:cs="Times New Roman"/>
          <w:bCs/>
          <w:sz w:val="24"/>
          <w:szCs w:val="24"/>
        </w:rPr>
        <w:t>current</w:t>
      </w:r>
      <w:r w:rsidRPr="006F0FFC">
        <w:rPr>
          <w:rStyle w:val="tgc"/>
          <w:rFonts w:ascii="Times New Roman" w:hAnsi="Times New Roman" w:cs="Times New Roman"/>
          <w:sz w:val="24"/>
          <w:szCs w:val="24"/>
        </w:rPr>
        <w:t xml:space="preserve"> total assets of a company (both liquid and illiquid) relative to that company's </w:t>
      </w:r>
      <w:r w:rsidRPr="006F0FFC">
        <w:rPr>
          <w:rStyle w:val="tgc"/>
          <w:rFonts w:ascii="Times New Roman" w:hAnsi="Times New Roman" w:cs="Times New Roman"/>
          <w:bCs/>
          <w:sz w:val="24"/>
          <w:szCs w:val="24"/>
        </w:rPr>
        <w:t>current</w:t>
      </w:r>
      <w:r w:rsidRPr="006F0FFC">
        <w:rPr>
          <w:rStyle w:val="tgc"/>
          <w:rFonts w:ascii="Times New Roman" w:hAnsi="Times New Roman" w:cs="Times New Roman"/>
          <w:sz w:val="24"/>
          <w:szCs w:val="24"/>
        </w:rPr>
        <w:t xml:space="preserve"> total liabilities. Current ratio is calculated by </w:t>
      </w:r>
      <w:r w:rsidRPr="006F0FFC">
        <w:rPr>
          <w:rStyle w:val="tgc"/>
          <w:rFonts w:ascii="Times New Roman" w:hAnsi="Times New Roman" w:cs="Times New Roman"/>
          <w:b/>
          <w:sz w:val="24"/>
          <w:szCs w:val="24"/>
        </w:rPr>
        <w:t>[Current assets / Current liabilities].</w:t>
      </w:r>
      <w:r w:rsidRPr="006F0FFC">
        <w:rPr>
          <w:rStyle w:val="tgc"/>
          <w:rFonts w:ascii="Times New Roman" w:hAnsi="Times New Roman" w:cs="Times New Roman"/>
          <w:sz w:val="24"/>
          <w:szCs w:val="24"/>
        </w:rPr>
        <w:t xml:space="preserve"> Current ratio condition of Dhaka Bank</w:t>
      </w:r>
      <w:r>
        <w:rPr>
          <w:rStyle w:val="tgc"/>
          <w:rFonts w:ascii="Times New Roman" w:hAnsi="Times New Roman" w:cs="Times New Roman"/>
          <w:sz w:val="24"/>
          <w:szCs w:val="24"/>
        </w:rPr>
        <w:t>, Brac Bank, Dutch Bangla Bank, Bank Asia, IFIC bank are</w:t>
      </w:r>
      <w:r w:rsidRPr="006F0FFC">
        <w:rPr>
          <w:rStyle w:val="tgc"/>
          <w:rFonts w:ascii="Times New Roman" w:hAnsi="Times New Roman" w:cs="Times New Roman"/>
          <w:sz w:val="24"/>
          <w:szCs w:val="24"/>
        </w:rPr>
        <w:t xml:space="preserve"> given below -</w:t>
      </w:r>
      <w:r w:rsidRPr="006F0FFC">
        <w:rPr>
          <w:rStyle w:val="tgc"/>
          <w:rFonts w:ascii="Times New Roman" w:hAnsi="Times New Roman" w:cs="Times New Roman"/>
          <w:b/>
          <w:sz w:val="24"/>
          <w:szCs w:val="24"/>
        </w:rPr>
        <w:t xml:space="preserve"> </w:t>
      </w:r>
      <w:r w:rsidRPr="006F0FFC">
        <w:rPr>
          <w:rStyle w:val="tgc"/>
          <w:rFonts w:ascii="Times New Roman" w:hAnsi="Times New Roman" w:cs="Times New Roman"/>
          <w:sz w:val="24"/>
          <w:szCs w:val="24"/>
        </w:rPr>
        <w:t xml:space="preserve"> </w:t>
      </w:r>
    </w:p>
    <w:tbl>
      <w:tblPr>
        <w:tblStyle w:val="MediumGrid1-Accent6"/>
        <w:tblW w:w="5000" w:type="pct"/>
        <w:tblLook w:val="04A0" w:firstRow="1" w:lastRow="0" w:firstColumn="1" w:lastColumn="0" w:noHBand="0" w:noVBand="1"/>
      </w:tblPr>
      <w:tblGrid>
        <w:gridCol w:w="2607"/>
        <w:gridCol w:w="1327"/>
        <w:gridCol w:w="1327"/>
        <w:gridCol w:w="1331"/>
        <w:gridCol w:w="1327"/>
        <w:gridCol w:w="1324"/>
      </w:tblGrid>
      <w:tr w:rsidR="0007378F" w:rsidRPr="00E677DC" w:rsidTr="00E266FC">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Current ratio</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410" w:type="pct"/>
            <w:noWrap/>
            <w:hideMark/>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Years</w:t>
            </w:r>
          </w:p>
        </w:tc>
        <w:tc>
          <w:tcPr>
            <w:tcW w:w="718" w:type="pct"/>
            <w:noWrap/>
            <w:hideMark/>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2012</w:t>
            </w:r>
          </w:p>
        </w:tc>
        <w:tc>
          <w:tcPr>
            <w:tcW w:w="718" w:type="pct"/>
            <w:noWrap/>
            <w:hideMark/>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2013</w:t>
            </w:r>
          </w:p>
        </w:tc>
        <w:tc>
          <w:tcPr>
            <w:tcW w:w="720" w:type="pct"/>
            <w:noWrap/>
            <w:hideMark/>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2014</w:t>
            </w:r>
          </w:p>
        </w:tc>
        <w:tc>
          <w:tcPr>
            <w:tcW w:w="718"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16"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RPr="00E677DC" w:rsidTr="00E266FC">
        <w:trPr>
          <w:trHeight w:val="477"/>
        </w:trPr>
        <w:tc>
          <w:tcPr>
            <w:cnfStyle w:val="001000000000" w:firstRow="0" w:lastRow="0" w:firstColumn="1" w:lastColumn="0" w:oddVBand="0" w:evenVBand="0" w:oddHBand="0" w:evenHBand="0" w:firstRowFirstColumn="0" w:firstRowLastColumn="0" w:lastRowFirstColumn="0" w:lastRowLastColumn="0"/>
            <w:tcW w:w="1410"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718" w:type="pct"/>
            <w:noWrap/>
            <w:hideMark/>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1.070</w:t>
            </w:r>
          </w:p>
        </w:tc>
        <w:tc>
          <w:tcPr>
            <w:tcW w:w="718" w:type="pct"/>
            <w:noWrap/>
            <w:hideMark/>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0.993</w:t>
            </w:r>
          </w:p>
        </w:tc>
        <w:tc>
          <w:tcPr>
            <w:tcW w:w="720" w:type="pct"/>
            <w:noWrap/>
            <w:hideMark/>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0.932</w:t>
            </w:r>
          </w:p>
        </w:tc>
        <w:tc>
          <w:tcPr>
            <w:tcW w:w="718"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0.298</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0.780</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 xml:space="preserve">Brac Bank </w:t>
            </w:r>
          </w:p>
        </w:tc>
        <w:tc>
          <w:tcPr>
            <w:tcW w:w="718" w:type="pct"/>
            <w:noWrap/>
          </w:tcPr>
          <w:p w:rsidR="0007378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0.679</w:t>
            </w:r>
          </w:p>
        </w:tc>
        <w:tc>
          <w:tcPr>
            <w:tcW w:w="718" w:type="pct"/>
            <w:noWrap/>
          </w:tcPr>
          <w:p w:rsidR="0007378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0.576</w:t>
            </w:r>
          </w:p>
        </w:tc>
        <w:tc>
          <w:tcPr>
            <w:tcW w:w="720" w:type="pct"/>
            <w:noWrap/>
          </w:tcPr>
          <w:p w:rsidR="0007378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0.676</w:t>
            </w:r>
          </w:p>
        </w:tc>
        <w:tc>
          <w:tcPr>
            <w:tcW w:w="718"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0.441</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0.457</w:t>
            </w:r>
          </w:p>
        </w:tc>
      </w:tr>
      <w:tr w:rsidR="0007378F" w:rsidRPr="00E677DC" w:rsidTr="00E266FC">
        <w:trPr>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lastRenderedPageBreak/>
              <w:t>Dutch Bangla Banks</w:t>
            </w:r>
          </w:p>
        </w:tc>
        <w:tc>
          <w:tcPr>
            <w:tcW w:w="718" w:type="pct"/>
            <w:noWrap/>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0.342</w:t>
            </w:r>
          </w:p>
        </w:tc>
        <w:tc>
          <w:tcPr>
            <w:tcW w:w="718" w:type="pct"/>
            <w:noWrap/>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0.362</w:t>
            </w:r>
          </w:p>
        </w:tc>
        <w:tc>
          <w:tcPr>
            <w:tcW w:w="720" w:type="pct"/>
            <w:noWrap/>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0.364</w:t>
            </w:r>
          </w:p>
        </w:tc>
        <w:tc>
          <w:tcPr>
            <w:tcW w:w="718"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0.306</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0.367</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0.808</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0.941</w:t>
            </w:r>
          </w:p>
        </w:tc>
        <w:tc>
          <w:tcPr>
            <w:tcW w:w="720"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0.772</w:t>
            </w:r>
          </w:p>
        </w:tc>
        <w:tc>
          <w:tcPr>
            <w:tcW w:w="718"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0.809</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0.684</w:t>
            </w:r>
          </w:p>
        </w:tc>
      </w:tr>
      <w:tr w:rsidR="0007378F" w:rsidRPr="00E677DC" w:rsidTr="00E266FC">
        <w:trPr>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0.789</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1.594</w:t>
            </w:r>
          </w:p>
        </w:tc>
        <w:tc>
          <w:tcPr>
            <w:tcW w:w="72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1.131</w:t>
            </w:r>
          </w:p>
        </w:tc>
        <w:tc>
          <w:tcPr>
            <w:tcW w:w="718"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0.728</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0.684</w:t>
            </w:r>
          </w:p>
        </w:tc>
      </w:tr>
    </w:tbl>
    <w:p w:rsidR="0007378F" w:rsidRDefault="0007378F" w:rsidP="0007378F">
      <w:pPr>
        <w:spacing w:before="240" w:after="0" w:line="360" w:lineRule="auto"/>
        <w:jc w:val="both"/>
        <w:rPr>
          <w:rFonts w:ascii="Times New Roman" w:hAnsi="Times New Roman" w:cs="Times New Roman"/>
          <w:sz w:val="24"/>
        </w:rPr>
      </w:pPr>
    </w:p>
    <w:p w:rsidR="0007378F" w:rsidRDefault="0007378F" w:rsidP="0007378F">
      <w:pPr>
        <w:spacing w:before="240" w:after="0" w:line="360" w:lineRule="auto"/>
        <w:jc w:val="both"/>
        <w:rPr>
          <w:rFonts w:ascii="Times New Roman" w:hAnsi="Times New Roman" w:cs="Times New Roman"/>
          <w:sz w:val="24"/>
        </w:rPr>
      </w:pPr>
      <w:r>
        <w:rPr>
          <w:noProof/>
        </w:rPr>
        <w:drawing>
          <wp:inline distT="0" distB="0" distL="0" distR="0" wp14:anchorId="6B257712" wp14:editId="1755E50D">
            <wp:extent cx="4897755" cy="2456815"/>
            <wp:effectExtent l="0" t="0" r="17145" b="19685"/>
            <wp:docPr id="9" name="Chart 9">
              <a:extLst xmlns:a="http://schemas.openxmlformats.org/drawingml/2006/main">
                <a:ext uri="{FF2B5EF4-FFF2-40B4-BE49-F238E27FC236}">
                  <a16:creationId xmlns:w15="http://schemas.microsoft.com/office/word/2012/wordml" xmlns:arto="http://schemas.microsoft.com/office/word/2006/arto"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7378F" w:rsidRDefault="0007378F" w:rsidP="0007378F">
      <w:pPr>
        <w:spacing w:before="240" w:line="360" w:lineRule="auto"/>
        <w:jc w:val="both"/>
        <w:rPr>
          <w:rFonts w:ascii="Times New Roman" w:hAnsi="Times New Roman" w:cs="Times New Roman"/>
          <w:sz w:val="24"/>
        </w:rPr>
      </w:pPr>
      <w:r w:rsidRPr="006F0FFC">
        <w:rPr>
          <w:rFonts w:ascii="Times New Roman" w:hAnsi="Times New Roman" w:cs="Times New Roman"/>
          <w:sz w:val="24"/>
        </w:rPr>
        <w:t>From the above discussion we can say that current condition of Dhaka Bank</w:t>
      </w:r>
      <w:r>
        <w:rPr>
          <w:rStyle w:val="tgc"/>
          <w:rFonts w:ascii="Times New Roman" w:hAnsi="Times New Roman" w:cs="Times New Roman"/>
          <w:sz w:val="24"/>
          <w:szCs w:val="24"/>
        </w:rPr>
        <w:t>, Brac Bank, Dutch Bangla Bank, Bank Asia, IFIC Bank</w:t>
      </w:r>
      <w:r w:rsidRPr="006F0FFC">
        <w:rPr>
          <w:rFonts w:ascii="Times New Roman" w:hAnsi="Times New Roman" w:cs="Times New Roman"/>
          <w:sz w:val="24"/>
        </w:rPr>
        <w:t xml:space="preserve"> is</w:t>
      </w:r>
      <w:r>
        <w:rPr>
          <w:rFonts w:ascii="Times New Roman" w:hAnsi="Times New Roman" w:cs="Times New Roman"/>
          <w:sz w:val="24"/>
        </w:rPr>
        <w:t xml:space="preserve"> not good compare with</w:t>
      </w:r>
      <w:r w:rsidRPr="006F0FFC">
        <w:rPr>
          <w:rFonts w:ascii="Times New Roman" w:hAnsi="Times New Roman" w:cs="Times New Roman"/>
          <w:sz w:val="24"/>
        </w:rPr>
        <w:t xml:space="preserve"> previous year. Because </w:t>
      </w:r>
      <w:r>
        <w:rPr>
          <w:rFonts w:ascii="Times New Roman" w:hAnsi="Times New Roman" w:cs="Times New Roman"/>
          <w:sz w:val="24"/>
        </w:rPr>
        <w:t>we are seeing current ratio of these bank decrease every year from 2012 to 2016. It’s mean current liabilities of these bank increase more compare with the current assets. T</w:t>
      </w:r>
      <w:r w:rsidRPr="006F0FFC">
        <w:rPr>
          <w:rFonts w:ascii="Times New Roman" w:hAnsi="Times New Roman" w:cs="Times New Roman"/>
          <w:sz w:val="24"/>
        </w:rPr>
        <w:t>hat</w:t>
      </w:r>
      <w:r>
        <w:rPr>
          <w:rFonts w:ascii="Times New Roman" w:hAnsi="Times New Roman" w:cs="Times New Roman"/>
          <w:sz w:val="24"/>
        </w:rPr>
        <w:t>’s</w:t>
      </w:r>
      <w:r w:rsidRPr="006F0FFC">
        <w:rPr>
          <w:rFonts w:ascii="Times New Roman" w:hAnsi="Times New Roman" w:cs="Times New Roman"/>
          <w:sz w:val="24"/>
        </w:rPr>
        <w:t xml:space="preserve"> means now bank are</w:t>
      </w:r>
      <w:r>
        <w:rPr>
          <w:rFonts w:ascii="Times New Roman" w:hAnsi="Times New Roman" w:cs="Times New Roman"/>
          <w:sz w:val="24"/>
        </w:rPr>
        <w:t xml:space="preserve"> not</w:t>
      </w:r>
      <w:r w:rsidRPr="006F0FFC">
        <w:rPr>
          <w:rFonts w:ascii="Times New Roman" w:hAnsi="Times New Roman" w:cs="Times New Roman"/>
          <w:sz w:val="24"/>
        </w:rPr>
        <w:t xml:space="preserve"> capable to meet its short term liabilities against its short term assets.</w:t>
      </w:r>
    </w:p>
    <w:p w:rsidR="0007378F" w:rsidRPr="0055611B" w:rsidRDefault="0007378F" w:rsidP="0007378F">
      <w:pPr>
        <w:pStyle w:val="ListParagraph"/>
        <w:numPr>
          <w:ilvl w:val="0"/>
          <w:numId w:val="37"/>
        </w:numPr>
        <w:rPr>
          <w:rFonts w:asciiTheme="majorHAnsi" w:hAnsiTheme="majorHAnsi"/>
          <w:b/>
          <w:color w:val="1F497D" w:themeColor="text2"/>
          <w:sz w:val="24"/>
        </w:rPr>
      </w:pPr>
      <w:r w:rsidRPr="0055611B">
        <w:rPr>
          <w:rFonts w:asciiTheme="majorHAnsi" w:hAnsiTheme="majorHAnsi"/>
          <w:b/>
          <w:color w:val="1F497D" w:themeColor="text2"/>
          <w:sz w:val="24"/>
        </w:rPr>
        <w:t>Quick ratio</w:t>
      </w:r>
    </w:p>
    <w:p w:rsidR="0007378F" w:rsidRDefault="0007378F" w:rsidP="0007378F">
      <w:pPr>
        <w:spacing w:line="360" w:lineRule="auto"/>
        <w:jc w:val="both"/>
        <w:rPr>
          <w:rFonts w:ascii="Times New Roman" w:hAnsi="Times New Roman" w:cs="Times New Roman"/>
          <w:sz w:val="24"/>
        </w:rPr>
      </w:pPr>
      <w:r w:rsidRPr="00B42D11">
        <w:rPr>
          <w:rFonts w:ascii="Times New Roman" w:hAnsi="Times New Roman" w:cs="Times New Roman"/>
          <w:sz w:val="24"/>
        </w:rPr>
        <w:t xml:space="preserve">Quick ratio is an indicator of a company’s short-term liquidity, and identify the company’s ability to meet its short-term obligations and loan with its most liquid assets.  </w:t>
      </w:r>
    </w:p>
    <w:p w:rsidR="0007378F" w:rsidRPr="00B42D11" w:rsidRDefault="0007378F" w:rsidP="0007378F">
      <w:pPr>
        <w:spacing w:after="0" w:line="360" w:lineRule="auto"/>
        <w:jc w:val="both"/>
        <w:rPr>
          <w:rFonts w:ascii="Times New Roman" w:hAnsi="Times New Roman" w:cs="Times New Roman"/>
          <w:b/>
          <w:sz w:val="24"/>
        </w:rPr>
      </w:pPr>
      <w:r w:rsidRPr="00B42D11">
        <w:rPr>
          <w:rFonts w:ascii="Times New Roman" w:hAnsi="Times New Roman" w:cs="Times New Roman"/>
          <w:b/>
          <w:sz w:val="24"/>
        </w:rPr>
        <w:t>Formula</w:t>
      </w:r>
    </w:p>
    <w:p w:rsidR="0007378F" w:rsidRDefault="0007378F" w:rsidP="0007378F">
      <w:pPr>
        <w:spacing w:after="0" w:line="360" w:lineRule="auto"/>
        <w:jc w:val="both"/>
        <w:rPr>
          <w:rFonts w:ascii="Times New Roman" w:hAnsi="Times New Roman" w:cs="Times New Roman"/>
          <w:sz w:val="24"/>
        </w:rPr>
      </w:pPr>
      <w:r w:rsidRPr="00B42D11">
        <w:rPr>
          <w:rFonts w:ascii="Times New Roman" w:hAnsi="Times New Roman" w:cs="Times New Roman"/>
          <w:sz w:val="24"/>
        </w:rPr>
        <w:t>Quick ratio = (current assets – inventories) /</w:t>
      </w:r>
      <w:r>
        <w:rPr>
          <w:rFonts w:ascii="Times New Roman" w:hAnsi="Times New Roman" w:cs="Times New Roman"/>
          <w:sz w:val="24"/>
        </w:rPr>
        <w:t xml:space="preserve"> current liabilities</w:t>
      </w:r>
      <w:r w:rsidRPr="00B42D11">
        <w:rPr>
          <w:rFonts w:ascii="Times New Roman" w:hAnsi="Times New Roman" w:cs="Times New Roman"/>
          <w:sz w:val="24"/>
        </w:rPr>
        <w:t xml:space="preserve"> </w:t>
      </w:r>
    </w:p>
    <w:p w:rsidR="0007378F" w:rsidRPr="00B42D11" w:rsidRDefault="0007378F" w:rsidP="0007378F">
      <w:pPr>
        <w:spacing w:after="0" w:line="360" w:lineRule="auto"/>
        <w:jc w:val="both"/>
        <w:rPr>
          <w:rFonts w:ascii="Times New Roman" w:hAnsi="Times New Roman" w:cs="Times New Roman"/>
          <w:b/>
          <w:sz w:val="24"/>
        </w:rPr>
      </w:pPr>
    </w:p>
    <w:tbl>
      <w:tblPr>
        <w:tblStyle w:val="MediumGrid1-Accent6"/>
        <w:tblW w:w="5000" w:type="pct"/>
        <w:tblLook w:val="04A0" w:firstRow="1" w:lastRow="0" w:firstColumn="1" w:lastColumn="0" w:noHBand="0" w:noVBand="1"/>
      </w:tblPr>
      <w:tblGrid>
        <w:gridCol w:w="2607"/>
        <w:gridCol w:w="1327"/>
        <w:gridCol w:w="1327"/>
        <w:gridCol w:w="1331"/>
        <w:gridCol w:w="1327"/>
        <w:gridCol w:w="1324"/>
      </w:tblGrid>
      <w:tr w:rsidR="0007378F" w:rsidRPr="00E677DC" w:rsidTr="00E266FC">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Cash</w:t>
            </w:r>
            <w:r w:rsidRPr="00E677DC">
              <w:rPr>
                <w:rFonts w:ascii="Times New Roman" w:eastAsia="Times New Roman" w:hAnsi="Times New Roman" w:cs="Times New Roman"/>
                <w:color w:val="000000" w:themeColor="text1"/>
                <w:sz w:val="24"/>
              </w:rPr>
              <w:t xml:space="preserve"> ratio</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410" w:type="pct"/>
            <w:noWrap/>
            <w:hideMark/>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Years</w:t>
            </w:r>
          </w:p>
        </w:tc>
        <w:tc>
          <w:tcPr>
            <w:tcW w:w="718"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2012</w:t>
            </w:r>
          </w:p>
        </w:tc>
        <w:tc>
          <w:tcPr>
            <w:tcW w:w="718"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2013</w:t>
            </w:r>
          </w:p>
        </w:tc>
        <w:tc>
          <w:tcPr>
            <w:tcW w:w="720"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2014</w:t>
            </w:r>
          </w:p>
        </w:tc>
        <w:tc>
          <w:tcPr>
            <w:tcW w:w="718"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16"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410"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1.070</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0.993</w:t>
            </w:r>
          </w:p>
        </w:tc>
        <w:tc>
          <w:tcPr>
            <w:tcW w:w="72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0.932</w:t>
            </w:r>
          </w:p>
        </w:tc>
        <w:tc>
          <w:tcPr>
            <w:tcW w:w="718"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0.298</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0.780</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 xml:space="preserve">Brac Bank </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0.679</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0.576</w:t>
            </w:r>
          </w:p>
        </w:tc>
        <w:tc>
          <w:tcPr>
            <w:tcW w:w="720"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0.676</w:t>
            </w:r>
          </w:p>
        </w:tc>
        <w:tc>
          <w:tcPr>
            <w:tcW w:w="718"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0.441</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0.457</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lastRenderedPageBreak/>
              <w:t>Dutch Bangla Banks</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0.342</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0.362</w:t>
            </w:r>
          </w:p>
        </w:tc>
        <w:tc>
          <w:tcPr>
            <w:tcW w:w="72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0.364</w:t>
            </w:r>
          </w:p>
        </w:tc>
        <w:tc>
          <w:tcPr>
            <w:tcW w:w="718"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0.306</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0.367</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0.808</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0.941</w:t>
            </w:r>
          </w:p>
        </w:tc>
        <w:tc>
          <w:tcPr>
            <w:tcW w:w="720"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0.772</w:t>
            </w:r>
          </w:p>
        </w:tc>
        <w:tc>
          <w:tcPr>
            <w:tcW w:w="718"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0.809</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0.684</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0.789</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1.594</w:t>
            </w:r>
          </w:p>
        </w:tc>
        <w:tc>
          <w:tcPr>
            <w:tcW w:w="72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1.131</w:t>
            </w:r>
          </w:p>
        </w:tc>
        <w:tc>
          <w:tcPr>
            <w:tcW w:w="718"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0.728</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0.684</w:t>
            </w:r>
          </w:p>
        </w:tc>
      </w:tr>
    </w:tbl>
    <w:p w:rsidR="0007378F" w:rsidRPr="002F4FC1" w:rsidRDefault="0007378F" w:rsidP="0007378F">
      <w:pPr>
        <w:pStyle w:val="ListParagraph"/>
        <w:rPr>
          <w:rFonts w:asciiTheme="majorHAnsi" w:hAnsiTheme="majorHAnsi"/>
          <w:b/>
          <w:sz w:val="24"/>
        </w:rPr>
      </w:pPr>
    </w:p>
    <w:p w:rsidR="0007378F" w:rsidRDefault="0007378F" w:rsidP="0007378F">
      <w:pPr>
        <w:spacing w:before="240" w:after="0" w:line="360" w:lineRule="auto"/>
        <w:jc w:val="center"/>
        <w:rPr>
          <w:rFonts w:ascii="Times New Roman" w:hAnsi="Times New Roman" w:cs="Times New Roman"/>
          <w:sz w:val="24"/>
        </w:rPr>
      </w:pPr>
      <w:r>
        <w:rPr>
          <w:noProof/>
        </w:rPr>
        <w:drawing>
          <wp:inline distT="0" distB="0" distL="0" distR="0" wp14:anchorId="5540F2C5" wp14:editId="37AE619C">
            <wp:extent cx="3745382" cy="1916582"/>
            <wp:effectExtent l="0" t="0" r="7620" b="7620"/>
            <wp:docPr id="2" name="Chart 2">
              <a:extLst xmlns:a="http://schemas.openxmlformats.org/drawingml/2006/main">
                <a:ext uri="{FF2B5EF4-FFF2-40B4-BE49-F238E27FC236}">
                  <a16:creationId xmlns:w15="http://schemas.microsoft.com/office/word/2012/wordml" xmlns:lc="http://schemas.openxmlformats.org/drawingml/2006/lockedCanvas" xmlns:a16="http://schemas.microsoft.com/office/drawing/2014/main" xmlns="" xmlns:w="http://schemas.openxmlformats.org/wordprocessingml/2006/main" xmlns:w10="urn:schemas-microsoft-com:office:word" xmlns:v="urn:schemas-microsoft-com:vml" xmlns:o="urn:schemas-microsoft-com:office:office" xmlns:arto="http://schemas.microsoft.com/office/word/2006/arto" xmlns:xdr="http://schemas.openxmlformats.org/drawingml/2006/spreadsheetDrawing"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7378F" w:rsidRDefault="0007378F" w:rsidP="0007378F">
      <w:pPr>
        <w:spacing w:before="240" w:line="360" w:lineRule="auto"/>
        <w:jc w:val="both"/>
        <w:rPr>
          <w:rFonts w:ascii="Times New Roman" w:hAnsi="Times New Roman" w:cs="Times New Roman"/>
          <w:sz w:val="24"/>
        </w:rPr>
      </w:pPr>
      <w:r>
        <w:rPr>
          <w:rFonts w:ascii="Times New Roman" w:hAnsi="Times New Roman" w:cs="Times New Roman"/>
          <w:sz w:val="24"/>
        </w:rPr>
        <w:t xml:space="preserve">We are seeing that quick ratio of Dhaka bank and IFIC Bank is all time more comparing with the Brac Bank, Dutch Bangla Bank and Bank Asia. If quick ratio is one then it’s means that bank is able to meet it’s current liability by the current assets. If the quick ratio is less than one then it refers that bank are not able to meet it’s current liabilities by the current assets which is happening for the Brac Bank, Dutch Bangla Bank and bank Asia. At the same time we are seeing that Dhaka Bank and IFIC Bank’s quick ratio is sometimes more than one that’s mean than bank able to meet it’s current  liability by the current assets.   </w:t>
      </w:r>
    </w:p>
    <w:p w:rsidR="0007378F" w:rsidRPr="00A82037" w:rsidRDefault="0007378F" w:rsidP="0007378F">
      <w:pPr>
        <w:pStyle w:val="ListParagraph"/>
        <w:numPr>
          <w:ilvl w:val="0"/>
          <w:numId w:val="37"/>
        </w:numPr>
        <w:rPr>
          <w:rFonts w:asciiTheme="majorHAnsi" w:hAnsiTheme="majorHAnsi"/>
          <w:b/>
          <w:color w:val="4F81BD" w:themeColor="accent1"/>
          <w:sz w:val="24"/>
        </w:rPr>
      </w:pPr>
      <w:r w:rsidRPr="00A82037">
        <w:rPr>
          <w:rFonts w:asciiTheme="majorHAnsi" w:hAnsiTheme="majorHAnsi"/>
          <w:b/>
          <w:color w:val="4F81BD" w:themeColor="accent1"/>
          <w:sz w:val="24"/>
        </w:rPr>
        <w:t>Cash Ratio</w:t>
      </w:r>
    </w:p>
    <w:p w:rsidR="0007378F" w:rsidRPr="0055611B" w:rsidRDefault="0007378F" w:rsidP="0007378F">
      <w:pPr>
        <w:spacing w:line="360" w:lineRule="auto"/>
        <w:jc w:val="both"/>
        <w:rPr>
          <w:rFonts w:ascii="Times New Roman" w:hAnsi="Times New Roman" w:cs="Times New Roman"/>
          <w:sz w:val="24"/>
          <w:szCs w:val="24"/>
        </w:rPr>
      </w:pPr>
      <w:r w:rsidRPr="0055611B">
        <w:rPr>
          <w:rFonts w:ascii="Times New Roman" w:hAnsi="Times New Roman" w:cs="Times New Roman"/>
          <w:sz w:val="24"/>
          <w:szCs w:val="24"/>
        </w:rPr>
        <w:t>Cash ratio show the ratio of a company's total </w:t>
      </w:r>
      <w:hyperlink r:id="rId19" w:history="1">
        <w:r w:rsidRPr="0055611B">
          <w:rPr>
            <w:rStyle w:val="Hyperlink"/>
            <w:rFonts w:ascii="Times New Roman" w:hAnsi="Times New Roman" w:cs="Times New Roman"/>
            <w:color w:val="auto"/>
            <w:sz w:val="24"/>
            <w:szCs w:val="24"/>
          </w:rPr>
          <w:t>cash and cash equivalents</w:t>
        </w:r>
      </w:hyperlink>
      <w:r w:rsidRPr="0055611B">
        <w:rPr>
          <w:rFonts w:ascii="Times New Roman" w:hAnsi="Times New Roman" w:cs="Times New Roman"/>
          <w:sz w:val="24"/>
          <w:szCs w:val="24"/>
        </w:rPr>
        <w:t xml:space="preserve"> to its </w:t>
      </w:r>
      <w:hyperlink r:id="rId20" w:history="1">
        <w:r w:rsidRPr="0055611B">
          <w:rPr>
            <w:rStyle w:val="Hyperlink"/>
            <w:rFonts w:ascii="Times New Roman" w:hAnsi="Times New Roman" w:cs="Times New Roman"/>
            <w:color w:val="auto"/>
            <w:sz w:val="24"/>
            <w:szCs w:val="24"/>
          </w:rPr>
          <w:t>current liabilities</w:t>
        </w:r>
      </w:hyperlink>
      <w:r w:rsidRPr="0055611B">
        <w:rPr>
          <w:rFonts w:ascii="Times New Roman" w:hAnsi="Times New Roman" w:cs="Times New Roman"/>
          <w:sz w:val="24"/>
          <w:szCs w:val="24"/>
        </w:rPr>
        <w:t xml:space="preserve">. This ratio calculates a firm's ability to repay its short term loan and this information is useful to creditors for decision making. Cash ratio shows the ability to cover short term liability of the firms.  </w:t>
      </w:r>
    </w:p>
    <w:p w:rsidR="0007378F" w:rsidRPr="0055611B" w:rsidRDefault="0007378F" w:rsidP="0007378F">
      <w:pPr>
        <w:spacing w:line="360" w:lineRule="auto"/>
        <w:jc w:val="both"/>
        <w:rPr>
          <w:rFonts w:ascii="Times New Roman" w:hAnsi="Times New Roman" w:cs="Times New Roman"/>
          <w:b/>
          <w:sz w:val="24"/>
          <w:szCs w:val="24"/>
        </w:rPr>
      </w:pPr>
      <w:r w:rsidRPr="0055611B">
        <w:rPr>
          <w:rFonts w:ascii="Times New Roman" w:hAnsi="Times New Roman" w:cs="Times New Roman"/>
          <w:b/>
          <w:sz w:val="24"/>
          <w:szCs w:val="24"/>
        </w:rPr>
        <w:t>Formula,</w:t>
      </w:r>
    </w:p>
    <w:p w:rsidR="0007378F" w:rsidRPr="0055611B" w:rsidRDefault="0007378F" w:rsidP="0007378F">
      <w:pPr>
        <w:spacing w:line="360" w:lineRule="auto"/>
        <w:jc w:val="both"/>
        <w:rPr>
          <w:rFonts w:ascii="Times New Roman" w:hAnsi="Times New Roman" w:cs="Times New Roman"/>
          <w:sz w:val="24"/>
          <w:szCs w:val="24"/>
        </w:rPr>
      </w:pPr>
      <w:r w:rsidRPr="0055611B">
        <w:rPr>
          <w:rFonts w:ascii="Times New Roman" w:hAnsi="Times New Roman" w:cs="Times New Roman"/>
          <w:sz w:val="24"/>
          <w:szCs w:val="24"/>
        </w:rPr>
        <w:t xml:space="preserve">Cash ratio = </w:t>
      </w:r>
      <w:r w:rsidRPr="0055611B">
        <w:rPr>
          <w:rFonts w:ascii="Times New Roman" w:hAnsi="Times New Roman" w:cs="Times New Roman"/>
          <w:color w:val="000000"/>
          <w:sz w:val="24"/>
          <w:szCs w:val="24"/>
        </w:rPr>
        <w:t>Cash/Current liability</w:t>
      </w:r>
    </w:p>
    <w:tbl>
      <w:tblPr>
        <w:tblStyle w:val="MediumGrid1-Accent6"/>
        <w:tblW w:w="5000" w:type="pct"/>
        <w:tblLook w:val="04A0" w:firstRow="1" w:lastRow="0" w:firstColumn="1" w:lastColumn="0" w:noHBand="0" w:noVBand="1"/>
      </w:tblPr>
      <w:tblGrid>
        <w:gridCol w:w="2607"/>
        <w:gridCol w:w="1327"/>
        <w:gridCol w:w="1327"/>
        <w:gridCol w:w="1331"/>
        <w:gridCol w:w="1327"/>
        <w:gridCol w:w="1324"/>
      </w:tblGrid>
      <w:tr w:rsidR="0007378F" w:rsidRPr="00E677DC" w:rsidTr="00E266FC">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Cash</w:t>
            </w:r>
            <w:r w:rsidRPr="00E677DC">
              <w:rPr>
                <w:rFonts w:ascii="Times New Roman" w:eastAsia="Times New Roman" w:hAnsi="Times New Roman" w:cs="Times New Roman"/>
                <w:color w:val="000000" w:themeColor="text1"/>
                <w:sz w:val="24"/>
              </w:rPr>
              <w:t xml:space="preserve"> ratio</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410" w:type="pct"/>
            <w:noWrap/>
            <w:hideMark/>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Years</w:t>
            </w:r>
          </w:p>
        </w:tc>
        <w:tc>
          <w:tcPr>
            <w:tcW w:w="718"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2012</w:t>
            </w:r>
          </w:p>
        </w:tc>
        <w:tc>
          <w:tcPr>
            <w:tcW w:w="718"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2013</w:t>
            </w:r>
          </w:p>
        </w:tc>
        <w:tc>
          <w:tcPr>
            <w:tcW w:w="720"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2014</w:t>
            </w:r>
          </w:p>
        </w:tc>
        <w:tc>
          <w:tcPr>
            <w:tcW w:w="718"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16"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410"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718"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0.324</w:t>
            </w:r>
          </w:p>
        </w:tc>
        <w:tc>
          <w:tcPr>
            <w:tcW w:w="718"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0.336</w:t>
            </w:r>
          </w:p>
        </w:tc>
        <w:tc>
          <w:tcPr>
            <w:tcW w:w="720"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0.332</w:t>
            </w:r>
          </w:p>
        </w:tc>
        <w:tc>
          <w:tcPr>
            <w:tcW w:w="718"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0.092</w:t>
            </w:r>
          </w:p>
        </w:tc>
        <w:tc>
          <w:tcPr>
            <w:tcW w:w="716"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0.247</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lastRenderedPageBreak/>
              <w:t xml:space="preserve">Brac Bank </w:t>
            </w:r>
          </w:p>
        </w:tc>
        <w:tc>
          <w:tcPr>
            <w:tcW w:w="718"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0.184</w:t>
            </w:r>
          </w:p>
        </w:tc>
        <w:tc>
          <w:tcPr>
            <w:tcW w:w="718"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0.197</w:t>
            </w:r>
          </w:p>
        </w:tc>
        <w:tc>
          <w:tcPr>
            <w:tcW w:w="720"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0.173</w:t>
            </w:r>
          </w:p>
        </w:tc>
        <w:tc>
          <w:tcPr>
            <w:tcW w:w="718"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0.117</w:t>
            </w:r>
          </w:p>
        </w:tc>
        <w:tc>
          <w:tcPr>
            <w:tcW w:w="716"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0.104</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Dutch Bangla Banks</w:t>
            </w:r>
          </w:p>
        </w:tc>
        <w:tc>
          <w:tcPr>
            <w:tcW w:w="718"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0.131</w:t>
            </w:r>
          </w:p>
        </w:tc>
        <w:tc>
          <w:tcPr>
            <w:tcW w:w="718"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0.127</w:t>
            </w:r>
          </w:p>
        </w:tc>
        <w:tc>
          <w:tcPr>
            <w:tcW w:w="720"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0.110</w:t>
            </w:r>
          </w:p>
        </w:tc>
        <w:tc>
          <w:tcPr>
            <w:tcW w:w="718"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0.097</w:t>
            </w:r>
          </w:p>
        </w:tc>
        <w:tc>
          <w:tcPr>
            <w:tcW w:w="716"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0.118</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718"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0.149</w:t>
            </w:r>
          </w:p>
        </w:tc>
        <w:tc>
          <w:tcPr>
            <w:tcW w:w="718"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0.202</w:t>
            </w:r>
          </w:p>
        </w:tc>
        <w:tc>
          <w:tcPr>
            <w:tcW w:w="720"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0.166</w:t>
            </w:r>
          </w:p>
        </w:tc>
        <w:tc>
          <w:tcPr>
            <w:tcW w:w="718"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0.141</w:t>
            </w:r>
          </w:p>
        </w:tc>
        <w:tc>
          <w:tcPr>
            <w:tcW w:w="716"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0.147</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410"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718"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0.244</w:t>
            </w:r>
          </w:p>
        </w:tc>
        <w:tc>
          <w:tcPr>
            <w:tcW w:w="718"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0.300</w:t>
            </w:r>
          </w:p>
        </w:tc>
        <w:tc>
          <w:tcPr>
            <w:tcW w:w="720"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0.252</w:t>
            </w:r>
          </w:p>
        </w:tc>
        <w:tc>
          <w:tcPr>
            <w:tcW w:w="718"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0.188</w:t>
            </w:r>
          </w:p>
        </w:tc>
        <w:tc>
          <w:tcPr>
            <w:tcW w:w="716"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0.199</w:t>
            </w:r>
          </w:p>
        </w:tc>
      </w:tr>
    </w:tbl>
    <w:p w:rsidR="0007378F" w:rsidRDefault="0007378F" w:rsidP="0007378F"/>
    <w:p w:rsidR="0007378F" w:rsidRDefault="0007378F" w:rsidP="0007378F">
      <w:pPr>
        <w:jc w:val="center"/>
      </w:pPr>
      <w:r>
        <w:rPr>
          <w:noProof/>
        </w:rPr>
        <w:drawing>
          <wp:inline distT="0" distB="0" distL="0" distR="0" wp14:anchorId="37E362AF" wp14:editId="294D9237">
            <wp:extent cx="3686861" cy="1967788"/>
            <wp:effectExtent l="0" t="0" r="8890" b="0"/>
            <wp:docPr id="13" name="Chart 13">
              <a:extLst xmlns:a="http://schemas.openxmlformats.org/drawingml/2006/main">
                <a:ext uri="{FF2B5EF4-FFF2-40B4-BE49-F238E27FC236}">
                  <a16:creationId xmlns:w15="http://schemas.microsoft.com/office/word/2012/wordml" xmlns:arto="http://schemas.microsoft.com/office/word/2006/arto"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lc="http://schemas.openxmlformats.org/drawingml/2006/lockedCanvas" id="{B28AE165-77B2-49B5-B8D3-EAEA94428B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7378F" w:rsidRPr="00A82037" w:rsidRDefault="0007378F" w:rsidP="00EF09E0">
      <w:pPr>
        <w:spacing w:after="0" w:line="360" w:lineRule="auto"/>
        <w:jc w:val="both"/>
        <w:rPr>
          <w:rFonts w:ascii="Times New Roman" w:hAnsi="Times New Roman" w:cs="Times New Roman"/>
        </w:rPr>
      </w:pPr>
      <w:r w:rsidRPr="0073517E">
        <w:rPr>
          <w:rFonts w:ascii="Times New Roman" w:eastAsia="Times New Roman" w:hAnsi="Times New Roman" w:cs="Times New Roman"/>
          <w:color w:val="000000"/>
          <w:sz w:val="24"/>
          <w:szCs w:val="24"/>
        </w:rPr>
        <w:t>Cash ratio refers the ratio of a bank’s total cash and cash equivalents to its current liabilities. If cash ratio is equal 1 then it’s mean bank has same amount of current liability of it’s cash and cash equivalents assets. But here we are seeing cash ratio of every bank is lower than 1 in every year. That’s mean their current liability is more than their cash and cash equivalent assets. It is good from one point of view because may be they invest more compare with previous time but at the same time it is risky for the banks because if in this position its creditors wants their money then bank will be unable to pay their money.</w:t>
      </w:r>
    </w:p>
    <w:p w:rsidR="0007378F" w:rsidRPr="00A82037" w:rsidRDefault="0007378F" w:rsidP="00EF09E0">
      <w:pPr>
        <w:pStyle w:val="ListParagraph"/>
        <w:numPr>
          <w:ilvl w:val="0"/>
          <w:numId w:val="37"/>
        </w:numPr>
        <w:spacing w:after="0" w:line="360" w:lineRule="auto"/>
        <w:jc w:val="both"/>
        <w:rPr>
          <w:rFonts w:ascii="Times New Roman" w:hAnsi="Times New Roman" w:cs="Times New Roman"/>
          <w:b/>
          <w:color w:val="4F81BD" w:themeColor="accent1"/>
          <w:sz w:val="24"/>
        </w:rPr>
      </w:pPr>
      <w:r w:rsidRPr="00A82037">
        <w:rPr>
          <w:rFonts w:ascii="Times New Roman" w:hAnsi="Times New Roman" w:cs="Times New Roman"/>
          <w:b/>
          <w:color w:val="4F81BD" w:themeColor="accent1"/>
          <w:sz w:val="24"/>
        </w:rPr>
        <w:t>Net working capital</w:t>
      </w:r>
    </w:p>
    <w:p w:rsidR="0007378F" w:rsidRPr="00A82037" w:rsidRDefault="0007378F" w:rsidP="00EF09E0">
      <w:pPr>
        <w:spacing w:after="0" w:line="360" w:lineRule="auto"/>
        <w:jc w:val="both"/>
        <w:rPr>
          <w:rFonts w:ascii="Times New Roman" w:hAnsi="Times New Roman" w:cs="Times New Roman"/>
          <w:sz w:val="24"/>
        </w:rPr>
      </w:pPr>
      <w:r w:rsidRPr="00A82037">
        <w:rPr>
          <w:rFonts w:ascii="Times New Roman" w:hAnsi="Times New Roman" w:cs="Times New Roman"/>
          <w:sz w:val="24"/>
        </w:rPr>
        <w:t>Net working capital show the difference between a company’s current assets (cash, accounts receivable, inventories, finished goods) and current liability like accounts payable.</w:t>
      </w:r>
    </w:p>
    <w:p w:rsidR="0007378F" w:rsidRPr="00A82037" w:rsidRDefault="0007378F" w:rsidP="0007378F">
      <w:pPr>
        <w:spacing w:line="360" w:lineRule="auto"/>
        <w:jc w:val="both"/>
        <w:rPr>
          <w:rFonts w:ascii="Times New Roman" w:hAnsi="Times New Roman" w:cs="Times New Roman"/>
          <w:sz w:val="24"/>
        </w:rPr>
      </w:pPr>
      <w:r w:rsidRPr="00A82037">
        <w:rPr>
          <w:rFonts w:ascii="Times New Roman" w:hAnsi="Times New Roman" w:cs="Times New Roman"/>
          <w:sz w:val="24"/>
        </w:rPr>
        <w:t>Working Capital = Current Assets - Current Liabilities</w:t>
      </w:r>
    </w:p>
    <w:p w:rsidR="0007378F" w:rsidRPr="00A502FD" w:rsidRDefault="0007378F" w:rsidP="0007378F"/>
    <w:tbl>
      <w:tblPr>
        <w:tblStyle w:val="MediumGrid1-Accent6"/>
        <w:tblW w:w="5000" w:type="pct"/>
        <w:tblLook w:val="04A0" w:firstRow="1" w:lastRow="0" w:firstColumn="1" w:lastColumn="0" w:noHBand="0" w:noVBand="1"/>
      </w:tblPr>
      <w:tblGrid>
        <w:gridCol w:w="2266"/>
        <w:gridCol w:w="1771"/>
        <w:gridCol w:w="1771"/>
        <w:gridCol w:w="1732"/>
        <w:gridCol w:w="1703"/>
      </w:tblGrid>
      <w:tr w:rsidR="0007378F" w:rsidRPr="00E677DC" w:rsidTr="00E266FC">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000" w:type="pct"/>
            <w:gridSpan w:val="5"/>
            <w:noWrap/>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Net working capital</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226" w:type="pct"/>
            <w:noWrap/>
            <w:hideMark/>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Years</w:t>
            </w:r>
          </w:p>
        </w:tc>
        <w:tc>
          <w:tcPr>
            <w:tcW w:w="958" w:type="pct"/>
            <w:noWrap/>
            <w:hideMark/>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2013</w:t>
            </w:r>
          </w:p>
        </w:tc>
        <w:tc>
          <w:tcPr>
            <w:tcW w:w="958" w:type="pct"/>
            <w:noWrap/>
            <w:hideMark/>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2014</w:t>
            </w:r>
          </w:p>
        </w:tc>
        <w:tc>
          <w:tcPr>
            <w:tcW w:w="937"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921"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493"/>
        </w:trPr>
        <w:tc>
          <w:tcPr>
            <w:cnfStyle w:val="001000000000" w:firstRow="0" w:lastRow="0" w:firstColumn="1" w:lastColumn="0" w:oddVBand="0" w:evenVBand="0" w:oddHBand="0" w:evenHBand="0" w:firstRowFirstColumn="0" w:firstRowLastColumn="0" w:lastRowFirstColumn="0" w:lastRowLastColumn="0"/>
            <w:tcW w:w="1226"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95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-234037596.0</w:t>
            </w:r>
          </w:p>
        </w:tc>
        <w:tc>
          <w:tcPr>
            <w:tcW w:w="95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-3253620101.0</w:t>
            </w:r>
          </w:p>
        </w:tc>
        <w:tc>
          <w:tcPr>
            <w:tcW w:w="937"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-113856400524.0</w:t>
            </w:r>
          </w:p>
        </w:tc>
        <w:tc>
          <w:tcPr>
            <w:tcW w:w="92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-14901548184.0</w:t>
            </w:r>
          </w:p>
        </w:tc>
      </w:tr>
      <w:tr w:rsidR="0007378F" w:rsidTr="00E266FC">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226"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 xml:space="preserve">Brac Bank </w:t>
            </w:r>
          </w:p>
        </w:tc>
        <w:tc>
          <w:tcPr>
            <w:tcW w:w="95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-36,853,981,779</w:t>
            </w:r>
          </w:p>
        </w:tc>
        <w:tc>
          <w:tcPr>
            <w:tcW w:w="95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-31,960,870,081</w:t>
            </w:r>
          </w:p>
        </w:tc>
        <w:tc>
          <w:tcPr>
            <w:tcW w:w="937"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-77,430,726,570</w:t>
            </w:r>
          </w:p>
        </w:tc>
        <w:tc>
          <w:tcPr>
            <w:tcW w:w="921"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-82,925,618,941</w:t>
            </w:r>
          </w:p>
        </w:tc>
      </w:tr>
      <w:tr w:rsidR="0007378F" w:rsidTr="00E266FC">
        <w:trPr>
          <w:trHeight w:val="493"/>
        </w:trPr>
        <w:tc>
          <w:tcPr>
            <w:cnfStyle w:val="001000000000" w:firstRow="0" w:lastRow="0" w:firstColumn="1" w:lastColumn="0" w:oddVBand="0" w:evenVBand="0" w:oddHBand="0" w:evenHBand="0" w:firstRowFirstColumn="0" w:firstRowLastColumn="0" w:lastRowFirstColumn="0" w:lastRowLastColumn="0"/>
            <w:tcW w:w="1226"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lastRenderedPageBreak/>
              <w:t>Dutch Bangla Banks</w:t>
            </w:r>
          </w:p>
        </w:tc>
        <w:tc>
          <w:tcPr>
            <w:tcW w:w="95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-108,373,804,279</w:t>
            </w:r>
          </w:p>
        </w:tc>
        <w:tc>
          <w:tcPr>
            <w:tcW w:w="95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-125,195,100,866</w:t>
            </w:r>
          </w:p>
        </w:tc>
        <w:tc>
          <w:tcPr>
            <w:tcW w:w="937"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-162,846,868,308</w:t>
            </w:r>
          </w:p>
        </w:tc>
        <w:tc>
          <w:tcPr>
            <w:tcW w:w="92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-154,275,512,268</w:t>
            </w:r>
          </w:p>
        </w:tc>
      </w:tr>
      <w:tr w:rsidR="0007378F" w:rsidTr="00E266FC">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226"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95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-2,848,794,174</w:t>
            </w:r>
          </w:p>
        </w:tc>
        <w:tc>
          <w:tcPr>
            <w:tcW w:w="95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-15,063,869,225</w:t>
            </w:r>
          </w:p>
        </w:tc>
        <w:tc>
          <w:tcPr>
            <w:tcW w:w="937"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-16,905,561,446</w:t>
            </w:r>
          </w:p>
        </w:tc>
        <w:tc>
          <w:tcPr>
            <w:tcW w:w="921"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-34,302,794,865</w:t>
            </w:r>
          </w:p>
        </w:tc>
      </w:tr>
      <w:tr w:rsidR="0007378F" w:rsidTr="00E266FC">
        <w:trPr>
          <w:trHeight w:val="493"/>
        </w:trPr>
        <w:tc>
          <w:tcPr>
            <w:cnfStyle w:val="001000000000" w:firstRow="0" w:lastRow="0" w:firstColumn="1" w:lastColumn="0" w:oddVBand="0" w:evenVBand="0" w:oddHBand="0" w:evenHBand="0" w:firstRowFirstColumn="0" w:firstRowLastColumn="0" w:lastRowFirstColumn="0" w:lastRowLastColumn="0"/>
            <w:tcW w:w="1226"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95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19,188,954,498</w:t>
            </w:r>
          </w:p>
        </w:tc>
        <w:tc>
          <w:tcPr>
            <w:tcW w:w="95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5,409,239,171</w:t>
            </w:r>
          </w:p>
        </w:tc>
        <w:tc>
          <w:tcPr>
            <w:tcW w:w="937"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-17,171,477,937</w:t>
            </w:r>
          </w:p>
        </w:tc>
        <w:tc>
          <w:tcPr>
            <w:tcW w:w="92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-22,299,200,689</w:t>
            </w:r>
          </w:p>
        </w:tc>
      </w:tr>
    </w:tbl>
    <w:p w:rsidR="0007378F" w:rsidRDefault="0007378F" w:rsidP="0007378F"/>
    <w:p w:rsidR="0007378F" w:rsidRPr="00A502FD" w:rsidRDefault="0007378F" w:rsidP="0007378F">
      <w:pPr>
        <w:jc w:val="center"/>
      </w:pPr>
      <w:r>
        <w:rPr>
          <w:noProof/>
        </w:rPr>
        <w:drawing>
          <wp:inline distT="0" distB="0" distL="0" distR="0" wp14:anchorId="1FEF1C21" wp14:editId="3316D0CA">
            <wp:extent cx="4629150" cy="2000250"/>
            <wp:effectExtent l="0" t="0" r="0" b="0"/>
            <wp:docPr id="14" name="Chart 14">
              <a:extLst xmlns:a="http://schemas.openxmlformats.org/drawingml/2006/main">
                <a:ext uri="{FF2B5EF4-FFF2-40B4-BE49-F238E27FC236}">
                  <a16:creationId xmlns:w15="http://schemas.microsoft.com/office/word/2012/wordml" xmlns:arto="http://schemas.microsoft.com/office/word/2006/arto"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lc="http://schemas.openxmlformats.org/drawingml/2006/lockedCanvas" id="{B28AE165-77B2-49B5-B8D3-EAEA94428B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7378F" w:rsidRDefault="0007378F" w:rsidP="00EF09E0">
      <w:pPr>
        <w:spacing w:after="0" w:line="360" w:lineRule="auto"/>
        <w:jc w:val="both"/>
        <w:rPr>
          <w:rFonts w:ascii="Times New Roman" w:hAnsi="Times New Roman" w:cs="Times New Roman"/>
          <w:color w:val="444444"/>
          <w:spacing w:val="4"/>
          <w:sz w:val="24"/>
          <w:shd w:val="clear" w:color="auto" w:fill="FFFFFF"/>
        </w:rPr>
      </w:pPr>
      <w:r w:rsidRPr="006917E8">
        <w:rPr>
          <w:rFonts w:ascii="Times New Roman" w:hAnsi="Times New Roman" w:cs="Times New Roman"/>
          <w:color w:val="444444"/>
          <w:spacing w:val="4"/>
          <w:sz w:val="24"/>
          <w:shd w:val="clear" w:color="auto" w:fill="FFFFFF"/>
        </w:rPr>
        <w:t>Net working capital is the difference between all current assets and current liabilities. Here we are seeing that net working capital of all bank is negative in every year. If Net working capital is positive then its mean current assets is more than current liabilities. At the same time if current assets is less than current liability then net working capital will be negative. It refers that bank may not have sufficient funds for pay its current liabilities and may be in danger of bankruptcy.</w:t>
      </w:r>
    </w:p>
    <w:p w:rsidR="0007378F" w:rsidRPr="00A82037" w:rsidRDefault="0007378F" w:rsidP="00EF09E0">
      <w:pPr>
        <w:pStyle w:val="ListParagraph"/>
        <w:numPr>
          <w:ilvl w:val="0"/>
          <w:numId w:val="39"/>
        </w:numPr>
        <w:spacing w:after="0" w:line="360" w:lineRule="auto"/>
        <w:jc w:val="both"/>
        <w:rPr>
          <w:rFonts w:asciiTheme="majorHAnsi" w:hAnsiTheme="majorHAnsi"/>
          <w:b/>
          <w:color w:val="4F81BD" w:themeColor="accent1"/>
          <w:sz w:val="24"/>
        </w:rPr>
      </w:pPr>
      <w:r w:rsidRPr="00CB7F43">
        <w:rPr>
          <w:rFonts w:asciiTheme="majorHAnsi" w:hAnsiTheme="majorHAnsi"/>
          <w:b/>
          <w:color w:val="4F81BD" w:themeColor="accent1"/>
          <w:sz w:val="24"/>
        </w:rPr>
        <w:t>Borrowed</w:t>
      </w:r>
      <w:r w:rsidRPr="00A82037">
        <w:rPr>
          <w:rFonts w:asciiTheme="majorHAnsi" w:hAnsiTheme="majorHAnsi"/>
          <w:b/>
          <w:color w:val="4F81BD" w:themeColor="accent1"/>
          <w:sz w:val="24"/>
        </w:rPr>
        <w:t xml:space="preserve"> funds to total assets </w:t>
      </w:r>
    </w:p>
    <w:p w:rsidR="0007378F" w:rsidRPr="00BD45A2" w:rsidRDefault="0007378F" w:rsidP="00EF09E0">
      <w:pPr>
        <w:spacing w:after="0" w:line="360" w:lineRule="auto"/>
        <w:jc w:val="both"/>
        <w:rPr>
          <w:rFonts w:ascii="Times New Roman" w:hAnsi="Times New Roman" w:cs="Times New Roman"/>
          <w:sz w:val="24"/>
          <w:szCs w:val="24"/>
        </w:rPr>
      </w:pPr>
      <w:r w:rsidRPr="00BD45A2">
        <w:rPr>
          <w:rFonts w:ascii="Times New Roman" w:hAnsi="Times New Roman" w:cs="Times New Roman"/>
          <w:sz w:val="24"/>
          <w:szCs w:val="24"/>
        </w:rPr>
        <w:t>Borrowed funds to total assets is a leverage ratio that identify the total amount of debt relative to assets. The higher the ratio, the higher the degree of leverage and, consequently, financial risk. The total debt to total assets is a broad ratio that includes long-term and short-term debt as well as all tangible and intangible assets.</w:t>
      </w:r>
    </w:p>
    <w:p w:rsidR="0007378F" w:rsidRPr="00BD45A2" w:rsidRDefault="0007378F" w:rsidP="0007378F">
      <w:pPr>
        <w:spacing w:line="360" w:lineRule="auto"/>
        <w:jc w:val="both"/>
        <w:rPr>
          <w:rFonts w:ascii="Times New Roman" w:hAnsi="Times New Roman" w:cs="Times New Roman"/>
          <w:sz w:val="24"/>
          <w:szCs w:val="24"/>
        </w:rPr>
      </w:pPr>
      <w:r w:rsidRPr="00BD45A2">
        <w:rPr>
          <w:rFonts w:ascii="Times New Roman" w:hAnsi="Times New Roman" w:cs="Times New Roman"/>
          <w:sz w:val="24"/>
          <w:szCs w:val="24"/>
        </w:rPr>
        <w:t>Borrowed funds to total assets = (short term debt + long term debt)/total assets</w:t>
      </w:r>
    </w:p>
    <w:tbl>
      <w:tblPr>
        <w:tblStyle w:val="MediumGrid1-Accent6"/>
        <w:tblW w:w="5000" w:type="pct"/>
        <w:tblLook w:val="04A0" w:firstRow="1" w:lastRow="0" w:firstColumn="1" w:lastColumn="0" w:noHBand="0" w:noVBand="1"/>
      </w:tblPr>
      <w:tblGrid>
        <w:gridCol w:w="2417"/>
        <w:gridCol w:w="1100"/>
        <w:gridCol w:w="1460"/>
        <w:gridCol w:w="1340"/>
        <w:gridCol w:w="1462"/>
        <w:gridCol w:w="1464"/>
      </w:tblGrid>
      <w:tr w:rsidR="0007378F" w:rsidRPr="00E677DC" w:rsidTr="00E266FC">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Borrowed funds to total assets</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07" w:type="pct"/>
            <w:noWrap/>
            <w:hideMark/>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Years</w:t>
            </w:r>
          </w:p>
        </w:tc>
        <w:tc>
          <w:tcPr>
            <w:tcW w:w="595"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2012</w:t>
            </w:r>
          </w:p>
        </w:tc>
        <w:tc>
          <w:tcPr>
            <w:tcW w:w="790"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2013</w:t>
            </w:r>
          </w:p>
        </w:tc>
        <w:tc>
          <w:tcPr>
            <w:tcW w:w="725"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2014</w:t>
            </w:r>
          </w:p>
        </w:tc>
        <w:tc>
          <w:tcPr>
            <w:tcW w:w="791"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92"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307"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59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0.9268</w:t>
            </w:r>
          </w:p>
        </w:tc>
        <w:tc>
          <w:tcPr>
            <w:tcW w:w="79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0.9172</w:t>
            </w:r>
          </w:p>
        </w:tc>
        <w:tc>
          <w:tcPr>
            <w:tcW w:w="72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0.9188</w:t>
            </w:r>
          </w:p>
        </w:tc>
        <w:tc>
          <w:tcPr>
            <w:tcW w:w="79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0.9227</w:t>
            </w:r>
          </w:p>
        </w:tc>
        <w:tc>
          <w:tcPr>
            <w:tcW w:w="792"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0.9266</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 xml:space="preserve">Brac Bank </w:t>
            </w:r>
          </w:p>
        </w:tc>
        <w:tc>
          <w:tcPr>
            <w:tcW w:w="59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0.82418</w:t>
            </w:r>
          </w:p>
        </w:tc>
        <w:tc>
          <w:tcPr>
            <w:tcW w:w="790"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0.80325</w:t>
            </w:r>
          </w:p>
        </w:tc>
        <w:tc>
          <w:tcPr>
            <w:tcW w:w="72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0.77933</w:t>
            </w:r>
          </w:p>
        </w:tc>
        <w:tc>
          <w:tcPr>
            <w:tcW w:w="791"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1.13801</w:t>
            </w:r>
          </w:p>
        </w:tc>
        <w:tc>
          <w:tcPr>
            <w:tcW w:w="792"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1.14955</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Dutch Bangla Banks</w:t>
            </w:r>
          </w:p>
        </w:tc>
        <w:tc>
          <w:tcPr>
            <w:tcW w:w="59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0.93038</w:t>
            </w:r>
          </w:p>
        </w:tc>
        <w:tc>
          <w:tcPr>
            <w:tcW w:w="79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0.93186</w:t>
            </w:r>
          </w:p>
        </w:tc>
        <w:tc>
          <w:tcPr>
            <w:tcW w:w="72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0.94115</w:t>
            </w:r>
          </w:p>
        </w:tc>
        <w:tc>
          <w:tcPr>
            <w:tcW w:w="79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1.00113</w:t>
            </w:r>
          </w:p>
        </w:tc>
        <w:tc>
          <w:tcPr>
            <w:tcW w:w="792"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0.87700</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lastRenderedPageBreak/>
              <w:t xml:space="preserve">Bank Asia  </w:t>
            </w:r>
          </w:p>
        </w:tc>
        <w:tc>
          <w:tcPr>
            <w:tcW w:w="59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0.90715</w:t>
            </w:r>
          </w:p>
        </w:tc>
        <w:tc>
          <w:tcPr>
            <w:tcW w:w="790"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0.91181</w:t>
            </w:r>
          </w:p>
        </w:tc>
        <w:tc>
          <w:tcPr>
            <w:tcW w:w="72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0.90982</w:t>
            </w:r>
          </w:p>
        </w:tc>
        <w:tc>
          <w:tcPr>
            <w:tcW w:w="791"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0.91715</w:t>
            </w:r>
          </w:p>
        </w:tc>
        <w:tc>
          <w:tcPr>
            <w:tcW w:w="792"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0.92599</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59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0.94316</w:t>
            </w:r>
          </w:p>
        </w:tc>
        <w:tc>
          <w:tcPr>
            <w:tcW w:w="79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0.79869</w:t>
            </w:r>
          </w:p>
        </w:tc>
        <w:tc>
          <w:tcPr>
            <w:tcW w:w="72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0.86586</w:t>
            </w:r>
          </w:p>
        </w:tc>
        <w:tc>
          <w:tcPr>
            <w:tcW w:w="79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0.93465</w:t>
            </w:r>
          </w:p>
        </w:tc>
        <w:tc>
          <w:tcPr>
            <w:tcW w:w="792"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0.93484</w:t>
            </w:r>
          </w:p>
        </w:tc>
      </w:tr>
    </w:tbl>
    <w:p w:rsidR="0007378F" w:rsidRDefault="0007378F" w:rsidP="0007378F">
      <w:pPr>
        <w:spacing w:line="360" w:lineRule="auto"/>
        <w:jc w:val="both"/>
        <w:rPr>
          <w:rFonts w:ascii="Times New Roman" w:hAnsi="Times New Roman" w:cs="Times New Roman"/>
          <w:color w:val="444444"/>
          <w:spacing w:val="4"/>
          <w:sz w:val="24"/>
          <w:shd w:val="clear" w:color="auto" w:fill="FFFFFF"/>
        </w:rPr>
      </w:pPr>
    </w:p>
    <w:p w:rsidR="0007378F" w:rsidRDefault="0007378F" w:rsidP="0007378F">
      <w:pPr>
        <w:spacing w:line="360" w:lineRule="auto"/>
        <w:jc w:val="center"/>
        <w:rPr>
          <w:rFonts w:ascii="Times New Roman" w:hAnsi="Times New Roman" w:cs="Times New Roman"/>
          <w:b/>
          <w:color w:val="444444"/>
          <w:spacing w:val="4"/>
          <w:sz w:val="24"/>
          <w:shd w:val="clear" w:color="auto" w:fill="FFFFFF"/>
        </w:rPr>
      </w:pPr>
      <w:r>
        <w:rPr>
          <w:noProof/>
        </w:rPr>
        <w:drawing>
          <wp:inline distT="0" distB="0" distL="0" distR="0" wp14:anchorId="0D54B512" wp14:editId="05B3254C">
            <wp:extent cx="4176979" cy="2223821"/>
            <wp:effectExtent l="0" t="0" r="0" b="5080"/>
            <wp:docPr id="3" name="Chart 3">
              <a:extLst xmlns:a="http://schemas.openxmlformats.org/drawingml/2006/main">
                <a:ext uri="{FF2B5EF4-FFF2-40B4-BE49-F238E27FC236}">
                  <a16:creationId xmlns:w15="http://schemas.microsoft.com/office/word/2012/wordml" xmlns:a16="http://schemas.microsoft.com/office/drawing/2014/main" xmlns="" xmlns:w="http://schemas.openxmlformats.org/wordprocessingml/2006/main" xmlns:w10="urn:schemas-microsoft-com:office:word" xmlns:v="urn:schemas-microsoft-com:vml" xmlns:o="urn:schemas-microsoft-com:office:office" xmlns:arto="http://schemas.microsoft.com/office/word/2006/arto" xmlns:xdr="http://schemas.openxmlformats.org/drawingml/2006/spreadsheetDrawing" xmlns:lc="http://schemas.openxmlformats.org/drawingml/2006/lockedCanva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7378F" w:rsidRPr="00A82037" w:rsidRDefault="0007378F" w:rsidP="0007378F">
      <w:pPr>
        <w:spacing w:line="360" w:lineRule="auto"/>
        <w:jc w:val="both"/>
        <w:rPr>
          <w:rFonts w:ascii="Times New Roman" w:hAnsi="Times New Roman" w:cs="Times New Roman"/>
          <w:b/>
          <w:color w:val="444444"/>
          <w:spacing w:val="4"/>
          <w:sz w:val="24"/>
          <w:shd w:val="clear" w:color="auto" w:fill="FFFFFF"/>
        </w:rPr>
      </w:pPr>
      <w:r>
        <w:rPr>
          <w:rFonts w:ascii="Times New Roman" w:hAnsi="Times New Roman" w:cs="Times New Roman"/>
          <w:color w:val="444444"/>
          <w:spacing w:val="4"/>
          <w:sz w:val="24"/>
          <w:shd w:val="clear" w:color="auto" w:fill="FFFFFF"/>
        </w:rPr>
        <w:t>In the graph and table we are seeing every bank’s borrowed fund to total assets ratio increase in 2016 comparing with 2012. Only Dutch Bangla Bank’s borrowed fund to total assets ratio decrease compare with previous year. From the table and graph we can say that bank using debt more proportionately compare with previous year. Since they use more debt now so their financial risk also increase with the time.</w:t>
      </w:r>
    </w:p>
    <w:p w:rsidR="0007378F" w:rsidRPr="00A82037" w:rsidRDefault="0007378F" w:rsidP="0007378F">
      <w:pPr>
        <w:pStyle w:val="ListParagraph"/>
        <w:numPr>
          <w:ilvl w:val="0"/>
          <w:numId w:val="39"/>
        </w:numPr>
        <w:spacing w:line="360" w:lineRule="auto"/>
        <w:jc w:val="both"/>
        <w:rPr>
          <w:rFonts w:asciiTheme="majorHAnsi" w:hAnsiTheme="majorHAnsi" w:cs="Times New Roman"/>
          <w:b/>
          <w:color w:val="4F81BD" w:themeColor="accent1"/>
          <w:spacing w:val="4"/>
          <w:sz w:val="28"/>
          <w:shd w:val="clear" w:color="auto" w:fill="FFFFFF"/>
        </w:rPr>
      </w:pPr>
      <w:r w:rsidRPr="00A82037">
        <w:rPr>
          <w:rFonts w:asciiTheme="majorHAnsi" w:hAnsiTheme="majorHAnsi" w:cs="Arial"/>
          <w:b/>
          <w:color w:val="4F81BD" w:themeColor="accent1"/>
          <w:sz w:val="24"/>
        </w:rPr>
        <w:t>Core deposit to total assets</w:t>
      </w:r>
    </w:p>
    <w:p w:rsidR="0007378F" w:rsidRPr="00244112" w:rsidRDefault="0007378F" w:rsidP="0007378F">
      <w:pPr>
        <w:spacing w:line="360" w:lineRule="auto"/>
        <w:jc w:val="both"/>
        <w:rPr>
          <w:rFonts w:ascii="Times New Roman" w:hAnsi="Times New Roman" w:cs="Times New Roman"/>
          <w:sz w:val="24"/>
        </w:rPr>
      </w:pPr>
      <w:r w:rsidRPr="00014939">
        <w:rPr>
          <w:rFonts w:ascii="Times New Roman" w:hAnsi="Times New Roman" w:cs="Times New Roman"/>
          <w:sz w:val="24"/>
          <w:szCs w:val="24"/>
        </w:rPr>
        <w:t>Core deposits refer the</w:t>
      </w:r>
      <w:r>
        <w:rPr>
          <w:rFonts w:ascii="Times New Roman" w:hAnsi="Times New Roman" w:cs="Times New Roman"/>
          <w:sz w:val="24"/>
          <w:szCs w:val="24"/>
        </w:rPr>
        <w:t xml:space="preserve"> deposits</w:t>
      </w:r>
      <w:r w:rsidRPr="00014939">
        <w:rPr>
          <w:rFonts w:ascii="Times New Roman" w:hAnsi="Times New Roman" w:cs="Times New Roman"/>
          <w:sz w:val="24"/>
          <w:szCs w:val="24"/>
        </w:rPr>
        <w:t xml:space="preserve"> that form a stable source of funds for a lending bank. Core deposits are made in a bank's natural demographic in the market such as predictable costs, and a measure of how loyal their customers to the bank. </w:t>
      </w:r>
      <w:r w:rsidRPr="00244112">
        <w:rPr>
          <w:rFonts w:ascii="Times New Roman" w:hAnsi="Times New Roman" w:cs="Times New Roman"/>
          <w:sz w:val="24"/>
        </w:rPr>
        <w:t xml:space="preserve">Core deposit is generally less vulnerable for change in short term interest rate from money market account and certificates of deposit. Core deposit is also known as time deposit and checking account. </w:t>
      </w:r>
    </w:p>
    <w:tbl>
      <w:tblPr>
        <w:tblStyle w:val="MediumGrid1-Accent6"/>
        <w:tblW w:w="5000" w:type="pct"/>
        <w:tblLook w:val="04A0" w:firstRow="1" w:lastRow="0" w:firstColumn="1" w:lastColumn="0" w:noHBand="0" w:noVBand="1"/>
      </w:tblPr>
      <w:tblGrid>
        <w:gridCol w:w="2417"/>
        <w:gridCol w:w="1100"/>
        <w:gridCol w:w="1460"/>
        <w:gridCol w:w="1340"/>
        <w:gridCol w:w="1462"/>
        <w:gridCol w:w="1464"/>
      </w:tblGrid>
      <w:tr w:rsidR="0007378F" w:rsidRPr="00E677DC" w:rsidTr="00E266FC">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Core deposit to total assets</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07" w:type="pct"/>
            <w:noWrap/>
            <w:hideMark/>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Years</w:t>
            </w:r>
          </w:p>
        </w:tc>
        <w:tc>
          <w:tcPr>
            <w:tcW w:w="595"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2012</w:t>
            </w:r>
          </w:p>
        </w:tc>
        <w:tc>
          <w:tcPr>
            <w:tcW w:w="790"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2013</w:t>
            </w:r>
          </w:p>
        </w:tc>
        <w:tc>
          <w:tcPr>
            <w:tcW w:w="725"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2014</w:t>
            </w:r>
          </w:p>
        </w:tc>
        <w:tc>
          <w:tcPr>
            <w:tcW w:w="791"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92"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307"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59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0.05332</w:t>
            </w:r>
          </w:p>
        </w:tc>
        <w:tc>
          <w:tcPr>
            <w:tcW w:w="79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0.06101</w:t>
            </w:r>
          </w:p>
        </w:tc>
        <w:tc>
          <w:tcPr>
            <w:tcW w:w="72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0.07175</w:t>
            </w:r>
          </w:p>
        </w:tc>
        <w:tc>
          <w:tcPr>
            <w:tcW w:w="79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0.60366</w:t>
            </w:r>
          </w:p>
        </w:tc>
        <w:tc>
          <w:tcPr>
            <w:tcW w:w="792"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0.08233</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 xml:space="preserve">Brac Bank </w:t>
            </w:r>
          </w:p>
        </w:tc>
        <w:tc>
          <w:tcPr>
            <w:tcW w:w="59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0.10051</w:t>
            </w:r>
          </w:p>
        </w:tc>
        <w:tc>
          <w:tcPr>
            <w:tcW w:w="790"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0.11175</w:t>
            </w:r>
          </w:p>
        </w:tc>
        <w:tc>
          <w:tcPr>
            <w:tcW w:w="72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0.12396</w:t>
            </w:r>
          </w:p>
        </w:tc>
        <w:tc>
          <w:tcPr>
            <w:tcW w:w="791"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0.16416</w:t>
            </w:r>
          </w:p>
        </w:tc>
        <w:tc>
          <w:tcPr>
            <w:tcW w:w="792"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0.15246</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Dutch Bangla Banks</w:t>
            </w:r>
          </w:p>
        </w:tc>
        <w:tc>
          <w:tcPr>
            <w:tcW w:w="59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0.27500</w:t>
            </w:r>
          </w:p>
        </w:tc>
        <w:tc>
          <w:tcPr>
            <w:tcW w:w="79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0.26912</w:t>
            </w:r>
          </w:p>
        </w:tc>
        <w:tc>
          <w:tcPr>
            <w:tcW w:w="72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0.28381</w:t>
            </w:r>
          </w:p>
        </w:tc>
        <w:tc>
          <w:tcPr>
            <w:tcW w:w="79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0.34524</w:t>
            </w:r>
          </w:p>
        </w:tc>
        <w:tc>
          <w:tcPr>
            <w:tcW w:w="792"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0.25039</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59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0.07515</w:t>
            </w:r>
          </w:p>
        </w:tc>
        <w:tc>
          <w:tcPr>
            <w:tcW w:w="790"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0.07771</w:t>
            </w:r>
          </w:p>
        </w:tc>
        <w:tc>
          <w:tcPr>
            <w:tcW w:w="72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0.08988</w:t>
            </w:r>
          </w:p>
        </w:tc>
        <w:tc>
          <w:tcPr>
            <w:tcW w:w="791"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0.09383</w:t>
            </w:r>
          </w:p>
        </w:tc>
        <w:tc>
          <w:tcPr>
            <w:tcW w:w="792"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0.10905</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lastRenderedPageBreak/>
              <w:t xml:space="preserve">IFIC Bank  </w:t>
            </w:r>
          </w:p>
        </w:tc>
        <w:tc>
          <w:tcPr>
            <w:tcW w:w="59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0.10097</w:t>
            </w:r>
          </w:p>
        </w:tc>
        <w:tc>
          <w:tcPr>
            <w:tcW w:w="79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0.09736</w:t>
            </w:r>
          </w:p>
        </w:tc>
        <w:tc>
          <w:tcPr>
            <w:tcW w:w="72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0.11748</w:t>
            </w:r>
          </w:p>
        </w:tc>
        <w:tc>
          <w:tcPr>
            <w:tcW w:w="79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0.13736</w:t>
            </w:r>
          </w:p>
        </w:tc>
        <w:tc>
          <w:tcPr>
            <w:tcW w:w="792"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0.14152</w:t>
            </w:r>
          </w:p>
        </w:tc>
      </w:tr>
    </w:tbl>
    <w:p w:rsidR="0007378F" w:rsidRPr="00014939" w:rsidRDefault="0007378F" w:rsidP="0007378F">
      <w:pPr>
        <w:spacing w:line="360" w:lineRule="auto"/>
        <w:jc w:val="both"/>
        <w:rPr>
          <w:rFonts w:ascii="Times New Roman" w:hAnsi="Times New Roman" w:cs="Times New Roman"/>
          <w:sz w:val="24"/>
          <w:szCs w:val="24"/>
        </w:rPr>
      </w:pPr>
    </w:p>
    <w:p w:rsidR="0007378F" w:rsidRPr="00B10510" w:rsidRDefault="0007378F" w:rsidP="0007378F">
      <w:pPr>
        <w:spacing w:line="360" w:lineRule="auto"/>
        <w:jc w:val="center"/>
        <w:rPr>
          <w:rFonts w:ascii="Times New Roman" w:hAnsi="Times New Roman" w:cs="Times New Roman"/>
          <w:b/>
          <w:color w:val="444444"/>
          <w:spacing w:val="4"/>
          <w:sz w:val="28"/>
          <w:shd w:val="clear" w:color="auto" w:fill="FFFFFF"/>
        </w:rPr>
      </w:pPr>
      <w:r>
        <w:rPr>
          <w:noProof/>
        </w:rPr>
        <w:drawing>
          <wp:inline distT="0" distB="0" distL="0" distR="0" wp14:anchorId="44AA7919" wp14:editId="5AF49F87">
            <wp:extent cx="4345229" cy="1850746"/>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7378F" w:rsidRPr="00B10510" w:rsidRDefault="0007378F" w:rsidP="0007378F">
      <w:pPr>
        <w:spacing w:line="360" w:lineRule="auto"/>
        <w:jc w:val="both"/>
        <w:rPr>
          <w:rFonts w:ascii="Times New Roman" w:hAnsi="Times New Roman" w:cs="Times New Roman"/>
          <w:spacing w:val="4"/>
          <w:sz w:val="24"/>
          <w:shd w:val="clear" w:color="auto" w:fill="FFFFFF"/>
        </w:rPr>
      </w:pPr>
      <w:r w:rsidRPr="00B10510">
        <w:rPr>
          <w:rFonts w:ascii="Times New Roman" w:hAnsi="Times New Roman" w:cs="Times New Roman"/>
          <w:spacing w:val="4"/>
          <w:sz w:val="24"/>
          <w:shd w:val="clear" w:color="auto" w:fill="FFFFFF"/>
        </w:rPr>
        <w:t>We get that core deposit of th</w:t>
      </w:r>
      <w:r>
        <w:rPr>
          <w:rFonts w:ascii="Times New Roman" w:hAnsi="Times New Roman" w:cs="Times New Roman"/>
          <w:spacing w:val="4"/>
          <w:sz w:val="24"/>
          <w:shd w:val="clear" w:color="auto" w:fill="FFFFFF"/>
        </w:rPr>
        <w:t>e</w:t>
      </w:r>
      <w:r w:rsidRPr="00B10510">
        <w:rPr>
          <w:rFonts w:ascii="Times New Roman" w:hAnsi="Times New Roman" w:cs="Times New Roman"/>
          <w:spacing w:val="4"/>
          <w:sz w:val="24"/>
          <w:shd w:val="clear" w:color="auto" w:fill="FFFFFF"/>
        </w:rPr>
        <w:t>s</w:t>
      </w:r>
      <w:r>
        <w:rPr>
          <w:rFonts w:ascii="Times New Roman" w:hAnsi="Times New Roman" w:cs="Times New Roman"/>
          <w:spacing w:val="4"/>
          <w:sz w:val="24"/>
          <w:shd w:val="clear" w:color="auto" w:fill="FFFFFF"/>
        </w:rPr>
        <w:t>e</w:t>
      </w:r>
      <w:r w:rsidRPr="00B10510">
        <w:rPr>
          <w:rFonts w:ascii="Times New Roman" w:hAnsi="Times New Roman" w:cs="Times New Roman"/>
          <w:spacing w:val="4"/>
          <w:sz w:val="24"/>
          <w:shd w:val="clear" w:color="auto" w:fill="FFFFFF"/>
        </w:rPr>
        <w:t xml:space="preserve"> five bank increases from 2012 to 2016. </w:t>
      </w:r>
      <w:r>
        <w:rPr>
          <w:rFonts w:ascii="Times New Roman" w:hAnsi="Times New Roman" w:cs="Times New Roman"/>
          <w:spacing w:val="4"/>
          <w:sz w:val="24"/>
          <w:shd w:val="clear" w:color="auto" w:fill="FFFFFF"/>
        </w:rPr>
        <w:t>It is a sign of bank’s good performance. Since core deposit to total assets increase so we can say that the loyal customer of the bank increase, bank popularity increase, reliability to people also increase.</w:t>
      </w:r>
    </w:p>
    <w:p w:rsidR="0007378F" w:rsidRPr="00A82037" w:rsidRDefault="0007378F" w:rsidP="0007378F">
      <w:pPr>
        <w:pStyle w:val="ListParagraph"/>
        <w:numPr>
          <w:ilvl w:val="0"/>
          <w:numId w:val="39"/>
        </w:numPr>
        <w:spacing w:line="360" w:lineRule="auto"/>
        <w:jc w:val="both"/>
        <w:rPr>
          <w:rFonts w:asciiTheme="majorHAnsi" w:hAnsiTheme="majorHAnsi" w:cs="Times New Roman"/>
          <w:b/>
          <w:color w:val="4F81BD" w:themeColor="accent1"/>
          <w:spacing w:val="4"/>
          <w:sz w:val="28"/>
          <w:shd w:val="clear" w:color="auto" w:fill="FFFFFF"/>
        </w:rPr>
      </w:pPr>
      <w:r w:rsidRPr="00A82037">
        <w:rPr>
          <w:rFonts w:asciiTheme="majorHAnsi" w:hAnsiTheme="majorHAnsi" w:cs="Arial"/>
          <w:b/>
          <w:color w:val="4F81BD" w:themeColor="accent1"/>
        </w:rPr>
        <w:t>Loans to deposits</w:t>
      </w:r>
    </w:p>
    <w:p w:rsidR="0007378F" w:rsidRPr="00A82037" w:rsidRDefault="0007378F" w:rsidP="00EF09E0">
      <w:pPr>
        <w:spacing w:after="0" w:line="360" w:lineRule="auto"/>
        <w:jc w:val="both"/>
        <w:rPr>
          <w:rFonts w:ascii="Times New Roman" w:hAnsi="Times New Roman" w:cs="Times New Roman"/>
          <w:sz w:val="24"/>
          <w:szCs w:val="24"/>
        </w:rPr>
      </w:pPr>
      <w:r w:rsidRPr="00A82037">
        <w:rPr>
          <w:rFonts w:ascii="Times New Roman" w:hAnsi="Times New Roman" w:cs="Times New Roman"/>
          <w:sz w:val="24"/>
          <w:szCs w:val="24"/>
        </w:rPr>
        <w:t xml:space="preserve">Loan to deposit ratio measure the bank’s total loan to its deposits for a specific period. Loan to ratio show in the percentage most of the time. If the ratio is more than one that’s mean bank are not able to meet its unforeseen fund requirements by the liquidity assets. At the same time if ratio is less than one then bank will be able to meet its fund requirement by it’s assets.  </w:t>
      </w:r>
    </w:p>
    <w:p w:rsidR="0007378F" w:rsidRPr="00A82037" w:rsidRDefault="0007378F" w:rsidP="00EF09E0">
      <w:pPr>
        <w:spacing w:after="0" w:line="360" w:lineRule="auto"/>
        <w:jc w:val="both"/>
        <w:rPr>
          <w:rFonts w:ascii="Times New Roman" w:hAnsi="Times New Roman" w:cs="Times New Roman"/>
          <w:color w:val="000000"/>
          <w:sz w:val="24"/>
          <w:szCs w:val="24"/>
        </w:rPr>
      </w:pPr>
      <w:r w:rsidRPr="00A82037">
        <w:rPr>
          <w:rFonts w:ascii="Times New Roman" w:hAnsi="Times New Roman" w:cs="Times New Roman"/>
          <w:sz w:val="24"/>
          <w:szCs w:val="24"/>
        </w:rPr>
        <w:t xml:space="preserve">Loan to deposit = </w:t>
      </w:r>
      <w:r w:rsidRPr="00A82037">
        <w:rPr>
          <w:rFonts w:ascii="Times New Roman" w:hAnsi="Times New Roman" w:cs="Times New Roman"/>
          <w:color w:val="000000"/>
          <w:sz w:val="24"/>
          <w:szCs w:val="24"/>
        </w:rPr>
        <w:t>Total loan/Total deposit</w:t>
      </w:r>
    </w:p>
    <w:tbl>
      <w:tblPr>
        <w:tblStyle w:val="MediumGrid1-Accent6"/>
        <w:tblW w:w="5000" w:type="pct"/>
        <w:tblLook w:val="04A0" w:firstRow="1" w:lastRow="0" w:firstColumn="1" w:lastColumn="0" w:noHBand="0" w:noVBand="1"/>
      </w:tblPr>
      <w:tblGrid>
        <w:gridCol w:w="2417"/>
        <w:gridCol w:w="1100"/>
        <w:gridCol w:w="1460"/>
        <w:gridCol w:w="1340"/>
        <w:gridCol w:w="1462"/>
        <w:gridCol w:w="1464"/>
      </w:tblGrid>
      <w:tr w:rsidR="0007378F" w:rsidRPr="00E677DC" w:rsidTr="00E266FC">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Core deposit to total assets</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07" w:type="pct"/>
            <w:noWrap/>
            <w:hideMark/>
          </w:tcPr>
          <w:p w:rsidR="0007378F" w:rsidRPr="00E677DC" w:rsidRDefault="0007378F" w:rsidP="00E266FC">
            <w:pPr>
              <w:spacing w:line="360" w:lineRule="auto"/>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Years</w:t>
            </w:r>
          </w:p>
        </w:tc>
        <w:tc>
          <w:tcPr>
            <w:tcW w:w="595"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2012</w:t>
            </w:r>
          </w:p>
        </w:tc>
        <w:tc>
          <w:tcPr>
            <w:tcW w:w="790"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2013</w:t>
            </w:r>
          </w:p>
        </w:tc>
        <w:tc>
          <w:tcPr>
            <w:tcW w:w="725" w:type="pct"/>
            <w:noWrap/>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sidRPr="00E677DC">
              <w:rPr>
                <w:rFonts w:ascii="Times New Roman" w:eastAsia="Times New Roman" w:hAnsi="Times New Roman" w:cs="Times New Roman"/>
                <w:color w:val="000000" w:themeColor="text1"/>
                <w:sz w:val="24"/>
              </w:rPr>
              <w:t>2014</w:t>
            </w:r>
          </w:p>
        </w:tc>
        <w:tc>
          <w:tcPr>
            <w:tcW w:w="791"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92"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307"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59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0.70874</w:t>
            </w:r>
          </w:p>
        </w:tc>
        <w:tc>
          <w:tcPr>
            <w:tcW w:w="79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0.73601</w:t>
            </w:r>
          </w:p>
        </w:tc>
        <w:tc>
          <w:tcPr>
            <w:tcW w:w="72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0.69056</w:t>
            </w:r>
          </w:p>
        </w:tc>
        <w:tc>
          <w:tcPr>
            <w:tcW w:w="79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0.70809</w:t>
            </w:r>
          </w:p>
        </w:tc>
        <w:tc>
          <w:tcPr>
            <w:tcW w:w="792"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0.69922</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 xml:space="preserve">Brac Bank </w:t>
            </w:r>
          </w:p>
        </w:tc>
        <w:tc>
          <w:tcPr>
            <w:tcW w:w="59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0.76329</w:t>
            </w:r>
          </w:p>
        </w:tc>
        <w:tc>
          <w:tcPr>
            <w:tcW w:w="790"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0.79619</w:t>
            </w:r>
          </w:p>
        </w:tc>
        <w:tc>
          <w:tcPr>
            <w:tcW w:w="72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0.76215</w:t>
            </w:r>
          </w:p>
        </w:tc>
        <w:tc>
          <w:tcPr>
            <w:tcW w:w="791"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0.47460</w:t>
            </w:r>
          </w:p>
        </w:tc>
        <w:tc>
          <w:tcPr>
            <w:tcW w:w="792"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0.47660</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Dutch Bangla Banks</w:t>
            </w:r>
          </w:p>
        </w:tc>
        <w:tc>
          <w:tcPr>
            <w:tcW w:w="59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0.56967</w:t>
            </w:r>
          </w:p>
        </w:tc>
        <w:tc>
          <w:tcPr>
            <w:tcW w:w="79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0.57472</w:t>
            </w:r>
          </w:p>
        </w:tc>
        <w:tc>
          <w:tcPr>
            <w:tcW w:w="72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0.59172</w:t>
            </w:r>
          </w:p>
        </w:tc>
        <w:tc>
          <w:tcPr>
            <w:tcW w:w="79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0.61191</w:t>
            </w:r>
          </w:p>
        </w:tc>
        <w:tc>
          <w:tcPr>
            <w:tcW w:w="792"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0.65672</w:t>
            </w:r>
          </w:p>
        </w:tc>
      </w:tr>
      <w:tr w:rsidR="0007378F" w:rsidTr="00E266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59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0.69611</w:t>
            </w:r>
          </w:p>
        </w:tc>
        <w:tc>
          <w:tcPr>
            <w:tcW w:w="790"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0.69169</w:t>
            </w:r>
          </w:p>
        </w:tc>
        <w:tc>
          <w:tcPr>
            <w:tcW w:w="725"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0.66789</w:t>
            </w:r>
          </w:p>
        </w:tc>
        <w:tc>
          <w:tcPr>
            <w:tcW w:w="791"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0.62616</w:t>
            </w:r>
          </w:p>
        </w:tc>
        <w:tc>
          <w:tcPr>
            <w:tcW w:w="792"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0.66926</w:t>
            </w:r>
          </w:p>
        </w:tc>
      </w:tr>
      <w:tr w:rsidR="0007378F" w:rsidTr="00E266FC">
        <w:trPr>
          <w:trHeight w:val="477"/>
        </w:trPr>
        <w:tc>
          <w:tcPr>
            <w:cnfStyle w:val="001000000000" w:firstRow="0" w:lastRow="0" w:firstColumn="1" w:lastColumn="0" w:oddVBand="0" w:evenVBand="0" w:oddHBand="0" w:evenHBand="0" w:firstRowFirstColumn="0" w:firstRowLastColumn="0" w:lastRowFirstColumn="0" w:lastRowLastColumn="0"/>
            <w:tcW w:w="130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59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0.65585</w:t>
            </w:r>
          </w:p>
        </w:tc>
        <w:tc>
          <w:tcPr>
            <w:tcW w:w="790"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0.63424</w:t>
            </w:r>
          </w:p>
        </w:tc>
        <w:tc>
          <w:tcPr>
            <w:tcW w:w="725"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0.64877</w:t>
            </w:r>
          </w:p>
        </w:tc>
        <w:tc>
          <w:tcPr>
            <w:tcW w:w="791"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0.68536</w:t>
            </w:r>
          </w:p>
        </w:tc>
        <w:tc>
          <w:tcPr>
            <w:tcW w:w="792"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0.69485</w:t>
            </w:r>
          </w:p>
        </w:tc>
      </w:tr>
    </w:tbl>
    <w:p w:rsidR="0007378F" w:rsidRDefault="0007378F" w:rsidP="0007378F">
      <w:pPr>
        <w:spacing w:line="360" w:lineRule="auto"/>
        <w:jc w:val="both"/>
        <w:rPr>
          <w:rFonts w:ascii="Cambria" w:hAnsi="Cambria" w:cs="Arial"/>
          <w:color w:val="000000"/>
        </w:rPr>
      </w:pPr>
    </w:p>
    <w:p w:rsidR="0007378F" w:rsidRPr="00A262FE" w:rsidRDefault="0007378F" w:rsidP="0007378F">
      <w:pPr>
        <w:spacing w:line="360" w:lineRule="auto"/>
        <w:jc w:val="center"/>
        <w:rPr>
          <w:rFonts w:ascii="Times New Roman" w:hAnsi="Times New Roman" w:cs="Times New Roman"/>
          <w:sz w:val="24"/>
        </w:rPr>
      </w:pPr>
      <w:r>
        <w:rPr>
          <w:noProof/>
        </w:rPr>
        <w:lastRenderedPageBreak/>
        <w:drawing>
          <wp:inline distT="0" distB="0" distL="0" distR="0" wp14:anchorId="7598EA03" wp14:editId="06566B7B">
            <wp:extent cx="4133850" cy="2124075"/>
            <wp:effectExtent l="0" t="0" r="0" b="0"/>
            <wp:docPr id="7" name="Chart 7">
              <a:extLst xmlns:a="http://schemas.openxmlformats.org/drawingml/2006/main">
                <a:ext uri="{FF2B5EF4-FFF2-40B4-BE49-F238E27FC236}">
                  <a16:creationId xmlns:w15="http://schemas.microsoft.com/office/word/2012/wordml" xmlns:lc="http://schemas.openxmlformats.org/drawingml/2006/lockedCanvas" xmlns:a16="http://schemas.microsoft.com/office/drawing/2014/main" xmlns="" xmlns:w="http://schemas.openxmlformats.org/wordprocessingml/2006/main" xmlns:w10="urn:schemas-microsoft-com:office:word" xmlns:v="urn:schemas-microsoft-com:vml" xmlns:o="urn:schemas-microsoft-com:office:office" xmlns:arto="http://schemas.microsoft.com/office/word/2006/arto" xmlns:xdr="http://schemas.openxmlformats.org/drawingml/2006/spreadsheetDrawing"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7378F" w:rsidRPr="00900E12" w:rsidRDefault="0007378F" w:rsidP="0007378F">
      <w:pPr>
        <w:spacing w:line="360" w:lineRule="auto"/>
        <w:jc w:val="both"/>
        <w:rPr>
          <w:rFonts w:ascii="Times New Roman" w:hAnsi="Times New Roman" w:cs="Times New Roman"/>
          <w:sz w:val="24"/>
        </w:rPr>
      </w:pPr>
      <w:r w:rsidRPr="00900E12">
        <w:rPr>
          <w:rFonts w:ascii="Times New Roman" w:hAnsi="Times New Roman" w:cs="Times New Roman"/>
          <w:sz w:val="24"/>
        </w:rPr>
        <w:t xml:space="preserve">In the table we are seeing that each bank’s every year loan to deposit ratio is less than one its mean every banks deposit is higher than it’s loan. It is a good thing from one point of view that is bank won’t face pressure if depositor wants their money in any situation. </w:t>
      </w:r>
      <w:r>
        <w:rPr>
          <w:rFonts w:ascii="Times New Roman" w:hAnsi="Times New Roman" w:cs="Times New Roman"/>
          <w:sz w:val="24"/>
        </w:rPr>
        <w:t>But in another point of view we can say that bank has huge idle money and bank forgo huge opportunity of earning money and raising capital.</w:t>
      </w:r>
    </w:p>
    <w:p w:rsidR="0007378F" w:rsidRPr="00A82037" w:rsidRDefault="0007378F" w:rsidP="0007378F">
      <w:pPr>
        <w:pStyle w:val="Heading3"/>
        <w:numPr>
          <w:ilvl w:val="2"/>
          <w:numId w:val="6"/>
        </w:numPr>
        <w:spacing w:line="360" w:lineRule="auto"/>
        <w:jc w:val="both"/>
        <w:rPr>
          <w:sz w:val="24"/>
        </w:rPr>
      </w:pPr>
      <w:bookmarkStart w:id="18" w:name="_Toc518818059"/>
      <w:r w:rsidRPr="00A82037">
        <w:rPr>
          <w:sz w:val="24"/>
        </w:rPr>
        <w:t>Long term solvency ratios</w:t>
      </w:r>
      <w:bookmarkEnd w:id="18"/>
    </w:p>
    <w:p w:rsidR="0007378F" w:rsidRDefault="0007378F" w:rsidP="0007378F">
      <w:pPr>
        <w:spacing w:line="360" w:lineRule="auto"/>
        <w:jc w:val="both"/>
        <w:rPr>
          <w:rFonts w:ascii="Times New Roman" w:eastAsia="Times New Roman" w:hAnsi="Times New Roman" w:cs="Times New Roman"/>
          <w:sz w:val="24"/>
          <w:szCs w:val="24"/>
        </w:rPr>
      </w:pPr>
      <w:r w:rsidRPr="006F0FFC">
        <w:rPr>
          <w:rFonts w:ascii="Times New Roman" w:eastAsia="Times New Roman" w:hAnsi="Times New Roman" w:cs="Times New Roman"/>
          <w:sz w:val="24"/>
          <w:szCs w:val="24"/>
        </w:rPr>
        <w:t>Solvency is the ability of a company to meet its long-term financial obligations. Solvency is essential to staying in business as it asserts a company’s ability to continue operations into the foreseeable future. While a company also needs liquidity to thrive, liquidity should not be confused with solvency. A company that is insolvent must often enter bankruptcy.</w:t>
      </w:r>
    </w:p>
    <w:p w:rsidR="0007378F" w:rsidRDefault="0007378F" w:rsidP="0007378F">
      <w:pPr>
        <w:spacing w:before="240" w:line="360" w:lineRule="auto"/>
        <w:jc w:val="both"/>
        <w:rPr>
          <w:rFonts w:ascii="Times New Roman" w:hAnsi="Times New Roman" w:cs="Times New Roman"/>
          <w:sz w:val="24"/>
        </w:rPr>
      </w:pPr>
      <w:r w:rsidRPr="006F0FFC">
        <w:rPr>
          <w:rFonts w:ascii="Times New Roman" w:hAnsi="Times New Roman" w:cs="Times New Roman"/>
          <w:sz w:val="24"/>
        </w:rPr>
        <w:t>Here</w:t>
      </w:r>
      <w:r>
        <w:rPr>
          <w:rFonts w:ascii="Times New Roman" w:hAnsi="Times New Roman" w:cs="Times New Roman"/>
          <w:sz w:val="24"/>
        </w:rPr>
        <w:t xml:space="preserve"> we are focusing some</w:t>
      </w:r>
      <w:r w:rsidRPr="006F0FFC">
        <w:rPr>
          <w:rFonts w:ascii="Times New Roman" w:hAnsi="Times New Roman" w:cs="Times New Roman"/>
          <w:sz w:val="24"/>
        </w:rPr>
        <w:t xml:space="preserve"> tools</w:t>
      </w:r>
      <w:r>
        <w:rPr>
          <w:rFonts w:ascii="Times New Roman" w:hAnsi="Times New Roman" w:cs="Times New Roman"/>
          <w:sz w:val="24"/>
        </w:rPr>
        <w:t xml:space="preserve"> of long term solvency ratio</w:t>
      </w:r>
      <w:r w:rsidRPr="006F0FFC">
        <w:rPr>
          <w:rFonts w:ascii="Times New Roman" w:hAnsi="Times New Roman" w:cs="Times New Roman"/>
          <w:sz w:val="24"/>
        </w:rPr>
        <w:t xml:space="preserve"> and we measure it’s </w:t>
      </w:r>
      <w:r>
        <w:rPr>
          <w:rFonts w:ascii="Times New Roman" w:hAnsi="Times New Roman" w:cs="Times New Roman"/>
          <w:sz w:val="24"/>
        </w:rPr>
        <w:t>solvency</w:t>
      </w:r>
      <w:r w:rsidRPr="006F0FFC">
        <w:rPr>
          <w:rFonts w:ascii="Times New Roman" w:hAnsi="Times New Roman" w:cs="Times New Roman"/>
          <w:sz w:val="24"/>
        </w:rPr>
        <w:t xml:space="preserve"> condition of “Dhaka Bank</w:t>
      </w:r>
      <w:r w:rsidRPr="00FF5D03">
        <w:rPr>
          <w:rFonts w:ascii="Times New Roman" w:hAnsi="Times New Roman" w:cs="Times New Roman"/>
          <w:sz w:val="24"/>
        </w:rPr>
        <w:t xml:space="preserve"> </w:t>
      </w:r>
      <w:r>
        <w:rPr>
          <w:rFonts w:ascii="Times New Roman" w:hAnsi="Times New Roman" w:cs="Times New Roman"/>
          <w:sz w:val="24"/>
        </w:rPr>
        <w:t>Brac Bank, Dutch Bangla Bank, Bank asia, IFIC Bank</w:t>
      </w:r>
      <w:r w:rsidRPr="006F0FFC">
        <w:rPr>
          <w:rFonts w:ascii="Times New Roman" w:hAnsi="Times New Roman" w:cs="Times New Roman"/>
          <w:sz w:val="24"/>
        </w:rPr>
        <w:t>”. Here we show some</w:t>
      </w:r>
      <w:r>
        <w:rPr>
          <w:rFonts w:ascii="Times New Roman" w:hAnsi="Times New Roman" w:cs="Times New Roman"/>
          <w:sz w:val="24"/>
        </w:rPr>
        <w:t xml:space="preserve"> ratio and it’s formula</w:t>
      </w:r>
      <w:r w:rsidRPr="006F0FFC">
        <w:rPr>
          <w:rFonts w:ascii="Times New Roman" w:hAnsi="Times New Roman" w:cs="Times New Roman"/>
          <w:sz w:val="24"/>
        </w:rPr>
        <w:t xml:space="preserve"> and trend of the positions and discussed about it. Like- </w:t>
      </w:r>
    </w:p>
    <w:tbl>
      <w:tblPr>
        <w:tblStyle w:val="MediumGrid1-Accent5"/>
        <w:tblW w:w="0" w:type="auto"/>
        <w:tblLook w:val="04A0" w:firstRow="1" w:lastRow="0" w:firstColumn="1" w:lastColumn="0" w:noHBand="0" w:noVBand="1"/>
      </w:tblPr>
      <w:tblGrid>
        <w:gridCol w:w="2108"/>
        <w:gridCol w:w="2269"/>
        <w:gridCol w:w="4866"/>
      </w:tblGrid>
      <w:tr w:rsidR="0007378F" w:rsidRPr="00D0554E" w:rsidTr="00E2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07378F" w:rsidRPr="00D0554E" w:rsidRDefault="0007378F" w:rsidP="00E266FC">
            <w:pPr>
              <w:spacing w:before="240" w:line="360" w:lineRule="auto"/>
              <w:jc w:val="center"/>
              <w:rPr>
                <w:rFonts w:ascii="Times New Roman" w:hAnsi="Times New Roman" w:cs="Times New Roman"/>
                <w:b w:val="0"/>
                <w:sz w:val="24"/>
              </w:rPr>
            </w:pPr>
            <w:r w:rsidRPr="00D0554E">
              <w:rPr>
                <w:rFonts w:ascii="Times New Roman" w:hAnsi="Times New Roman" w:cs="Times New Roman"/>
                <w:b w:val="0"/>
                <w:sz w:val="24"/>
              </w:rPr>
              <w:t>Ratio</w:t>
            </w:r>
          </w:p>
        </w:tc>
        <w:tc>
          <w:tcPr>
            <w:tcW w:w="2340" w:type="dxa"/>
          </w:tcPr>
          <w:p w:rsidR="0007378F" w:rsidRPr="00D0554E" w:rsidRDefault="0007378F" w:rsidP="00E266FC">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0554E">
              <w:rPr>
                <w:rFonts w:ascii="Times New Roman" w:hAnsi="Times New Roman" w:cs="Times New Roman"/>
                <w:b w:val="0"/>
                <w:sz w:val="24"/>
              </w:rPr>
              <w:t>Formula</w:t>
            </w:r>
          </w:p>
        </w:tc>
        <w:tc>
          <w:tcPr>
            <w:tcW w:w="5058" w:type="dxa"/>
          </w:tcPr>
          <w:p w:rsidR="0007378F" w:rsidRPr="00D0554E" w:rsidRDefault="0007378F" w:rsidP="00E266FC">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0554E">
              <w:rPr>
                <w:rFonts w:ascii="Times New Roman" w:hAnsi="Times New Roman" w:cs="Times New Roman"/>
                <w:b w:val="0"/>
                <w:sz w:val="24"/>
              </w:rPr>
              <w:t>Definition</w:t>
            </w: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07378F" w:rsidRPr="004F218D" w:rsidRDefault="0007378F" w:rsidP="00E266FC">
            <w:pPr>
              <w:rPr>
                <w:rFonts w:ascii="Times New Roman" w:hAnsi="Times New Roman" w:cs="Times New Roman"/>
                <w:color w:val="000000"/>
                <w:sz w:val="24"/>
                <w:szCs w:val="24"/>
              </w:rPr>
            </w:pPr>
            <w:r w:rsidRPr="004F218D">
              <w:rPr>
                <w:rFonts w:ascii="Times New Roman" w:hAnsi="Times New Roman" w:cs="Times New Roman"/>
                <w:color w:val="000000"/>
                <w:sz w:val="24"/>
                <w:szCs w:val="24"/>
              </w:rPr>
              <w:t>Total debt ratio</w:t>
            </w:r>
          </w:p>
        </w:tc>
        <w:tc>
          <w:tcPr>
            <w:tcW w:w="2340" w:type="dxa"/>
          </w:tcPr>
          <w:p w:rsidR="0007378F" w:rsidRPr="004F218D"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F218D">
              <w:rPr>
                <w:rFonts w:ascii="Times New Roman" w:hAnsi="Times New Roman" w:cs="Times New Roman"/>
                <w:color w:val="000000"/>
                <w:sz w:val="24"/>
                <w:szCs w:val="24"/>
              </w:rPr>
              <w:t>(TA-TE)/TA</w:t>
            </w:r>
          </w:p>
        </w:tc>
        <w:tc>
          <w:tcPr>
            <w:tcW w:w="5058" w:type="dxa"/>
          </w:tcPr>
          <w:p w:rsidR="0007378F" w:rsidRPr="004F218D" w:rsidRDefault="0007378F" w:rsidP="00E266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F218D">
              <w:rPr>
                <w:sz w:val="24"/>
                <w:szCs w:val="24"/>
                <w:shd w:val="clear" w:color="auto" w:fill="FFFFFF"/>
              </w:rPr>
              <w:t> </w:t>
            </w:r>
            <w:r w:rsidRPr="004F218D">
              <w:rPr>
                <w:rFonts w:ascii="Times New Roman" w:hAnsi="Times New Roman" w:cs="Times New Roman"/>
                <w:sz w:val="24"/>
                <w:szCs w:val="24"/>
              </w:rPr>
              <w:t>Debt ratio refers the extent of a company’s leverage.</w:t>
            </w:r>
          </w:p>
        </w:tc>
      </w:tr>
      <w:tr w:rsidR="0007378F" w:rsidTr="00E266FC">
        <w:tc>
          <w:tcPr>
            <w:cnfStyle w:val="001000000000" w:firstRow="0" w:lastRow="0" w:firstColumn="1" w:lastColumn="0" w:oddVBand="0" w:evenVBand="0" w:oddHBand="0" w:evenHBand="0" w:firstRowFirstColumn="0" w:firstRowLastColumn="0" w:lastRowFirstColumn="0" w:lastRowLastColumn="0"/>
            <w:tcW w:w="2178" w:type="dxa"/>
          </w:tcPr>
          <w:p w:rsidR="0007378F" w:rsidRPr="004F218D" w:rsidRDefault="0007378F" w:rsidP="00E266FC">
            <w:pPr>
              <w:rPr>
                <w:rFonts w:ascii="Times New Roman" w:hAnsi="Times New Roman" w:cs="Times New Roman"/>
                <w:color w:val="000000"/>
                <w:sz w:val="24"/>
                <w:szCs w:val="24"/>
              </w:rPr>
            </w:pPr>
            <w:r w:rsidRPr="004F218D">
              <w:rPr>
                <w:rFonts w:ascii="Times New Roman" w:hAnsi="Times New Roman" w:cs="Times New Roman"/>
                <w:color w:val="000000"/>
                <w:sz w:val="24"/>
                <w:szCs w:val="24"/>
              </w:rPr>
              <w:t>Long term debt ratio</w:t>
            </w:r>
          </w:p>
        </w:tc>
        <w:tc>
          <w:tcPr>
            <w:tcW w:w="2340" w:type="dxa"/>
          </w:tcPr>
          <w:p w:rsidR="0007378F" w:rsidRPr="004F218D"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F218D">
              <w:rPr>
                <w:rFonts w:ascii="Times New Roman" w:hAnsi="Times New Roman" w:cs="Times New Roman"/>
                <w:color w:val="000000"/>
                <w:sz w:val="24"/>
                <w:szCs w:val="24"/>
              </w:rPr>
              <w:t>Long term debt / (long term debt - total equity)</w:t>
            </w:r>
          </w:p>
        </w:tc>
        <w:tc>
          <w:tcPr>
            <w:tcW w:w="5058" w:type="dxa"/>
          </w:tcPr>
          <w:p w:rsidR="0007378F" w:rsidRPr="004F218D" w:rsidRDefault="0007378F" w:rsidP="00E266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F218D">
              <w:rPr>
                <w:rFonts w:ascii="Times New Roman" w:hAnsi="Times New Roman" w:cs="Times New Roman"/>
                <w:sz w:val="24"/>
                <w:szCs w:val="24"/>
              </w:rPr>
              <w:t>Long Term Debt to Total Asset Ratio show the financial position of the company and it’s ability to meet all its financial requirements.</w:t>
            </w: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07378F" w:rsidRPr="004F218D" w:rsidRDefault="0007378F" w:rsidP="00E266FC">
            <w:pPr>
              <w:spacing w:line="360" w:lineRule="auto"/>
              <w:rPr>
                <w:rFonts w:ascii="Times New Roman" w:hAnsi="Times New Roman" w:cs="Times New Roman"/>
                <w:sz w:val="24"/>
                <w:szCs w:val="24"/>
              </w:rPr>
            </w:pPr>
            <w:r w:rsidRPr="004F218D">
              <w:rPr>
                <w:rFonts w:ascii="Times New Roman" w:hAnsi="Times New Roman" w:cs="Times New Roman"/>
                <w:color w:val="000000"/>
                <w:sz w:val="24"/>
                <w:szCs w:val="24"/>
              </w:rPr>
              <w:t xml:space="preserve">Equity Ratio </w:t>
            </w:r>
          </w:p>
        </w:tc>
        <w:tc>
          <w:tcPr>
            <w:tcW w:w="2340" w:type="dxa"/>
          </w:tcPr>
          <w:p w:rsidR="0007378F" w:rsidRPr="004F218D" w:rsidRDefault="0007378F" w:rsidP="00E266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F218D">
              <w:rPr>
                <w:rFonts w:ascii="Times New Roman" w:hAnsi="Times New Roman" w:cs="Times New Roman"/>
                <w:color w:val="000000"/>
                <w:sz w:val="24"/>
                <w:szCs w:val="24"/>
              </w:rPr>
              <w:t>Total Equity ÷ Total Assets</w:t>
            </w:r>
          </w:p>
        </w:tc>
        <w:tc>
          <w:tcPr>
            <w:tcW w:w="5058" w:type="dxa"/>
          </w:tcPr>
          <w:p w:rsidR="0007378F" w:rsidRPr="004F218D" w:rsidRDefault="0007378F" w:rsidP="00E266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F218D">
              <w:rPr>
                <w:rStyle w:val="tgc"/>
                <w:rFonts w:ascii="Times New Roman" w:hAnsi="Times New Roman" w:cs="Times New Roman"/>
                <w:bCs/>
                <w:sz w:val="24"/>
                <w:szCs w:val="24"/>
              </w:rPr>
              <w:t>Equity Ratio</w:t>
            </w:r>
            <w:r w:rsidRPr="004F218D">
              <w:rPr>
                <w:rStyle w:val="tgc"/>
                <w:rFonts w:ascii="Times New Roman" w:hAnsi="Times New Roman" w:cs="Times New Roman"/>
                <w:sz w:val="24"/>
                <w:szCs w:val="24"/>
              </w:rPr>
              <w:t xml:space="preserve"> measures the proportion of the total assets that are financed by stockholders, as opposed to creditors</w:t>
            </w:r>
          </w:p>
        </w:tc>
      </w:tr>
    </w:tbl>
    <w:p w:rsidR="0007378F" w:rsidRPr="00A82037" w:rsidRDefault="0007378F" w:rsidP="00EF09E0">
      <w:pPr>
        <w:pStyle w:val="ListParagraph"/>
        <w:numPr>
          <w:ilvl w:val="0"/>
          <w:numId w:val="29"/>
        </w:numPr>
        <w:spacing w:after="0" w:line="360" w:lineRule="auto"/>
        <w:jc w:val="both"/>
        <w:rPr>
          <w:rFonts w:asciiTheme="majorHAnsi" w:eastAsia="Times New Roman" w:hAnsiTheme="majorHAnsi" w:cs="Times New Roman"/>
          <w:b/>
          <w:color w:val="4F81BD" w:themeColor="accent1"/>
          <w:sz w:val="24"/>
          <w:szCs w:val="24"/>
        </w:rPr>
      </w:pPr>
      <w:r w:rsidRPr="00A82037">
        <w:rPr>
          <w:rFonts w:asciiTheme="majorHAnsi" w:hAnsiTheme="majorHAnsi" w:cs="Times New Roman"/>
          <w:b/>
          <w:color w:val="4F81BD" w:themeColor="accent1"/>
        </w:rPr>
        <w:lastRenderedPageBreak/>
        <w:t>Total</w:t>
      </w:r>
      <w:r w:rsidRPr="00A82037">
        <w:rPr>
          <w:rFonts w:asciiTheme="majorHAnsi" w:hAnsiTheme="majorHAnsi" w:cs="Arial"/>
          <w:b/>
          <w:color w:val="4F81BD" w:themeColor="accent1"/>
        </w:rPr>
        <w:t xml:space="preserve"> debt ratio</w:t>
      </w:r>
    </w:p>
    <w:p w:rsidR="0007378F" w:rsidRDefault="0007378F" w:rsidP="00EF09E0">
      <w:pPr>
        <w:spacing w:after="0" w:line="360" w:lineRule="auto"/>
        <w:jc w:val="both"/>
        <w:rPr>
          <w:rFonts w:ascii="Times New Roman" w:hAnsi="Times New Roman" w:cs="Times New Roman"/>
          <w:sz w:val="24"/>
          <w:szCs w:val="24"/>
        </w:rPr>
      </w:pPr>
      <w:r w:rsidRPr="00435DB8">
        <w:rPr>
          <w:rFonts w:ascii="Times New Roman" w:hAnsi="Times New Roman" w:cs="Times New Roman"/>
          <w:sz w:val="24"/>
          <w:szCs w:val="24"/>
        </w:rPr>
        <w:t>Debt ratio show the percentage of a firm’s assets that are provided via debt. The higher debt ratio refers company is more leverage and it’s financial risk is high.</w:t>
      </w:r>
    </w:p>
    <w:p w:rsidR="0007378F" w:rsidRDefault="0007378F" w:rsidP="000737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Formula,</w:t>
      </w:r>
    </w:p>
    <w:p w:rsidR="0007378F" w:rsidRPr="00435DB8" w:rsidRDefault="0007378F" w:rsidP="0007378F">
      <w:pPr>
        <w:spacing w:after="0" w:line="360" w:lineRule="auto"/>
        <w:jc w:val="both"/>
        <w:rPr>
          <w:rFonts w:ascii="Times New Roman" w:hAnsi="Times New Roman" w:cs="Times New Roman"/>
          <w:sz w:val="24"/>
          <w:szCs w:val="24"/>
        </w:rPr>
      </w:pPr>
      <w:r w:rsidRPr="00D0554E">
        <w:rPr>
          <w:rFonts w:ascii="Times New Roman" w:hAnsi="Times New Roman" w:cs="Times New Roman"/>
          <w:color w:val="000000"/>
          <w:sz w:val="24"/>
        </w:rPr>
        <w:t>Total debt ratio</w:t>
      </w:r>
      <w:r>
        <w:rPr>
          <w:rFonts w:ascii="Times New Roman" w:hAnsi="Times New Roman" w:cs="Times New Roman"/>
          <w:color w:val="000000"/>
          <w:sz w:val="24"/>
        </w:rPr>
        <w:t xml:space="preserve"> = </w:t>
      </w:r>
      <w:r w:rsidRPr="00D0554E">
        <w:rPr>
          <w:rFonts w:ascii="Times New Roman" w:hAnsi="Times New Roman" w:cs="Times New Roman"/>
          <w:color w:val="000000"/>
          <w:sz w:val="24"/>
        </w:rPr>
        <w:t>(TA-TE)/TA</w:t>
      </w:r>
    </w:p>
    <w:tbl>
      <w:tblPr>
        <w:tblStyle w:val="MediumGrid1-Accent6"/>
        <w:tblW w:w="5000" w:type="pct"/>
        <w:tblLook w:val="04A0" w:firstRow="1" w:lastRow="0" w:firstColumn="1" w:lastColumn="0" w:noHBand="0" w:noVBand="1"/>
      </w:tblPr>
      <w:tblGrid>
        <w:gridCol w:w="2624"/>
        <w:gridCol w:w="1325"/>
        <w:gridCol w:w="1325"/>
        <w:gridCol w:w="1327"/>
        <w:gridCol w:w="1324"/>
        <w:gridCol w:w="1318"/>
      </w:tblGrid>
      <w:tr w:rsidR="0007378F" w:rsidRPr="00692F28" w:rsidTr="00E266F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692F28" w:rsidRDefault="0007378F" w:rsidP="00E266FC">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Debt Ratio</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9" w:type="pct"/>
            <w:noWrap/>
            <w:hideMark/>
          </w:tcPr>
          <w:p w:rsidR="0007378F" w:rsidRPr="00C65B6F" w:rsidRDefault="0007378F" w:rsidP="00E266FC">
            <w:pPr>
              <w:spacing w:line="360" w:lineRule="auto"/>
              <w:jc w:val="center"/>
              <w:rPr>
                <w:rFonts w:ascii="Cambria" w:eastAsia="Times New Roman" w:hAnsi="Cambria" w:cs="Arial"/>
                <w:color w:val="000000"/>
                <w:sz w:val="24"/>
              </w:rPr>
            </w:pPr>
            <w:r w:rsidRPr="00C65B6F">
              <w:rPr>
                <w:rFonts w:ascii="Cambria" w:eastAsia="Times New Roman" w:hAnsi="Cambria" w:cs="Arial"/>
                <w:color w:val="000000"/>
                <w:sz w:val="24"/>
              </w:rPr>
              <w:t>Years</w:t>
            </w:r>
          </w:p>
        </w:tc>
        <w:tc>
          <w:tcPr>
            <w:tcW w:w="717" w:type="pct"/>
            <w:noWrap/>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2012</w:t>
            </w:r>
          </w:p>
        </w:tc>
        <w:tc>
          <w:tcPr>
            <w:tcW w:w="717" w:type="pct"/>
            <w:noWrap/>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2013</w:t>
            </w:r>
          </w:p>
        </w:tc>
        <w:tc>
          <w:tcPr>
            <w:tcW w:w="718" w:type="pct"/>
            <w:noWrap/>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2014</w:t>
            </w:r>
          </w:p>
        </w:tc>
        <w:tc>
          <w:tcPr>
            <w:tcW w:w="716"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13"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9"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0.927</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0.917</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0.919</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0.923</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0.927</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Brac Bank</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0.936</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0.925</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0.901</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0.893</w:t>
            </w:r>
          </w:p>
        </w:tc>
        <w:tc>
          <w:tcPr>
            <w:tcW w:w="713"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0.895</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Dutch Bangla Banks</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0.930</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0.932</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0.932</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0.930</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0.937</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0.907</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0.912</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0.910</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0.917</w:t>
            </w:r>
          </w:p>
        </w:tc>
        <w:tc>
          <w:tcPr>
            <w:tcW w:w="713"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0.926</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0.940</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0.936</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0.932</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0.935</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0.935</w:t>
            </w:r>
          </w:p>
        </w:tc>
      </w:tr>
    </w:tbl>
    <w:p w:rsidR="0007378F" w:rsidRDefault="0007378F" w:rsidP="0007378F">
      <w:pPr>
        <w:spacing w:line="360" w:lineRule="auto"/>
        <w:jc w:val="both"/>
        <w:rPr>
          <w:rFonts w:asciiTheme="majorHAnsi" w:eastAsia="Times New Roman" w:hAnsiTheme="majorHAnsi" w:cs="Times New Roman"/>
          <w:b/>
          <w:sz w:val="24"/>
          <w:szCs w:val="24"/>
        </w:rPr>
      </w:pPr>
    </w:p>
    <w:p w:rsidR="0007378F" w:rsidRDefault="0007378F" w:rsidP="0007378F">
      <w:pPr>
        <w:spacing w:line="360" w:lineRule="auto"/>
        <w:jc w:val="center"/>
        <w:rPr>
          <w:rFonts w:ascii="Times New Roman" w:eastAsia="Times New Roman" w:hAnsi="Times New Roman" w:cs="Times New Roman"/>
          <w:sz w:val="24"/>
          <w:szCs w:val="24"/>
        </w:rPr>
      </w:pPr>
      <w:r>
        <w:rPr>
          <w:noProof/>
        </w:rPr>
        <w:drawing>
          <wp:inline distT="0" distB="0" distL="0" distR="0" wp14:anchorId="3C6600DC" wp14:editId="303BD416">
            <wp:extent cx="5003321" cy="2320506"/>
            <wp:effectExtent l="0" t="0" r="26035"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7378F" w:rsidRDefault="0007378F" w:rsidP="00EF09E0">
      <w:pPr>
        <w:shd w:val="clear" w:color="auto" w:fill="FFFFFF" w:themeFill="background1"/>
        <w:spacing w:after="0" w:line="360" w:lineRule="auto"/>
        <w:jc w:val="both"/>
        <w:rPr>
          <w:rFonts w:ascii="Times New Roman" w:eastAsia="Times New Roman" w:hAnsi="Times New Roman" w:cs="Times New Roman"/>
          <w:sz w:val="24"/>
          <w:szCs w:val="24"/>
        </w:rPr>
      </w:pPr>
      <w:r w:rsidRPr="00671DFD">
        <w:rPr>
          <w:rFonts w:ascii="Times New Roman" w:eastAsia="Times New Roman" w:hAnsi="Times New Roman" w:cs="Times New Roman"/>
          <w:sz w:val="24"/>
          <w:szCs w:val="24"/>
        </w:rPr>
        <w:t xml:space="preserve">If total debt ratio is high it refers that bank using more debt comparing it’s equity for doing their business. Here after the analysis of these banks financial statement we get that total debt ratio of these banks is more than 90 percent which is very high. Every bank increasing their debt every year without </w:t>
      </w:r>
      <w:r>
        <w:rPr>
          <w:rFonts w:ascii="Times New Roman" w:eastAsia="Times New Roman" w:hAnsi="Times New Roman" w:cs="Times New Roman"/>
          <w:sz w:val="24"/>
          <w:szCs w:val="24"/>
        </w:rPr>
        <w:t>B</w:t>
      </w:r>
      <w:r w:rsidRPr="00671DFD">
        <w:rPr>
          <w:rFonts w:ascii="Times New Roman" w:eastAsia="Times New Roman" w:hAnsi="Times New Roman" w:cs="Times New Roman"/>
          <w:sz w:val="24"/>
          <w:szCs w:val="24"/>
        </w:rPr>
        <w:t xml:space="preserve">rac bank.  </w:t>
      </w:r>
    </w:p>
    <w:p w:rsidR="0007378F" w:rsidRPr="00A82037" w:rsidRDefault="0007378F" w:rsidP="00EF09E0">
      <w:pPr>
        <w:pStyle w:val="ListParagraph"/>
        <w:numPr>
          <w:ilvl w:val="0"/>
          <w:numId w:val="29"/>
        </w:numPr>
        <w:spacing w:after="0" w:line="360" w:lineRule="auto"/>
        <w:jc w:val="both"/>
        <w:rPr>
          <w:rFonts w:asciiTheme="majorHAnsi" w:eastAsia="Times New Roman" w:hAnsiTheme="majorHAnsi" w:cs="Times New Roman"/>
          <w:b/>
          <w:color w:val="4F81BD" w:themeColor="accent1"/>
          <w:sz w:val="24"/>
          <w:szCs w:val="24"/>
        </w:rPr>
      </w:pPr>
      <w:r w:rsidRPr="00A82037">
        <w:rPr>
          <w:rFonts w:asciiTheme="majorHAnsi" w:eastAsia="Times New Roman" w:hAnsiTheme="majorHAnsi" w:cs="Times New Roman"/>
          <w:b/>
          <w:color w:val="4F81BD" w:themeColor="accent1"/>
          <w:sz w:val="24"/>
          <w:szCs w:val="24"/>
        </w:rPr>
        <w:t>Long Term Debt ratio</w:t>
      </w:r>
    </w:p>
    <w:p w:rsidR="0007378F" w:rsidRPr="00F31238" w:rsidRDefault="0007378F" w:rsidP="00EF09E0">
      <w:pPr>
        <w:spacing w:after="0" w:line="360" w:lineRule="auto"/>
        <w:jc w:val="both"/>
        <w:rPr>
          <w:rFonts w:ascii="Times New Roman" w:hAnsi="Times New Roman" w:cs="Times New Roman"/>
          <w:sz w:val="24"/>
          <w:szCs w:val="24"/>
        </w:rPr>
      </w:pPr>
      <w:r w:rsidRPr="00F31238">
        <w:rPr>
          <w:rFonts w:ascii="Times New Roman" w:hAnsi="Times New Roman" w:cs="Times New Roman"/>
          <w:sz w:val="24"/>
          <w:szCs w:val="24"/>
        </w:rPr>
        <w:t>Long Term Debt to Total Asset Ratio show the financial position of the company and it’s ability to meet all its financial requirements. This ratio is calculated yearly, if this ratio decrease it refers that company faring well, and it is less dependent on debts for their business needs.</w:t>
      </w:r>
    </w:p>
    <w:p w:rsidR="0007378F" w:rsidRPr="00671DFD" w:rsidRDefault="0007378F" w:rsidP="0007378F">
      <w:pPr>
        <w:spacing w:line="360" w:lineRule="auto"/>
        <w:jc w:val="both"/>
        <w:rPr>
          <w:rFonts w:ascii="Times New Roman" w:hAnsi="Times New Roman" w:cs="Times New Roman"/>
          <w:color w:val="000000"/>
          <w:sz w:val="24"/>
        </w:rPr>
      </w:pPr>
      <w:r w:rsidRPr="00D0554E">
        <w:rPr>
          <w:rFonts w:ascii="Times New Roman" w:hAnsi="Times New Roman" w:cs="Times New Roman"/>
          <w:color w:val="000000"/>
          <w:sz w:val="24"/>
        </w:rPr>
        <w:t>Long term debt ratio</w:t>
      </w:r>
      <w:r>
        <w:rPr>
          <w:rFonts w:ascii="Times New Roman" w:hAnsi="Times New Roman" w:cs="Times New Roman"/>
          <w:color w:val="000000"/>
          <w:sz w:val="24"/>
        </w:rPr>
        <w:t xml:space="preserve"> = </w:t>
      </w:r>
      <w:r w:rsidRPr="00D0554E">
        <w:rPr>
          <w:rFonts w:ascii="Times New Roman" w:hAnsi="Times New Roman" w:cs="Times New Roman"/>
          <w:color w:val="000000"/>
          <w:sz w:val="24"/>
        </w:rPr>
        <w:t>Long term debt / (long term debt - total equity)</w:t>
      </w:r>
    </w:p>
    <w:tbl>
      <w:tblPr>
        <w:tblStyle w:val="MediumGrid1-Accent6"/>
        <w:tblW w:w="5000" w:type="pct"/>
        <w:tblLook w:val="04A0" w:firstRow="1" w:lastRow="0" w:firstColumn="1" w:lastColumn="0" w:noHBand="0" w:noVBand="1"/>
      </w:tblPr>
      <w:tblGrid>
        <w:gridCol w:w="2624"/>
        <w:gridCol w:w="1325"/>
        <w:gridCol w:w="1325"/>
        <w:gridCol w:w="1327"/>
        <w:gridCol w:w="1324"/>
        <w:gridCol w:w="1318"/>
      </w:tblGrid>
      <w:tr w:rsidR="0007378F" w:rsidRPr="00692F28" w:rsidTr="00E266F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692F28" w:rsidRDefault="0007378F" w:rsidP="00E266FC">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Long Term Debt Ratio</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9" w:type="pct"/>
            <w:noWrap/>
            <w:hideMark/>
          </w:tcPr>
          <w:p w:rsidR="0007378F" w:rsidRPr="00C65B6F" w:rsidRDefault="0007378F" w:rsidP="00E266FC">
            <w:pPr>
              <w:spacing w:line="360" w:lineRule="auto"/>
              <w:jc w:val="center"/>
              <w:rPr>
                <w:rFonts w:ascii="Cambria" w:eastAsia="Times New Roman" w:hAnsi="Cambria" w:cs="Arial"/>
                <w:color w:val="000000"/>
                <w:sz w:val="24"/>
              </w:rPr>
            </w:pPr>
            <w:r w:rsidRPr="00C65B6F">
              <w:rPr>
                <w:rFonts w:ascii="Cambria" w:eastAsia="Times New Roman" w:hAnsi="Cambria" w:cs="Arial"/>
                <w:color w:val="000000"/>
                <w:sz w:val="24"/>
              </w:rPr>
              <w:t>Years</w:t>
            </w:r>
          </w:p>
        </w:tc>
        <w:tc>
          <w:tcPr>
            <w:tcW w:w="717" w:type="pct"/>
            <w:noWrap/>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2012</w:t>
            </w:r>
          </w:p>
        </w:tc>
        <w:tc>
          <w:tcPr>
            <w:tcW w:w="717" w:type="pct"/>
            <w:noWrap/>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2013</w:t>
            </w:r>
          </w:p>
        </w:tc>
        <w:tc>
          <w:tcPr>
            <w:tcW w:w="718" w:type="pct"/>
            <w:noWrap/>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2014</w:t>
            </w:r>
          </w:p>
        </w:tc>
        <w:tc>
          <w:tcPr>
            <w:tcW w:w="716"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13"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9"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1.122</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1.140</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1.151</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-0.114</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1.141</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Brac Bank</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1.181</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1.288</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1.477</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1.425</w:t>
            </w:r>
          </w:p>
        </w:tc>
        <w:tc>
          <w:tcPr>
            <w:tcW w:w="713"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1.348</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Dutch Bangla Banks</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-0.124</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-0.308</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-0.472</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-0.356</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-0.265</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1.185</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1.166</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1.196</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1.187</w:t>
            </w:r>
          </w:p>
        </w:tc>
        <w:tc>
          <w:tcPr>
            <w:tcW w:w="713"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1.174</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1.112</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1.125</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1.127</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1.127</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1.127</w:t>
            </w:r>
          </w:p>
        </w:tc>
      </w:tr>
    </w:tbl>
    <w:p w:rsidR="0007378F" w:rsidRDefault="0007378F" w:rsidP="0007378F">
      <w:pPr>
        <w:spacing w:line="360" w:lineRule="auto"/>
        <w:jc w:val="center"/>
        <w:rPr>
          <w:rFonts w:asciiTheme="majorHAnsi" w:eastAsia="Times New Roman" w:hAnsiTheme="majorHAnsi" w:cs="Times New Roman"/>
          <w:b/>
          <w:sz w:val="24"/>
          <w:szCs w:val="24"/>
        </w:rPr>
      </w:pPr>
    </w:p>
    <w:p w:rsidR="0007378F" w:rsidRPr="008C79C6" w:rsidRDefault="0007378F" w:rsidP="0007378F">
      <w:pPr>
        <w:spacing w:line="360" w:lineRule="auto"/>
        <w:jc w:val="center"/>
        <w:rPr>
          <w:rFonts w:asciiTheme="majorHAnsi" w:eastAsia="Times New Roman" w:hAnsiTheme="majorHAnsi" w:cs="Times New Roman"/>
          <w:b/>
          <w:sz w:val="24"/>
          <w:szCs w:val="24"/>
        </w:rPr>
      </w:pPr>
      <w:r>
        <w:rPr>
          <w:noProof/>
        </w:rPr>
        <w:drawing>
          <wp:inline distT="0" distB="0" distL="0" distR="0" wp14:anchorId="02441382" wp14:editId="08AD0898">
            <wp:extent cx="3942272" cy="2432649"/>
            <wp:effectExtent l="0" t="0" r="20320" b="25400"/>
            <wp:docPr id="4" name="Chart 4">
              <a:extLst xmlns:a="http://schemas.openxmlformats.org/drawingml/2006/main">
                <a:ext uri="{FF2B5EF4-FFF2-40B4-BE49-F238E27FC236}">
                  <a16:creationId xmlns:w15="http://schemas.microsoft.com/office/word/2012/wordml" xmlns:arto="http://schemas.microsoft.com/office/word/2006/arto" xmlns:xdr="http://schemas.openxmlformats.org/drawingml/2006/spreadsheetDrawing" xmlns:a16="http://schemas.microsoft.com/office/drawing/2014/main" xmlns="" xmlns:w="http://schemas.openxmlformats.org/wordprocessingml/2006/main" xmlns:w10="urn:schemas-microsoft-com:office:word" xmlns:v="urn:schemas-microsoft-com:vml" xmlns:o="urn:schemas-microsoft-com:office:office" xmlns:lc="http://schemas.openxmlformats.org/drawingml/2006/lockedCanva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7378F" w:rsidRDefault="0007378F" w:rsidP="00D83822">
      <w:pPr>
        <w:shd w:val="clear" w:color="auto" w:fill="FFFFFF" w:themeFill="background1"/>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671DFD">
        <w:rPr>
          <w:rFonts w:ascii="Times New Roman" w:eastAsia="Times New Roman" w:hAnsi="Times New Roman" w:cs="Times New Roman"/>
          <w:sz w:val="24"/>
          <w:szCs w:val="24"/>
        </w:rPr>
        <w:t xml:space="preserve">fter the analysis of these banks financial statement we get that </w:t>
      </w:r>
      <w:r>
        <w:rPr>
          <w:rFonts w:ascii="Times New Roman" w:eastAsia="Times New Roman" w:hAnsi="Times New Roman" w:cs="Times New Roman"/>
          <w:sz w:val="24"/>
          <w:szCs w:val="24"/>
        </w:rPr>
        <w:t>long term</w:t>
      </w:r>
      <w:r w:rsidRPr="00671DFD">
        <w:rPr>
          <w:rFonts w:ascii="Times New Roman" w:eastAsia="Times New Roman" w:hAnsi="Times New Roman" w:cs="Times New Roman"/>
          <w:sz w:val="24"/>
          <w:szCs w:val="24"/>
        </w:rPr>
        <w:t xml:space="preserve"> debt ratio of these banks is more than </w:t>
      </w:r>
      <w:r>
        <w:rPr>
          <w:rFonts w:ascii="Times New Roman" w:eastAsia="Times New Roman" w:hAnsi="Times New Roman" w:cs="Times New Roman"/>
          <w:sz w:val="24"/>
          <w:szCs w:val="24"/>
        </w:rPr>
        <w:t>1</w:t>
      </w:r>
      <w:r w:rsidRPr="00671D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every year</w:t>
      </w:r>
      <w:r w:rsidRPr="00671DF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At the same time long term debt ratio of Dutch Bangla Bank is negative which not a good sign is for Dutch Bangla Bank.</w:t>
      </w:r>
      <w:r w:rsidRPr="00671DFD">
        <w:rPr>
          <w:rFonts w:ascii="Times New Roman" w:eastAsia="Times New Roman" w:hAnsi="Times New Roman" w:cs="Times New Roman"/>
          <w:sz w:val="24"/>
          <w:szCs w:val="24"/>
        </w:rPr>
        <w:t xml:space="preserve">  </w:t>
      </w:r>
    </w:p>
    <w:p w:rsidR="0007378F" w:rsidRPr="00671DFD" w:rsidRDefault="0007378F" w:rsidP="00D83822">
      <w:pPr>
        <w:shd w:val="clear" w:color="auto" w:fill="FFFFFF" w:themeFill="background1"/>
        <w:spacing w:after="0" w:line="360" w:lineRule="auto"/>
        <w:jc w:val="both"/>
        <w:rPr>
          <w:rFonts w:ascii="Times New Roman" w:eastAsia="Times New Roman" w:hAnsi="Times New Roman" w:cs="Times New Roman"/>
          <w:sz w:val="24"/>
          <w:szCs w:val="24"/>
        </w:rPr>
      </w:pPr>
    </w:p>
    <w:p w:rsidR="0007378F" w:rsidRPr="00A82037" w:rsidRDefault="0007378F" w:rsidP="00D83822">
      <w:pPr>
        <w:pStyle w:val="ListParagraph"/>
        <w:numPr>
          <w:ilvl w:val="0"/>
          <w:numId w:val="29"/>
        </w:numPr>
        <w:spacing w:after="0" w:line="360" w:lineRule="auto"/>
        <w:jc w:val="both"/>
        <w:rPr>
          <w:rFonts w:asciiTheme="majorHAnsi" w:hAnsiTheme="majorHAnsi"/>
          <w:b/>
          <w:color w:val="4F81BD" w:themeColor="accent1"/>
          <w:sz w:val="24"/>
        </w:rPr>
      </w:pPr>
      <w:r w:rsidRPr="00A82037">
        <w:rPr>
          <w:rFonts w:asciiTheme="majorHAnsi" w:hAnsiTheme="majorHAnsi"/>
          <w:b/>
          <w:color w:val="4F81BD" w:themeColor="accent1"/>
          <w:sz w:val="24"/>
        </w:rPr>
        <w:t>Equity Ratio</w:t>
      </w:r>
    </w:p>
    <w:p w:rsidR="0007378F" w:rsidRPr="006F0FFC" w:rsidRDefault="0007378F" w:rsidP="00D83822">
      <w:pPr>
        <w:spacing w:before="240" w:after="0" w:line="360" w:lineRule="auto"/>
        <w:jc w:val="both"/>
        <w:rPr>
          <w:rFonts w:ascii="Times New Roman" w:hAnsi="Times New Roman" w:cs="Times New Roman"/>
          <w:sz w:val="24"/>
        </w:rPr>
      </w:pPr>
      <w:r w:rsidRPr="006F0FFC">
        <w:rPr>
          <w:rStyle w:val="tgc"/>
          <w:rFonts w:ascii="Times New Roman" w:hAnsi="Times New Roman" w:cs="Times New Roman"/>
          <w:sz w:val="24"/>
        </w:rPr>
        <w:t xml:space="preserve">The </w:t>
      </w:r>
      <w:r w:rsidRPr="006F0FFC">
        <w:rPr>
          <w:rStyle w:val="tgc"/>
          <w:rFonts w:ascii="Times New Roman" w:hAnsi="Times New Roman" w:cs="Times New Roman"/>
          <w:bCs/>
          <w:sz w:val="24"/>
        </w:rPr>
        <w:t>Equity Ratio</w:t>
      </w:r>
      <w:r w:rsidRPr="006F0FFC">
        <w:rPr>
          <w:rStyle w:val="tgc"/>
          <w:rFonts w:ascii="Times New Roman" w:hAnsi="Times New Roman" w:cs="Times New Roman"/>
          <w:sz w:val="24"/>
        </w:rPr>
        <w:t xml:space="preserve"> is a good indicator of the level of leverage used by a company. The </w:t>
      </w:r>
      <w:r w:rsidRPr="006F0FFC">
        <w:rPr>
          <w:rStyle w:val="tgc"/>
          <w:rFonts w:ascii="Times New Roman" w:hAnsi="Times New Roman" w:cs="Times New Roman"/>
          <w:bCs/>
          <w:sz w:val="24"/>
        </w:rPr>
        <w:t>Equity Ratio</w:t>
      </w:r>
      <w:r w:rsidRPr="006F0FFC">
        <w:rPr>
          <w:rStyle w:val="tgc"/>
          <w:rFonts w:ascii="Times New Roman" w:hAnsi="Times New Roman" w:cs="Times New Roman"/>
          <w:sz w:val="24"/>
        </w:rPr>
        <w:t xml:space="preserve"> measures the proportion of the total assets that are financed by stockholders, as opposed to creditors. Equity ratio is calculated by </w:t>
      </w:r>
      <w:r w:rsidRPr="006F0FFC">
        <w:rPr>
          <w:rStyle w:val="tgc"/>
          <w:rFonts w:ascii="Times New Roman" w:hAnsi="Times New Roman" w:cs="Times New Roman"/>
          <w:b/>
          <w:sz w:val="24"/>
        </w:rPr>
        <w:t xml:space="preserve">[Total equity / Total assets]. </w:t>
      </w:r>
      <w:r w:rsidRPr="006F0FFC">
        <w:rPr>
          <w:rStyle w:val="tgc"/>
          <w:rFonts w:ascii="Times New Roman" w:hAnsi="Times New Roman" w:cs="Times New Roman"/>
          <w:sz w:val="24"/>
        </w:rPr>
        <w:t>Equity analysis of Dhaka Bank</w:t>
      </w:r>
      <w:r>
        <w:rPr>
          <w:rStyle w:val="tgc"/>
          <w:rFonts w:ascii="Times New Roman" w:hAnsi="Times New Roman" w:cs="Times New Roman"/>
          <w:sz w:val="24"/>
        </w:rPr>
        <w:t xml:space="preserve">, </w:t>
      </w:r>
      <w:r>
        <w:rPr>
          <w:rStyle w:val="tgc"/>
          <w:rFonts w:ascii="Times New Roman" w:hAnsi="Times New Roman" w:cs="Times New Roman"/>
          <w:sz w:val="24"/>
          <w:szCs w:val="24"/>
        </w:rPr>
        <w:t>Brac Bank, Dutch Bangla Bank, Bank Asia, IFIC Bank</w:t>
      </w:r>
      <w:r w:rsidRPr="006F0FFC">
        <w:rPr>
          <w:rStyle w:val="tgc"/>
          <w:rFonts w:ascii="Times New Roman" w:hAnsi="Times New Roman" w:cs="Times New Roman"/>
          <w:sz w:val="24"/>
        </w:rPr>
        <w:t xml:space="preserve"> is given below - </w:t>
      </w:r>
    </w:p>
    <w:tbl>
      <w:tblPr>
        <w:tblStyle w:val="MediumGrid1-Accent6"/>
        <w:tblW w:w="5000" w:type="pct"/>
        <w:tblLook w:val="04A0" w:firstRow="1" w:lastRow="0" w:firstColumn="1" w:lastColumn="0" w:noHBand="0" w:noVBand="1"/>
      </w:tblPr>
      <w:tblGrid>
        <w:gridCol w:w="2620"/>
        <w:gridCol w:w="1325"/>
        <w:gridCol w:w="1325"/>
        <w:gridCol w:w="1327"/>
        <w:gridCol w:w="1324"/>
        <w:gridCol w:w="1322"/>
      </w:tblGrid>
      <w:tr w:rsidR="0007378F" w:rsidRPr="00C65B6F" w:rsidTr="00E266F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692F28" w:rsidRDefault="0007378F" w:rsidP="00E266FC">
            <w:pPr>
              <w:spacing w:line="360" w:lineRule="auto"/>
              <w:jc w:val="center"/>
              <w:rPr>
                <w:rFonts w:ascii="Times New Roman" w:eastAsia="Times New Roman" w:hAnsi="Times New Roman" w:cs="Times New Roman"/>
                <w:color w:val="000000"/>
                <w:sz w:val="24"/>
                <w:szCs w:val="24"/>
              </w:rPr>
            </w:pPr>
            <w:r w:rsidRPr="00692F28">
              <w:rPr>
                <w:rFonts w:ascii="Times New Roman" w:eastAsia="Times New Roman" w:hAnsi="Times New Roman" w:cs="Times New Roman"/>
                <w:color w:val="000000"/>
                <w:sz w:val="24"/>
                <w:szCs w:val="24"/>
              </w:rPr>
              <w:t>Equity Ratio</w:t>
            </w:r>
          </w:p>
        </w:tc>
      </w:tr>
      <w:tr w:rsidR="0007378F" w:rsidRPr="00C65B6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C65B6F" w:rsidRDefault="0007378F" w:rsidP="00E266FC">
            <w:pPr>
              <w:spacing w:line="360" w:lineRule="auto"/>
              <w:jc w:val="center"/>
              <w:rPr>
                <w:rFonts w:ascii="Cambria" w:eastAsia="Times New Roman" w:hAnsi="Cambria" w:cs="Arial"/>
                <w:color w:val="000000"/>
                <w:sz w:val="24"/>
              </w:rPr>
            </w:pPr>
            <w:r w:rsidRPr="00C65B6F">
              <w:rPr>
                <w:rFonts w:ascii="Cambria" w:eastAsia="Times New Roman" w:hAnsi="Cambria" w:cs="Arial"/>
                <w:color w:val="000000"/>
                <w:sz w:val="24"/>
              </w:rPr>
              <w:t>Years</w:t>
            </w:r>
          </w:p>
        </w:tc>
        <w:tc>
          <w:tcPr>
            <w:tcW w:w="717" w:type="pct"/>
            <w:noWrap/>
            <w:hideMark/>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2012</w:t>
            </w:r>
          </w:p>
        </w:tc>
        <w:tc>
          <w:tcPr>
            <w:tcW w:w="717" w:type="pct"/>
            <w:noWrap/>
            <w:hideMark/>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2013</w:t>
            </w:r>
          </w:p>
        </w:tc>
        <w:tc>
          <w:tcPr>
            <w:tcW w:w="718" w:type="pct"/>
            <w:noWrap/>
            <w:hideMark/>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2014</w:t>
            </w:r>
          </w:p>
        </w:tc>
        <w:tc>
          <w:tcPr>
            <w:tcW w:w="716"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15"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RPr="00692F28"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717" w:type="pct"/>
            <w:noWrap/>
            <w:hideMark/>
          </w:tcPr>
          <w:p w:rsidR="0007378F" w:rsidRPr="00692F28"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92F28">
              <w:rPr>
                <w:rFonts w:ascii="Times New Roman" w:eastAsia="Times New Roman" w:hAnsi="Times New Roman" w:cs="Times New Roman"/>
                <w:color w:val="000000"/>
                <w:sz w:val="24"/>
                <w:szCs w:val="24"/>
              </w:rPr>
              <w:t>0.073</w:t>
            </w:r>
          </w:p>
        </w:tc>
        <w:tc>
          <w:tcPr>
            <w:tcW w:w="717" w:type="pct"/>
            <w:noWrap/>
            <w:hideMark/>
          </w:tcPr>
          <w:p w:rsidR="0007378F" w:rsidRPr="00692F28"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92F28">
              <w:rPr>
                <w:rFonts w:ascii="Times New Roman" w:eastAsia="Times New Roman" w:hAnsi="Times New Roman" w:cs="Times New Roman"/>
                <w:color w:val="000000"/>
                <w:sz w:val="24"/>
                <w:szCs w:val="24"/>
              </w:rPr>
              <w:t>0.083</w:t>
            </w:r>
          </w:p>
        </w:tc>
        <w:tc>
          <w:tcPr>
            <w:tcW w:w="718" w:type="pct"/>
            <w:noWrap/>
            <w:hideMark/>
          </w:tcPr>
          <w:p w:rsidR="0007378F" w:rsidRPr="00692F28"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92F28">
              <w:rPr>
                <w:rFonts w:ascii="Times New Roman" w:eastAsia="Times New Roman" w:hAnsi="Times New Roman" w:cs="Times New Roman"/>
                <w:color w:val="000000"/>
                <w:sz w:val="24"/>
                <w:szCs w:val="24"/>
              </w:rPr>
              <w:t>0.081</w:t>
            </w:r>
          </w:p>
        </w:tc>
        <w:tc>
          <w:tcPr>
            <w:tcW w:w="716"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0.077</w:t>
            </w:r>
          </w:p>
        </w:tc>
        <w:tc>
          <w:tcPr>
            <w:tcW w:w="715"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0.073</w:t>
            </w:r>
          </w:p>
        </w:tc>
      </w:tr>
      <w:tr w:rsidR="0007378F" w:rsidRPr="00692F28"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lastRenderedPageBreak/>
              <w:t>Brac Bank</w:t>
            </w:r>
          </w:p>
        </w:tc>
        <w:tc>
          <w:tcPr>
            <w:tcW w:w="717" w:type="pct"/>
            <w:noWrap/>
          </w:tcPr>
          <w:p w:rsidR="0007378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0.064</w:t>
            </w:r>
          </w:p>
        </w:tc>
        <w:tc>
          <w:tcPr>
            <w:tcW w:w="717" w:type="pct"/>
            <w:noWrap/>
          </w:tcPr>
          <w:p w:rsidR="0007378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0.075</w:t>
            </w:r>
          </w:p>
        </w:tc>
        <w:tc>
          <w:tcPr>
            <w:tcW w:w="718" w:type="pct"/>
            <w:noWrap/>
          </w:tcPr>
          <w:p w:rsidR="0007378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0.099</w:t>
            </w:r>
          </w:p>
        </w:tc>
        <w:tc>
          <w:tcPr>
            <w:tcW w:w="716"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0.107</w:t>
            </w:r>
          </w:p>
        </w:tc>
        <w:tc>
          <w:tcPr>
            <w:tcW w:w="715"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0.105</w:t>
            </w:r>
          </w:p>
        </w:tc>
      </w:tr>
      <w:tr w:rsidR="0007378F" w:rsidRPr="00692F28"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Dutch Bangla Banks</w:t>
            </w:r>
          </w:p>
        </w:tc>
        <w:tc>
          <w:tcPr>
            <w:tcW w:w="717" w:type="pct"/>
            <w:noWrap/>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0.070</w:t>
            </w:r>
          </w:p>
        </w:tc>
        <w:tc>
          <w:tcPr>
            <w:tcW w:w="717" w:type="pct"/>
            <w:noWrap/>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0.068</w:t>
            </w:r>
          </w:p>
        </w:tc>
        <w:tc>
          <w:tcPr>
            <w:tcW w:w="718" w:type="pct"/>
            <w:noWrap/>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0.068</w:t>
            </w:r>
          </w:p>
        </w:tc>
        <w:tc>
          <w:tcPr>
            <w:tcW w:w="716"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0.070</w:t>
            </w:r>
          </w:p>
        </w:tc>
        <w:tc>
          <w:tcPr>
            <w:tcW w:w="715"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0.063</w:t>
            </w:r>
          </w:p>
        </w:tc>
      </w:tr>
      <w:tr w:rsidR="0007378F" w:rsidRPr="00692F28"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717"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0.093</w:t>
            </w:r>
          </w:p>
        </w:tc>
        <w:tc>
          <w:tcPr>
            <w:tcW w:w="717"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0.088</w:t>
            </w:r>
          </w:p>
        </w:tc>
        <w:tc>
          <w:tcPr>
            <w:tcW w:w="718"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0.090</w:t>
            </w:r>
          </w:p>
        </w:tc>
        <w:tc>
          <w:tcPr>
            <w:tcW w:w="716"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0.083</w:t>
            </w:r>
          </w:p>
        </w:tc>
        <w:tc>
          <w:tcPr>
            <w:tcW w:w="715"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0.074</w:t>
            </w:r>
          </w:p>
        </w:tc>
      </w:tr>
      <w:tr w:rsidR="0007378F" w:rsidRPr="00692F28"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717"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0.060</w:t>
            </w:r>
          </w:p>
        </w:tc>
        <w:tc>
          <w:tcPr>
            <w:tcW w:w="717"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0.064</w:t>
            </w:r>
          </w:p>
        </w:tc>
        <w:tc>
          <w:tcPr>
            <w:tcW w:w="718"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0.068</w:t>
            </w:r>
          </w:p>
        </w:tc>
        <w:tc>
          <w:tcPr>
            <w:tcW w:w="716"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0.065</w:t>
            </w:r>
          </w:p>
        </w:tc>
        <w:tc>
          <w:tcPr>
            <w:tcW w:w="715"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0.065</w:t>
            </w:r>
          </w:p>
        </w:tc>
      </w:tr>
    </w:tbl>
    <w:p w:rsidR="0007378F" w:rsidRDefault="0007378F" w:rsidP="0007378F">
      <w:pPr>
        <w:pStyle w:val="ListParagraph"/>
        <w:spacing w:line="360" w:lineRule="auto"/>
        <w:jc w:val="both"/>
        <w:rPr>
          <w:noProof/>
        </w:rPr>
      </w:pPr>
    </w:p>
    <w:p w:rsidR="0007378F" w:rsidRPr="00AA5A73" w:rsidRDefault="0007378F" w:rsidP="0007378F">
      <w:pPr>
        <w:pStyle w:val="ListParagraph"/>
        <w:spacing w:line="360" w:lineRule="auto"/>
        <w:jc w:val="both"/>
        <w:rPr>
          <w:noProof/>
        </w:rPr>
      </w:pPr>
      <w:r>
        <w:rPr>
          <w:noProof/>
        </w:rPr>
        <w:drawing>
          <wp:inline distT="0" distB="0" distL="0" distR="0" wp14:anchorId="712F62B2" wp14:editId="41EA2F54">
            <wp:extent cx="4086225" cy="1952625"/>
            <wp:effectExtent l="0" t="0" r="9525" b="9525"/>
            <wp:docPr id="15" name="Chart 15">
              <a:extLst xmlns:a="http://schemas.openxmlformats.org/drawingml/2006/main">
                <a:ext uri="{FF2B5EF4-FFF2-40B4-BE49-F238E27FC236}">
                  <a16:creationId xmlns:w15="http://schemas.microsoft.com/office/word/2012/wordml" xmlns:xdr="http://schemas.openxmlformats.org/drawingml/2006/spreadsheetDrawing" xmlns:o="urn:schemas-microsoft-com:office:office" xmlns:v="urn:schemas-microsoft-com:vml" xmlns:w10="urn:schemas-microsoft-com:office:word" xmlns:w="http://schemas.openxmlformats.org/wordprocessingml/2006/main" xmlns:a16="http://schemas.microsoft.com/office/drawing/2014/main" xmlns="" xmlns:arto="http://schemas.microsoft.com/office/word/2006/arto" xmlns:lc="http://schemas.openxmlformats.org/drawingml/2006/lockedCanvas" id="{B28AE165-77B2-49B5-B8D3-EAEA94428B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7378F" w:rsidRPr="004F218D" w:rsidRDefault="0007378F" w:rsidP="00D83822">
      <w:pPr>
        <w:spacing w:after="0" w:line="360" w:lineRule="auto"/>
        <w:jc w:val="both"/>
        <w:rPr>
          <w:rFonts w:ascii="Times New Roman" w:hAnsi="Times New Roman" w:cs="Times New Roman"/>
          <w:sz w:val="24"/>
          <w:szCs w:val="24"/>
        </w:rPr>
      </w:pPr>
      <w:r w:rsidRPr="006F0FFC">
        <w:rPr>
          <w:rFonts w:ascii="Times New Roman" w:hAnsi="Times New Roman" w:cs="Times New Roman"/>
          <w:sz w:val="24"/>
          <w:szCs w:val="24"/>
        </w:rPr>
        <w:t>Equity ratio of Dhaka Bank</w:t>
      </w:r>
      <w:r>
        <w:rPr>
          <w:rFonts w:ascii="Times New Roman" w:hAnsi="Times New Roman" w:cs="Times New Roman"/>
          <w:sz w:val="24"/>
          <w:szCs w:val="24"/>
        </w:rPr>
        <w:t>, Dutch Bangla Bank, Bank Asia, IFIC Bank says that the bank</w:t>
      </w:r>
      <w:r w:rsidRPr="006F0FFC">
        <w:rPr>
          <w:rFonts w:ascii="Times New Roman" w:hAnsi="Times New Roman" w:cs="Times New Roman"/>
          <w:sz w:val="24"/>
          <w:szCs w:val="24"/>
        </w:rPr>
        <w:t xml:space="preserve"> reducing their equity against its total assets. That means they are financing more from debt than the equity. Dhaka Bank</w:t>
      </w:r>
      <w:r>
        <w:rPr>
          <w:rFonts w:ascii="Times New Roman" w:hAnsi="Times New Roman" w:cs="Times New Roman"/>
          <w:sz w:val="24"/>
          <w:szCs w:val="24"/>
        </w:rPr>
        <w:t>’s</w:t>
      </w:r>
      <w:r w:rsidRPr="006F0FFC">
        <w:rPr>
          <w:rFonts w:ascii="Times New Roman" w:hAnsi="Times New Roman" w:cs="Times New Roman"/>
          <w:sz w:val="24"/>
          <w:szCs w:val="24"/>
        </w:rPr>
        <w:t xml:space="preserve"> equity</w:t>
      </w:r>
      <w:r>
        <w:rPr>
          <w:rFonts w:ascii="Times New Roman" w:hAnsi="Times New Roman" w:cs="Times New Roman"/>
          <w:sz w:val="24"/>
          <w:szCs w:val="24"/>
        </w:rPr>
        <w:t xml:space="preserve"> ratio was 0.073 in 2012 and</w:t>
      </w:r>
      <w:r w:rsidRPr="006F0FFC">
        <w:rPr>
          <w:rFonts w:ascii="Times New Roman" w:hAnsi="Times New Roman" w:cs="Times New Roman"/>
          <w:sz w:val="24"/>
          <w:szCs w:val="24"/>
        </w:rPr>
        <w:t xml:space="preserve"> in 2013 it was 0.083 but after that </w:t>
      </w:r>
      <w:r>
        <w:rPr>
          <w:rFonts w:ascii="Times New Roman" w:hAnsi="Times New Roman" w:cs="Times New Roman"/>
          <w:sz w:val="24"/>
          <w:szCs w:val="24"/>
        </w:rPr>
        <w:t xml:space="preserve">in 2014 </w:t>
      </w:r>
      <w:r w:rsidRPr="006F0FFC">
        <w:rPr>
          <w:rFonts w:ascii="Times New Roman" w:hAnsi="Times New Roman" w:cs="Times New Roman"/>
          <w:sz w:val="24"/>
          <w:szCs w:val="24"/>
        </w:rPr>
        <w:t xml:space="preserve">it was decreasing </w:t>
      </w:r>
      <w:r>
        <w:rPr>
          <w:rFonts w:ascii="Times New Roman" w:hAnsi="Times New Roman" w:cs="Times New Roman"/>
          <w:sz w:val="24"/>
          <w:szCs w:val="24"/>
        </w:rPr>
        <w:t>to 0.081 nd in 2016 it become 0.077</w:t>
      </w:r>
      <w:r w:rsidRPr="006F0FFC">
        <w:rPr>
          <w:rFonts w:ascii="Times New Roman" w:hAnsi="Times New Roman" w:cs="Times New Roman"/>
          <w:sz w:val="24"/>
          <w:szCs w:val="24"/>
        </w:rPr>
        <w:t>.</w:t>
      </w:r>
      <w:r>
        <w:rPr>
          <w:rFonts w:ascii="Times New Roman" w:hAnsi="Times New Roman" w:cs="Times New Roman"/>
          <w:sz w:val="24"/>
          <w:szCs w:val="24"/>
        </w:rPr>
        <w:t xml:space="preserve"> At the same time Dutch Bangla Bank did the same things they reduce their equity ratio from 0.070 to 0.063. On the other hand Brac Bank increase their equity ratio from 0.064 to 0.099.</w:t>
      </w:r>
      <w:r w:rsidRPr="006F0FFC">
        <w:rPr>
          <w:rFonts w:ascii="Times New Roman" w:hAnsi="Times New Roman" w:cs="Times New Roman"/>
          <w:sz w:val="24"/>
          <w:szCs w:val="24"/>
        </w:rPr>
        <w:t xml:space="preserve"> </w:t>
      </w:r>
      <w:r>
        <w:rPr>
          <w:rFonts w:ascii="Times New Roman" w:hAnsi="Times New Roman" w:cs="Times New Roman"/>
          <w:sz w:val="24"/>
          <w:szCs w:val="24"/>
        </w:rPr>
        <w:t>So we can say that Dhaka Bank and Dutch Bangla Bank</w:t>
      </w:r>
      <w:r w:rsidRPr="006F0FFC">
        <w:rPr>
          <w:rFonts w:ascii="Times New Roman" w:hAnsi="Times New Roman" w:cs="Times New Roman"/>
          <w:sz w:val="24"/>
          <w:szCs w:val="24"/>
        </w:rPr>
        <w:t xml:space="preserve"> </w:t>
      </w:r>
      <w:r>
        <w:rPr>
          <w:rFonts w:ascii="Times New Roman" w:hAnsi="Times New Roman" w:cs="Times New Roman"/>
          <w:sz w:val="24"/>
          <w:szCs w:val="24"/>
        </w:rPr>
        <w:t xml:space="preserve">, Bank Asia, IFIC Bank  </w:t>
      </w:r>
      <w:r w:rsidRPr="006F0FFC">
        <w:rPr>
          <w:rFonts w:ascii="Times New Roman" w:hAnsi="Times New Roman" w:cs="Times New Roman"/>
          <w:sz w:val="24"/>
          <w:szCs w:val="24"/>
        </w:rPr>
        <w:t>are not focusing on equity finance rather than debt finance.</w:t>
      </w:r>
      <w:r>
        <w:rPr>
          <w:rFonts w:ascii="Times New Roman" w:hAnsi="Times New Roman" w:cs="Times New Roman"/>
          <w:sz w:val="24"/>
          <w:szCs w:val="24"/>
        </w:rPr>
        <w:t xml:space="preserve"> But Brac Bank are focusing on equity finance and trying to reduce debt finance.</w:t>
      </w:r>
    </w:p>
    <w:p w:rsidR="0007378F" w:rsidRPr="000560BD" w:rsidRDefault="0007378F" w:rsidP="00D83822">
      <w:pPr>
        <w:pStyle w:val="Heading3"/>
        <w:numPr>
          <w:ilvl w:val="2"/>
          <w:numId w:val="6"/>
        </w:numPr>
        <w:spacing w:line="360" w:lineRule="auto"/>
        <w:jc w:val="both"/>
        <w:rPr>
          <w:sz w:val="28"/>
        </w:rPr>
      </w:pPr>
      <w:bookmarkStart w:id="19" w:name="_Toc518818060"/>
      <w:r w:rsidRPr="000560BD">
        <w:rPr>
          <w:sz w:val="28"/>
        </w:rPr>
        <w:t>Turnover ratios</w:t>
      </w:r>
      <w:bookmarkEnd w:id="19"/>
    </w:p>
    <w:p w:rsidR="0007378F" w:rsidRPr="000560BD" w:rsidRDefault="0007378F" w:rsidP="00EF09E0">
      <w:pPr>
        <w:spacing w:after="0" w:line="360" w:lineRule="auto"/>
        <w:jc w:val="both"/>
        <w:rPr>
          <w:rFonts w:ascii="Times New Roman" w:eastAsia="Times New Roman" w:hAnsi="Times New Roman" w:cs="Times New Roman"/>
          <w:sz w:val="24"/>
          <w:szCs w:val="24"/>
        </w:rPr>
      </w:pPr>
      <w:r w:rsidRPr="000560BD">
        <w:rPr>
          <w:rFonts w:ascii="Times New Roman" w:eastAsia="Times New Roman" w:hAnsi="Times New Roman" w:cs="Times New Roman"/>
          <w:sz w:val="24"/>
          <w:szCs w:val="24"/>
        </w:rPr>
        <w:t xml:space="preserve">The turnover ratio refers the percentage of a mutual fund or other investments holdings that have been replaced in a given year, which varies by the type of mutual fund, its investment objective or the portfolio manager's investing style. For example, a stock index fund will have a low turnover rate, but a bond fund will have high turnover because active trading is an inherent quality of bond investments; likewise, an aggressive small-cap growth stock fund will generally experience higher turnover than a large-cap value stock </w:t>
      </w:r>
      <w:hyperlink r:id="rId29" w:history="1"/>
      <w:r w:rsidRPr="000560BD">
        <w:rPr>
          <w:rFonts w:ascii="Times New Roman" w:eastAsia="Times New Roman" w:hAnsi="Times New Roman" w:cs="Times New Roman"/>
          <w:sz w:val="24"/>
          <w:szCs w:val="24"/>
        </w:rPr>
        <w:t xml:space="preserve">fund. Also, the more portfolio turnover in a fund, the more likely it will generate short-term capital gains, which are taxable at an investor's ordinary income rate. </w:t>
      </w:r>
    </w:p>
    <w:p w:rsidR="0007378F" w:rsidRPr="000560BD" w:rsidRDefault="0007378F" w:rsidP="00EF09E0">
      <w:pPr>
        <w:spacing w:after="0" w:line="360" w:lineRule="auto"/>
        <w:jc w:val="both"/>
        <w:rPr>
          <w:rFonts w:ascii="Times New Roman" w:hAnsi="Times New Roman" w:cs="Times New Roman"/>
          <w:sz w:val="24"/>
          <w:szCs w:val="24"/>
        </w:rPr>
      </w:pPr>
      <w:r w:rsidRPr="000560BD">
        <w:rPr>
          <w:rFonts w:ascii="Times New Roman" w:hAnsi="Times New Roman" w:cs="Times New Roman"/>
          <w:sz w:val="24"/>
          <w:szCs w:val="24"/>
        </w:rPr>
        <w:lastRenderedPageBreak/>
        <w:t>Turnover ratios are the ratios through which we can know the times that how much it take to turn into sale in case of any item like debt, assets etc.</w:t>
      </w:r>
    </w:p>
    <w:p w:rsidR="0007378F" w:rsidRPr="000560BD" w:rsidRDefault="0007378F" w:rsidP="00EF09E0">
      <w:pPr>
        <w:spacing w:before="240" w:after="0" w:line="360" w:lineRule="auto"/>
        <w:jc w:val="both"/>
        <w:rPr>
          <w:rFonts w:ascii="Times New Roman" w:hAnsi="Times New Roman" w:cs="Times New Roman"/>
          <w:sz w:val="24"/>
          <w:szCs w:val="24"/>
        </w:rPr>
      </w:pPr>
      <w:r w:rsidRPr="000560BD">
        <w:rPr>
          <w:rFonts w:ascii="Times New Roman" w:hAnsi="Times New Roman" w:cs="Times New Roman"/>
          <w:sz w:val="24"/>
          <w:szCs w:val="24"/>
        </w:rPr>
        <w:t xml:space="preserve">Here we are focusing some tools of turnover ratio and we measure turnover condition of “Dhaka Bank , Brac Bank, Dutch Bangla Bank, Bank Asia, IFIC Bank”. Here we show some ratio and it’s formula and trend of the positions and discussed about it. Like- </w:t>
      </w:r>
    </w:p>
    <w:tbl>
      <w:tblPr>
        <w:tblStyle w:val="MediumGrid1-Accent5"/>
        <w:tblW w:w="0" w:type="auto"/>
        <w:tblLook w:val="04A0" w:firstRow="1" w:lastRow="0" w:firstColumn="1" w:lastColumn="0" w:noHBand="0" w:noVBand="1"/>
      </w:tblPr>
      <w:tblGrid>
        <w:gridCol w:w="1525"/>
        <w:gridCol w:w="1844"/>
        <w:gridCol w:w="5874"/>
      </w:tblGrid>
      <w:tr w:rsidR="0007378F" w:rsidRPr="00D0554E" w:rsidTr="00E2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rsidR="0007378F" w:rsidRPr="00D0554E" w:rsidRDefault="0007378F" w:rsidP="00E266FC">
            <w:pPr>
              <w:spacing w:before="240" w:line="360" w:lineRule="auto"/>
              <w:jc w:val="center"/>
              <w:rPr>
                <w:rFonts w:ascii="Times New Roman" w:hAnsi="Times New Roman" w:cs="Times New Roman"/>
                <w:b w:val="0"/>
                <w:sz w:val="24"/>
              </w:rPr>
            </w:pPr>
            <w:r w:rsidRPr="00D0554E">
              <w:rPr>
                <w:rFonts w:ascii="Times New Roman" w:hAnsi="Times New Roman" w:cs="Times New Roman"/>
                <w:b w:val="0"/>
                <w:sz w:val="24"/>
              </w:rPr>
              <w:t>Ratio</w:t>
            </w:r>
          </w:p>
        </w:tc>
        <w:tc>
          <w:tcPr>
            <w:tcW w:w="1890" w:type="dxa"/>
          </w:tcPr>
          <w:p w:rsidR="0007378F" w:rsidRPr="00D0554E" w:rsidRDefault="0007378F" w:rsidP="00E266FC">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0554E">
              <w:rPr>
                <w:rFonts w:ascii="Times New Roman" w:hAnsi="Times New Roman" w:cs="Times New Roman"/>
                <w:b w:val="0"/>
                <w:sz w:val="24"/>
              </w:rPr>
              <w:t>Formula</w:t>
            </w:r>
          </w:p>
        </w:tc>
        <w:tc>
          <w:tcPr>
            <w:tcW w:w="6138" w:type="dxa"/>
          </w:tcPr>
          <w:p w:rsidR="0007378F" w:rsidRPr="00D0554E" w:rsidRDefault="0007378F" w:rsidP="00E266FC">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0554E">
              <w:rPr>
                <w:rFonts w:ascii="Times New Roman" w:hAnsi="Times New Roman" w:cs="Times New Roman"/>
                <w:b w:val="0"/>
                <w:sz w:val="24"/>
              </w:rPr>
              <w:t>Definition</w:t>
            </w: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rsidR="0007378F" w:rsidRPr="00D0554E" w:rsidRDefault="0007378F" w:rsidP="00E266FC">
            <w:pPr>
              <w:rPr>
                <w:rFonts w:ascii="Times New Roman" w:hAnsi="Times New Roman" w:cs="Times New Roman"/>
                <w:color w:val="000000"/>
                <w:sz w:val="24"/>
                <w:szCs w:val="24"/>
              </w:rPr>
            </w:pPr>
            <w:r w:rsidRPr="00D0554E">
              <w:rPr>
                <w:rFonts w:ascii="Times New Roman" w:hAnsi="Times New Roman" w:cs="Times New Roman"/>
                <w:color w:val="000000"/>
                <w:sz w:val="24"/>
                <w:szCs w:val="24"/>
              </w:rPr>
              <w:t>NWC turnover</w:t>
            </w:r>
          </w:p>
        </w:tc>
        <w:tc>
          <w:tcPr>
            <w:tcW w:w="1890" w:type="dxa"/>
          </w:tcPr>
          <w:p w:rsidR="0007378F" w:rsidRPr="00D0554E"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554E">
              <w:rPr>
                <w:rFonts w:ascii="Times New Roman" w:hAnsi="Times New Roman" w:cs="Times New Roman"/>
                <w:color w:val="000000"/>
                <w:sz w:val="24"/>
                <w:szCs w:val="24"/>
              </w:rPr>
              <w:t>sales / NWC</w:t>
            </w:r>
          </w:p>
        </w:tc>
        <w:tc>
          <w:tcPr>
            <w:tcW w:w="6138" w:type="dxa"/>
          </w:tcPr>
          <w:p w:rsidR="0007378F" w:rsidRDefault="0007378F" w:rsidP="00E266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Working capital ratio show how efficiently firm uses their short term assets.</w:t>
            </w:r>
          </w:p>
        </w:tc>
      </w:tr>
      <w:tr w:rsidR="0007378F" w:rsidTr="00E266FC">
        <w:tc>
          <w:tcPr>
            <w:cnfStyle w:val="001000000000" w:firstRow="0" w:lastRow="0" w:firstColumn="1" w:lastColumn="0" w:oddVBand="0" w:evenVBand="0" w:oddHBand="0" w:evenHBand="0" w:firstRowFirstColumn="0" w:firstRowLastColumn="0" w:lastRowFirstColumn="0" w:lastRowLastColumn="0"/>
            <w:tcW w:w="1548" w:type="dxa"/>
          </w:tcPr>
          <w:p w:rsidR="0007378F" w:rsidRPr="00D0554E" w:rsidRDefault="0007378F" w:rsidP="00E266FC">
            <w:pPr>
              <w:rPr>
                <w:rFonts w:ascii="Times New Roman" w:hAnsi="Times New Roman" w:cs="Times New Roman"/>
                <w:color w:val="000000"/>
                <w:sz w:val="24"/>
                <w:szCs w:val="24"/>
              </w:rPr>
            </w:pPr>
            <w:r w:rsidRPr="00D0554E">
              <w:rPr>
                <w:rFonts w:ascii="Times New Roman" w:hAnsi="Times New Roman" w:cs="Times New Roman"/>
                <w:color w:val="000000"/>
                <w:sz w:val="24"/>
                <w:szCs w:val="24"/>
              </w:rPr>
              <w:t>Total assets turnover</w:t>
            </w:r>
          </w:p>
        </w:tc>
        <w:tc>
          <w:tcPr>
            <w:tcW w:w="1890" w:type="dxa"/>
          </w:tcPr>
          <w:p w:rsidR="0007378F" w:rsidRPr="00D0554E"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554E">
              <w:rPr>
                <w:rFonts w:ascii="Times New Roman" w:hAnsi="Times New Roman" w:cs="Times New Roman"/>
                <w:color w:val="000000"/>
                <w:sz w:val="24"/>
                <w:szCs w:val="24"/>
              </w:rPr>
              <w:t>Sales / total assets</w:t>
            </w:r>
          </w:p>
        </w:tc>
        <w:tc>
          <w:tcPr>
            <w:tcW w:w="6138" w:type="dxa"/>
          </w:tcPr>
          <w:p w:rsidR="0007378F" w:rsidRDefault="0007378F" w:rsidP="00E266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I</w:t>
            </w:r>
            <w:r w:rsidRPr="00131799">
              <w:rPr>
                <w:rFonts w:ascii="Times New Roman" w:hAnsi="Times New Roman" w:cs="Times New Roman"/>
                <w:sz w:val="24"/>
              </w:rPr>
              <w:t>dentifies a firm’s ability to generate sales from its assets by comparing net sales with average total assets.</w:t>
            </w:r>
          </w:p>
        </w:tc>
      </w:tr>
    </w:tbl>
    <w:p w:rsidR="0007378F" w:rsidRDefault="0007378F" w:rsidP="00EF09E0">
      <w:pPr>
        <w:spacing w:after="0" w:line="360" w:lineRule="auto"/>
        <w:jc w:val="both"/>
        <w:rPr>
          <w:rFonts w:ascii="Times New Roman" w:hAnsi="Times New Roman" w:cs="Times New Roman"/>
          <w:sz w:val="24"/>
        </w:rPr>
      </w:pPr>
    </w:p>
    <w:p w:rsidR="0007378F" w:rsidRPr="000560BD" w:rsidRDefault="0007378F" w:rsidP="00EF09E0">
      <w:pPr>
        <w:pStyle w:val="ListParagraph"/>
        <w:numPr>
          <w:ilvl w:val="0"/>
          <w:numId w:val="30"/>
        </w:numPr>
        <w:spacing w:after="0" w:line="360" w:lineRule="auto"/>
        <w:jc w:val="both"/>
        <w:rPr>
          <w:rFonts w:asciiTheme="majorHAnsi" w:hAnsiTheme="majorHAnsi" w:cs="Times New Roman"/>
          <w:b/>
          <w:color w:val="4F81BD" w:themeColor="accent1"/>
          <w:sz w:val="24"/>
        </w:rPr>
      </w:pPr>
      <w:r w:rsidRPr="000560BD">
        <w:rPr>
          <w:rFonts w:asciiTheme="majorHAnsi" w:hAnsiTheme="majorHAnsi" w:cs="Times New Roman"/>
          <w:b/>
          <w:color w:val="4F81BD" w:themeColor="accent1"/>
          <w:sz w:val="24"/>
        </w:rPr>
        <w:t>Net working capital turnover ratio</w:t>
      </w:r>
    </w:p>
    <w:p w:rsidR="0007378F" w:rsidRDefault="0007378F" w:rsidP="0007378F">
      <w:pPr>
        <w:spacing w:line="360" w:lineRule="auto"/>
        <w:jc w:val="both"/>
        <w:rPr>
          <w:rFonts w:ascii="Times New Roman" w:hAnsi="Times New Roman" w:cs="Times New Roman"/>
          <w:sz w:val="24"/>
        </w:rPr>
      </w:pPr>
      <w:r w:rsidRPr="005733D1">
        <w:rPr>
          <w:rFonts w:ascii="Times New Roman" w:hAnsi="Times New Roman" w:cs="Times New Roman"/>
          <w:sz w:val="24"/>
        </w:rPr>
        <w:t>Working capital turnover ratio identifies how well company utilized its working capital to given level of sales. A high turnover ratio refers that management is capable to use efficiently it’s short term assets assets and liability.</w:t>
      </w:r>
    </w:p>
    <w:p w:rsidR="0007378F" w:rsidRPr="0035707C" w:rsidRDefault="0007378F" w:rsidP="0007378F">
      <w:pPr>
        <w:spacing w:line="360" w:lineRule="auto"/>
        <w:jc w:val="both"/>
        <w:rPr>
          <w:rFonts w:ascii="Times New Roman" w:hAnsi="Times New Roman" w:cs="Times New Roman"/>
          <w:sz w:val="24"/>
        </w:rPr>
      </w:pPr>
      <w:r>
        <w:rPr>
          <w:rFonts w:ascii="Times New Roman" w:hAnsi="Times New Roman" w:cs="Times New Roman"/>
          <w:sz w:val="24"/>
        </w:rPr>
        <w:t>Net working capital turnover ratio = sales/net working capital</w:t>
      </w:r>
    </w:p>
    <w:tbl>
      <w:tblPr>
        <w:tblStyle w:val="MediumGrid1-Accent6"/>
        <w:tblW w:w="5000" w:type="pct"/>
        <w:tblLook w:val="04A0" w:firstRow="1" w:lastRow="0" w:firstColumn="1" w:lastColumn="0" w:noHBand="0" w:noVBand="1"/>
      </w:tblPr>
      <w:tblGrid>
        <w:gridCol w:w="2624"/>
        <w:gridCol w:w="1325"/>
        <w:gridCol w:w="1325"/>
        <w:gridCol w:w="1327"/>
        <w:gridCol w:w="1324"/>
        <w:gridCol w:w="1318"/>
      </w:tblGrid>
      <w:tr w:rsidR="0007378F" w:rsidRPr="00692F28" w:rsidTr="00E266F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692F28" w:rsidRDefault="0007378F" w:rsidP="00E266FC">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NWC Turnover</w:t>
            </w:r>
            <w:r w:rsidRPr="00692F28">
              <w:rPr>
                <w:rFonts w:ascii="Times New Roman" w:eastAsia="Times New Roman" w:hAnsi="Times New Roman" w:cs="Times New Roman"/>
                <w:color w:val="000000"/>
                <w:sz w:val="24"/>
                <w:szCs w:val="24"/>
              </w:rPr>
              <w:t xml:space="preserve"> Ratio</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9" w:type="pct"/>
            <w:noWrap/>
            <w:hideMark/>
          </w:tcPr>
          <w:p w:rsidR="0007378F" w:rsidRPr="00C65B6F" w:rsidRDefault="0007378F" w:rsidP="00E266FC">
            <w:pPr>
              <w:spacing w:line="360" w:lineRule="auto"/>
              <w:jc w:val="center"/>
              <w:rPr>
                <w:rFonts w:ascii="Cambria" w:eastAsia="Times New Roman" w:hAnsi="Cambria" w:cs="Arial"/>
                <w:color w:val="000000"/>
                <w:sz w:val="24"/>
              </w:rPr>
            </w:pPr>
            <w:r w:rsidRPr="00C65B6F">
              <w:rPr>
                <w:rFonts w:ascii="Cambria" w:eastAsia="Times New Roman" w:hAnsi="Cambria" w:cs="Arial"/>
                <w:color w:val="000000"/>
                <w:sz w:val="24"/>
              </w:rPr>
              <w:t>Years</w:t>
            </w:r>
          </w:p>
        </w:tc>
        <w:tc>
          <w:tcPr>
            <w:tcW w:w="717" w:type="pct"/>
            <w:noWrap/>
            <w:hideMark/>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2012</w:t>
            </w:r>
          </w:p>
        </w:tc>
        <w:tc>
          <w:tcPr>
            <w:tcW w:w="717" w:type="pct"/>
            <w:noWrap/>
            <w:hideMark/>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2013</w:t>
            </w:r>
          </w:p>
        </w:tc>
        <w:tc>
          <w:tcPr>
            <w:tcW w:w="718" w:type="pct"/>
            <w:noWrap/>
            <w:hideMark/>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2014</w:t>
            </w:r>
          </w:p>
        </w:tc>
        <w:tc>
          <w:tcPr>
            <w:tcW w:w="716"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13"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9"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5.6520</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-64.8580</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-4.2217</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-0.1067</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-0.8840</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Brac Bank</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-0.7065</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-0.5078</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-0.6968</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-0.2244</w:t>
            </w:r>
          </w:p>
        </w:tc>
        <w:tc>
          <w:tcPr>
            <w:tcW w:w="713"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-0.2152</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Dutch Bangla Banks</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-0.1472</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-0.1356</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-0.1215</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-0.0984</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-0.1014</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-1.6318</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-5.1667</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-0.9270</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-0.8286</w:t>
            </w:r>
          </w:p>
        </w:tc>
        <w:tc>
          <w:tcPr>
            <w:tcW w:w="713"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-0.4313</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9"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-1.2655</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0.5790</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2.1922</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-0.7369</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-0.5598</w:t>
            </w:r>
          </w:p>
        </w:tc>
      </w:tr>
    </w:tbl>
    <w:p w:rsidR="0007378F" w:rsidRDefault="0007378F" w:rsidP="0007378F">
      <w:pPr>
        <w:spacing w:before="240" w:line="360" w:lineRule="auto"/>
        <w:jc w:val="center"/>
        <w:rPr>
          <w:rFonts w:ascii="Times New Roman" w:hAnsi="Times New Roman" w:cs="Times New Roman"/>
          <w:sz w:val="24"/>
        </w:rPr>
      </w:pPr>
      <w:r>
        <w:rPr>
          <w:noProof/>
        </w:rPr>
        <w:lastRenderedPageBreak/>
        <w:drawing>
          <wp:inline distT="0" distB="0" distL="0" distR="0" wp14:anchorId="502690FE" wp14:editId="72953431">
            <wp:extent cx="4330460" cy="2044460"/>
            <wp:effectExtent l="0" t="0" r="13335" b="133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7378F" w:rsidRPr="000560BD" w:rsidRDefault="0007378F" w:rsidP="00EF09E0">
      <w:pPr>
        <w:pStyle w:val="ListParagraph"/>
        <w:numPr>
          <w:ilvl w:val="0"/>
          <w:numId w:val="42"/>
        </w:numPr>
        <w:spacing w:after="0" w:line="360" w:lineRule="auto"/>
        <w:jc w:val="both"/>
        <w:rPr>
          <w:rFonts w:ascii="Times New Roman" w:hAnsi="Times New Roman" w:cs="Times New Roman"/>
          <w:b/>
          <w:color w:val="4F81BD" w:themeColor="accent1"/>
          <w:sz w:val="24"/>
        </w:rPr>
      </w:pPr>
      <w:r w:rsidRPr="000560BD">
        <w:rPr>
          <w:rFonts w:ascii="Times New Roman" w:hAnsi="Times New Roman" w:cs="Times New Roman"/>
          <w:b/>
          <w:color w:val="4F81BD" w:themeColor="accent1"/>
          <w:sz w:val="24"/>
        </w:rPr>
        <w:t>Total asset turnover Ratio</w:t>
      </w:r>
    </w:p>
    <w:p w:rsidR="0007378F" w:rsidRPr="00EF35FB" w:rsidRDefault="0007378F" w:rsidP="00EF09E0">
      <w:pPr>
        <w:spacing w:after="0" w:line="360" w:lineRule="auto"/>
        <w:jc w:val="both"/>
        <w:rPr>
          <w:rFonts w:ascii="Times New Roman" w:hAnsi="Times New Roman" w:cs="Times New Roman"/>
          <w:b/>
          <w:sz w:val="24"/>
        </w:rPr>
      </w:pPr>
      <w:r w:rsidRPr="00EF35FB">
        <w:rPr>
          <w:rFonts w:ascii="Times New Roman" w:hAnsi="Times New Roman" w:cs="Times New Roman"/>
          <w:sz w:val="24"/>
        </w:rPr>
        <w:t>Asset turnover ratio is an efficiency ratio that identifies a firm’s ability to generate sales from its assets by comparing net sales with average total assets. In other words, this ratio shows how efficiently a firm can use its assets to generate sales.</w:t>
      </w:r>
    </w:p>
    <w:p w:rsidR="0007378F" w:rsidRPr="00131799" w:rsidRDefault="0007378F" w:rsidP="0007378F">
      <w:pPr>
        <w:spacing w:line="360" w:lineRule="auto"/>
        <w:jc w:val="both"/>
        <w:rPr>
          <w:rFonts w:ascii="Times New Roman" w:hAnsi="Times New Roman" w:cs="Times New Roman"/>
          <w:sz w:val="24"/>
        </w:rPr>
      </w:pPr>
      <w:r>
        <w:rPr>
          <w:rFonts w:ascii="Times New Roman" w:hAnsi="Times New Roman" w:cs="Times New Roman"/>
          <w:sz w:val="24"/>
        </w:rPr>
        <w:t xml:space="preserve">Total assets turnover ratio = </w:t>
      </w:r>
      <w:r w:rsidRPr="00D0554E">
        <w:rPr>
          <w:rFonts w:ascii="Times New Roman" w:hAnsi="Times New Roman" w:cs="Times New Roman"/>
          <w:color w:val="000000"/>
          <w:sz w:val="24"/>
          <w:szCs w:val="24"/>
        </w:rPr>
        <w:t>Sales / total assets</w:t>
      </w:r>
    </w:p>
    <w:tbl>
      <w:tblPr>
        <w:tblStyle w:val="MediumGrid1-Accent6"/>
        <w:tblW w:w="5000" w:type="pct"/>
        <w:tblLook w:val="04A0" w:firstRow="1" w:lastRow="0" w:firstColumn="1" w:lastColumn="0" w:noHBand="0" w:noVBand="1"/>
      </w:tblPr>
      <w:tblGrid>
        <w:gridCol w:w="2620"/>
        <w:gridCol w:w="1325"/>
        <w:gridCol w:w="1325"/>
        <w:gridCol w:w="1327"/>
        <w:gridCol w:w="1324"/>
        <w:gridCol w:w="1322"/>
      </w:tblGrid>
      <w:tr w:rsidR="0007378F" w:rsidRPr="00692F28" w:rsidTr="00E266F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692F28" w:rsidRDefault="0007378F" w:rsidP="00E266FC">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asset turnover ratio</w:t>
            </w:r>
          </w:p>
        </w:tc>
      </w:tr>
      <w:tr w:rsidR="0007378F" w:rsidRPr="00E677DC"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C65B6F" w:rsidRDefault="0007378F" w:rsidP="00E266FC">
            <w:pPr>
              <w:spacing w:line="360" w:lineRule="auto"/>
              <w:jc w:val="center"/>
              <w:rPr>
                <w:rFonts w:ascii="Cambria" w:eastAsia="Times New Roman" w:hAnsi="Cambria" w:cs="Arial"/>
                <w:color w:val="000000"/>
                <w:sz w:val="24"/>
              </w:rPr>
            </w:pPr>
            <w:r w:rsidRPr="00C65B6F">
              <w:rPr>
                <w:rFonts w:ascii="Cambria" w:eastAsia="Times New Roman" w:hAnsi="Cambria" w:cs="Arial"/>
                <w:color w:val="000000"/>
                <w:sz w:val="24"/>
              </w:rPr>
              <w:t>Years</w:t>
            </w:r>
          </w:p>
        </w:tc>
        <w:tc>
          <w:tcPr>
            <w:tcW w:w="717" w:type="pct"/>
            <w:noWrap/>
            <w:hideMark/>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2012</w:t>
            </w:r>
          </w:p>
        </w:tc>
        <w:tc>
          <w:tcPr>
            <w:tcW w:w="717" w:type="pct"/>
            <w:noWrap/>
            <w:hideMark/>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2013</w:t>
            </w:r>
          </w:p>
        </w:tc>
        <w:tc>
          <w:tcPr>
            <w:tcW w:w="718" w:type="pct"/>
            <w:noWrap/>
            <w:hideMark/>
          </w:tcPr>
          <w:p w:rsidR="0007378F" w:rsidRPr="00C65B6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C65B6F">
              <w:rPr>
                <w:rFonts w:ascii="Cambria" w:eastAsia="Times New Roman" w:hAnsi="Cambria" w:cs="Arial"/>
                <w:color w:val="000000"/>
                <w:sz w:val="24"/>
              </w:rPr>
              <w:t>2014</w:t>
            </w:r>
          </w:p>
        </w:tc>
        <w:tc>
          <w:tcPr>
            <w:tcW w:w="716"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2015</w:t>
            </w:r>
          </w:p>
        </w:tc>
        <w:tc>
          <w:tcPr>
            <w:tcW w:w="715" w:type="pct"/>
          </w:tcPr>
          <w:p w:rsidR="0007378F" w:rsidRPr="00E677DC"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2016</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D32567" w:rsidRDefault="0007378F" w:rsidP="00E266FC">
            <w:pPr>
              <w:spacing w:line="360" w:lineRule="auto"/>
              <w:jc w:val="center"/>
              <w:rPr>
                <w:rFonts w:ascii="Cambria" w:eastAsia="Times New Roman" w:hAnsi="Cambria" w:cs="Arial"/>
                <w:b w:val="0"/>
                <w:bCs w:val="0"/>
                <w:color w:val="000000"/>
                <w:sz w:val="24"/>
              </w:rPr>
            </w:pPr>
            <w:r>
              <w:rPr>
                <w:rFonts w:ascii="Cambria" w:eastAsia="Times New Roman" w:hAnsi="Cambria" w:cs="Arial"/>
                <w:color w:val="000000"/>
                <w:sz w:val="24"/>
              </w:rPr>
              <w:t>Dhaka Bank</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0.1001</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0.1044</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0.0860</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0.0685</w:t>
            </w:r>
          </w:p>
        </w:tc>
        <w:tc>
          <w:tcPr>
            <w:tcW w:w="715"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0.0648</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Brac Bank</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0.0926</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0.1009</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0.1069</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0.0980</w:t>
            </w:r>
          </w:p>
        </w:tc>
        <w:tc>
          <w:tcPr>
            <w:tcW w:w="715"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0.0867</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Dutch Bangla Banks</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0.0893</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0.0792</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0.0710</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0.0671</w:t>
            </w:r>
          </w:p>
        </w:tc>
        <w:tc>
          <w:tcPr>
            <w:tcW w:w="715"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0.0555</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Bank Asia  </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0.0983</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0.0892</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0.0759</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0.0621</w:t>
            </w:r>
          </w:p>
        </w:tc>
        <w:tc>
          <w:tcPr>
            <w:tcW w:w="715"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0.0581</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CF7D28" w:rsidRDefault="0007378F" w:rsidP="00E266FC">
            <w:pPr>
              <w:jc w:val="center"/>
              <w:rPr>
                <w:rFonts w:ascii="Calibri" w:hAnsi="Calibri" w:cs="Arial"/>
                <w:color w:val="000000"/>
                <w:sz w:val="32"/>
                <w:szCs w:val="32"/>
              </w:rPr>
            </w:pPr>
            <w:r>
              <w:rPr>
                <w:rFonts w:ascii="Calibri" w:hAnsi="Calibri" w:cs="Arial"/>
                <w:color w:val="000000"/>
                <w:sz w:val="32"/>
                <w:szCs w:val="32"/>
              </w:rPr>
              <w:t xml:space="preserve">IFIC Bank  </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0.0919</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0.0779</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0.0759</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0.0710</w:t>
            </w:r>
          </w:p>
        </w:tc>
        <w:tc>
          <w:tcPr>
            <w:tcW w:w="715"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0.0633</w:t>
            </w:r>
          </w:p>
        </w:tc>
      </w:tr>
    </w:tbl>
    <w:p w:rsidR="0007378F" w:rsidRPr="00AE4B46" w:rsidRDefault="0007378F" w:rsidP="0007378F">
      <w:pPr>
        <w:jc w:val="center"/>
      </w:pPr>
      <w:r>
        <w:rPr>
          <w:noProof/>
        </w:rPr>
        <w:drawing>
          <wp:inline distT="0" distB="0" distL="0" distR="0" wp14:anchorId="6100266C" wp14:editId="5DCEE95B">
            <wp:extent cx="3686861" cy="1960474"/>
            <wp:effectExtent l="0" t="0" r="8890" b="1905"/>
            <wp:docPr id="18" name="Chart 18">
              <a:extLst xmlns:a="http://schemas.openxmlformats.org/drawingml/2006/main">
                <a:ext uri="{FF2B5EF4-FFF2-40B4-BE49-F238E27FC236}">
                  <a16:creationId xmlns:w15="http://schemas.microsoft.com/office/word/2012/wordml" xmlns:arto="http://schemas.microsoft.com/office/word/2006/arto"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lc="http://schemas.openxmlformats.org/drawingml/2006/lockedCanva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7378F" w:rsidRPr="00D83822" w:rsidRDefault="0007378F" w:rsidP="00EF09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Total asset turnover</w:t>
      </w:r>
      <w:r w:rsidRPr="006F0FFC">
        <w:rPr>
          <w:rFonts w:ascii="Times New Roman" w:hAnsi="Times New Roman" w:cs="Times New Roman"/>
          <w:sz w:val="24"/>
          <w:szCs w:val="24"/>
        </w:rPr>
        <w:t xml:space="preserve"> ratio of Dhaka Bank</w:t>
      </w:r>
      <w:r>
        <w:rPr>
          <w:rFonts w:ascii="Times New Roman" w:hAnsi="Times New Roman" w:cs="Times New Roman"/>
          <w:sz w:val="24"/>
          <w:szCs w:val="24"/>
        </w:rPr>
        <w:t>, BRAC Bank, Dutch Bangla Bank, Bank Asia, IFIC Bank decrease compare with previous time</w:t>
      </w:r>
      <w:r w:rsidRPr="006F0FFC">
        <w:rPr>
          <w:rFonts w:ascii="Times New Roman" w:hAnsi="Times New Roman" w:cs="Times New Roman"/>
          <w:sz w:val="24"/>
          <w:szCs w:val="24"/>
        </w:rPr>
        <w:t xml:space="preserve">. That means they </w:t>
      </w:r>
      <w:r>
        <w:rPr>
          <w:rFonts w:ascii="Times New Roman" w:hAnsi="Times New Roman" w:cs="Times New Roman"/>
          <w:sz w:val="24"/>
          <w:szCs w:val="24"/>
        </w:rPr>
        <w:t>need more time for complete a transaction compare with previous time. So we can say that last year asset turnover performance of all bank is bad compare with the previous year.</w:t>
      </w:r>
    </w:p>
    <w:p w:rsidR="0007378F" w:rsidRPr="000560BD" w:rsidRDefault="0007378F" w:rsidP="00EF09E0">
      <w:pPr>
        <w:pStyle w:val="Heading3"/>
        <w:numPr>
          <w:ilvl w:val="2"/>
          <w:numId w:val="6"/>
        </w:numPr>
        <w:spacing w:line="360" w:lineRule="auto"/>
        <w:jc w:val="both"/>
        <w:rPr>
          <w:sz w:val="24"/>
        </w:rPr>
      </w:pPr>
      <w:bookmarkStart w:id="20" w:name="_Toc518818061"/>
      <w:r w:rsidRPr="000560BD">
        <w:rPr>
          <w:sz w:val="24"/>
        </w:rPr>
        <w:lastRenderedPageBreak/>
        <w:t>Profitability Ratios</w:t>
      </w:r>
      <w:bookmarkEnd w:id="20"/>
      <w:r w:rsidRPr="000560BD">
        <w:rPr>
          <w:sz w:val="24"/>
        </w:rPr>
        <w:t xml:space="preserve"> </w:t>
      </w:r>
    </w:p>
    <w:p w:rsidR="0007378F" w:rsidRPr="000560BD" w:rsidRDefault="0007378F" w:rsidP="00EF09E0">
      <w:pPr>
        <w:spacing w:after="0" w:line="360" w:lineRule="auto"/>
        <w:jc w:val="both"/>
        <w:rPr>
          <w:rFonts w:ascii="Times New Roman" w:hAnsi="Times New Roman" w:cs="Times New Roman"/>
          <w:sz w:val="24"/>
        </w:rPr>
      </w:pPr>
      <w:r w:rsidRPr="000560BD">
        <w:rPr>
          <w:rFonts w:ascii="Times New Roman" w:hAnsi="Times New Roman" w:cs="Times New Roman"/>
          <w:sz w:val="24"/>
        </w:rPr>
        <w:t>Profitability ratios are the most useful tools by which a firm can get the clear idea that is the firm making profit or loss.</w:t>
      </w:r>
    </w:p>
    <w:p w:rsidR="0007378F" w:rsidRPr="000560BD" w:rsidRDefault="0007378F" w:rsidP="00EF09E0">
      <w:pPr>
        <w:spacing w:before="240" w:after="0" w:line="360" w:lineRule="auto"/>
        <w:jc w:val="both"/>
        <w:rPr>
          <w:rFonts w:ascii="Times New Roman" w:hAnsi="Times New Roman" w:cs="Times New Roman"/>
          <w:sz w:val="24"/>
        </w:rPr>
      </w:pPr>
      <w:r w:rsidRPr="000560BD">
        <w:rPr>
          <w:rFonts w:ascii="Times New Roman" w:hAnsi="Times New Roman" w:cs="Times New Roman"/>
          <w:sz w:val="24"/>
        </w:rPr>
        <w:t xml:space="preserve">Here I am showing some tools of profitability ratio and we measure profitability condition of “Dhaka Bank , Brac Bank, Dutch Bangla Bank, Bank Asia, IFIC Bank”. Here we show some ratio and it’s formula and trend of the positions and discussed about it. Like- </w:t>
      </w:r>
    </w:p>
    <w:tbl>
      <w:tblPr>
        <w:tblStyle w:val="MediumGrid1-Accent5"/>
        <w:tblW w:w="0" w:type="auto"/>
        <w:tblLook w:val="04A0" w:firstRow="1" w:lastRow="0" w:firstColumn="1" w:lastColumn="0" w:noHBand="0" w:noVBand="1"/>
      </w:tblPr>
      <w:tblGrid>
        <w:gridCol w:w="1173"/>
        <w:gridCol w:w="2019"/>
        <w:gridCol w:w="6051"/>
      </w:tblGrid>
      <w:tr w:rsidR="0007378F" w:rsidRPr="004F218D" w:rsidTr="00E2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rsidR="0007378F" w:rsidRPr="004F218D" w:rsidRDefault="0007378F" w:rsidP="00EF09E0">
            <w:pPr>
              <w:spacing w:before="240" w:line="360" w:lineRule="auto"/>
              <w:jc w:val="center"/>
              <w:rPr>
                <w:rFonts w:ascii="Times New Roman" w:hAnsi="Times New Roman" w:cs="Times New Roman"/>
                <w:sz w:val="24"/>
              </w:rPr>
            </w:pPr>
            <w:r w:rsidRPr="004F218D">
              <w:rPr>
                <w:rFonts w:ascii="Times New Roman" w:hAnsi="Times New Roman" w:cs="Times New Roman"/>
                <w:sz w:val="24"/>
              </w:rPr>
              <w:t>Ratio</w:t>
            </w:r>
          </w:p>
        </w:tc>
        <w:tc>
          <w:tcPr>
            <w:tcW w:w="2019" w:type="dxa"/>
          </w:tcPr>
          <w:p w:rsidR="0007378F" w:rsidRPr="004F218D" w:rsidRDefault="0007378F" w:rsidP="00EF09E0">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4F218D">
              <w:rPr>
                <w:rFonts w:ascii="Times New Roman" w:hAnsi="Times New Roman" w:cs="Times New Roman"/>
                <w:sz w:val="24"/>
              </w:rPr>
              <w:t>Formula</w:t>
            </w:r>
          </w:p>
        </w:tc>
        <w:tc>
          <w:tcPr>
            <w:tcW w:w="6051" w:type="dxa"/>
          </w:tcPr>
          <w:p w:rsidR="0007378F" w:rsidRPr="004F218D" w:rsidRDefault="0007378F" w:rsidP="00EF09E0">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4F218D">
              <w:rPr>
                <w:rFonts w:ascii="Times New Roman" w:hAnsi="Times New Roman" w:cs="Times New Roman"/>
                <w:sz w:val="24"/>
              </w:rPr>
              <w:t>Definition</w:t>
            </w: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rsidR="0007378F" w:rsidRPr="00D0554E" w:rsidRDefault="0007378F" w:rsidP="00E266FC">
            <w:pPr>
              <w:rPr>
                <w:rFonts w:ascii="Times New Roman" w:hAnsi="Times New Roman" w:cs="Times New Roman"/>
                <w:color w:val="000000"/>
                <w:sz w:val="24"/>
              </w:rPr>
            </w:pPr>
            <w:r w:rsidRPr="00D0554E">
              <w:rPr>
                <w:rFonts w:ascii="Times New Roman" w:hAnsi="Times New Roman" w:cs="Times New Roman"/>
                <w:color w:val="000000"/>
                <w:sz w:val="24"/>
              </w:rPr>
              <w:t>Profit margin</w:t>
            </w:r>
          </w:p>
        </w:tc>
        <w:tc>
          <w:tcPr>
            <w:tcW w:w="2019" w:type="dxa"/>
          </w:tcPr>
          <w:p w:rsidR="0007378F" w:rsidRPr="00D0554E"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D0554E">
              <w:rPr>
                <w:rFonts w:ascii="Times New Roman" w:hAnsi="Times New Roman" w:cs="Times New Roman"/>
                <w:color w:val="000000"/>
                <w:sz w:val="24"/>
              </w:rPr>
              <w:t>Net Income / sales</w:t>
            </w:r>
          </w:p>
        </w:tc>
        <w:tc>
          <w:tcPr>
            <w:tcW w:w="6051" w:type="dxa"/>
          </w:tcPr>
          <w:p w:rsidR="0007378F" w:rsidRDefault="0007378F" w:rsidP="00E266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31799">
              <w:rPr>
                <w:rFonts w:ascii="Times New Roman" w:hAnsi="Times New Roman" w:cs="Times New Roman"/>
                <w:sz w:val="24"/>
              </w:rPr>
              <w:t>Profit margin is a</w:t>
            </w:r>
            <w:r>
              <w:rPr>
                <w:rFonts w:ascii="Times New Roman" w:hAnsi="Times New Roman" w:cs="Times New Roman"/>
                <w:sz w:val="24"/>
              </w:rPr>
              <w:t xml:space="preserve"> profitability ratio</w:t>
            </w:r>
            <w:r w:rsidRPr="00131799">
              <w:rPr>
                <w:rFonts w:ascii="Times New Roman" w:hAnsi="Times New Roman" w:cs="Times New Roman"/>
                <w:sz w:val="24"/>
              </w:rPr>
              <w:t> identify net income divided by revenue</w:t>
            </w:r>
          </w:p>
        </w:tc>
      </w:tr>
      <w:tr w:rsidR="0007378F" w:rsidTr="00E266FC">
        <w:tc>
          <w:tcPr>
            <w:cnfStyle w:val="001000000000" w:firstRow="0" w:lastRow="0" w:firstColumn="1" w:lastColumn="0" w:oddVBand="0" w:evenVBand="0" w:oddHBand="0" w:evenHBand="0" w:firstRowFirstColumn="0" w:firstRowLastColumn="0" w:lastRowFirstColumn="0" w:lastRowLastColumn="0"/>
            <w:tcW w:w="1173" w:type="dxa"/>
          </w:tcPr>
          <w:p w:rsidR="0007378F" w:rsidRPr="00D0554E" w:rsidRDefault="0007378F" w:rsidP="00E266FC">
            <w:pPr>
              <w:rPr>
                <w:rFonts w:ascii="Times New Roman" w:hAnsi="Times New Roman" w:cs="Times New Roman"/>
                <w:color w:val="000000"/>
                <w:sz w:val="24"/>
              </w:rPr>
            </w:pPr>
            <w:r w:rsidRPr="00D0554E">
              <w:rPr>
                <w:rFonts w:ascii="Times New Roman" w:hAnsi="Times New Roman" w:cs="Times New Roman"/>
                <w:color w:val="000000"/>
                <w:sz w:val="24"/>
              </w:rPr>
              <w:t>Return on Slaes</w:t>
            </w:r>
          </w:p>
        </w:tc>
        <w:tc>
          <w:tcPr>
            <w:tcW w:w="2019" w:type="dxa"/>
          </w:tcPr>
          <w:p w:rsidR="0007378F" w:rsidRPr="00D0554E"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D0554E">
              <w:rPr>
                <w:rFonts w:ascii="Times New Roman" w:hAnsi="Times New Roman" w:cs="Times New Roman"/>
                <w:color w:val="000000"/>
                <w:sz w:val="24"/>
              </w:rPr>
              <w:t xml:space="preserve">Net profit / Sales </w:t>
            </w:r>
          </w:p>
        </w:tc>
        <w:tc>
          <w:tcPr>
            <w:tcW w:w="6051" w:type="dxa"/>
          </w:tcPr>
          <w:p w:rsidR="0007378F" w:rsidRDefault="0007378F" w:rsidP="00E266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B39CF">
              <w:rPr>
                <w:rFonts w:ascii="Times New Roman" w:hAnsi="Times New Roman" w:cs="Times New Roman"/>
                <w:sz w:val="24"/>
              </w:rPr>
              <w:t>Return on sales (ROS) is a rat</w:t>
            </w:r>
            <w:r>
              <w:rPr>
                <w:rFonts w:ascii="Times New Roman" w:hAnsi="Times New Roman" w:cs="Times New Roman"/>
                <w:sz w:val="24"/>
              </w:rPr>
              <w:t>io used to evaluate a company's</w:t>
            </w:r>
            <w:r>
              <w:rPr>
                <w:rStyle w:val="Hyperlink"/>
                <w:rFonts w:ascii="Times New Roman" w:hAnsi="Times New Roman" w:cs="Times New Roman"/>
                <w:color w:val="auto"/>
                <w:sz w:val="24"/>
              </w:rPr>
              <w:t xml:space="preserve"> operational efficiency.</w:t>
            </w: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rsidR="0007378F" w:rsidRPr="00D0554E" w:rsidRDefault="0007378F" w:rsidP="00E266FC">
            <w:pPr>
              <w:rPr>
                <w:rFonts w:ascii="Times New Roman" w:hAnsi="Times New Roman" w:cs="Times New Roman"/>
                <w:color w:val="000000"/>
                <w:sz w:val="24"/>
              </w:rPr>
            </w:pPr>
            <w:r w:rsidRPr="00D0554E">
              <w:rPr>
                <w:rFonts w:ascii="Times New Roman" w:hAnsi="Times New Roman" w:cs="Times New Roman"/>
                <w:color w:val="000000"/>
                <w:sz w:val="24"/>
              </w:rPr>
              <w:t>ROA</w:t>
            </w:r>
          </w:p>
        </w:tc>
        <w:tc>
          <w:tcPr>
            <w:tcW w:w="2019" w:type="dxa"/>
          </w:tcPr>
          <w:p w:rsidR="0007378F" w:rsidRPr="00D0554E"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D0554E">
              <w:rPr>
                <w:rFonts w:ascii="Times New Roman" w:hAnsi="Times New Roman" w:cs="Times New Roman"/>
                <w:color w:val="000000"/>
                <w:sz w:val="24"/>
              </w:rPr>
              <w:t>Net Income / Total assets</w:t>
            </w:r>
          </w:p>
        </w:tc>
        <w:tc>
          <w:tcPr>
            <w:tcW w:w="6051" w:type="dxa"/>
          </w:tcPr>
          <w:p w:rsidR="0007378F" w:rsidRDefault="0007378F" w:rsidP="00E266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6F0FFC">
              <w:rPr>
                <w:rStyle w:val="tgc"/>
                <w:rFonts w:ascii="Times New Roman" w:hAnsi="Times New Roman" w:cs="Times New Roman"/>
                <w:bCs/>
                <w:sz w:val="24"/>
                <w:szCs w:val="24"/>
              </w:rPr>
              <w:t>Return on assets</w:t>
            </w:r>
            <w:r w:rsidRPr="006F0FFC">
              <w:rPr>
                <w:rStyle w:val="tgc"/>
                <w:rFonts w:ascii="Times New Roman" w:hAnsi="Times New Roman" w:cs="Times New Roman"/>
                <w:sz w:val="24"/>
                <w:szCs w:val="24"/>
              </w:rPr>
              <w:t xml:space="preserve"> (</w:t>
            </w:r>
            <w:r w:rsidRPr="006F0FFC">
              <w:rPr>
                <w:rStyle w:val="tgc"/>
                <w:rFonts w:ascii="Times New Roman" w:hAnsi="Times New Roman" w:cs="Times New Roman"/>
                <w:bCs/>
                <w:sz w:val="24"/>
                <w:szCs w:val="24"/>
              </w:rPr>
              <w:t>ROA</w:t>
            </w:r>
            <w:r w:rsidRPr="006F0FFC">
              <w:rPr>
                <w:rStyle w:val="tgc"/>
                <w:rFonts w:ascii="Times New Roman" w:hAnsi="Times New Roman" w:cs="Times New Roman"/>
                <w:sz w:val="24"/>
                <w:szCs w:val="24"/>
              </w:rPr>
              <w:t xml:space="preserve">) is an indicator of how profitable a company is relative to its total </w:t>
            </w:r>
            <w:r w:rsidRPr="006F0FFC">
              <w:rPr>
                <w:rStyle w:val="tgc"/>
                <w:rFonts w:ascii="Times New Roman" w:hAnsi="Times New Roman" w:cs="Times New Roman"/>
                <w:bCs/>
                <w:sz w:val="24"/>
                <w:szCs w:val="24"/>
              </w:rPr>
              <w:t>assets</w:t>
            </w:r>
            <w:r w:rsidRPr="006F0FFC">
              <w:rPr>
                <w:rStyle w:val="tgc"/>
                <w:rFonts w:ascii="Times New Roman" w:hAnsi="Times New Roman" w:cs="Times New Roman"/>
                <w:sz w:val="24"/>
                <w:szCs w:val="24"/>
              </w:rPr>
              <w:t>.</w:t>
            </w:r>
          </w:p>
        </w:tc>
      </w:tr>
      <w:tr w:rsidR="0007378F" w:rsidTr="00E266FC">
        <w:tc>
          <w:tcPr>
            <w:cnfStyle w:val="001000000000" w:firstRow="0" w:lastRow="0" w:firstColumn="1" w:lastColumn="0" w:oddVBand="0" w:evenVBand="0" w:oddHBand="0" w:evenHBand="0" w:firstRowFirstColumn="0" w:firstRowLastColumn="0" w:lastRowFirstColumn="0" w:lastRowLastColumn="0"/>
            <w:tcW w:w="1173" w:type="dxa"/>
          </w:tcPr>
          <w:p w:rsidR="0007378F" w:rsidRPr="00D0554E" w:rsidRDefault="0007378F" w:rsidP="00E266FC">
            <w:pPr>
              <w:rPr>
                <w:rFonts w:ascii="Times New Roman" w:hAnsi="Times New Roman" w:cs="Times New Roman"/>
                <w:color w:val="000000"/>
                <w:sz w:val="24"/>
              </w:rPr>
            </w:pPr>
            <w:r w:rsidRPr="00D0554E">
              <w:rPr>
                <w:rFonts w:ascii="Times New Roman" w:hAnsi="Times New Roman" w:cs="Times New Roman"/>
                <w:color w:val="000000"/>
                <w:sz w:val="24"/>
              </w:rPr>
              <w:t>ROE</w:t>
            </w:r>
          </w:p>
        </w:tc>
        <w:tc>
          <w:tcPr>
            <w:tcW w:w="2019" w:type="dxa"/>
          </w:tcPr>
          <w:p w:rsidR="0007378F" w:rsidRPr="00D0554E"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D0554E">
              <w:rPr>
                <w:rFonts w:ascii="Times New Roman" w:hAnsi="Times New Roman" w:cs="Times New Roman"/>
                <w:color w:val="000000"/>
                <w:sz w:val="24"/>
              </w:rPr>
              <w:t>Net income / total equity</w:t>
            </w:r>
          </w:p>
        </w:tc>
        <w:tc>
          <w:tcPr>
            <w:tcW w:w="6051" w:type="dxa"/>
          </w:tcPr>
          <w:p w:rsidR="0007378F" w:rsidRDefault="0007378F" w:rsidP="00E266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F0FFC">
              <w:rPr>
                <w:rStyle w:val="tgc"/>
                <w:rFonts w:ascii="Times New Roman" w:hAnsi="Times New Roman" w:cs="Times New Roman"/>
                <w:sz w:val="24"/>
              </w:rPr>
              <w:t xml:space="preserve">The </w:t>
            </w:r>
            <w:r w:rsidRPr="006F0FFC">
              <w:rPr>
                <w:rStyle w:val="tgc"/>
                <w:rFonts w:ascii="Times New Roman" w:hAnsi="Times New Roman" w:cs="Times New Roman"/>
                <w:bCs/>
                <w:sz w:val="24"/>
              </w:rPr>
              <w:t>return on equity</w:t>
            </w:r>
            <w:r w:rsidRPr="006F0FFC">
              <w:rPr>
                <w:rStyle w:val="tgc"/>
                <w:rFonts w:ascii="Times New Roman" w:hAnsi="Times New Roman" w:cs="Times New Roman"/>
                <w:sz w:val="24"/>
              </w:rPr>
              <w:t xml:space="preserve"> (</w:t>
            </w:r>
            <w:r w:rsidRPr="006F0FFC">
              <w:rPr>
                <w:rStyle w:val="tgc"/>
                <w:rFonts w:ascii="Times New Roman" w:hAnsi="Times New Roman" w:cs="Times New Roman"/>
                <w:bCs/>
                <w:sz w:val="24"/>
              </w:rPr>
              <w:t>ROE</w:t>
            </w:r>
            <w:r w:rsidRPr="006F0FFC">
              <w:rPr>
                <w:rStyle w:val="tgc"/>
                <w:rFonts w:ascii="Times New Roman" w:hAnsi="Times New Roman" w:cs="Times New Roman"/>
                <w:sz w:val="24"/>
              </w:rPr>
              <w:t xml:space="preserve">) is a measure of the profitability of a business in relation to the book value of shareholder </w:t>
            </w:r>
            <w:r w:rsidRPr="006F0FFC">
              <w:rPr>
                <w:rStyle w:val="tgc"/>
                <w:rFonts w:ascii="Times New Roman" w:hAnsi="Times New Roman" w:cs="Times New Roman"/>
                <w:bCs/>
                <w:sz w:val="24"/>
              </w:rPr>
              <w:t>equity</w:t>
            </w:r>
          </w:p>
        </w:tc>
      </w:tr>
    </w:tbl>
    <w:p w:rsidR="00D83822" w:rsidRDefault="00D83822" w:rsidP="00D83822">
      <w:pPr>
        <w:pStyle w:val="ListParagraph"/>
        <w:spacing w:line="360" w:lineRule="auto"/>
        <w:ind w:left="829"/>
        <w:jc w:val="both"/>
        <w:rPr>
          <w:rFonts w:asciiTheme="majorHAnsi" w:hAnsiTheme="majorHAnsi"/>
          <w:b/>
          <w:sz w:val="24"/>
        </w:rPr>
      </w:pPr>
    </w:p>
    <w:p w:rsidR="0007378F" w:rsidRDefault="0007378F" w:rsidP="0007378F">
      <w:pPr>
        <w:pStyle w:val="ListParagraph"/>
        <w:numPr>
          <w:ilvl w:val="0"/>
          <w:numId w:val="31"/>
        </w:numPr>
        <w:spacing w:line="360" w:lineRule="auto"/>
        <w:jc w:val="both"/>
        <w:rPr>
          <w:rFonts w:asciiTheme="majorHAnsi" w:hAnsiTheme="majorHAnsi"/>
          <w:b/>
          <w:sz w:val="24"/>
        </w:rPr>
      </w:pPr>
      <w:r w:rsidRPr="00D0554E">
        <w:rPr>
          <w:rFonts w:asciiTheme="majorHAnsi" w:hAnsiTheme="majorHAnsi"/>
          <w:b/>
          <w:sz w:val="24"/>
        </w:rPr>
        <w:t>Profit Margin</w:t>
      </w:r>
    </w:p>
    <w:p w:rsidR="0007378F" w:rsidRPr="00AA5A73" w:rsidRDefault="0007378F" w:rsidP="0007378F">
      <w:pPr>
        <w:spacing w:line="360" w:lineRule="auto"/>
        <w:jc w:val="both"/>
        <w:rPr>
          <w:rFonts w:ascii="Times New Roman" w:hAnsi="Times New Roman" w:cs="Times New Roman"/>
          <w:sz w:val="24"/>
        </w:rPr>
      </w:pPr>
      <w:r w:rsidRPr="00131799">
        <w:rPr>
          <w:rFonts w:ascii="Times New Roman" w:hAnsi="Times New Roman" w:cs="Times New Roman"/>
          <w:sz w:val="24"/>
        </w:rPr>
        <w:t>Profit margin is a</w:t>
      </w:r>
      <w:r>
        <w:rPr>
          <w:rFonts w:ascii="Times New Roman" w:hAnsi="Times New Roman" w:cs="Times New Roman"/>
          <w:sz w:val="24"/>
        </w:rPr>
        <w:t xml:space="preserve"> profitability ratio identifies</w:t>
      </w:r>
      <w:r w:rsidRPr="00131799">
        <w:rPr>
          <w:rFonts w:ascii="Times New Roman" w:hAnsi="Times New Roman" w:cs="Times New Roman"/>
          <w:sz w:val="24"/>
        </w:rPr>
        <w:t xml:space="preserve"> net income divided by revenue. Net income or net profit may be determined by subtracting all of a company’s expenses, including operating costs, material costs and tax costs, from its total revenue. Profit margins are expressed as a percentage and, in effect, measure how much out of every dollar of sales a company actually keeps in earnings. A 20% profit margin, then, means the company has a net income of $0.20 for each dollar of total revenue earned.</w:t>
      </w:r>
    </w:p>
    <w:tbl>
      <w:tblPr>
        <w:tblStyle w:val="MediumGrid1-Accent6"/>
        <w:tblW w:w="5000" w:type="pct"/>
        <w:tblLook w:val="04A0" w:firstRow="1" w:lastRow="0" w:firstColumn="1" w:lastColumn="0" w:noHBand="0" w:noVBand="1"/>
      </w:tblPr>
      <w:tblGrid>
        <w:gridCol w:w="2620"/>
        <w:gridCol w:w="1326"/>
        <w:gridCol w:w="1325"/>
        <w:gridCol w:w="1329"/>
        <w:gridCol w:w="1325"/>
        <w:gridCol w:w="1318"/>
      </w:tblGrid>
      <w:tr w:rsidR="0007378F" w:rsidRPr="00692F28" w:rsidTr="00E266F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692F28" w:rsidRDefault="0007378F" w:rsidP="00E266FC">
            <w:pPr>
              <w:spacing w:line="360" w:lineRule="auto"/>
              <w:jc w:val="center"/>
              <w:rPr>
                <w:rFonts w:ascii="Cambria" w:eastAsia="Times New Roman" w:hAnsi="Cambria" w:cs="Arial"/>
                <w:color w:val="000000"/>
                <w:sz w:val="24"/>
              </w:rPr>
            </w:pPr>
            <w:r>
              <w:rPr>
                <w:rFonts w:ascii="Cambria" w:eastAsia="Times New Roman" w:hAnsi="Cambria" w:cs="Arial"/>
                <w:color w:val="000000"/>
                <w:sz w:val="24"/>
              </w:rPr>
              <w:t>Profit Margin</w:t>
            </w:r>
          </w:p>
        </w:tc>
      </w:tr>
      <w:tr w:rsidR="0007378F" w:rsidRPr="002D0E62"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D3445D" w:rsidRDefault="0007378F" w:rsidP="00E266FC">
            <w:pPr>
              <w:spacing w:line="360" w:lineRule="auto"/>
              <w:jc w:val="center"/>
              <w:rPr>
                <w:rFonts w:asciiTheme="majorHAnsi" w:eastAsia="Times New Roman" w:hAnsiTheme="majorHAnsi" w:cs="Arial"/>
                <w:b w:val="0"/>
                <w:color w:val="000000"/>
                <w:sz w:val="24"/>
                <w:szCs w:val="24"/>
              </w:rPr>
            </w:pPr>
            <w:r w:rsidRPr="00D3445D">
              <w:rPr>
                <w:rFonts w:asciiTheme="majorHAnsi" w:eastAsia="Times New Roman" w:hAnsiTheme="majorHAnsi" w:cs="Arial"/>
                <w:b w:val="0"/>
                <w:color w:val="000000"/>
                <w:sz w:val="24"/>
                <w:szCs w:val="24"/>
              </w:rPr>
              <w:t>Years</w:t>
            </w:r>
          </w:p>
        </w:tc>
        <w:tc>
          <w:tcPr>
            <w:tcW w:w="717" w:type="pct"/>
            <w:noWrap/>
            <w:hideMark/>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2D0E62">
              <w:rPr>
                <w:rFonts w:ascii="Cambria" w:eastAsia="Times New Roman" w:hAnsi="Cambria" w:cs="Arial"/>
                <w:color w:val="000000"/>
                <w:sz w:val="24"/>
              </w:rPr>
              <w:t>201</w:t>
            </w:r>
            <w:r>
              <w:rPr>
                <w:rFonts w:ascii="Cambria" w:eastAsia="Times New Roman" w:hAnsi="Cambria" w:cs="Arial"/>
                <w:color w:val="000000"/>
                <w:sz w:val="24"/>
              </w:rPr>
              <w:t>2</w:t>
            </w:r>
          </w:p>
        </w:tc>
        <w:tc>
          <w:tcPr>
            <w:tcW w:w="717" w:type="pct"/>
            <w:noWrap/>
            <w:hideMark/>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2D0E62">
              <w:rPr>
                <w:rFonts w:ascii="Cambria" w:eastAsia="Times New Roman" w:hAnsi="Cambria" w:cs="Arial"/>
                <w:color w:val="000000"/>
                <w:sz w:val="24"/>
              </w:rPr>
              <w:t>201</w:t>
            </w:r>
            <w:r>
              <w:rPr>
                <w:rFonts w:ascii="Cambria" w:eastAsia="Times New Roman" w:hAnsi="Cambria" w:cs="Arial"/>
                <w:color w:val="000000"/>
                <w:sz w:val="24"/>
              </w:rPr>
              <w:t>3</w:t>
            </w:r>
          </w:p>
        </w:tc>
        <w:tc>
          <w:tcPr>
            <w:tcW w:w="719" w:type="pct"/>
            <w:noWrap/>
            <w:hideMark/>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2D0E62">
              <w:rPr>
                <w:rFonts w:ascii="Cambria" w:eastAsia="Times New Roman" w:hAnsi="Cambria" w:cs="Arial"/>
                <w:color w:val="000000"/>
                <w:sz w:val="24"/>
              </w:rPr>
              <w:t>2014</w:t>
            </w:r>
          </w:p>
        </w:tc>
        <w:tc>
          <w:tcPr>
            <w:tcW w:w="717" w:type="pct"/>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Pr>
                <w:rFonts w:ascii="Cambria" w:eastAsia="Times New Roman" w:hAnsi="Cambria" w:cs="Arial"/>
                <w:color w:val="000000"/>
                <w:sz w:val="24"/>
              </w:rPr>
              <w:t>2015</w:t>
            </w:r>
          </w:p>
        </w:tc>
        <w:tc>
          <w:tcPr>
            <w:tcW w:w="713" w:type="pct"/>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Pr>
                <w:rFonts w:ascii="Cambria" w:eastAsia="Times New Roman" w:hAnsi="Cambria" w:cs="Arial"/>
                <w:color w:val="000000"/>
                <w:sz w:val="24"/>
              </w:rPr>
              <w:t>2016</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D3445D" w:rsidRDefault="0007378F" w:rsidP="00E266FC">
            <w:pPr>
              <w:spacing w:line="360" w:lineRule="auto"/>
              <w:jc w:val="center"/>
              <w:rPr>
                <w:rFonts w:asciiTheme="majorHAnsi" w:eastAsia="Times New Roman" w:hAnsiTheme="majorHAnsi" w:cs="Arial"/>
                <w:b w:val="0"/>
                <w:bCs w:val="0"/>
                <w:color w:val="000000"/>
                <w:sz w:val="24"/>
                <w:szCs w:val="24"/>
              </w:rPr>
            </w:pPr>
            <w:r w:rsidRPr="00D3445D">
              <w:rPr>
                <w:rFonts w:asciiTheme="majorHAnsi" w:eastAsia="Times New Roman" w:hAnsiTheme="majorHAnsi" w:cs="Arial"/>
                <w:b w:val="0"/>
                <w:color w:val="000000"/>
                <w:sz w:val="24"/>
                <w:szCs w:val="24"/>
              </w:rPr>
              <w:t>Dhaka Bank</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0.1192</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0.1305</w:t>
            </w:r>
          </w:p>
        </w:tc>
        <w:tc>
          <w:tcPr>
            <w:tcW w:w="719"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0.1528</w:t>
            </w:r>
          </w:p>
        </w:tc>
        <w:tc>
          <w:tcPr>
            <w:tcW w:w="717"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0.1245</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0.1118</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spacing w:line="360" w:lineRule="auto"/>
              <w:jc w:val="center"/>
              <w:rPr>
                <w:rFonts w:asciiTheme="majorHAnsi" w:eastAsia="Times New Roman" w:hAnsiTheme="majorHAnsi" w:cs="Arial"/>
                <w:b w:val="0"/>
                <w:color w:val="000000"/>
                <w:sz w:val="24"/>
                <w:szCs w:val="24"/>
              </w:rPr>
            </w:pPr>
            <w:r w:rsidRPr="00D3445D">
              <w:rPr>
                <w:rFonts w:asciiTheme="majorHAnsi" w:eastAsia="Times New Roman" w:hAnsiTheme="majorHAnsi" w:cs="Arial"/>
                <w:b w:val="0"/>
                <w:color w:val="000000"/>
                <w:sz w:val="24"/>
                <w:szCs w:val="24"/>
              </w:rPr>
              <w:t>Brac Bank</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0.157</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0.312</w:t>
            </w:r>
          </w:p>
        </w:tc>
        <w:tc>
          <w:tcPr>
            <w:tcW w:w="719"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0.240</w:t>
            </w:r>
          </w:p>
        </w:tc>
        <w:tc>
          <w:tcPr>
            <w:tcW w:w="717"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0.485</w:t>
            </w:r>
          </w:p>
        </w:tc>
        <w:tc>
          <w:tcPr>
            <w:tcW w:w="713"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0.406</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spacing w:line="360" w:lineRule="auto"/>
              <w:jc w:val="center"/>
              <w:rPr>
                <w:rFonts w:asciiTheme="majorHAnsi" w:eastAsia="Times New Roman" w:hAnsiTheme="majorHAnsi" w:cs="Arial"/>
                <w:b w:val="0"/>
                <w:color w:val="000000"/>
                <w:sz w:val="24"/>
                <w:szCs w:val="24"/>
              </w:rPr>
            </w:pPr>
            <w:r w:rsidRPr="00D3445D">
              <w:rPr>
                <w:rFonts w:asciiTheme="majorHAnsi" w:eastAsia="Times New Roman" w:hAnsiTheme="majorHAnsi" w:cs="Arial"/>
                <w:b w:val="0"/>
                <w:color w:val="000000"/>
                <w:sz w:val="24"/>
                <w:szCs w:val="24"/>
              </w:rPr>
              <w:t>Dutch Bangla Banks</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0.1662</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0.1362</w:t>
            </w:r>
          </w:p>
        </w:tc>
        <w:tc>
          <w:tcPr>
            <w:tcW w:w="719"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0.0796</w:t>
            </w:r>
          </w:p>
        </w:tc>
        <w:tc>
          <w:tcPr>
            <w:tcW w:w="717"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-2.9374</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-3.0074</w:t>
            </w:r>
          </w:p>
        </w:tc>
      </w:tr>
      <w:tr w:rsidR="0007378F"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jc w:val="center"/>
              <w:rPr>
                <w:rFonts w:asciiTheme="majorHAnsi" w:hAnsiTheme="majorHAnsi" w:cs="Arial"/>
                <w:b w:val="0"/>
                <w:color w:val="000000"/>
                <w:sz w:val="24"/>
                <w:szCs w:val="24"/>
              </w:rPr>
            </w:pPr>
            <w:r w:rsidRPr="00D3445D">
              <w:rPr>
                <w:rFonts w:asciiTheme="majorHAnsi" w:hAnsiTheme="majorHAnsi" w:cs="Arial"/>
                <w:b w:val="0"/>
                <w:color w:val="000000"/>
                <w:sz w:val="24"/>
                <w:szCs w:val="24"/>
              </w:rPr>
              <w:t xml:space="preserve">Bank Asia  </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1.5275</w:t>
            </w:r>
          </w:p>
        </w:tc>
        <w:tc>
          <w:tcPr>
            <w:tcW w:w="717"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1.6768</w:t>
            </w:r>
          </w:p>
        </w:tc>
        <w:tc>
          <w:tcPr>
            <w:tcW w:w="719"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0.1441</w:t>
            </w:r>
          </w:p>
        </w:tc>
        <w:tc>
          <w:tcPr>
            <w:tcW w:w="717"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0.1820</w:t>
            </w:r>
          </w:p>
        </w:tc>
        <w:tc>
          <w:tcPr>
            <w:tcW w:w="713"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0.1111</w:t>
            </w:r>
          </w:p>
        </w:tc>
      </w:tr>
      <w:tr w:rsidR="0007378F"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jc w:val="center"/>
              <w:rPr>
                <w:rFonts w:asciiTheme="majorHAnsi" w:hAnsiTheme="majorHAnsi" w:cs="Arial"/>
                <w:b w:val="0"/>
                <w:color w:val="000000"/>
                <w:sz w:val="24"/>
                <w:szCs w:val="24"/>
              </w:rPr>
            </w:pPr>
            <w:r w:rsidRPr="00D3445D">
              <w:rPr>
                <w:rFonts w:asciiTheme="majorHAnsi" w:hAnsiTheme="majorHAnsi" w:cs="Arial"/>
                <w:b w:val="0"/>
                <w:color w:val="000000"/>
                <w:sz w:val="24"/>
                <w:szCs w:val="24"/>
              </w:rPr>
              <w:t xml:space="preserve">IFIC Bank  </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0.1633</w:t>
            </w:r>
          </w:p>
        </w:tc>
        <w:tc>
          <w:tcPr>
            <w:tcW w:w="717"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0.1211</w:t>
            </w:r>
          </w:p>
        </w:tc>
        <w:tc>
          <w:tcPr>
            <w:tcW w:w="719"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0.1303</w:t>
            </w:r>
          </w:p>
        </w:tc>
        <w:tc>
          <w:tcPr>
            <w:tcW w:w="717"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0.0701</w:t>
            </w:r>
          </w:p>
        </w:tc>
        <w:tc>
          <w:tcPr>
            <w:tcW w:w="713"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0.0973</w:t>
            </w:r>
          </w:p>
        </w:tc>
      </w:tr>
    </w:tbl>
    <w:p w:rsidR="0007378F" w:rsidRDefault="0007378F" w:rsidP="0007378F"/>
    <w:p w:rsidR="0007378F" w:rsidRDefault="0007378F" w:rsidP="0007378F">
      <w:pPr>
        <w:jc w:val="center"/>
      </w:pPr>
      <w:r>
        <w:rPr>
          <w:noProof/>
        </w:rPr>
        <w:lastRenderedPageBreak/>
        <w:drawing>
          <wp:inline distT="0" distB="0" distL="0" distR="0" wp14:anchorId="65DB2604" wp14:editId="234E5F1E">
            <wp:extent cx="4629150" cy="2143125"/>
            <wp:effectExtent l="0" t="0" r="19050" b="9525"/>
            <wp:docPr id="11" name="Chart 11">
              <a:extLst xmlns:a="http://schemas.openxmlformats.org/drawingml/2006/main">
                <a:ext uri="{FF2B5EF4-FFF2-40B4-BE49-F238E27FC236}">
                  <a16:creationId xmlns:w15="http://schemas.microsoft.com/office/word/2012/wordml" xmlns:arto="http://schemas.microsoft.com/office/word/2006/arto"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lc="http://schemas.openxmlformats.org/drawingml/2006/lockedCanvas" id="{B28AE165-77B2-49B5-B8D3-EAEA94428B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7378F" w:rsidRDefault="0007378F" w:rsidP="0007378F">
      <w:pPr>
        <w:spacing w:line="360" w:lineRule="auto"/>
        <w:jc w:val="both"/>
        <w:rPr>
          <w:rFonts w:ascii="Times New Roman" w:hAnsi="Times New Roman" w:cs="Times New Roman"/>
          <w:sz w:val="24"/>
        </w:rPr>
      </w:pPr>
      <w:r>
        <w:rPr>
          <w:rFonts w:ascii="Times New Roman" w:hAnsi="Times New Roman" w:cs="Times New Roman"/>
          <w:sz w:val="24"/>
        </w:rPr>
        <w:t xml:space="preserve">After the analysis we get that profit margin of most of the bank decrease in 2016 comparing with 2012. Here we are seeing profit margin of Dhaka bank, Dutch Bangla bank, Bank Asia IFIC Bank decreasing in 2016 compare with 2012. Dutch Bangla Bank condition is more bad within these bank in last two years and we get this bank’s profit margin is negative in last two years. Barc Bank within these five bank is doing good and their profit margin increasing every year continuously and become 0.406 which is enough higher compare with other bank. Since Brac bank profit margin is higher so this bank capital will be increase earlier compare with other bank. At the same time Dutch Bangla Bank’s profit margin is negative so their capital decreases with time. </w:t>
      </w:r>
    </w:p>
    <w:p w:rsidR="0007378F" w:rsidRPr="000560BD" w:rsidRDefault="0007378F" w:rsidP="0007378F">
      <w:pPr>
        <w:pStyle w:val="ListParagraph"/>
        <w:numPr>
          <w:ilvl w:val="0"/>
          <w:numId w:val="35"/>
        </w:numPr>
        <w:spacing w:line="360" w:lineRule="auto"/>
        <w:jc w:val="both"/>
        <w:rPr>
          <w:rFonts w:asciiTheme="majorHAnsi" w:hAnsiTheme="majorHAnsi"/>
          <w:b/>
          <w:color w:val="4F81BD" w:themeColor="accent1"/>
          <w:sz w:val="24"/>
        </w:rPr>
      </w:pPr>
      <w:r w:rsidRPr="000560BD">
        <w:rPr>
          <w:rFonts w:asciiTheme="majorHAnsi" w:hAnsiTheme="majorHAnsi"/>
          <w:b/>
          <w:color w:val="4F81BD" w:themeColor="accent1"/>
          <w:sz w:val="24"/>
        </w:rPr>
        <w:t>Return On Sales – ROS</w:t>
      </w:r>
    </w:p>
    <w:p w:rsidR="0007378F" w:rsidRDefault="0007378F" w:rsidP="0007378F">
      <w:pPr>
        <w:spacing w:line="360" w:lineRule="auto"/>
        <w:jc w:val="both"/>
        <w:rPr>
          <w:rFonts w:ascii="Times New Roman" w:hAnsi="Times New Roman" w:cs="Times New Roman"/>
          <w:sz w:val="24"/>
        </w:rPr>
      </w:pPr>
      <w:r w:rsidRPr="00BB39CF">
        <w:rPr>
          <w:rFonts w:ascii="Times New Roman" w:hAnsi="Times New Roman" w:cs="Times New Roman"/>
          <w:sz w:val="24"/>
        </w:rPr>
        <w:t>Return on sales (ROS) is a ratio used to evaluate a company's</w:t>
      </w:r>
      <w:r>
        <w:rPr>
          <w:rFonts w:ascii="Times New Roman" w:hAnsi="Times New Roman" w:cs="Times New Roman"/>
          <w:sz w:val="24"/>
        </w:rPr>
        <w:t xml:space="preserve"> operational efficiency</w:t>
      </w:r>
      <w:r w:rsidRPr="00BB39CF">
        <w:rPr>
          <w:rFonts w:ascii="Times New Roman" w:hAnsi="Times New Roman" w:cs="Times New Roman"/>
          <w:sz w:val="24"/>
        </w:rPr>
        <w:t xml:space="preserve">. ROS is also known as </w:t>
      </w:r>
      <w:r w:rsidRPr="00BB39CF">
        <w:rPr>
          <w:rFonts w:ascii="Times New Roman" w:hAnsi="Times New Roman" w:cs="Times New Roman"/>
          <w:sz w:val="24"/>
          <w:szCs w:val="24"/>
        </w:rPr>
        <w:t>a firm's</w:t>
      </w:r>
      <w:r>
        <w:rPr>
          <w:rFonts w:ascii="Times New Roman" w:hAnsi="Times New Roman" w:cs="Times New Roman"/>
          <w:sz w:val="24"/>
          <w:szCs w:val="24"/>
        </w:rPr>
        <w:t xml:space="preserve"> operating profit</w:t>
      </w:r>
      <w:r w:rsidRPr="00BB39CF">
        <w:rPr>
          <w:rFonts w:ascii="Times New Roman" w:hAnsi="Times New Roman" w:cs="Times New Roman"/>
          <w:sz w:val="24"/>
        </w:rPr>
        <w:t> margin. An increasing ROS refers that a company is growing more efficient and a decreasing ROS could signal financial troubles.</w:t>
      </w:r>
    </w:p>
    <w:p w:rsidR="0007378F" w:rsidRPr="000560BD" w:rsidRDefault="0007378F" w:rsidP="0007378F">
      <w:pPr>
        <w:spacing w:line="360" w:lineRule="auto"/>
        <w:jc w:val="both"/>
        <w:rPr>
          <w:rFonts w:asciiTheme="majorHAnsi" w:hAnsiTheme="majorHAnsi"/>
          <w:b/>
          <w:sz w:val="24"/>
        </w:rPr>
      </w:pPr>
      <w:r>
        <w:rPr>
          <w:rFonts w:ascii="Times New Roman" w:hAnsi="Times New Roman" w:cs="Times New Roman"/>
          <w:sz w:val="24"/>
        </w:rPr>
        <w:t xml:space="preserve">Return on sales = </w:t>
      </w:r>
      <w:r w:rsidRPr="00D0554E">
        <w:rPr>
          <w:rFonts w:ascii="Times New Roman" w:hAnsi="Times New Roman" w:cs="Times New Roman"/>
          <w:color w:val="000000"/>
          <w:sz w:val="24"/>
        </w:rPr>
        <w:t>Net profit / Sales</w:t>
      </w:r>
    </w:p>
    <w:tbl>
      <w:tblPr>
        <w:tblStyle w:val="MediumGrid1-Accent6"/>
        <w:tblW w:w="5000" w:type="pct"/>
        <w:tblLook w:val="04A0" w:firstRow="1" w:lastRow="0" w:firstColumn="1" w:lastColumn="0" w:noHBand="0" w:noVBand="1"/>
      </w:tblPr>
      <w:tblGrid>
        <w:gridCol w:w="2619"/>
        <w:gridCol w:w="1327"/>
        <w:gridCol w:w="1327"/>
        <w:gridCol w:w="1324"/>
        <w:gridCol w:w="1324"/>
        <w:gridCol w:w="1322"/>
      </w:tblGrid>
      <w:tr w:rsidR="0007378F" w:rsidTr="00E266FC">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Default="0007378F" w:rsidP="00E266FC">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Return on sales (ROS)</w:t>
            </w:r>
          </w:p>
        </w:tc>
      </w:tr>
      <w:tr w:rsidR="0007378F" w:rsidRPr="00D81254" w:rsidTr="00E266F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A502FD" w:rsidRDefault="0007378F" w:rsidP="00E266FC">
            <w:pPr>
              <w:spacing w:line="360" w:lineRule="auto"/>
              <w:jc w:val="center"/>
              <w:rPr>
                <w:rFonts w:ascii="Times New Roman" w:eastAsia="Times New Roman" w:hAnsi="Times New Roman" w:cs="Times New Roman"/>
                <w:color w:val="000000"/>
                <w:sz w:val="28"/>
                <w:szCs w:val="28"/>
              </w:rPr>
            </w:pPr>
            <w:r w:rsidRPr="00A502FD">
              <w:rPr>
                <w:rFonts w:ascii="Times New Roman" w:eastAsia="Times New Roman" w:hAnsi="Times New Roman" w:cs="Times New Roman"/>
                <w:color w:val="000000"/>
                <w:sz w:val="28"/>
                <w:szCs w:val="28"/>
              </w:rPr>
              <w:t>Years</w:t>
            </w:r>
          </w:p>
        </w:tc>
        <w:tc>
          <w:tcPr>
            <w:tcW w:w="718" w:type="pct"/>
            <w:noWrap/>
            <w:hideMark/>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2012</w:t>
            </w:r>
          </w:p>
        </w:tc>
        <w:tc>
          <w:tcPr>
            <w:tcW w:w="718" w:type="pct"/>
            <w:noWrap/>
            <w:hideMark/>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2013</w:t>
            </w:r>
          </w:p>
        </w:tc>
        <w:tc>
          <w:tcPr>
            <w:tcW w:w="716" w:type="pct"/>
            <w:noWrap/>
            <w:hideMark/>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sidRPr="00D81254">
              <w:rPr>
                <w:rFonts w:ascii="Times New Roman" w:eastAsia="Times New Roman" w:hAnsi="Times New Roman" w:cs="Times New Roman"/>
                <w:color w:val="000000"/>
                <w:sz w:val="28"/>
                <w:szCs w:val="28"/>
              </w:rPr>
              <w:t>2014</w:t>
            </w:r>
          </w:p>
        </w:tc>
        <w:tc>
          <w:tcPr>
            <w:tcW w:w="716" w:type="pct"/>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2015</w:t>
            </w:r>
          </w:p>
        </w:tc>
        <w:tc>
          <w:tcPr>
            <w:tcW w:w="715" w:type="pct"/>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2016</w:t>
            </w:r>
          </w:p>
        </w:tc>
      </w:tr>
      <w:tr w:rsidR="0007378F" w:rsidTr="00E266FC">
        <w:trPr>
          <w:trHeight w:val="323"/>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A502FD" w:rsidRDefault="0007378F" w:rsidP="00E266FC">
            <w:pPr>
              <w:spacing w:line="360" w:lineRule="auto"/>
              <w:jc w:val="center"/>
              <w:rPr>
                <w:rFonts w:ascii="Times New Roman" w:eastAsia="Times New Roman" w:hAnsi="Times New Roman" w:cs="Times New Roman"/>
                <w:color w:val="000000"/>
                <w:sz w:val="24"/>
                <w:szCs w:val="24"/>
              </w:rPr>
            </w:pPr>
            <w:r w:rsidRPr="00A502FD">
              <w:rPr>
                <w:rFonts w:ascii="Times New Roman" w:eastAsia="Times New Roman" w:hAnsi="Times New Roman" w:cs="Times New Roman"/>
                <w:color w:val="000000"/>
                <w:sz w:val="24"/>
                <w:szCs w:val="24"/>
              </w:rPr>
              <w:t>Dhaka Bank</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0.5754</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0.5904</w:t>
            </w:r>
          </w:p>
        </w:tc>
        <w:tc>
          <w:tcPr>
            <w:tcW w:w="716"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0.7328</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0.7481</w:t>
            </w:r>
          </w:p>
        </w:tc>
        <w:tc>
          <w:tcPr>
            <w:tcW w:w="715"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0.3957</w:t>
            </w:r>
          </w:p>
        </w:tc>
      </w:tr>
      <w:tr w:rsidR="0007378F" w:rsidTr="00E266F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A502FD" w:rsidRDefault="0007378F" w:rsidP="00E266FC">
            <w:pPr>
              <w:spacing w:line="360" w:lineRule="auto"/>
              <w:jc w:val="center"/>
              <w:rPr>
                <w:rFonts w:ascii="Times New Roman" w:eastAsia="Times New Roman" w:hAnsi="Times New Roman" w:cs="Times New Roman"/>
                <w:color w:val="000000"/>
                <w:sz w:val="24"/>
                <w:szCs w:val="24"/>
              </w:rPr>
            </w:pPr>
            <w:r w:rsidRPr="00A502FD">
              <w:rPr>
                <w:rFonts w:ascii="Times New Roman" w:eastAsia="Times New Roman" w:hAnsi="Times New Roman" w:cs="Times New Roman"/>
                <w:color w:val="000000"/>
                <w:sz w:val="24"/>
                <w:szCs w:val="24"/>
              </w:rPr>
              <w:t>Brac Bank</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0.403</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0.795</w:t>
            </w:r>
          </w:p>
        </w:tc>
        <w:tc>
          <w:tcPr>
            <w:tcW w:w="716"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0.616</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0.815</w:t>
            </w:r>
          </w:p>
        </w:tc>
        <w:tc>
          <w:tcPr>
            <w:tcW w:w="715"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0.403</w:t>
            </w:r>
          </w:p>
        </w:tc>
      </w:tr>
      <w:tr w:rsidR="0007378F" w:rsidTr="00E266FC">
        <w:trPr>
          <w:trHeight w:val="323"/>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A502FD" w:rsidRDefault="0007378F" w:rsidP="00E266FC">
            <w:pPr>
              <w:spacing w:line="360" w:lineRule="auto"/>
              <w:jc w:val="center"/>
              <w:rPr>
                <w:rFonts w:ascii="Times New Roman" w:eastAsia="Times New Roman" w:hAnsi="Times New Roman" w:cs="Times New Roman"/>
                <w:color w:val="000000"/>
                <w:sz w:val="24"/>
                <w:szCs w:val="24"/>
              </w:rPr>
            </w:pPr>
            <w:r w:rsidRPr="00A502FD">
              <w:rPr>
                <w:rFonts w:ascii="Times New Roman" w:eastAsia="Times New Roman" w:hAnsi="Times New Roman" w:cs="Times New Roman"/>
                <w:color w:val="000000"/>
                <w:sz w:val="24"/>
                <w:szCs w:val="24"/>
              </w:rPr>
              <w:t>Dutch Bangla Banks</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0.3303</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0.2727</w:t>
            </w:r>
          </w:p>
        </w:tc>
        <w:tc>
          <w:tcPr>
            <w:tcW w:w="716"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0.1452</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-4.8101</w:t>
            </w:r>
          </w:p>
        </w:tc>
        <w:tc>
          <w:tcPr>
            <w:tcW w:w="715"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-4.7225</w:t>
            </w:r>
          </w:p>
        </w:tc>
      </w:tr>
      <w:tr w:rsidR="0007378F" w:rsidTr="00E266F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A502FD" w:rsidRDefault="0007378F" w:rsidP="00E266FC">
            <w:pPr>
              <w:jc w:val="center"/>
              <w:rPr>
                <w:rFonts w:ascii="Times New Roman" w:hAnsi="Times New Roman" w:cs="Times New Roman"/>
                <w:color w:val="000000"/>
                <w:sz w:val="24"/>
                <w:szCs w:val="24"/>
              </w:rPr>
            </w:pPr>
            <w:r w:rsidRPr="00A502FD">
              <w:rPr>
                <w:rFonts w:ascii="Times New Roman" w:hAnsi="Times New Roman" w:cs="Times New Roman"/>
                <w:color w:val="000000"/>
                <w:sz w:val="24"/>
                <w:szCs w:val="24"/>
              </w:rPr>
              <w:t xml:space="preserve">Bank Asia  </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0.8814</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0.9351</w:t>
            </w:r>
          </w:p>
        </w:tc>
        <w:tc>
          <w:tcPr>
            <w:tcW w:w="716"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0.6279</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0.9070</w:t>
            </w:r>
          </w:p>
        </w:tc>
        <w:tc>
          <w:tcPr>
            <w:tcW w:w="715"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0.3926</w:t>
            </w:r>
          </w:p>
        </w:tc>
      </w:tr>
      <w:tr w:rsidR="0007378F" w:rsidTr="00E266FC">
        <w:trPr>
          <w:trHeight w:val="323"/>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A502FD" w:rsidRDefault="0007378F" w:rsidP="00E266FC">
            <w:pPr>
              <w:jc w:val="center"/>
              <w:rPr>
                <w:rFonts w:ascii="Times New Roman" w:hAnsi="Times New Roman" w:cs="Times New Roman"/>
                <w:color w:val="000000"/>
                <w:sz w:val="24"/>
                <w:szCs w:val="24"/>
              </w:rPr>
            </w:pPr>
            <w:r w:rsidRPr="00A502FD">
              <w:rPr>
                <w:rFonts w:ascii="Times New Roman" w:hAnsi="Times New Roman" w:cs="Times New Roman"/>
                <w:color w:val="000000"/>
                <w:sz w:val="24"/>
                <w:szCs w:val="24"/>
              </w:rPr>
              <w:t xml:space="preserve">IFIC Bank  </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0.6076</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0.5151</w:t>
            </w:r>
          </w:p>
        </w:tc>
        <w:tc>
          <w:tcPr>
            <w:tcW w:w="716"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0.4554</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0.2368</w:t>
            </w:r>
          </w:p>
        </w:tc>
        <w:tc>
          <w:tcPr>
            <w:tcW w:w="715"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0.2775</w:t>
            </w:r>
          </w:p>
        </w:tc>
      </w:tr>
    </w:tbl>
    <w:p w:rsidR="0007378F" w:rsidRDefault="0007378F" w:rsidP="0007378F">
      <w:pPr>
        <w:spacing w:before="240" w:after="0" w:line="360" w:lineRule="auto"/>
        <w:jc w:val="center"/>
        <w:rPr>
          <w:rFonts w:ascii="Times New Roman" w:hAnsi="Times New Roman" w:cs="Times New Roman"/>
          <w:sz w:val="24"/>
        </w:rPr>
      </w:pPr>
      <w:r>
        <w:rPr>
          <w:noProof/>
        </w:rPr>
        <w:lastRenderedPageBreak/>
        <w:drawing>
          <wp:inline distT="0" distB="0" distL="0" distR="0" wp14:anchorId="10A3B873" wp14:editId="73E7D03E">
            <wp:extent cx="4629150" cy="2143125"/>
            <wp:effectExtent l="0" t="0" r="19050" b="9525"/>
            <wp:docPr id="21" name="Chart 21">
              <a:extLst xmlns:a="http://schemas.openxmlformats.org/drawingml/2006/main">
                <a:ext uri="{FF2B5EF4-FFF2-40B4-BE49-F238E27FC236}">
                  <a16:creationId xmlns:w15="http://schemas.microsoft.com/office/word/2012/wordml" xmlns:arto="http://schemas.microsoft.com/office/word/2006/arto"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lc="http://schemas.openxmlformats.org/drawingml/2006/lockedCanvas" id="{B28AE165-77B2-49B5-B8D3-EAEA94428B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7378F" w:rsidRPr="00AA5A73" w:rsidRDefault="0007378F" w:rsidP="0007378F">
      <w:pPr>
        <w:spacing w:before="240" w:after="0" w:line="360" w:lineRule="auto"/>
        <w:jc w:val="both"/>
        <w:rPr>
          <w:rFonts w:ascii="Times New Roman" w:hAnsi="Times New Roman" w:cs="Times New Roman"/>
          <w:sz w:val="28"/>
        </w:rPr>
      </w:pPr>
      <w:r w:rsidRPr="00E50D88">
        <w:rPr>
          <w:rFonts w:ascii="Times New Roman" w:hAnsi="Times New Roman" w:cs="Times New Roman"/>
          <w:sz w:val="24"/>
        </w:rPr>
        <w:t>Here in the table and graph we are seeing return on sales decrease in 2016 of all banks.</w:t>
      </w:r>
      <w:r>
        <w:rPr>
          <w:rFonts w:ascii="Times New Roman" w:hAnsi="Times New Roman" w:cs="Times New Roman"/>
          <w:sz w:val="24"/>
        </w:rPr>
        <w:t xml:space="preserve"> So we can say that banks are facing financial trouble may be full economy facing financial problem. </w:t>
      </w:r>
      <w:r w:rsidRPr="00E50D88">
        <w:rPr>
          <w:rFonts w:ascii="Times New Roman" w:hAnsi="Times New Roman" w:cs="Times New Roman"/>
          <w:sz w:val="24"/>
        </w:rPr>
        <w:t>Since all banks return on sales decrease so we can say that performance of all bank is bad in the last year compare with the previous year.</w:t>
      </w:r>
    </w:p>
    <w:p w:rsidR="0007378F" w:rsidRPr="000560BD" w:rsidRDefault="0007378F" w:rsidP="0007378F">
      <w:pPr>
        <w:pStyle w:val="ListParagraph"/>
        <w:numPr>
          <w:ilvl w:val="0"/>
          <w:numId w:val="35"/>
        </w:numPr>
        <w:spacing w:before="240" w:line="360" w:lineRule="auto"/>
        <w:jc w:val="both"/>
        <w:rPr>
          <w:rFonts w:asciiTheme="majorHAnsi" w:hAnsiTheme="majorHAnsi"/>
          <w:b/>
          <w:sz w:val="24"/>
        </w:rPr>
      </w:pPr>
      <w:r w:rsidRPr="000560BD">
        <w:rPr>
          <w:rFonts w:asciiTheme="majorHAnsi" w:hAnsiTheme="majorHAnsi"/>
          <w:b/>
          <w:sz w:val="24"/>
        </w:rPr>
        <w:t>Return on Assets</w:t>
      </w:r>
    </w:p>
    <w:p w:rsidR="0007378F" w:rsidRPr="006F0FFC" w:rsidRDefault="0007378F" w:rsidP="0007378F">
      <w:pPr>
        <w:spacing w:line="360" w:lineRule="auto"/>
        <w:jc w:val="both"/>
        <w:rPr>
          <w:rStyle w:val="tgc"/>
          <w:rFonts w:ascii="Times New Roman" w:hAnsi="Times New Roman" w:cs="Times New Roman"/>
          <w:b/>
          <w:sz w:val="24"/>
          <w:szCs w:val="24"/>
        </w:rPr>
      </w:pPr>
      <w:r w:rsidRPr="006F0FFC">
        <w:rPr>
          <w:rStyle w:val="tgc"/>
          <w:rFonts w:ascii="Times New Roman" w:hAnsi="Times New Roman" w:cs="Times New Roman"/>
          <w:bCs/>
          <w:sz w:val="24"/>
          <w:szCs w:val="24"/>
        </w:rPr>
        <w:t>Return on assets</w:t>
      </w:r>
      <w:r w:rsidRPr="006F0FFC">
        <w:rPr>
          <w:rStyle w:val="tgc"/>
          <w:rFonts w:ascii="Times New Roman" w:hAnsi="Times New Roman" w:cs="Times New Roman"/>
          <w:sz w:val="24"/>
          <w:szCs w:val="24"/>
        </w:rPr>
        <w:t xml:space="preserve"> (</w:t>
      </w:r>
      <w:r w:rsidRPr="006F0FFC">
        <w:rPr>
          <w:rStyle w:val="tgc"/>
          <w:rFonts w:ascii="Times New Roman" w:hAnsi="Times New Roman" w:cs="Times New Roman"/>
          <w:bCs/>
          <w:sz w:val="24"/>
          <w:szCs w:val="24"/>
        </w:rPr>
        <w:t>ROA</w:t>
      </w:r>
      <w:r w:rsidRPr="006F0FFC">
        <w:rPr>
          <w:rStyle w:val="tgc"/>
          <w:rFonts w:ascii="Times New Roman" w:hAnsi="Times New Roman" w:cs="Times New Roman"/>
          <w:sz w:val="24"/>
          <w:szCs w:val="24"/>
        </w:rPr>
        <w:t xml:space="preserve">) is an indicator of how profitable a company is relative to its total </w:t>
      </w:r>
      <w:r w:rsidRPr="006F0FFC">
        <w:rPr>
          <w:rStyle w:val="tgc"/>
          <w:rFonts w:ascii="Times New Roman" w:hAnsi="Times New Roman" w:cs="Times New Roman"/>
          <w:bCs/>
          <w:sz w:val="24"/>
          <w:szCs w:val="24"/>
        </w:rPr>
        <w:t>assets</w:t>
      </w:r>
      <w:r w:rsidRPr="006F0FFC">
        <w:rPr>
          <w:rStyle w:val="tgc"/>
          <w:rFonts w:ascii="Times New Roman" w:hAnsi="Times New Roman" w:cs="Times New Roman"/>
          <w:sz w:val="24"/>
          <w:szCs w:val="24"/>
        </w:rPr>
        <w:t xml:space="preserve">. </w:t>
      </w:r>
      <w:r w:rsidRPr="006F0FFC">
        <w:rPr>
          <w:rStyle w:val="tgc"/>
          <w:rFonts w:ascii="Times New Roman" w:hAnsi="Times New Roman" w:cs="Times New Roman"/>
          <w:bCs/>
          <w:sz w:val="24"/>
          <w:szCs w:val="24"/>
        </w:rPr>
        <w:t>ROA</w:t>
      </w:r>
      <w:r w:rsidRPr="006F0FFC">
        <w:rPr>
          <w:rStyle w:val="tgc"/>
          <w:rFonts w:ascii="Times New Roman" w:hAnsi="Times New Roman" w:cs="Times New Roman"/>
          <w:sz w:val="24"/>
          <w:szCs w:val="24"/>
        </w:rPr>
        <w:t xml:space="preserve"> gives an idea as to how efficient management is at using its </w:t>
      </w:r>
      <w:r w:rsidRPr="006F0FFC">
        <w:rPr>
          <w:rStyle w:val="tgc"/>
          <w:rFonts w:ascii="Times New Roman" w:hAnsi="Times New Roman" w:cs="Times New Roman"/>
          <w:bCs/>
          <w:sz w:val="24"/>
          <w:szCs w:val="24"/>
        </w:rPr>
        <w:t>assets</w:t>
      </w:r>
      <w:r w:rsidRPr="006F0FFC">
        <w:rPr>
          <w:rStyle w:val="tgc"/>
          <w:rFonts w:ascii="Times New Roman" w:hAnsi="Times New Roman" w:cs="Times New Roman"/>
          <w:sz w:val="24"/>
          <w:szCs w:val="24"/>
        </w:rPr>
        <w:t xml:space="preserve"> to generate earnings. Calculated by dividing a company's annual earnings by its total </w:t>
      </w:r>
      <w:r w:rsidRPr="006F0FFC">
        <w:rPr>
          <w:rStyle w:val="tgc"/>
          <w:rFonts w:ascii="Times New Roman" w:hAnsi="Times New Roman" w:cs="Times New Roman"/>
          <w:bCs/>
          <w:sz w:val="24"/>
          <w:szCs w:val="24"/>
        </w:rPr>
        <w:t>assets</w:t>
      </w:r>
      <w:r w:rsidRPr="006F0FFC">
        <w:rPr>
          <w:rStyle w:val="tgc"/>
          <w:rFonts w:ascii="Times New Roman" w:hAnsi="Times New Roman" w:cs="Times New Roman"/>
          <w:sz w:val="24"/>
          <w:szCs w:val="24"/>
        </w:rPr>
        <w:t xml:space="preserve">, </w:t>
      </w:r>
      <w:r w:rsidRPr="006F0FFC">
        <w:rPr>
          <w:rStyle w:val="tgc"/>
          <w:rFonts w:ascii="Times New Roman" w:hAnsi="Times New Roman" w:cs="Times New Roman"/>
          <w:bCs/>
          <w:sz w:val="24"/>
          <w:szCs w:val="24"/>
        </w:rPr>
        <w:t>ROA</w:t>
      </w:r>
      <w:r w:rsidRPr="006F0FFC">
        <w:rPr>
          <w:rStyle w:val="tgc"/>
          <w:rFonts w:ascii="Times New Roman" w:hAnsi="Times New Roman" w:cs="Times New Roman"/>
          <w:sz w:val="24"/>
          <w:szCs w:val="24"/>
        </w:rPr>
        <w:t xml:space="preserve"> is displayed as a percentage. Return on assets is calculated by </w:t>
      </w:r>
      <w:r w:rsidRPr="006F0FFC">
        <w:rPr>
          <w:rStyle w:val="tgc"/>
          <w:rFonts w:ascii="Times New Roman" w:hAnsi="Times New Roman" w:cs="Times New Roman"/>
          <w:b/>
          <w:sz w:val="24"/>
          <w:szCs w:val="24"/>
        </w:rPr>
        <w:t xml:space="preserve">[Total earnings / total assets]. </w:t>
      </w:r>
      <w:r w:rsidRPr="006F0FFC">
        <w:rPr>
          <w:rStyle w:val="tgc"/>
          <w:rFonts w:ascii="Times New Roman" w:hAnsi="Times New Roman" w:cs="Times New Roman"/>
          <w:sz w:val="24"/>
          <w:szCs w:val="24"/>
        </w:rPr>
        <w:t>Return on assets of Dhaka Bank</w:t>
      </w:r>
      <w:r>
        <w:rPr>
          <w:rStyle w:val="tgc"/>
          <w:rFonts w:ascii="Times New Roman" w:hAnsi="Times New Roman" w:cs="Times New Roman"/>
          <w:sz w:val="24"/>
        </w:rPr>
        <w:t xml:space="preserve">, </w:t>
      </w:r>
      <w:r>
        <w:rPr>
          <w:rStyle w:val="tgc"/>
          <w:rFonts w:ascii="Times New Roman" w:hAnsi="Times New Roman" w:cs="Times New Roman"/>
          <w:sz w:val="24"/>
          <w:szCs w:val="24"/>
        </w:rPr>
        <w:t>Brac Bank, Dutch Bangla Bank</w:t>
      </w:r>
      <w:r w:rsidRPr="006F0FFC">
        <w:rPr>
          <w:rStyle w:val="tgc"/>
          <w:rFonts w:ascii="Times New Roman" w:hAnsi="Times New Roman" w:cs="Times New Roman"/>
          <w:sz w:val="24"/>
          <w:szCs w:val="24"/>
        </w:rPr>
        <w:t xml:space="preserve"> is given below –</w:t>
      </w:r>
      <w:r w:rsidRPr="006F0FFC">
        <w:rPr>
          <w:rStyle w:val="tgc"/>
          <w:rFonts w:ascii="Times New Roman" w:hAnsi="Times New Roman" w:cs="Times New Roman"/>
          <w:b/>
          <w:sz w:val="24"/>
          <w:szCs w:val="24"/>
        </w:rPr>
        <w:t xml:space="preserve"> </w:t>
      </w:r>
    </w:p>
    <w:tbl>
      <w:tblPr>
        <w:tblStyle w:val="MediumGrid1-Accent6"/>
        <w:tblW w:w="5000" w:type="pct"/>
        <w:tblLook w:val="04A0" w:firstRow="1" w:lastRow="0" w:firstColumn="1" w:lastColumn="0" w:noHBand="0" w:noVBand="1"/>
      </w:tblPr>
      <w:tblGrid>
        <w:gridCol w:w="2620"/>
        <w:gridCol w:w="1326"/>
        <w:gridCol w:w="1325"/>
        <w:gridCol w:w="1329"/>
        <w:gridCol w:w="1325"/>
        <w:gridCol w:w="1318"/>
      </w:tblGrid>
      <w:tr w:rsidR="0007378F" w:rsidRPr="002D0E62" w:rsidTr="00E266F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Pr="00692F28" w:rsidRDefault="0007378F" w:rsidP="00E266FC">
            <w:pPr>
              <w:spacing w:line="360" w:lineRule="auto"/>
              <w:jc w:val="center"/>
              <w:rPr>
                <w:rFonts w:ascii="Cambria" w:eastAsia="Times New Roman" w:hAnsi="Cambria" w:cs="Arial"/>
                <w:color w:val="000000"/>
                <w:sz w:val="24"/>
              </w:rPr>
            </w:pPr>
            <w:r w:rsidRPr="00692F28">
              <w:rPr>
                <w:rFonts w:ascii="Cambria" w:eastAsia="Times New Roman" w:hAnsi="Cambria" w:cs="Arial"/>
                <w:color w:val="000000"/>
                <w:sz w:val="24"/>
              </w:rPr>
              <w:t>ROA</w:t>
            </w:r>
          </w:p>
        </w:tc>
      </w:tr>
      <w:tr w:rsidR="0007378F" w:rsidRPr="002D0E62"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D3445D" w:rsidRDefault="0007378F" w:rsidP="00E266FC">
            <w:pPr>
              <w:spacing w:line="360" w:lineRule="auto"/>
              <w:jc w:val="center"/>
              <w:rPr>
                <w:rFonts w:asciiTheme="majorHAnsi" w:eastAsia="Times New Roman" w:hAnsiTheme="majorHAnsi" w:cs="Arial"/>
                <w:b w:val="0"/>
                <w:color w:val="000000"/>
                <w:sz w:val="24"/>
                <w:szCs w:val="24"/>
              </w:rPr>
            </w:pPr>
            <w:r w:rsidRPr="00D3445D">
              <w:rPr>
                <w:rFonts w:asciiTheme="majorHAnsi" w:eastAsia="Times New Roman" w:hAnsiTheme="majorHAnsi" w:cs="Arial"/>
                <w:b w:val="0"/>
                <w:color w:val="000000"/>
                <w:sz w:val="24"/>
                <w:szCs w:val="24"/>
              </w:rPr>
              <w:t>Years</w:t>
            </w:r>
          </w:p>
        </w:tc>
        <w:tc>
          <w:tcPr>
            <w:tcW w:w="717" w:type="pct"/>
            <w:noWrap/>
            <w:hideMark/>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2D0E62">
              <w:rPr>
                <w:rFonts w:ascii="Cambria" w:eastAsia="Times New Roman" w:hAnsi="Cambria" w:cs="Arial"/>
                <w:color w:val="000000"/>
                <w:sz w:val="24"/>
              </w:rPr>
              <w:t>201</w:t>
            </w:r>
            <w:r>
              <w:rPr>
                <w:rFonts w:ascii="Cambria" w:eastAsia="Times New Roman" w:hAnsi="Cambria" w:cs="Arial"/>
                <w:color w:val="000000"/>
                <w:sz w:val="24"/>
              </w:rPr>
              <w:t>2</w:t>
            </w:r>
          </w:p>
        </w:tc>
        <w:tc>
          <w:tcPr>
            <w:tcW w:w="717" w:type="pct"/>
            <w:noWrap/>
            <w:hideMark/>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2D0E62">
              <w:rPr>
                <w:rFonts w:ascii="Cambria" w:eastAsia="Times New Roman" w:hAnsi="Cambria" w:cs="Arial"/>
                <w:color w:val="000000"/>
                <w:sz w:val="24"/>
              </w:rPr>
              <w:t>201</w:t>
            </w:r>
            <w:r>
              <w:rPr>
                <w:rFonts w:ascii="Cambria" w:eastAsia="Times New Roman" w:hAnsi="Cambria" w:cs="Arial"/>
                <w:color w:val="000000"/>
                <w:sz w:val="24"/>
              </w:rPr>
              <w:t>3</w:t>
            </w:r>
          </w:p>
        </w:tc>
        <w:tc>
          <w:tcPr>
            <w:tcW w:w="719" w:type="pct"/>
            <w:noWrap/>
            <w:hideMark/>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sidRPr="002D0E62">
              <w:rPr>
                <w:rFonts w:ascii="Cambria" w:eastAsia="Times New Roman" w:hAnsi="Cambria" w:cs="Arial"/>
                <w:color w:val="000000"/>
                <w:sz w:val="24"/>
              </w:rPr>
              <w:t>2014</w:t>
            </w:r>
          </w:p>
        </w:tc>
        <w:tc>
          <w:tcPr>
            <w:tcW w:w="717" w:type="pct"/>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Pr>
                <w:rFonts w:ascii="Cambria" w:eastAsia="Times New Roman" w:hAnsi="Cambria" w:cs="Arial"/>
                <w:color w:val="000000"/>
                <w:sz w:val="24"/>
              </w:rPr>
              <w:t>2015</w:t>
            </w:r>
          </w:p>
        </w:tc>
        <w:tc>
          <w:tcPr>
            <w:tcW w:w="713" w:type="pct"/>
          </w:tcPr>
          <w:p w:rsidR="0007378F" w:rsidRPr="002D0E62"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4"/>
              </w:rPr>
            </w:pPr>
            <w:r>
              <w:rPr>
                <w:rFonts w:ascii="Cambria" w:eastAsia="Times New Roman" w:hAnsi="Cambria" w:cs="Arial"/>
                <w:color w:val="000000"/>
                <w:sz w:val="24"/>
              </w:rPr>
              <w:t>2016</w:t>
            </w:r>
          </w:p>
        </w:tc>
      </w:tr>
      <w:tr w:rsidR="0007378F" w:rsidRPr="00692F28"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D3445D" w:rsidRDefault="0007378F" w:rsidP="00E266FC">
            <w:pPr>
              <w:spacing w:line="360" w:lineRule="auto"/>
              <w:jc w:val="center"/>
              <w:rPr>
                <w:rFonts w:asciiTheme="majorHAnsi" w:eastAsia="Times New Roman" w:hAnsiTheme="majorHAnsi" w:cs="Arial"/>
                <w:b w:val="0"/>
                <w:bCs w:val="0"/>
                <w:color w:val="000000"/>
                <w:sz w:val="24"/>
                <w:szCs w:val="24"/>
              </w:rPr>
            </w:pPr>
            <w:r w:rsidRPr="00D3445D">
              <w:rPr>
                <w:rFonts w:asciiTheme="majorHAnsi" w:eastAsia="Times New Roman" w:hAnsiTheme="majorHAnsi" w:cs="Arial"/>
                <w:b w:val="0"/>
                <w:color w:val="000000"/>
                <w:sz w:val="24"/>
                <w:szCs w:val="24"/>
              </w:rPr>
              <w:t>Dhaka Bank</w:t>
            </w:r>
          </w:p>
        </w:tc>
        <w:tc>
          <w:tcPr>
            <w:tcW w:w="717" w:type="pct"/>
            <w:noWrap/>
            <w:hideMark/>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0.0119</w:t>
            </w:r>
          </w:p>
        </w:tc>
        <w:tc>
          <w:tcPr>
            <w:tcW w:w="717" w:type="pct"/>
            <w:noWrap/>
            <w:hideMark/>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0.0136</w:t>
            </w:r>
          </w:p>
        </w:tc>
        <w:tc>
          <w:tcPr>
            <w:tcW w:w="719" w:type="pct"/>
            <w:noWrap/>
            <w:hideMark/>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0.0131</w:t>
            </w:r>
          </w:p>
        </w:tc>
        <w:tc>
          <w:tcPr>
            <w:tcW w:w="717"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0.0085</w:t>
            </w:r>
          </w:p>
        </w:tc>
        <w:tc>
          <w:tcPr>
            <w:tcW w:w="713"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0.0072</w:t>
            </w:r>
          </w:p>
        </w:tc>
      </w:tr>
      <w:tr w:rsidR="0007378F" w:rsidRPr="00692F28"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spacing w:line="360" w:lineRule="auto"/>
              <w:jc w:val="center"/>
              <w:rPr>
                <w:rFonts w:asciiTheme="majorHAnsi" w:eastAsia="Times New Roman" w:hAnsiTheme="majorHAnsi" w:cs="Arial"/>
                <w:b w:val="0"/>
                <w:color w:val="000000"/>
                <w:sz w:val="24"/>
                <w:szCs w:val="24"/>
              </w:rPr>
            </w:pPr>
            <w:r w:rsidRPr="00D3445D">
              <w:rPr>
                <w:rFonts w:asciiTheme="majorHAnsi" w:eastAsia="Times New Roman" w:hAnsiTheme="majorHAnsi" w:cs="Arial"/>
                <w:b w:val="0"/>
                <w:color w:val="000000"/>
                <w:sz w:val="24"/>
                <w:szCs w:val="24"/>
              </w:rPr>
              <w:t>Brac Bank</w:t>
            </w:r>
          </w:p>
        </w:tc>
        <w:tc>
          <w:tcPr>
            <w:tcW w:w="717" w:type="pct"/>
            <w:noWrap/>
          </w:tcPr>
          <w:p w:rsidR="0007378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0.0146</w:t>
            </w:r>
          </w:p>
        </w:tc>
        <w:tc>
          <w:tcPr>
            <w:tcW w:w="717" w:type="pct"/>
            <w:noWrap/>
          </w:tcPr>
          <w:p w:rsidR="0007378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0.0314</w:t>
            </w:r>
          </w:p>
        </w:tc>
        <w:tc>
          <w:tcPr>
            <w:tcW w:w="719" w:type="pct"/>
            <w:noWrap/>
          </w:tcPr>
          <w:p w:rsidR="0007378F"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0.0257</w:t>
            </w:r>
          </w:p>
        </w:tc>
        <w:tc>
          <w:tcPr>
            <w:tcW w:w="717"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0.0475</w:t>
            </w:r>
          </w:p>
        </w:tc>
        <w:tc>
          <w:tcPr>
            <w:tcW w:w="713"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0.0352</w:t>
            </w:r>
          </w:p>
        </w:tc>
      </w:tr>
      <w:tr w:rsidR="0007378F" w:rsidRPr="00692F28"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spacing w:line="360" w:lineRule="auto"/>
              <w:jc w:val="center"/>
              <w:rPr>
                <w:rFonts w:asciiTheme="majorHAnsi" w:eastAsia="Times New Roman" w:hAnsiTheme="majorHAnsi" w:cs="Arial"/>
                <w:b w:val="0"/>
                <w:color w:val="000000"/>
                <w:sz w:val="24"/>
                <w:szCs w:val="24"/>
              </w:rPr>
            </w:pPr>
            <w:r w:rsidRPr="00D3445D">
              <w:rPr>
                <w:rFonts w:asciiTheme="majorHAnsi" w:eastAsia="Times New Roman" w:hAnsiTheme="majorHAnsi" w:cs="Arial"/>
                <w:b w:val="0"/>
                <w:color w:val="000000"/>
                <w:sz w:val="24"/>
                <w:szCs w:val="24"/>
              </w:rPr>
              <w:t>Dutch Bangla Banks</w:t>
            </w:r>
          </w:p>
        </w:tc>
        <w:tc>
          <w:tcPr>
            <w:tcW w:w="717" w:type="pct"/>
            <w:noWrap/>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0.0148</w:t>
            </w:r>
          </w:p>
        </w:tc>
        <w:tc>
          <w:tcPr>
            <w:tcW w:w="717" w:type="pct"/>
            <w:noWrap/>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0.0108</w:t>
            </w:r>
          </w:p>
        </w:tc>
        <w:tc>
          <w:tcPr>
            <w:tcW w:w="719" w:type="pct"/>
            <w:noWrap/>
          </w:tcPr>
          <w:p w:rsidR="0007378F" w:rsidRDefault="0007378F" w:rsidP="00E266F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0.0057</w:t>
            </w:r>
          </w:p>
        </w:tc>
        <w:tc>
          <w:tcPr>
            <w:tcW w:w="717"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-0.1971</w:t>
            </w:r>
          </w:p>
        </w:tc>
        <w:tc>
          <w:tcPr>
            <w:tcW w:w="713"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-0.1669</w:t>
            </w:r>
          </w:p>
        </w:tc>
      </w:tr>
      <w:tr w:rsidR="0007378F" w:rsidRPr="00692F28" w:rsidTr="00E266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jc w:val="center"/>
              <w:rPr>
                <w:rFonts w:asciiTheme="majorHAnsi" w:hAnsiTheme="majorHAnsi" w:cs="Arial"/>
                <w:b w:val="0"/>
                <w:color w:val="000000"/>
                <w:sz w:val="24"/>
                <w:szCs w:val="24"/>
              </w:rPr>
            </w:pPr>
            <w:r w:rsidRPr="00D3445D">
              <w:rPr>
                <w:rFonts w:asciiTheme="majorHAnsi" w:hAnsiTheme="majorHAnsi" w:cs="Arial"/>
                <w:b w:val="0"/>
                <w:color w:val="000000"/>
                <w:sz w:val="24"/>
                <w:szCs w:val="24"/>
              </w:rPr>
              <w:t xml:space="preserve">Bank Asia  </w:t>
            </w:r>
          </w:p>
        </w:tc>
        <w:tc>
          <w:tcPr>
            <w:tcW w:w="717"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0.1502</w:t>
            </w:r>
          </w:p>
        </w:tc>
        <w:tc>
          <w:tcPr>
            <w:tcW w:w="717"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0.1495</w:t>
            </w:r>
          </w:p>
        </w:tc>
        <w:tc>
          <w:tcPr>
            <w:tcW w:w="719" w:type="pct"/>
            <w:noWrap/>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0.0109</w:t>
            </w:r>
          </w:p>
        </w:tc>
        <w:tc>
          <w:tcPr>
            <w:tcW w:w="717"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0.0113</w:t>
            </w:r>
          </w:p>
        </w:tc>
        <w:tc>
          <w:tcPr>
            <w:tcW w:w="713" w:type="pct"/>
          </w:tcPr>
          <w:p w:rsidR="0007378F" w:rsidRDefault="0007378F" w:rsidP="00E266FC">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0.0065</w:t>
            </w:r>
          </w:p>
        </w:tc>
      </w:tr>
      <w:tr w:rsidR="0007378F" w:rsidRPr="00692F28" w:rsidTr="00E266FC">
        <w:trPr>
          <w:trHeight w:val="315"/>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jc w:val="center"/>
              <w:rPr>
                <w:rFonts w:asciiTheme="majorHAnsi" w:hAnsiTheme="majorHAnsi" w:cs="Arial"/>
                <w:b w:val="0"/>
                <w:color w:val="000000"/>
                <w:sz w:val="24"/>
                <w:szCs w:val="24"/>
              </w:rPr>
            </w:pPr>
            <w:r w:rsidRPr="00D3445D">
              <w:rPr>
                <w:rFonts w:asciiTheme="majorHAnsi" w:hAnsiTheme="majorHAnsi" w:cs="Arial"/>
                <w:b w:val="0"/>
                <w:color w:val="000000"/>
                <w:sz w:val="24"/>
                <w:szCs w:val="24"/>
              </w:rPr>
              <w:t xml:space="preserve">IFIC Bank  </w:t>
            </w:r>
          </w:p>
        </w:tc>
        <w:tc>
          <w:tcPr>
            <w:tcW w:w="717"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0.0150</w:t>
            </w:r>
          </w:p>
        </w:tc>
        <w:tc>
          <w:tcPr>
            <w:tcW w:w="717"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0.0094</w:t>
            </w:r>
          </w:p>
        </w:tc>
        <w:tc>
          <w:tcPr>
            <w:tcW w:w="719" w:type="pct"/>
            <w:noWrap/>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0.0099</w:t>
            </w:r>
          </w:p>
        </w:tc>
        <w:tc>
          <w:tcPr>
            <w:tcW w:w="717"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0.0050</w:t>
            </w:r>
          </w:p>
        </w:tc>
        <w:tc>
          <w:tcPr>
            <w:tcW w:w="713" w:type="pct"/>
          </w:tcPr>
          <w:p w:rsidR="0007378F" w:rsidRDefault="0007378F" w:rsidP="00E266FC">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0.0062</w:t>
            </w:r>
          </w:p>
        </w:tc>
      </w:tr>
    </w:tbl>
    <w:p w:rsidR="0007378F" w:rsidRDefault="0007378F" w:rsidP="0007378F">
      <w:pPr>
        <w:spacing w:line="360" w:lineRule="auto"/>
        <w:rPr>
          <w:rFonts w:ascii="Times New Roman" w:hAnsi="Times New Roman" w:cs="Times New Roman"/>
          <w:sz w:val="24"/>
          <w:szCs w:val="24"/>
        </w:rPr>
      </w:pPr>
    </w:p>
    <w:p w:rsidR="0007378F" w:rsidRPr="00EF35FB" w:rsidRDefault="0007378F" w:rsidP="0007378F">
      <w:pPr>
        <w:spacing w:line="360" w:lineRule="auto"/>
        <w:jc w:val="center"/>
        <w:rPr>
          <w:rFonts w:ascii="Times New Roman" w:hAnsi="Times New Roman" w:cs="Times New Roman"/>
          <w:sz w:val="24"/>
          <w:szCs w:val="24"/>
        </w:rPr>
      </w:pPr>
      <w:r>
        <w:rPr>
          <w:noProof/>
        </w:rPr>
        <w:lastRenderedPageBreak/>
        <w:drawing>
          <wp:inline distT="0" distB="0" distL="0" distR="0" wp14:anchorId="1F2CCAC5" wp14:editId="146B9EF1">
            <wp:extent cx="3701491" cy="1887321"/>
            <wp:effectExtent l="0" t="0" r="0" b="0"/>
            <wp:docPr id="19" name="Chart 19">
              <a:extLst xmlns:a="http://schemas.openxmlformats.org/drawingml/2006/main">
                <a:ext uri="{FF2B5EF4-FFF2-40B4-BE49-F238E27FC236}">
                  <a16:creationId xmlns:w15="http://schemas.microsoft.com/office/word/2012/wordml" xmlns:arto="http://schemas.microsoft.com/office/word/2006/arto"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lc="http://schemas.openxmlformats.org/drawingml/2006/lockedCanva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7378F" w:rsidRPr="006B539F" w:rsidRDefault="0007378F" w:rsidP="0007378F">
      <w:pPr>
        <w:spacing w:line="360" w:lineRule="auto"/>
        <w:jc w:val="both"/>
        <w:rPr>
          <w:rFonts w:ascii="Times New Roman" w:hAnsi="Times New Roman" w:cs="Times New Roman"/>
          <w:sz w:val="24"/>
          <w:szCs w:val="24"/>
        </w:rPr>
      </w:pPr>
      <w:r w:rsidRPr="006F0FFC">
        <w:rPr>
          <w:rFonts w:ascii="Times New Roman" w:hAnsi="Times New Roman" w:cs="Times New Roman"/>
          <w:sz w:val="24"/>
        </w:rPr>
        <w:t>Findings from the ROA analysis, we get that return on assets of Dhaka Bank</w:t>
      </w:r>
      <w:r>
        <w:rPr>
          <w:rStyle w:val="tgc"/>
          <w:rFonts w:ascii="Times New Roman" w:hAnsi="Times New Roman" w:cs="Times New Roman"/>
          <w:sz w:val="24"/>
        </w:rPr>
        <w:t xml:space="preserve">, </w:t>
      </w:r>
      <w:r>
        <w:rPr>
          <w:rStyle w:val="tgc"/>
          <w:rFonts w:ascii="Times New Roman" w:hAnsi="Times New Roman" w:cs="Times New Roman"/>
          <w:sz w:val="24"/>
          <w:szCs w:val="24"/>
        </w:rPr>
        <w:t xml:space="preserve">Brac Bank, </w:t>
      </w:r>
      <w:r w:rsidRPr="006F0FFC">
        <w:rPr>
          <w:rFonts w:ascii="Times New Roman" w:hAnsi="Times New Roman" w:cs="Times New Roman"/>
          <w:sz w:val="24"/>
        </w:rPr>
        <w:t xml:space="preserve">is increasing in </w:t>
      </w:r>
      <w:r>
        <w:rPr>
          <w:rFonts w:ascii="Times New Roman" w:hAnsi="Times New Roman" w:cs="Times New Roman"/>
          <w:sz w:val="24"/>
        </w:rPr>
        <w:t xml:space="preserve">in 2013 but it decrease in 2014 and return of </w:t>
      </w:r>
      <w:r>
        <w:rPr>
          <w:rStyle w:val="tgc"/>
          <w:rFonts w:ascii="Times New Roman" w:hAnsi="Times New Roman" w:cs="Times New Roman"/>
          <w:sz w:val="24"/>
          <w:szCs w:val="24"/>
        </w:rPr>
        <w:t>Dutch Bangla Bank</w:t>
      </w:r>
      <w:r>
        <w:rPr>
          <w:rFonts w:ascii="Times New Roman" w:hAnsi="Times New Roman" w:cs="Times New Roman"/>
          <w:sz w:val="24"/>
        </w:rPr>
        <w:t xml:space="preserve"> decrease </w:t>
      </w:r>
      <w:r w:rsidRPr="006F0FFC">
        <w:rPr>
          <w:rFonts w:ascii="Times New Roman" w:hAnsi="Times New Roman" w:cs="Times New Roman"/>
          <w:sz w:val="24"/>
        </w:rPr>
        <w:t>every year</w:t>
      </w:r>
      <w:r>
        <w:rPr>
          <w:rFonts w:ascii="Times New Roman" w:hAnsi="Times New Roman" w:cs="Times New Roman"/>
          <w:sz w:val="24"/>
        </w:rPr>
        <w:t xml:space="preserve"> from 2012 to 2016 and become negative</w:t>
      </w:r>
      <w:r w:rsidRPr="006F0FFC">
        <w:rPr>
          <w:rFonts w:ascii="Times New Roman" w:hAnsi="Times New Roman" w:cs="Times New Roman"/>
          <w:sz w:val="24"/>
        </w:rPr>
        <w:t>. It says that they are</w:t>
      </w:r>
      <w:r>
        <w:rPr>
          <w:rFonts w:ascii="Times New Roman" w:hAnsi="Times New Roman" w:cs="Times New Roman"/>
          <w:sz w:val="24"/>
        </w:rPr>
        <w:t xml:space="preserve"> not</w:t>
      </w:r>
      <w:r w:rsidRPr="006F0FFC">
        <w:rPr>
          <w:rFonts w:ascii="Times New Roman" w:hAnsi="Times New Roman" w:cs="Times New Roman"/>
          <w:sz w:val="24"/>
        </w:rPr>
        <w:t xml:space="preserve"> using their assets in a prope</w:t>
      </w:r>
      <w:r>
        <w:rPr>
          <w:rFonts w:ascii="Times New Roman" w:hAnsi="Times New Roman" w:cs="Times New Roman"/>
          <w:sz w:val="24"/>
        </w:rPr>
        <w:t>r way. Asset utilization is bad</w:t>
      </w:r>
      <w:r w:rsidRPr="006F0FFC">
        <w:rPr>
          <w:rFonts w:ascii="Times New Roman" w:hAnsi="Times New Roman" w:cs="Times New Roman"/>
          <w:sz w:val="24"/>
        </w:rPr>
        <w:t xml:space="preserve"> for Dhaka Bank</w:t>
      </w:r>
      <w:r>
        <w:rPr>
          <w:rFonts w:ascii="Times New Roman" w:hAnsi="Times New Roman" w:cs="Times New Roman"/>
          <w:sz w:val="24"/>
        </w:rPr>
        <w:t>, Brac Bank and Dutch Bangla Bank</w:t>
      </w:r>
      <w:r w:rsidRPr="006F0FFC">
        <w:rPr>
          <w:rFonts w:ascii="Times New Roman" w:hAnsi="Times New Roman" w:cs="Times New Roman"/>
          <w:sz w:val="24"/>
        </w:rPr>
        <w:t>. Dhaka Bank</w:t>
      </w:r>
      <w:r>
        <w:rPr>
          <w:rFonts w:ascii="Times New Roman" w:hAnsi="Times New Roman" w:cs="Times New Roman"/>
          <w:sz w:val="24"/>
        </w:rPr>
        <w:t>, Brac Bank and Dutch Bangla Bank, Baank Asia, IFIC Bank are getting the poor</w:t>
      </w:r>
      <w:r w:rsidRPr="006F0FFC">
        <w:rPr>
          <w:rFonts w:ascii="Times New Roman" w:hAnsi="Times New Roman" w:cs="Times New Roman"/>
          <w:sz w:val="24"/>
        </w:rPr>
        <w:t xml:space="preserve"> return against its assets uses</w:t>
      </w:r>
      <w:r>
        <w:rPr>
          <w:rFonts w:ascii="Times New Roman" w:hAnsi="Times New Roman" w:cs="Times New Roman"/>
          <w:sz w:val="24"/>
        </w:rPr>
        <w:t xml:space="preserve"> compare with previous year</w:t>
      </w:r>
      <w:r w:rsidRPr="006F0FFC">
        <w:rPr>
          <w:rFonts w:ascii="Times New Roman" w:hAnsi="Times New Roman" w:cs="Times New Roman"/>
          <w:sz w:val="24"/>
        </w:rPr>
        <w:t>.</w:t>
      </w:r>
      <w:r>
        <w:rPr>
          <w:rFonts w:ascii="Times New Roman" w:hAnsi="Times New Roman" w:cs="Times New Roman"/>
          <w:sz w:val="24"/>
        </w:rPr>
        <w:t xml:space="preserve"> The condition of Dutch Bangla bank is very bad within these banks. Which is very bad signal for the banking industry.  </w:t>
      </w:r>
      <w:r w:rsidRPr="00744B04">
        <w:rPr>
          <w:rStyle w:val="tgc"/>
          <w:rFonts w:ascii="Times New Roman" w:hAnsi="Times New Roman" w:cs="Times New Roman"/>
          <w:sz w:val="24"/>
          <w:szCs w:val="24"/>
        </w:rPr>
        <w:t xml:space="preserve"> </w:t>
      </w:r>
    </w:p>
    <w:p w:rsidR="0007378F" w:rsidRPr="000560BD" w:rsidRDefault="0007378F" w:rsidP="0007378F">
      <w:pPr>
        <w:pStyle w:val="ListParagraph"/>
        <w:numPr>
          <w:ilvl w:val="0"/>
          <w:numId w:val="35"/>
        </w:numPr>
        <w:spacing w:line="360" w:lineRule="auto"/>
        <w:jc w:val="both"/>
        <w:rPr>
          <w:rFonts w:asciiTheme="majorHAnsi" w:hAnsiTheme="majorHAnsi"/>
          <w:b/>
          <w:color w:val="4F81BD" w:themeColor="accent1"/>
          <w:sz w:val="24"/>
        </w:rPr>
      </w:pPr>
      <w:r w:rsidRPr="000560BD">
        <w:rPr>
          <w:rFonts w:asciiTheme="majorHAnsi" w:hAnsiTheme="majorHAnsi"/>
          <w:b/>
          <w:color w:val="4F81BD" w:themeColor="accent1"/>
          <w:sz w:val="24"/>
        </w:rPr>
        <w:t xml:space="preserve">Return on Equity </w:t>
      </w:r>
    </w:p>
    <w:p w:rsidR="0007378F" w:rsidRPr="005C04E7" w:rsidRDefault="0007378F" w:rsidP="0007378F">
      <w:pPr>
        <w:spacing w:before="240" w:after="0" w:line="360" w:lineRule="auto"/>
        <w:jc w:val="both"/>
        <w:rPr>
          <w:rFonts w:ascii="Times New Roman" w:hAnsi="Times New Roman" w:cs="Times New Roman"/>
          <w:sz w:val="24"/>
          <w:szCs w:val="24"/>
        </w:rPr>
      </w:pPr>
      <w:r w:rsidRPr="006F0FFC">
        <w:rPr>
          <w:rStyle w:val="tgc"/>
          <w:rFonts w:ascii="Times New Roman" w:hAnsi="Times New Roman" w:cs="Times New Roman"/>
          <w:sz w:val="24"/>
        </w:rPr>
        <w:t xml:space="preserve">The </w:t>
      </w:r>
      <w:r w:rsidRPr="006F0FFC">
        <w:rPr>
          <w:rStyle w:val="tgc"/>
          <w:rFonts w:ascii="Times New Roman" w:hAnsi="Times New Roman" w:cs="Times New Roman"/>
          <w:bCs/>
          <w:sz w:val="24"/>
        </w:rPr>
        <w:t>return on equity</w:t>
      </w:r>
      <w:r w:rsidRPr="006F0FFC">
        <w:rPr>
          <w:rStyle w:val="tgc"/>
          <w:rFonts w:ascii="Times New Roman" w:hAnsi="Times New Roman" w:cs="Times New Roman"/>
          <w:sz w:val="24"/>
        </w:rPr>
        <w:t xml:space="preserve"> (</w:t>
      </w:r>
      <w:r w:rsidRPr="006F0FFC">
        <w:rPr>
          <w:rStyle w:val="tgc"/>
          <w:rFonts w:ascii="Times New Roman" w:hAnsi="Times New Roman" w:cs="Times New Roman"/>
          <w:bCs/>
          <w:sz w:val="24"/>
        </w:rPr>
        <w:t>ROE</w:t>
      </w:r>
      <w:r w:rsidRPr="006F0FFC">
        <w:rPr>
          <w:rStyle w:val="tgc"/>
          <w:rFonts w:ascii="Times New Roman" w:hAnsi="Times New Roman" w:cs="Times New Roman"/>
          <w:sz w:val="24"/>
        </w:rPr>
        <w:t xml:space="preserve">) is a measure of the profitability of a business in relation to the book value of shareholder </w:t>
      </w:r>
      <w:r w:rsidRPr="006F0FFC">
        <w:rPr>
          <w:rStyle w:val="tgc"/>
          <w:rFonts w:ascii="Times New Roman" w:hAnsi="Times New Roman" w:cs="Times New Roman"/>
          <w:bCs/>
          <w:sz w:val="24"/>
        </w:rPr>
        <w:t>equity</w:t>
      </w:r>
      <w:r w:rsidRPr="006F0FFC">
        <w:rPr>
          <w:rStyle w:val="tgc"/>
          <w:rFonts w:ascii="Times New Roman" w:hAnsi="Times New Roman" w:cs="Times New Roman"/>
          <w:sz w:val="24"/>
        </w:rPr>
        <w:t xml:space="preserve">, also known as net assets or </w:t>
      </w:r>
      <w:r w:rsidRPr="005C04E7">
        <w:rPr>
          <w:rStyle w:val="tgc"/>
          <w:rFonts w:ascii="Times New Roman" w:hAnsi="Times New Roman" w:cs="Times New Roman"/>
          <w:sz w:val="24"/>
          <w:szCs w:val="24"/>
        </w:rPr>
        <w:t xml:space="preserve">assets minus liabilities. </w:t>
      </w:r>
      <w:r w:rsidRPr="005C04E7">
        <w:rPr>
          <w:rStyle w:val="tgc"/>
          <w:rFonts w:ascii="Times New Roman" w:hAnsi="Times New Roman" w:cs="Times New Roman"/>
          <w:bCs/>
          <w:sz w:val="24"/>
          <w:szCs w:val="24"/>
        </w:rPr>
        <w:t>ROE</w:t>
      </w:r>
      <w:r w:rsidRPr="005C04E7">
        <w:rPr>
          <w:rStyle w:val="tgc"/>
          <w:rFonts w:ascii="Times New Roman" w:hAnsi="Times New Roman" w:cs="Times New Roman"/>
          <w:sz w:val="24"/>
          <w:szCs w:val="24"/>
        </w:rPr>
        <w:t xml:space="preserve"> is a measure of how well a company uses investments to generate earnings growth</w:t>
      </w:r>
      <w:r w:rsidRPr="005C04E7">
        <w:rPr>
          <w:rFonts w:ascii="Times New Roman" w:hAnsi="Times New Roman" w:cs="Times New Roman"/>
          <w:sz w:val="24"/>
          <w:szCs w:val="24"/>
        </w:rPr>
        <w:t xml:space="preserve">. Return on equity is calculated by </w:t>
      </w:r>
      <w:r w:rsidRPr="005C04E7">
        <w:rPr>
          <w:rFonts w:ascii="Times New Roman" w:hAnsi="Times New Roman" w:cs="Times New Roman"/>
          <w:b/>
          <w:sz w:val="24"/>
          <w:szCs w:val="24"/>
        </w:rPr>
        <w:t xml:space="preserve">[Total net income / Total common equity]. </w:t>
      </w:r>
      <w:r w:rsidRPr="005C04E7">
        <w:rPr>
          <w:rFonts w:ascii="Times New Roman" w:hAnsi="Times New Roman" w:cs="Times New Roman"/>
          <w:sz w:val="24"/>
          <w:szCs w:val="24"/>
        </w:rPr>
        <w:t>Return on equity of Dhaka Bank</w:t>
      </w:r>
      <w:r>
        <w:rPr>
          <w:rFonts w:ascii="Times New Roman" w:hAnsi="Times New Roman" w:cs="Times New Roman"/>
          <w:sz w:val="24"/>
          <w:szCs w:val="24"/>
        </w:rPr>
        <w:t>, Brac Bank, Dutch Bangla Bank</w:t>
      </w:r>
      <w:r w:rsidRPr="005C04E7">
        <w:rPr>
          <w:rFonts w:ascii="Times New Roman" w:hAnsi="Times New Roman" w:cs="Times New Roman"/>
          <w:sz w:val="24"/>
          <w:szCs w:val="24"/>
        </w:rPr>
        <w:t xml:space="preserve"> is given below – </w:t>
      </w:r>
    </w:p>
    <w:tbl>
      <w:tblPr>
        <w:tblStyle w:val="MediumGrid1-Accent6"/>
        <w:tblW w:w="5000" w:type="pct"/>
        <w:tblLook w:val="04A0" w:firstRow="1" w:lastRow="0" w:firstColumn="1" w:lastColumn="0" w:noHBand="0" w:noVBand="1"/>
      </w:tblPr>
      <w:tblGrid>
        <w:gridCol w:w="2619"/>
        <w:gridCol w:w="1327"/>
        <w:gridCol w:w="1327"/>
        <w:gridCol w:w="1324"/>
        <w:gridCol w:w="1324"/>
        <w:gridCol w:w="1322"/>
      </w:tblGrid>
      <w:tr w:rsidR="0007378F" w:rsidRPr="00D81254" w:rsidTr="00E266FC">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000" w:type="pct"/>
            <w:gridSpan w:val="6"/>
            <w:noWrap/>
          </w:tcPr>
          <w:p w:rsidR="0007378F" w:rsidRDefault="0007378F" w:rsidP="00E266FC">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Return on equity (</w:t>
            </w:r>
            <w:r w:rsidRPr="00D81254">
              <w:rPr>
                <w:rFonts w:ascii="Times New Roman" w:eastAsia="Times New Roman" w:hAnsi="Times New Roman" w:cs="Times New Roman"/>
                <w:color w:val="000000"/>
                <w:sz w:val="28"/>
                <w:szCs w:val="28"/>
              </w:rPr>
              <w:t>ROE</w:t>
            </w:r>
            <w:r>
              <w:rPr>
                <w:rFonts w:ascii="Times New Roman" w:eastAsia="Times New Roman" w:hAnsi="Times New Roman" w:cs="Times New Roman"/>
                <w:color w:val="000000"/>
                <w:sz w:val="28"/>
                <w:szCs w:val="28"/>
              </w:rPr>
              <w:t>)</w:t>
            </w:r>
          </w:p>
        </w:tc>
      </w:tr>
      <w:tr w:rsidR="0007378F" w:rsidRPr="00D81254" w:rsidTr="00E266F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D81254" w:rsidRDefault="0007378F" w:rsidP="00E266FC">
            <w:pPr>
              <w:spacing w:line="360" w:lineRule="auto"/>
              <w:jc w:val="center"/>
              <w:rPr>
                <w:rFonts w:ascii="Times New Roman" w:eastAsia="Times New Roman" w:hAnsi="Times New Roman" w:cs="Times New Roman"/>
                <w:color w:val="000000"/>
                <w:sz w:val="28"/>
                <w:szCs w:val="28"/>
              </w:rPr>
            </w:pPr>
            <w:r w:rsidRPr="00D81254">
              <w:rPr>
                <w:rFonts w:ascii="Times New Roman" w:eastAsia="Times New Roman" w:hAnsi="Times New Roman" w:cs="Times New Roman"/>
                <w:color w:val="000000"/>
                <w:sz w:val="28"/>
                <w:szCs w:val="28"/>
              </w:rPr>
              <w:t>Years</w:t>
            </w:r>
          </w:p>
        </w:tc>
        <w:tc>
          <w:tcPr>
            <w:tcW w:w="718" w:type="pct"/>
            <w:noWrap/>
            <w:hideMark/>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2012</w:t>
            </w:r>
          </w:p>
        </w:tc>
        <w:tc>
          <w:tcPr>
            <w:tcW w:w="718" w:type="pct"/>
            <w:noWrap/>
            <w:hideMark/>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2013</w:t>
            </w:r>
          </w:p>
        </w:tc>
        <w:tc>
          <w:tcPr>
            <w:tcW w:w="716" w:type="pct"/>
            <w:noWrap/>
            <w:hideMark/>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sidRPr="00D81254">
              <w:rPr>
                <w:rFonts w:ascii="Times New Roman" w:eastAsia="Times New Roman" w:hAnsi="Times New Roman" w:cs="Times New Roman"/>
                <w:color w:val="000000"/>
                <w:sz w:val="28"/>
                <w:szCs w:val="28"/>
              </w:rPr>
              <w:t>2014</w:t>
            </w:r>
          </w:p>
        </w:tc>
        <w:tc>
          <w:tcPr>
            <w:tcW w:w="716" w:type="pct"/>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2015</w:t>
            </w:r>
          </w:p>
        </w:tc>
        <w:tc>
          <w:tcPr>
            <w:tcW w:w="715" w:type="pct"/>
          </w:tcPr>
          <w:p w:rsidR="0007378F" w:rsidRPr="00D81254" w:rsidRDefault="0007378F" w:rsidP="00E266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2016</w:t>
            </w:r>
          </w:p>
        </w:tc>
      </w:tr>
      <w:tr w:rsidR="0007378F" w:rsidRPr="00D81254" w:rsidTr="00E266FC">
        <w:trPr>
          <w:trHeight w:val="323"/>
        </w:trPr>
        <w:tc>
          <w:tcPr>
            <w:cnfStyle w:val="001000000000" w:firstRow="0" w:lastRow="0" w:firstColumn="1" w:lastColumn="0" w:oddVBand="0" w:evenVBand="0" w:oddHBand="0" w:evenHBand="0" w:firstRowFirstColumn="0" w:firstRowLastColumn="0" w:lastRowFirstColumn="0" w:lastRowLastColumn="0"/>
            <w:tcW w:w="1417" w:type="pct"/>
            <w:noWrap/>
            <w:hideMark/>
          </w:tcPr>
          <w:p w:rsidR="0007378F" w:rsidRPr="005C04E7" w:rsidRDefault="0007378F" w:rsidP="00E266FC">
            <w:pPr>
              <w:spacing w:line="360" w:lineRule="auto"/>
              <w:jc w:val="center"/>
              <w:rPr>
                <w:rFonts w:ascii="Times New Roman" w:eastAsia="Times New Roman" w:hAnsi="Times New Roman" w:cs="Times New Roman"/>
                <w:color w:val="000000"/>
                <w:sz w:val="24"/>
                <w:szCs w:val="24"/>
              </w:rPr>
            </w:pPr>
            <w:r w:rsidRPr="005C04E7">
              <w:rPr>
                <w:rFonts w:ascii="Times New Roman" w:eastAsia="Times New Roman" w:hAnsi="Times New Roman" w:cs="Times New Roman"/>
                <w:color w:val="000000"/>
                <w:sz w:val="24"/>
                <w:szCs w:val="24"/>
              </w:rPr>
              <w:t>Dhaka Bank</w:t>
            </w:r>
          </w:p>
        </w:tc>
        <w:tc>
          <w:tcPr>
            <w:tcW w:w="718" w:type="pct"/>
            <w:noWrap/>
            <w:hideMark/>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0.1629</w:t>
            </w:r>
          </w:p>
        </w:tc>
        <w:tc>
          <w:tcPr>
            <w:tcW w:w="718" w:type="pct"/>
            <w:noWrap/>
            <w:hideMark/>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0.1645</w:t>
            </w:r>
          </w:p>
        </w:tc>
        <w:tc>
          <w:tcPr>
            <w:tcW w:w="716" w:type="pct"/>
            <w:noWrap/>
            <w:hideMark/>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0.1618</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0.1105</w:t>
            </w:r>
          </w:p>
        </w:tc>
        <w:tc>
          <w:tcPr>
            <w:tcW w:w="715"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0.0987</w:t>
            </w:r>
          </w:p>
        </w:tc>
      </w:tr>
      <w:tr w:rsidR="0007378F" w:rsidRPr="00D81254" w:rsidTr="00E266F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5C04E7" w:rsidRDefault="0007378F" w:rsidP="00E266FC">
            <w:pPr>
              <w:spacing w:line="360" w:lineRule="auto"/>
              <w:jc w:val="center"/>
              <w:rPr>
                <w:rFonts w:ascii="Times New Roman" w:eastAsia="Times New Roman" w:hAnsi="Times New Roman" w:cs="Times New Roman"/>
                <w:color w:val="000000"/>
                <w:sz w:val="24"/>
                <w:szCs w:val="24"/>
              </w:rPr>
            </w:pPr>
            <w:r w:rsidRPr="005C04E7">
              <w:rPr>
                <w:rFonts w:ascii="Times New Roman" w:eastAsia="Times New Roman" w:hAnsi="Times New Roman" w:cs="Times New Roman"/>
                <w:color w:val="000000"/>
                <w:sz w:val="24"/>
                <w:szCs w:val="24"/>
              </w:rPr>
              <w:t>Brac Bank</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0.2289</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0.4205</w:t>
            </w:r>
          </w:p>
        </w:tc>
        <w:tc>
          <w:tcPr>
            <w:tcW w:w="716"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0.2595</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0.4458</w:t>
            </w:r>
          </w:p>
        </w:tc>
        <w:tc>
          <w:tcPr>
            <w:tcW w:w="715"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0.3355</w:t>
            </w:r>
          </w:p>
        </w:tc>
      </w:tr>
      <w:tr w:rsidR="0007378F" w:rsidRPr="00D81254" w:rsidTr="00E266FC">
        <w:trPr>
          <w:trHeight w:val="323"/>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5C04E7" w:rsidRDefault="0007378F" w:rsidP="00E266FC">
            <w:pPr>
              <w:spacing w:line="360" w:lineRule="auto"/>
              <w:jc w:val="center"/>
              <w:rPr>
                <w:rFonts w:ascii="Times New Roman" w:eastAsia="Times New Roman" w:hAnsi="Times New Roman" w:cs="Times New Roman"/>
                <w:color w:val="000000"/>
                <w:sz w:val="24"/>
                <w:szCs w:val="24"/>
              </w:rPr>
            </w:pPr>
            <w:r w:rsidRPr="005C04E7">
              <w:rPr>
                <w:rFonts w:ascii="Times New Roman" w:eastAsia="Times New Roman" w:hAnsi="Times New Roman" w:cs="Times New Roman"/>
                <w:color w:val="000000"/>
                <w:sz w:val="24"/>
                <w:szCs w:val="24"/>
              </w:rPr>
              <w:t>Dutch Bangla Banks</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0.2132</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0.1583</w:t>
            </w:r>
          </w:p>
        </w:tc>
        <w:tc>
          <w:tcPr>
            <w:tcW w:w="716"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0.0834</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-2.8101</w:t>
            </w:r>
          </w:p>
        </w:tc>
        <w:tc>
          <w:tcPr>
            <w:tcW w:w="715"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-2.6644</w:t>
            </w:r>
          </w:p>
        </w:tc>
      </w:tr>
      <w:tr w:rsidR="0007378F" w:rsidRPr="00D81254" w:rsidTr="00E266F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jc w:val="center"/>
              <w:rPr>
                <w:rFonts w:asciiTheme="majorHAnsi" w:hAnsiTheme="majorHAnsi" w:cs="Arial"/>
                <w:b w:val="0"/>
                <w:color w:val="000000"/>
                <w:sz w:val="24"/>
                <w:szCs w:val="24"/>
              </w:rPr>
            </w:pPr>
            <w:r w:rsidRPr="00D3445D">
              <w:rPr>
                <w:rFonts w:asciiTheme="majorHAnsi" w:hAnsiTheme="majorHAnsi" w:cs="Arial"/>
                <w:b w:val="0"/>
                <w:color w:val="000000"/>
                <w:sz w:val="24"/>
                <w:szCs w:val="24"/>
              </w:rPr>
              <w:t xml:space="preserve">Bank Asia  </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1.6178</w:t>
            </w:r>
          </w:p>
        </w:tc>
        <w:tc>
          <w:tcPr>
            <w:tcW w:w="718"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1.6954</w:t>
            </w:r>
          </w:p>
        </w:tc>
        <w:tc>
          <w:tcPr>
            <w:tcW w:w="716" w:type="pct"/>
            <w:noWrap/>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0.1212</w:t>
            </w:r>
          </w:p>
        </w:tc>
        <w:tc>
          <w:tcPr>
            <w:tcW w:w="716"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0.1364</w:t>
            </w:r>
          </w:p>
        </w:tc>
        <w:tc>
          <w:tcPr>
            <w:tcW w:w="715" w:type="pct"/>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rPr>
            </w:pPr>
            <w:r>
              <w:rPr>
                <w:rFonts w:ascii="Cambria" w:hAnsi="Cambria" w:cs="Arial"/>
                <w:color w:val="000000"/>
              </w:rPr>
              <w:t>0.0872</w:t>
            </w:r>
          </w:p>
        </w:tc>
      </w:tr>
      <w:tr w:rsidR="0007378F" w:rsidRPr="00D81254" w:rsidTr="00E266FC">
        <w:trPr>
          <w:trHeight w:val="323"/>
        </w:trPr>
        <w:tc>
          <w:tcPr>
            <w:cnfStyle w:val="001000000000" w:firstRow="0" w:lastRow="0" w:firstColumn="1" w:lastColumn="0" w:oddVBand="0" w:evenVBand="0" w:oddHBand="0" w:evenHBand="0" w:firstRowFirstColumn="0" w:firstRowLastColumn="0" w:lastRowFirstColumn="0" w:lastRowLastColumn="0"/>
            <w:tcW w:w="1417" w:type="pct"/>
            <w:noWrap/>
          </w:tcPr>
          <w:p w:rsidR="0007378F" w:rsidRPr="00D3445D" w:rsidRDefault="0007378F" w:rsidP="00E266FC">
            <w:pPr>
              <w:jc w:val="center"/>
              <w:rPr>
                <w:rFonts w:asciiTheme="majorHAnsi" w:hAnsiTheme="majorHAnsi" w:cs="Arial"/>
                <w:b w:val="0"/>
                <w:color w:val="000000"/>
                <w:sz w:val="24"/>
                <w:szCs w:val="24"/>
              </w:rPr>
            </w:pPr>
            <w:r w:rsidRPr="00D3445D">
              <w:rPr>
                <w:rFonts w:asciiTheme="majorHAnsi" w:hAnsiTheme="majorHAnsi" w:cs="Arial"/>
                <w:b w:val="0"/>
                <w:color w:val="000000"/>
                <w:sz w:val="24"/>
                <w:szCs w:val="24"/>
              </w:rPr>
              <w:t xml:space="preserve">IFIC Bank  </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0.2483</w:t>
            </w:r>
          </w:p>
        </w:tc>
        <w:tc>
          <w:tcPr>
            <w:tcW w:w="718"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0.1479</w:t>
            </w:r>
          </w:p>
        </w:tc>
        <w:tc>
          <w:tcPr>
            <w:tcW w:w="716" w:type="pct"/>
            <w:noWrap/>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0.1453</w:t>
            </w:r>
          </w:p>
        </w:tc>
        <w:tc>
          <w:tcPr>
            <w:tcW w:w="716"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0.0761</w:t>
            </w:r>
          </w:p>
        </w:tc>
        <w:tc>
          <w:tcPr>
            <w:tcW w:w="715" w:type="pct"/>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Cambria" w:hAnsi="Cambria" w:cs="Arial"/>
                <w:color w:val="000000"/>
              </w:rPr>
            </w:pPr>
            <w:r>
              <w:rPr>
                <w:rFonts w:ascii="Cambria" w:hAnsi="Cambria" w:cs="Arial"/>
                <w:color w:val="000000"/>
              </w:rPr>
              <w:t>0.0946</w:t>
            </w:r>
          </w:p>
        </w:tc>
      </w:tr>
    </w:tbl>
    <w:p w:rsidR="0007378F" w:rsidRDefault="0007378F" w:rsidP="0007378F">
      <w:pPr>
        <w:spacing w:before="240" w:after="0" w:line="360" w:lineRule="auto"/>
        <w:jc w:val="center"/>
        <w:rPr>
          <w:rFonts w:ascii="Times New Roman" w:hAnsi="Times New Roman" w:cs="Times New Roman"/>
          <w:sz w:val="24"/>
        </w:rPr>
      </w:pPr>
      <w:r>
        <w:rPr>
          <w:noProof/>
        </w:rPr>
        <w:lastRenderedPageBreak/>
        <w:drawing>
          <wp:inline distT="0" distB="0" distL="0" distR="0" wp14:anchorId="7FBD3FF0" wp14:editId="1A4AE9D4">
            <wp:extent cx="3533242" cy="1843431"/>
            <wp:effectExtent l="0" t="0" r="0" b="4445"/>
            <wp:docPr id="20" name="Chart 20">
              <a:extLst xmlns:a="http://schemas.openxmlformats.org/drawingml/2006/main">
                <a:ext uri="{FF2B5EF4-FFF2-40B4-BE49-F238E27FC236}">
                  <a16:creationId xmlns:w15="http://schemas.microsoft.com/office/word/2012/wordml" xmlns:arto="http://schemas.microsoft.com/office/word/2006/arto"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lc="http://schemas.openxmlformats.org/drawingml/2006/lockedCanva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7378F" w:rsidRDefault="0007378F" w:rsidP="00D83822">
      <w:pPr>
        <w:spacing w:after="0" w:line="360" w:lineRule="auto"/>
        <w:jc w:val="both"/>
        <w:rPr>
          <w:rFonts w:ascii="Times New Roman" w:hAnsi="Times New Roman" w:cs="Times New Roman"/>
          <w:sz w:val="24"/>
          <w:szCs w:val="24"/>
        </w:rPr>
      </w:pPr>
      <w:r w:rsidRPr="000560BD">
        <w:rPr>
          <w:rFonts w:ascii="Times New Roman" w:hAnsi="Times New Roman" w:cs="Times New Roman"/>
          <w:sz w:val="24"/>
          <w:szCs w:val="24"/>
        </w:rPr>
        <w:t xml:space="preserve">Return on equity of Dhaka Bank and Brac bank increase in 2013 but in 2014 it start to decrease but it increase in  2015. Return of equity of Dutch Bangla Bank decrease from 2012 to 2016 every year. From the above table we can see that ROE of Dhaka Bank was </w:t>
      </w:r>
      <w:r w:rsidRPr="000560BD">
        <w:rPr>
          <w:rFonts w:ascii="Times New Roman" w:hAnsi="Times New Roman" w:cs="Times New Roman"/>
          <w:b/>
          <w:sz w:val="24"/>
          <w:szCs w:val="24"/>
        </w:rPr>
        <w:t>0.1629</w:t>
      </w:r>
      <w:r w:rsidRPr="000560BD">
        <w:rPr>
          <w:rFonts w:ascii="Times New Roman" w:hAnsi="Times New Roman" w:cs="Times New Roman"/>
          <w:sz w:val="24"/>
          <w:szCs w:val="24"/>
        </w:rPr>
        <w:t xml:space="preserve">in 2012 </w:t>
      </w:r>
      <w:r w:rsidR="00D83822">
        <w:rPr>
          <w:rFonts w:ascii="Times New Roman" w:hAnsi="Times New Roman" w:cs="Times New Roman"/>
          <w:sz w:val="24"/>
          <w:szCs w:val="24"/>
        </w:rPr>
        <w:t xml:space="preserve">and </w:t>
      </w:r>
      <w:r w:rsidRPr="000560BD">
        <w:rPr>
          <w:rFonts w:ascii="Times New Roman" w:hAnsi="Times New Roman" w:cs="Times New Roman"/>
          <w:color w:val="000000"/>
          <w:sz w:val="24"/>
          <w:szCs w:val="24"/>
        </w:rPr>
        <w:t xml:space="preserve">0.0987 </w:t>
      </w:r>
      <w:r w:rsidRPr="000560BD">
        <w:rPr>
          <w:rFonts w:ascii="Times New Roman" w:hAnsi="Times New Roman" w:cs="Times New Roman"/>
          <w:sz w:val="24"/>
          <w:szCs w:val="24"/>
        </w:rPr>
        <w:t>in 2016. It indicates that Dhaka Bank, Brac Bank, Dutch Bangla Bank, Bank Asia, IFIC bank are not  using their assets in a proper way and also their capable to earning more money against its equity or maximization of shareholders wealth decreases. Within these five bank BRAC Bank’s Return of equity is better.</w:t>
      </w:r>
    </w:p>
    <w:p w:rsidR="00D83822" w:rsidRPr="00D83822" w:rsidRDefault="00D83822" w:rsidP="00D83822">
      <w:pPr>
        <w:spacing w:after="0" w:line="360" w:lineRule="auto"/>
        <w:jc w:val="both"/>
        <w:rPr>
          <w:rFonts w:ascii="Times New Roman" w:hAnsi="Times New Roman" w:cs="Times New Roman"/>
          <w:sz w:val="18"/>
          <w:szCs w:val="24"/>
        </w:rPr>
      </w:pPr>
    </w:p>
    <w:p w:rsidR="0007378F" w:rsidRPr="00812721" w:rsidRDefault="0007378F" w:rsidP="00D83822">
      <w:pPr>
        <w:pStyle w:val="Heading1"/>
        <w:numPr>
          <w:ilvl w:val="0"/>
          <w:numId w:val="6"/>
        </w:numPr>
        <w:spacing w:before="0" w:after="240" w:line="360" w:lineRule="auto"/>
        <w:jc w:val="both"/>
      </w:pPr>
      <w:bookmarkStart w:id="21" w:name="_Toc518818062"/>
      <w:r>
        <w:t>Trend analysis of nonperforming loan</w:t>
      </w:r>
      <w:bookmarkEnd w:id="21"/>
    </w:p>
    <w:p w:rsidR="0007378F" w:rsidRPr="00857558" w:rsidRDefault="0007378F" w:rsidP="0007378F">
      <w:pPr>
        <w:spacing w:line="360" w:lineRule="auto"/>
        <w:jc w:val="both"/>
        <w:rPr>
          <w:rFonts w:ascii="Times New Roman" w:hAnsi="Times New Roman" w:cs="Times New Roman"/>
          <w:sz w:val="24"/>
        </w:rPr>
      </w:pPr>
      <w:r w:rsidRPr="00857558">
        <w:rPr>
          <w:rFonts w:ascii="Times New Roman" w:hAnsi="Times New Roman" w:cs="Times New Roman"/>
          <w:sz w:val="24"/>
        </w:rPr>
        <w:t xml:space="preserve">Nonperforming loan (NPL) is the sum of borrowed money upon which the debtor has not made the scheduled payments for a period of time of usually at least 90 days for commercial banking loans and 180 days for consumer loans. </w:t>
      </w:r>
      <w:r>
        <w:rPr>
          <w:rFonts w:ascii="Times New Roman" w:hAnsi="Times New Roman" w:cs="Times New Roman"/>
          <w:sz w:val="24"/>
        </w:rPr>
        <w:t xml:space="preserve"> </w:t>
      </w:r>
      <w:r w:rsidRPr="00857558">
        <w:rPr>
          <w:rFonts w:ascii="Times New Roman" w:hAnsi="Times New Roman" w:cs="Times New Roman"/>
          <w:sz w:val="24"/>
        </w:rPr>
        <w:t>Any definiti</w:t>
      </w:r>
      <w:r>
        <w:rPr>
          <w:rFonts w:ascii="Times New Roman" w:hAnsi="Times New Roman" w:cs="Times New Roman"/>
          <w:sz w:val="24"/>
        </w:rPr>
        <w:t>on of a nonperforming loan depend</w:t>
      </w:r>
      <w:r w:rsidRPr="00857558">
        <w:rPr>
          <w:rFonts w:ascii="Times New Roman" w:hAnsi="Times New Roman" w:cs="Times New Roman"/>
          <w:sz w:val="24"/>
        </w:rPr>
        <w:t xml:space="preserve"> on the loan's particular terms and agreement.</w:t>
      </w:r>
    </w:p>
    <w:p w:rsidR="0007378F" w:rsidRDefault="0007378F" w:rsidP="0007378F">
      <w:pPr>
        <w:spacing w:line="360" w:lineRule="auto"/>
        <w:jc w:val="both"/>
        <w:rPr>
          <w:rFonts w:ascii="Times New Roman" w:hAnsi="Times New Roman" w:cs="Times New Roman"/>
          <w:sz w:val="24"/>
        </w:rPr>
      </w:pPr>
      <w:r>
        <w:rPr>
          <w:rFonts w:ascii="Times New Roman" w:hAnsi="Times New Roman" w:cs="Times New Roman"/>
          <w:sz w:val="24"/>
        </w:rPr>
        <w:t>Non-Performing loan or Default loan classified in three category there are sub-standard loan, doubtful loan and bad loan. Here I am discussing these category and show the present situation of these types of loan in our country.</w:t>
      </w:r>
    </w:p>
    <w:p w:rsidR="0007378F" w:rsidRDefault="0007378F" w:rsidP="0007378F">
      <w:pPr>
        <w:spacing w:line="360" w:lineRule="auto"/>
        <w:jc w:val="both"/>
        <w:rPr>
          <w:rFonts w:ascii="Times New Roman" w:hAnsi="Times New Roman" w:cs="Times New Roman"/>
          <w:sz w:val="24"/>
        </w:rPr>
      </w:pPr>
      <w:r w:rsidRPr="00B76237">
        <w:rPr>
          <w:rFonts w:ascii="Times New Roman" w:hAnsi="Times New Roman" w:cs="Times New Roman"/>
          <w:sz w:val="24"/>
        </w:rPr>
        <w:t>Trend analysis is a technical analysis that forecast the future performance base on the present and past data. Trend analysis give an idea about future base on the past performance.</w:t>
      </w:r>
      <w:r>
        <w:rPr>
          <w:rFonts w:ascii="Times New Roman" w:hAnsi="Times New Roman" w:cs="Times New Roman"/>
          <w:sz w:val="24"/>
        </w:rPr>
        <w:t xml:space="preserve"> Here we work on the five years from 2012 to 2016 and predict change of non-performing loan for next two years 2017 and 2018. </w:t>
      </w:r>
    </w:p>
    <w:p w:rsidR="0007378F" w:rsidRPr="00B76237" w:rsidRDefault="0007378F" w:rsidP="0007378F">
      <w:pPr>
        <w:spacing w:line="360" w:lineRule="auto"/>
        <w:jc w:val="both"/>
        <w:rPr>
          <w:rFonts w:ascii="Times New Roman" w:hAnsi="Times New Roman" w:cs="Times New Roman"/>
          <w:sz w:val="24"/>
        </w:rPr>
      </w:pPr>
      <w:r w:rsidRPr="0011327D">
        <w:rPr>
          <w:rFonts w:ascii="Times New Roman" w:hAnsi="Times New Roman" w:cs="Times New Roman"/>
          <w:color w:val="000000"/>
          <w:sz w:val="24"/>
          <w:szCs w:val="24"/>
        </w:rPr>
        <w:t>R²</w:t>
      </w:r>
      <w:r>
        <w:rPr>
          <w:rFonts w:ascii="Times New Roman" w:hAnsi="Times New Roman" w:cs="Times New Roman"/>
          <w:color w:val="000000"/>
          <w:sz w:val="24"/>
          <w:szCs w:val="24"/>
        </w:rPr>
        <w:t xml:space="preserve"> refers the non-performing loan shift or change one year to the next year. If </w:t>
      </w:r>
      <w:r w:rsidRPr="0011327D">
        <w:rPr>
          <w:rFonts w:ascii="Times New Roman" w:hAnsi="Times New Roman" w:cs="Times New Roman"/>
          <w:color w:val="000000"/>
          <w:sz w:val="24"/>
          <w:szCs w:val="24"/>
        </w:rPr>
        <w:t>R²</w:t>
      </w:r>
      <w:r>
        <w:rPr>
          <w:rFonts w:ascii="Times New Roman" w:hAnsi="Times New Roman" w:cs="Times New Roman"/>
          <w:color w:val="000000"/>
          <w:sz w:val="24"/>
          <w:szCs w:val="24"/>
        </w:rPr>
        <w:t xml:space="preserve">is higher then it refers that consider independent variable more (time) more effectively. Time is independent variable and non-performing loan is dependent variable. The standard value of </w:t>
      </w:r>
      <w:r w:rsidRPr="0011327D">
        <w:rPr>
          <w:rFonts w:ascii="Times New Roman" w:hAnsi="Times New Roman" w:cs="Times New Roman"/>
          <w:color w:val="000000"/>
          <w:sz w:val="24"/>
          <w:szCs w:val="24"/>
        </w:rPr>
        <w:t>R²</w:t>
      </w:r>
      <w:r>
        <w:rPr>
          <w:rFonts w:ascii="Times New Roman" w:hAnsi="Times New Roman" w:cs="Times New Roman"/>
          <w:color w:val="000000"/>
          <w:sz w:val="24"/>
          <w:szCs w:val="24"/>
        </w:rPr>
        <w:t xml:space="preserve"> is 0.50. If </w:t>
      </w:r>
      <w:r w:rsidRPr="0011327D">
        <w:rPr>
          <w:rFonts w:ascii="Times New Roman" w:hAnsi="Times New Roman" w:cs="Times New Roman"/>
          <w:color w:val="000000"/>
          <w:sz w:val="24"/>
          <w:szCs w:val="24"/>
        </w:rPr>
        <w:t>R²</w:t>
      </w:r>
      <w:r>
        <w:rPr>
          <w:rFonts w:ascii="Times New Roman" w:hAnsi="Times New Roman" w:cs="Times New Roman"/>
          <w:color w:val="000000"/>
          <w:sz w:val="24"/>
          <w:szCs w:val="24"/>
        </w:rPr>
        <w:t xml:space="preserve"> of any bank is more than 0.50 it refers that which amount of non-performing </w:t>
      </w:r>
      <w:r>
        <w:rPr>
          <w:rFonts w:ascii="Times New Roman" w:hAnsi="Times New Roman" w:cs="Times New Roman"/>
          <w:color w:val="000000"/>
          <w:sz w:val="24"/>
          <w:szCs w:val="24"/>
        </w:rPr>
        <w:lastRenderedPageBreak/>
        <w:t xml:space="preserve">loan we will get for next year will be more appropriate. But </w:t>
      </w:r>
      <w:r w:rsidRPr="0011327D">
        <w:rPr>
          <w:rFonts w:ascii="Times New Roman" w:hAnsi="Times New Roman" w:cs="Times New Roman"/>
          <w:color w:val="000000"/>
          <w:sz w:val="24"/>
          <w:szCs w:val="24"/>
        </w:rPr>
        <w:t>R²</w:t>
      </w:r>
      <w:r>
        <w:rPr>
          <w:rFonts w:ascii="Times New Roman" w:hAnsi="Times New Roman" w:cs="Times New Roman"/>
          <w:color w:val="000000"/>
          <w:sz w:val="24"/>
          <w:szCs w:val="24"/>
        </w:rPr>
        <w:t xml:space="preserve"> don’t refer probability it refers the explanatory power of independent variable.      </w:t>
      </w:r>
    </w:p>
    <w:p w:rsidR="0007378F" w:rsidRPr="000560BD" w:rsidRDefault="0007378F" w:rsidP="0007378F">
      <w:pPr>
        <w:pStyle w:val="ListParagraph"/>
        <w:numPr>
          <w:ilvl w:val="0"/>
          <w:numId w:val="43"/>
        </w:numPr>
        <w:rPr>
          <w:b/>
          <w:color w:val="4F81BD" w:themeColor="accent1"/>
          <w:sz w:val="28"/>
        </w:rPr>
      </w:pPr>
      <w:r w:rsidRPr="000560BD">
        <w:rPr>
          <w:b/>
          <w:color w:val="4F81BD" w:themeColor="accent1"/>
          <w:sz w:val="28"/>
        </w:rPr>
        <w:t>Sub-standard loan</w:t>
      </w:r>
    </w:p>
    <w:p w:rsidR="0007378F" w:rsidRPr="00D71B78" w:rsidRDefault="0007378F" w:rsidP="0007378F">
      <w:pPr>
        <w:spacing w:line="360" w:lineRule="auto"/>
        <w:jc w:val="both"/>
        <w:rPr>
          <w:b/>
          <w:sz w:val="28"/>
        </w:rPr>
      </w:pPr>
      <w:r w:rsidRPr="008178B3">
        <w:rPr>
          <w:rFonts w:ascii="Times New Roman" w:hAnsi="Times New Roman" w:cs="Times New Roman"/>
          <w:sz w:val="24"/>
        </w:rPr>
        <w:t>Sub- standard loan is a classification of </w:t>
      </w:r>
      <w:r>
        <w:rPr>
          <w:rFonts w:ascii="Times New Roman" w:hAnsi="Times New Roman" w:cs="Times New Roman"/>
          <w:sz w:val="24"/>
        </w:rPr>
        <w:t>loan</w:t>
      </w:r>
      <w:r w:rsidRPr="008178B3">
        <w:rPr>
          <w:rFonts w:ascii="Times New Roman" w:hAnsi="Times New Roman" w:cs="Times New Roman"/>
          <w:sz w:val="24"/>
        </w:rPr>
        <w:t> that is expected to </w:t>
      </w:r>
      <w:r>
        <w:rPr>
          <w:rFonts w:ascii="Times New Roman" w:hAnsi="Times New Roman" w:cs="Times New Roman"/>
          <w:sz w:val="24"/>
        </w:rPr>
        <w:t>loss</w:t>
      </w:r>
      <w:r w:rsidRPr="008178B3">
        <w:rPr>
          <w:rFonts w:ascii="Times New Roman" w:hAnsi="Times New Roman" w:cs="Times New Roman"/>
          <w:sz w:val="24"/>
        </w:rPr>
        <w:t> of </w:t>
      </w:r>
      <w:r>
        <w:rPr>
          <w:rFonts w:ascii="Times New Roman" w:hAnsi="Times New Roman" w:cs="Times New Roman"/>
          <w:sz w:val="24"/>
        </w:rPr>
        <w:t>earning</w:t>
      </w:r>
      <w:r w:rsidRPr="008178B3">
        <w:rPr>
          <w:rFonts w:ascii="Times New Roman" w:hAnsi="Times New Roman" w:cs="Times New Roman"/>
          <w:sz w:val="24"/>
        </w:rPr>
        <w:t> for the </w:t>
      </w:r>
      <w:r>
        <w:rPr>
          <w:rFonts w:ascii="Times New Roman" w:hAnsi="Times New Roman" w:cs="Times New Roman"/>
          <w:sz w:val="24"/>
        </w:rPr>
        <w:t>bank (lender), because the</w:t>
      </w:r>
      <w:r w:rsidRPr="008178B3">
        <w:rPr>
          <w:rFonts w:ascii="Times New Roman" w:hAnsi="Times New Roman" w:cs="Times New Roman"/>
          <w:sz w:val="24"/>
        </w:rPr>
        <w:t xml:space="preserve"> creditor is unlikely to be</w:t>
      </w:r>
      <w:r>
        <w:rPr>
          <w:rFonts w:ascii="Times New Roman" w:hAnsi="Times New Roman" w:cs="Times New Roman"/>
          <w:sz w:val="24"/>
        </w:rPr>
        <w:t xml:space="preserve"> able</w:t>
      </w:r>
      <w:r w:rsidRPr="008178B3">
        <w:rPr>
          <w:rFonts w:ascii="Times New Roman" w:hAnsi="Times New Roman" w:cs="Times New Roman"/>
          <w:sz w:val="24"/>
        </w:rPr>
        <w:t> to completely </w:t>
      </w:r>
      <w:r>
        <w:rPr>
          <w:rFonts w:ascii="Times New Roman" w:hAnsi="Times New Roman" w:cs="Times New Roman"/>
          <w:sz w:val="24"/>
        </w:rPr>
        <w:t>repayment</w:t>
      </w:r>
      <w:r w:rsidRPr="008178B3">
        <w:rPr>
          <w:rFonts w:ascii="Times New Roman" w:hAnsi="Times New Roman" w:cs="Times New Roman"/>
          <w:sz w:val="24"/>
        </w:rPr>
        <w:t> the loan for some</w:t>
      </w:r>
      <w:r>
        <w:rPr>
          <w:rFonts w:ascii="Times New Roman" w:hAnsi="Times New Roman" w:cs="Times New Roman"/>
          <w:sz w:val="24"/>
        </w:rPr>
        <w:t xml:space="preserve"> reason. Bank generally agree to issue substandard loan even though it refers some revenue may be lost but most of the time no principal won’t be loss. It means some interest may be face loss but full principal will be collected.</w:t>
      </w:r>
    </w:p>
    <w:tbl>
      <w:tblPr>
        <w:tblStyle w:val="MediumGrid1-Accent6"/>
        <w:tblW w:w="0" w:type="auto"/>
        <w:tblLook w:val="04A0" w:firstRow="1" w:lastRow="0" w:firstColumn="1" w:lastColumn="0" w:noHBand="0" w:noVBand="1"/>
      </w:tblPr>
      <w:tblGrid>
        <w:gridCol w:w="1705"/>
        <w:gridCol w:w="1236"/>
        <w:gridCol w:w="1366"/>
        <w:gridCol w:w="1405"/>
        <w:gridCol w:w="1366"/>
        <w:gridCol w:w="1366"/>
        <w:gridCol w:w="799"/>
      </w:tblGrid>
      <w:tr w:rsidR="0007378F" w:rsidTr="00E2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07378F" w:rsidRPr="0014614B" w:rsidRDefault="0007378F" w:rsidP="00E266FC">
            <w:pPr>
              <w:rPr>
                <w:rFonts w:ascii="Times New Roman" w:hAnsi="Times New Roman" w:cs="Times New Roman"/>
                <w:sz w:val="24"/>
                <w:szCs w:val="24"/>
              </w:rPr>
            </w:pPr>
            <w:r w:rsidRPr="0014614B">
              <w:rPr>
                <w:rFonts w:ascii="Times New Roman" w:hAnsi="Times New Roman" w:cs="Times New Roman"/>
                <w:sz w:val="24"/>
                <w:szCs w:val="24"/>
              </w:rPr>
              <w:t>year</w:t>
            </w:r>
          </w:p>
        </w:tc>
        <w:tc>
          <w:tcPr>
            <w:tcW w:w="1244" w:type="dxa"/>
          </w:tcPr>
          <w:p w:rsidR="0007378F" w:rsidRPr="0014614B"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4614B">
              <w:rPr>
                <w:rFonts w:ascii="Times New Roman" w:hAnsi="Times New Roman" w:cs="Times New Roman"/>
                <w:color w:val="000000"/>
                <w:sz w:val="24"/>
                <w:szCs w:val="24"/>
              </w:rPr>
              <w:t>2012</w:t>
            </w:r>
          </w:p>
        </w:tc>
        <w:tc>
          <w:tcPr>
            <w:tcW w:w="1366" w:type="dxa"/>
          </w:tcPr>
          <w:p w:rsidR="0007378F" w:rsidRPr="0014614B"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4614B">
              <w:rPr>
                <w:rFonts w:ascii="Times New Roman" w:hAnsi="Times New Roman" w:cs="Times New Roman"/>
                <w:color w:val="000000"/>
                <w:sz w:val="24"/>
                <w:szCs w:val="24"/>
              </w:rPr>
              <w:t>2013</w:t>
            </w:r>
          </w:p>
        </w:tc>
        <w:tc>
          <w:tcPr>
            <w:tcW w:w="1422" w:type="dxa"/>
          </w:tcPr>
          <w:p w:rsidR="0007378F" w:rsidRPr="0014614B"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4614B">
              <w:rPr>
                <w:rFonts w:ascii="Times New Roman" w:hAnsi="Times New Roman" w:cs="Times New Roman"/>
                <w:color w:val="000000"/>
                <w:sz w:val="24"/>
                <w:szCs w:val="24"/>
              </w:rPr>
              <w:t>2014</w:t>
            </w:r>
          </w:p>
        </w:tc>
        <w:tc>
          <w:tcPr>
            <w:tcW w:w="1366" w:type="dxa"/>
          </w:tcPr>
          <w:p w:rsidR="0007378F" w:rsidRPr="0014614B"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4614B">
              <w:rPr>
                <w:rFonts w:ascii="Times New Roman" w:hAnsi="Times New Roman" w:cs="Times New Roman"/>
                <w:color w:val="000000"/>
                <w:sz w:val="24"/>
                <w:szCs w:val="24"/>
              </w:rPr>
              <w:t>2015</w:t>
            </w:r>
          </w:p>
        </w:tc>
        <w:tc>
          <w:tcPr>
            <w:tcW w:w="1366" w:type="dxa"/>
          </w:tcPr>
          <w:p w:rsidR="0007378F" w:rsidRPr="0014614B"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4614B">
              <w:rPr>
                <w:rFonts w:ascii="Times New Roman" w:hAnsi="Times New Roman" w:cs="Times New Roman"/>
                <w:color w:val="000000"/>
                <w:sz w:val="24"/>
                <w:szCs w:val="24"/>
              </w:rPr>
              <w:t>2016</w:t>
            </w:r>
          </w:p>
        </w:tc>
        <w:tc>
          <w:tcPr>
            <w:tcW w:w="814" w:type="dxa"/>
          </w:tcPr>
          <w:p w:rsidR="0007378F" w:rsidRPr="0014614B"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1327D">
              <w:rPr>
                <w:rFonts w:ascii="Times New Roman" w:hAnsi="Times New Roman" w:cs="Times New Roman"/>
                <w:color w:val="000000"/>
                <w:sz w:val="24"/>
                <w:szCs w:val="24"/>
              </w:rPr>
              <w:t>R²</w:t>
            </w:r>
          </w:p>
        </w:tc>
      </w:tr>
      <w:tr w:rsidR="0007378F" w:rsidRPr="0014614B"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07378F" w:rsidRPr="0014614B" w:rsidRDefault="0007378F" w:rsidP="00E266FC">
            <w:pPr>
              <w:rPr>
                <w:rFonts w:ascii="Times New Roman" w:hAnsi="Times New Roman" w:cs="Times New Roman"/>
                <w:color w:val="000000"/>
                <w:sz w:val="24"/>
                <w:szCs w:val="24"/>
              </w:rPr>
            </w:pPr>
            <w:r w:rsidRPr="0014614B">
              <w:rPr>
                <w:rFonts w:ascii="Times New Roman" w:hAnsi="Times New Roman" w:cs="Times New Roman"/>
                <w:color w:val="000000"/>
                <w:sz w:val="24"/>
                <w:szCs w:val="24"/>
              </w:rPr>
              <w:t>Dhaka Bank Limited</w:t>
            </w:r>
          </w:p>
        </w:tc>
        <w:tc>
          <w:tcPr>
            <w:tcW w:w="1244"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473,222,071</w:t>
            </w:r>
          </w:p>
        </w:tc>
        <w:tc>
          <w:tcPr>
            <w:tcW w:w="1366"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1,420,499,820</w:t>
            </w:r>
          </w:p>
        </w:tc>
        <w:tc>
          <w:tcPr>
            <w:tcW w:w="1422"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688,524,510</w:t>
            </w:r>
          </w:p>
        </w:tc>
        <w:tc>
          <w:tcPr>
            <w:tcW w:w="1366"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1,236,020,456</w:t>
            </w:r>
          </w:p>
        </w:tc>
        <w:tc>
          <w:tcPr>
            <w:tcW w:w="1366"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257,483,421</w:t>
            </w:r>
          </w:p>
        </w:tc>
        <w:tc>
          <w:tcPr>
            <w:tcW w:w="814"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0.0384</w:t>
            </w:r>
          </w:p>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07378F" w:rsidRPr="0014614B" w:rsidTr="00E266FC">
        <w:tc>
          <w:tcPr>
            <w:cnfStyle w:val="001000000000" w:firstRow="0" w:lastRow="0" w:firstColumn="1" w:lastColumn="0" w:oddVBand="0" w:evenVBand="0" w:oddHBand="0" w:evenHBand="0" w:firstRowFirstColumn="0" w:firstRowLastColumn="0" w:lastRowFirstColumn="0" w:lastRowLastColumn="0"/>
            <w:tcW w:w="1998" w:type="dxa"/>
          </w:tcPr>
          <w:p w:rsidR="0007378F" w:rsidRPr="0014614B" w:rsidRDefault="0007378F" w:rsidP="00E266FC">
            <w:pPr>
              <w:rPr>
                <w:rFonts w:ascii="Times New Roman" w:hAnsi="Times New Roman" w:cs="Times New Roman"/>
                <w:color w:val="000000"/>
                <w:sz w:val="24"/>
                <w:szCs w:val="24"/>
              </w:rPr>
            </w:pPr>
            <w:r w:rsidRPr="0014614B">
              <w:rPr>
                <w:rFonts w:ascii="Times New Roman" w:hAnsi="Times New Roman" w:cs="Times New Roman"/>
                <w:color w:val="000000"/>
                <w:sz w:val="24"/>
                <w:szCs w:val="24"/>
              </w:rPr>
              <w:t>BRAC Bank Limited</w:t>
            </w:r>
          </w:p>
          <w:p w:rsidR="0007378F" w:rsidRPr="0014614B" w:rsidRDefault="0007378F" w:rsidP="00E266FC">
            <w:pPr>
              <w:rPr>
                <w:rFonts w:ascii="Times New Roman" w:hAnsi="Times New Roman" w:cs="Times New Roman"/>
                <w:color w:val="231F20"/>
                <w:sz w:val="24"/>
                <w:szCs w:val="24"/>
              </w:rPr>
            </w:pPr>
          </w:p>
        </w:tc>
        <w:tc>
          <w:tcPr>
            <w:tcW w:w="1244"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252,571,967</w:t>
            </w:r>
          </w:p>
        </w:tc>
        <w:tc>
          <w:tcPr>
            <w:tcW w:w="1366"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343,893,649</w:t>
            </w:r>
          </w:p>
        </w:tc>
        <w:tc>
          <w:tcPr>
            <w:tcW w:w="1422"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1,429,490,706</w:t>
            </w:r>
          </w:p>
        </w:tc>
        <w:tc>
          <w:tcPr>
            <w:tcW w:w="1366"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151,510,706</w:t>
            </w:r>
          </w:p>
        </w:tc>
        <w:tc>
          <w:tcPr>
            <w:tcW w:w="1366"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80,601,628</w:t>
            </w:r>
          </w:p>
        </w:tc>
        <w:tc>
          <w:tcPr>
            <w:tcW w:w="814"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0.0233</w:t>
            </w:r>
          </w:p>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7378F" w:rsidRPr="0014614B"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07378F" w:rsidRPr="0014614B" w:rsidRDefault="0007378F" w:rsidP="00E266FC">
            <w:pPr>
              <w:rPr>
                <w:rFonts w:ascii="Times New Roman" w:hAnsi="Times New Roman" w:cs="Times New Roman"/>
                <w:color w:val="000000"/>
                <w:sz w:val="24"/>
                <w:szCs w:val="24"/>
              </w:rPr>
            </w:pPr>
            <w:r w:rsidRPr="0014614B">
              <w:rPr>
                <w:rFonts w:ascii="Times New Roman" w:hAnsi="Times New Roman" w:cs="Times New Roman"/>
                <w:color w:val="000000"/>
                <w:sz w:val="24"/>
                <w:szCs w:val="24"/>
              </w:rPr>
              <w:t xml:space="preserve">Dutch-Bangla Bank Limited  </w:t>
            </w:r>
          </w:p>
          <w:p w:rsidR="0007378F" w:rsidRPr="0014614B" w:rsidRDefault="0007378F" w:rsidP="00E266FC">
            <w:pPr>
              <w:rPr>
                <w:rFonts w:ascii="Times New Roman" w:hAnsi="Times New Roman" w:cs="Times New Roman"/>
                <w:color w:val="231F20"/>
                <w:sz w:val="24"/>
                <w:szCs w:val="24"/>
              </w:rPr>
            </w:pPr>
          </w:p>
        </w:tc>
        <w:tc>
          <w:tcPr>
            <w:tcW w:w="1244"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440,155,275</w:t>
            </w:r>
          </w:p>
        </w:tc>
        <w:tc>
          <w:tcPr>
            <w:tcW w:w="1366"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11,096,200</w:t>
            </w:r>
          </w:p>
        </w:tc>
        <w:tc>
          <w:tcPr>
            <w:tcW w:w="1422"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76,676,850</w:t>
            </w:r>
          </w:p>
        </w:tc>
        <w:tc>
          <w:tcPr>
            <w:tcW w:w="1366"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1,215,748,451</w:t>
            </w:r>
          </w:p>
        </w:tc>
        <w:tc>
          <w:tcPr>
            <w:tcW w:w="1366"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352,956,624</w:t>
            </w:r>
          </w:p>
        </w:tc>
        <w:tc>
          <w:tcPr>
            <w:tcW w:w="814"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0.115</w:t>
            </w:r>
          </w:p>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7378F" w:rsidRPr="0014614B" w:rsidTr="00E266FC">
        <w:tc>
          <w:tcPr>
            <w:cnfStyle w:val="001000000000" w:firstRow="0" w:lastRow="0" w:firstColumn="1" w:lastColumn="0" w:oddVBand="0" w:evenVBand="0" w:oddHBand="0" w:evenHBand="0" w:firstRowFirstColumn="0" w:firstRowLastColumn="0" w:lastRowFirstColumn="0" w:lastRowLastColumn="0"/>
            <w:tcW w:w="1998" w:type="dxa"/>
          </w:tcPr>
          <w:p w:rsidR="0007378F" w:rsidRPr="0014614B" w:rsidRDefault="0007378F" w:rsidP="00E266FC">
            <w:pPr>
              <w:rPr>
                <w:rFonts w:ascii="Times New Roman" w:hAnsi="Times New Roman" w:cs="Times New Roman"/>
                <w:color w:val="000000"/>
                <w:sz w:val="24"/>
                <w:szCs w:val="24"/>
              </w:rPr>
            </w:pPr>
            <w:r w:rsidRPr="0014614B">
              <w:rPr>
                <w:rFonts w:ascii="Times New Roman" w:hAnsi="Times New Roman" w:cs="Times New Roman"/>
                <w:color w:val="000000"/>
                <w:sz w:val="24"/>
                <w:szCs w:val="24"/>
              </w:rPr>
              <w:t xml:space="preserve">Bank Asia  </w:t>
            </w:r>
          </w:p>
          <w:p w:rsidR="0007378F" w:rsidRPr="0014614B" w:rsidRDefault="0007378F" w:rsidP="00E266FC">
            <w:pPr>
              <w:rPr>
                <w:rFonts w:ascii="Times New Roman" w:hAnsi="Times New Roman" w:cs="Times New Roman"/>
                <w:color w:val="231F20"/>
                <w:sz w:val="24"/>
                <w:szCs w:val="24"/>
              </w:rPr>
            </w:pPr>
          </w:p>
        </w:tc>
        <w:tc>
          <w:tcPr>
            <w:tcW w:w="1244"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531,549,128</w:t>
            </w:r>
          </w:p>
        </w:tc>
        <w:tc>
          <w:tcPr>
            <w:tcW w:w="1366"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517,380,895</w:t>
            </w:r>
          </w:p>
        </w:tc>
        <w:tc>
          <w:tcPr>
            <w:tcW w:w="1422"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425,308,000</w:t>
            </w:r>
          </w:p>
        </w:tc>
        <w:tc>
          <w:tcPr>
            <w:tcW w:w="1366"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312,964,106</w:t>
            </w:r>
          </w:p>
        </w:tc>
        <w:tc>
          <w:tcPr>
            <w:tcW w:w="1366"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24,923,695</w:t>
            </w:r>
          </w:p>
        </w:tc>
        <w:tc>
          <w:tcPr>
            <w:tcW w:w="814"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0.8574</w:t>
            </w:r>
          </w:p>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07378F" w:rsidRPr="0014614B"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07378F" w:rsidRPr="0014614B" w:rsidRDefault="0007378F" w:rsidP="00E266FC">
            <w:pPr>
              <w:rPr>
                <w:rFonts w:ascii="Times New Roman" w:hAnsi="Times New Roman" w:cs="Times New Roman"/>
                <w:color w:val="000000"/>
                <w:sz w:val="24"/>
                <w:szCs w:val="24"/>
              </w:rPr>
            </w:pPr>
            <w:r w:rsidRPr="0014614B">
              <w:rPr>
                <w:rFonts w:ascii="Times New Roman" w:hAnsi="Times New Roman" w:cs="Times New Roman"/>
                <w:color w:val="000000"/>
                <w:sz w:val="24"/>
                <w:szCs w:val="24"/>
              </w:rPr>
              <w:t xml:space="preserve">IFIC Bank  </w:t>
            </w:r>
          </w:p>
          <w:p w:rsidR="0007378F" w:rsidRPr="0014614B" w:rsidRDefault="0007378F" w:rsidP="00E266FC">
            <w:pPr>
              <w:rPr>
                <w:rFonts w:ascii="Times New Roman" w:hAnsi="Times New Roman" w:cs="Times New Roman"/>
                <w:color w:val="231F20"/>
                <w:sz w:val="24"/>
                <w:szCs w:val="24"/>
              </w:rPr>
            </w:pPr>
          </w:p>
        </w:tc>
        <w:tc>
          <w:tcPr>
            <w:tcW w:w="1244"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630,607,645</w:t>
            </w:r>
          </w:p>
        </w:tc>
        <w:tc>
          <w:tcPr>
            <w:tcW w:w="1366"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483,177,962</w:t>
            </w:r>
          </w:p>
        </w:tc>
        <w:tc>
          <w:tcPr>
            <w:tcW w:w="1422"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595,065,796</w:t>
            </w:r>
          </w:p>
        </w:tc>
        <w:tc>
          <w:tcPr>
            <w:tcW w:w="1366"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1,208,861,621</w:t>
            </w:r>
          </w:p>
        </w:tc>
        <w:tc>
          <w:tcPr>
            <w:tcW w:w="1366"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1,750,246,665</w:t>
            </w:r>
          </w:p>
        </w:tc>
        <w:tc>
          <w:tcPr>
            <w:tcW w:w="814"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0.7631</w:t>
            </w:r>
          </w:p>
        </w:tc>
      </w:tr>
    </w:tbl>
    <w:p w:rsidR="0007378F" w:rsidRDefault="0007378F" w:rsidP="0007378F"/>
    <w:p w:rsidR="0007378F" w:rsidRDefault="0007378F" w:rsidP="0007378F">
      <w:r>
        <w:rPr>
          <w:noProof/>
        </w:rPr>
        <w:drawing>
          <wp:inline distT="0" distB="0" distL="0" distR="0" wp14:anchorId="46F9256F" wp14:editId="5F1DEEBC">
            <wp:extent cx="6124755" cy="3200400"/>
            <wp:effectExtent l="0" t="0" r="9525" b="19050"/>
            <wp:docPr id="16" name="Chart 16">
              <a:extLst xmlns:a="http://schemas.openxmlformats.org/drawingml/2006/main">
                <a:ext uri="{FF2B5EF4-FFF2-40B4-BE49-F238E27FC236}">
                  <a16:creationId xmlns:w15="http://schemas.microsoft.com/office/word/2012/wordml" xmlns:lc="http://schemas.openxmlformats.org/drawingml/2006/lockedCanvas" xmlns:a16="http://schemas.microsoft.com/office/drawing/2014/main" xmlns="" xmlns:w="http://schemas.openxmlformats.org/wordprocessingml/2006/main" xmlns:w10="urn:schemas-microsoft-com:office:word" xmlns:v="urn:schemas-microsoft-com:vml" xmlns:o="urn:schemas-microsoft-com:office:office" xmlns:xdr="http://schemas.openxmlformats.org/drawingml/2006/spreadsheetDrawing"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7378F" w:rsidRPr="009158EB" w:rsidRDefault="0007378F" w:rsidP="00EF09E0">
      <w:pPr>
        <w:spacing w:after="0" w:line="360" w:lineRule="auto"/>
        <w:jc w:val="both"/>
        <w:rPr>
          <w:rFonts w:ascii="Times New Roman" w:hAnsi="Times New Roman" w:cs="Times New Roman"/>
          <w:sz w:val="24"/>
          <w:szCs w:val="24"/>
        </w:rPr>
      </w:pPr>
      <w:r w:rsidRPr="0014614B">
        <w:rPr>
          <w:rFonts w:ascii="Times New Roman" w:hAnsi="Times New Roman" w:cs="Times New Roman"/>
          <w:sz w:val="24"/>
          <w:szCs w:val="24"/>
        </w:rPr>
        <w:lastRenderedPageBreak/>
        <w:t>We are seeing that</w:t>
      </w:r>
      <w:r>
        <w:rPr>
          <w:rFonts w:ascii="Times New Roman" w:hAnsi="Times New Roman" w:cs="Times New Roman"/>
          <w:sz w:val="24"/>
          <w:szCs w:val="24"/>
        </w:rPr>
        <w:t xml:space="preserve"> </w:t>
      </w:r>
      <w:r w:rsidRPr="0011327D">
        <w:rPr>
          <w:rFonts w:ascii="Times New Roman" w:hAnsi="Times New Roman" w:cs="Times New Roman"/>
          <w:color w:val="000000"/>
          <w:sz w:val="24"/>
          <w:szCs w:val="24"/>
        </w:rPr>
        <w:t>R²</w:t>
      </w:r>
      <w:r>
        <w:rPr>
          <w:rFonts w:ascii="Times New Roman" w:hAnsi="Times New Roman" w:cs="Times New Roman"/>
          <w:sz w:val="24"/>
          <w:szCs w:val="24"/>
        </w:rPr>
        <w:t xml:space="preserve"> of sub-standard loan</w:t>
      </w:r>
      <w:r w:rsidRPr="0014614B">
        <w:rPr>
          <w:rFonts w:ascii="Times New Roman" w:hAnsi="Times New Roman" w:cs="Times New Roman"/>
          <w:sz w:val="24"/>
          <w:szCs w:val="24"/>
        </w:rPr>
        <w:t xml:space="preserve"> of</w:t>
      </w:r>
      <w:r>
        <w:rPr>
          <w:rFonts w:ascii="Times New Roman" w:hAnsi="Times New Roman" w:cs="Times New Roman"/>
          <w:sz w:val="24"/>
          <w:szCs w:val="24"/>
        </w:rPr>
        <w:t xml:space="preserve"> Dhaka Bank,</w:t>
      </w:r>
      <w:r w:rsidRPr="0014614B">
        <w:rPr>
          <w:rFonts w:ascii="Times New Roman" w:hAnsi="Times New Roman" w:cs="Times New Roman"/>
          <w:sz w:val="24"/>
          <w:szCs w:val="24"/>
        </w:rPr>
        <w:t xml:space="preserve"> Brac bank and Bank Asia is</w:t>
      </w:r>
      <w:r>
        <w:rPr>
          <w:rFonts w:ascii="Times New Roman" w:hAnsi="Times New Roman" w:cs="Times New Roman"/>
          <w:sz w:val="24"/>
          <w:szCs w:val="24"/>
        </w:rPr>
        <w:t xml:space="preserve"> less than 0.50. which refers that which value of non-performing loan we got from the trend analysis that is not enough appropriate. At the same time we get </w:t>
      </w:r>
      <w:r w:rsidRPr="0011327D">
        <w:rPr>
          <w:rFonts w:ascii="Times New Roman" w:hAnsi="Times New Roman" w:cs="Times New Roman"/>
          <w:color w:val="000000"/>
          <w:sz w:val="24"/>
          <w:szCs w:val="24"/>
        </w:rPr>
        <w:t>R²</w:t>
      </w:r>
      <w:r>
        <w:rPr>
          <w:rFonts w:ascii="Times New Roman" w:hAnsi="Times New Roman" w:cs="Times New Roman"/>
          <w:sz w:val="24"/>
          <w:szCs w:val="24"/>
        </w:rPr>
        <w:t xml:space="preserve"> value of Bank Asia and IFIC bank respectable 0.8574 and 0.7631. which is more than 0.50 it refers that which value we will get from this trend analysis for this two bank that will be more appropriate compare with other two bank.</w:t>
      </w:r>
      <w:r w:rsidRPr="0014614B">
        <w:rPr>
          <w:rFonts w:ascii="Times New Roman" w:hAnsi="Times New Roman" w:cs="Times New Roman"/>
          <w:sz w:val="24"/>
          <w:szCs w:val="24"/>
        </w:rPr>
        <w:t>If bank’s sub-standard loan increase then bank wouldn’t be able to increase it’s capital. Because bank’s the main source of income is interest earning. But in the sub-standard loan bank has the probability of loss of interest.</w:t>
      </w:r>
    </w:p>
    <w:p w:rsidR="0007378F" w:rsidRPr="000560BD" w:rsidRDefault="0007378F" w:rsidP="00EF09E0">
      <w:pPr>
        <w:pStyle w:val="ListParagraph"/>
        <w:numPr>
          <w:ilvl w:val="0"/>
          <w:numId w:val="45"/>
        </w:numPr>
        <w:spacing w:after="0" w:line="360" w:lineRule="auto"/>
        <w:jc w:val="both"/>
        <w:rPr>
          <w:rFonts w:ascii="Times New Roman" w:eastAsia="Times New Roman" w:hAnsi="Times New Roman" w:cs="Times New Roman"/>
          <w:b/>
          <w:color w:val="4F81BD" w:themeColor="accent1"/>
          <w:sz w:val="24"/>
          <w:szCs w:val="24"/>
        </w:rPr>
      </w:pPr>
      <w:r w:rsidRPr="000560BD">
        <w:rPr>
          <w:rFonts w:ascii="Times New Roman" w:eastAsia="Times New Roman" w:hAnsi="Times New Roman" w:cs="Times New Roman"/>
          <w:b/>
          <w:color w:val="4F81BD" w:themeColor="accent1"/>
          <w:sz w:val="24"/>
          <w:szCs w:val="24"/>
        </w:rPr>
        <w:t>Doubtful Loan</w:t>
      </w:r>
    </w:p>
    <w:p w:rsidR="0007378F" w:rsidRPr="00414A92" w:rsidRDefault="0007378F" w:rsidP="00EF09E0">
      <w:pPr>
        <w:spacing w:after="0" w:line="360" w:lineRule="auto"/>
        <w:jc w:val="both"/>
        <w:rPr>
          <w:rFonts w:ascii="Times New Roman" w:eastAsia="Times New Roman" w:hAnsi="Times New Roman" w:cs="Times New Roman"/>
          <w:b/>
          <w:color w:val="231F20"/>
          <w:sz w:val="24"/>
          <w:szCs w:val="24"/>
        </w:rPr>
      </w:pPr>
      <w:r w:rsidRPr="00BD4C02">
        <w:rPr>
          <w:rFonts w:ascii="Times New Roman" w:hAnsi="Times New Roman" w:cs="Times New Roman"/>
          <w:sz w:val="24"/>
        </w:rPr>
        <w:t>Doubtful loan is one type of loan which full repayment is questionable and uncertain. The probability of repayment of loans in question range from a complete loss to an uncertain loss unless corrective actions and step are taken. Doubtful loans are usually</w:t>
      </w:r>
      <w:r>
        <w:rPr>
          <w:rFonts w:ascii="Times New Roman" w:hAnsi="Times New Roman" w:cs="Times New Roman"/>
          <w:sz w:val="24"/>
        </w:rPr>
        <w:t xml:space="preserve"> nonperforming loan</w:t>
      </w:r>
      <w:r w:rsidRPr="00BD4C02">
        <w:rPr>
          <w:rFonts w:ascii="Times New Roman" w:hAnsi="Times New Roman" w:cs="Times New Roman"/>
          <w:sz w:val="24"/>
        </w:rPr>
        <w:t> on which interest is overdue and the probability of full collection of principal is uncertain.</w:t>
      </w:r>
    </w:p>
    <w:tbl>
      <w:tblPr>
        <w:tblStyle w:val="MediumGrid1-Accent6"/>
        <w:tblW w:w="9351" w:type="dxa"/>
        <w:tblLook w:val="04A0" w:firstRow="1" w:lastRow="0" w:firstColumn="1" w:lastColumn="0" w:noHBand="0" w:noVBand="1"/>
      </w:tblPr>
      <w:tblGrid>
        <w:gridCol w:w="1070"/>
        <w:gridCol w:w="1352"/>
        <w:gridCol w:w="1358"/>
        <w:gridCol w:w="1517"/>
        <w:gridCol w:w="1517"/>
        <w:gridCol w:w="1358"/>
        <w:gridCol w:w="1179"/>
      </w:tblGrid>
      <w:tr w:rsidR="0007378F" w:rsidTr="00E266FC">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070" w:type="dxa"/>
          </w:tcPr>
          <w:p w:rsidR="0007378F" w:rsidRDefault="0007378F" w:rsidP="00E266FC">
            <w:r>
              <w:t>year</w:t>
            </w:r>
          </w:p>
        </w:tc>
        <w:tc>
          <w:tcPr>
            <w:tcW w:w="1352"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2012</w:t>
            </w:r>
          </w:p>
        </w:tc>
        <w:tc>
          <w:tcPr>
            <w:tcW w:w="1358"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2013</w:t>
            </w:r>
          </w:p>
        </w:tc>
        <w:tc>
          <w:tcPr>
            <w:tcW w:w="1517"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2014</w:t>
            </w:r>
          </w:p>
        </w:tc>
        <w:tc>
          <w:tcPr>
            <w:tcW w:w="1517"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2015</w:t>
            </w:r>
          </w:p>
        </w:tc>
        <w:tc>
          <w:tcPr>
            <w:tcW w:w="1358"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2016</w:t>
            </w:r>
          </w:p>
        </w:tc>
        <w:tc>
          <w:tcPr>
            <w:tcW w:w="1179"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sidRPr="0011327D">
              <w:rPr>
                <w:rFonts w:ascii="Calibri" w:hAnsi="Calibri" w:cs="Arial"/>
                <w:color w:val="000000"/>
              </w:rPr>
              <w:t>R²</w:t>
            </w:r>
            <w:r>
              <w:rPr>
                <w:rFonts w:ascii="Calibri" w:hAnsi="Calibri" w:cs="Arial"/>
                <w:color w:val="000000"/>
              </w:rPr>
              <w:t>of 2017,2018</w:t>
            </w:r>
          </w:p>
        </w:tc>
      </w:tr>
      <w:tr w:rsidR="0007378F" w:rsidRPr="00D71B78" w:rsidTr="00E266F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070" w:type="dxa"/>
          </w:tcPr>
          <w:p w:rsidR="0007378F" w:rsidRPr="00D71B78" w:rsidRDefault="0007378F" w:rsidP="00E266FC">
            <w:pPr>
              <w:rPr>
                <w:rFonts w:ascii="Times New Roman" w:hAnsi="Times New Roman" w:cs="Times New Roman"/>
                <w:color w:val="000000"/>
                <w:sz w:val="24"/>
                <w:szCs w:val="24"/>
              </w:rPr>
            </w:pPr>
            <w:r>
              <w:rPr>
                <w:rFonts w:ascii="Times New Roman" w:hAnsi="Times New Roman" w:cs="Times New Roman"/>
                <w:color w:val="000000"/>
                <w:sz w:val="24"/>
                <w:szCs w:val="24"/>
              </w:rPr>
              <w:t>Dhaka Bank Limited</w:t>
            </w:r>
          </w:p>
        </w:tc>
        <w:tc>
          <w:tcPr>
            <w:tcW w:w="1352"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903,946,622</w:t>
            </w:r>
          </w:p>
        </w:tc>
        <w:tc>
          <w:tcPr>
            <w:tcW w:w="1358"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153,604,651</w:t>
            </w:r>
          </w:p>
        </w:tc>
        <w:tc>
          <w:tcPr>
            <w:tcW w:w="1517"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496,348,474</w:t>
            </w:r>
          </w:p>
        </w:tc>
        <w:tc>
          <w:tcPr>
            <w:tcW w:w="1517"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265,358,725</w:t>
            </w:r>
          </w:p>
        </w:tc>
        <w:tc>
          <w:tcPr>
            <w:tcW w:w="1358"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287,950,818</w:t>
            </w:r>
          </w:p>
        </w:tc>
        <w:tc>
          <w:tcPr>
            <w:tcW w:w="1179" w:type="dxa"/>
          </w:tcPr>
          <w:p w:rsidR="0007378F" w:rsidRPr="004D773A"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D773A">
              <w:rPr>
                <w:rFonts w:ascii="Arial" w:hAnsi="Arial" w:cs="Arial"/>
                <w:color w:val="000000"/>
                <w:sz w:val="20"/>
                <w:szCs w:val="20"/>
              </w:rPr>
              <w:t>0.3562</w:t>
            </w:r>
          </w:p>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07378F" w:rsidRPr="00D71B78" w:rsidTr="00E266FC">
        <w:trPr>
          <w:trHeight w:val="915"/>
        </w:trPr>
        <w:tc>
          <w:tcPr>
            <w:cnfStyle w:val="001000000000" w:firstRow="0" w:lastRow="0" w:firstColumn="1" w:lastColumn="0" w:oddVBand="0" w:evenVBand="0" w:oddHBand="0" w:evenHBand="0" w:firstRowFirstColumn="0" w:firstRowLastColumn="0" w:lastRowFirstColumn="0" w:lastRowLastColumn="0"/>
            <w:tcW w:w="1070" w:type="dxa"/>
          </w:tcPr>
          <w:p w:rsidR="0007378F" w:rsidRPr="00D71B78" w:rsidRDefault="0007378F" w:rsidP="00E266FC">
            <w:pPr>
              <w:rPr>
                <w:rFonts w:ascii="Times New Roman" w:hAnsi="Times New Roman" w:cs="Times New Roman"/>
                <w:color w:val="000000"/>
                <w:sz w:val="24"/>
                <w:szCs w:val="24"/>
              </w:rPr>
            </w:pPr>
            <w:r w:rsidRPr="00D71B78">
              <w:rPr>
                <w:rFonts w:ascii="Times New Roman" w:hAnsi="Times New Roman" w:cs="Times New Roman"/>
                <w:color w:val="000000"/>
                <w:sz w:val="24"/>
                <w:szCs w:val="24"/>
              </w:rPr>
              <w:t xml:space="preserve">BRAC </w:t>
            </w:r>
            <w:r>
              <w:rPr>
                <w:rFonts w:ascii="Times New Roman" w:hAnsi="Times New Roman" w:cs="Times New Roman"/>
                <w:color w:val="000000"/>
                <w:sz w:val="24"/>
                <w:szCs w:val="24"/>
              </w:rPr>
              <w:t>Bank Limited</w:t>
            </w:r>
          </w:p>
          <w:p w:rsidR="0007378F" w:rsidRPr="00D71B78" w:rsidRDefault="0007378F" w:rsidP="00E266FC">
            <w:pPr>
              <w:rPr>
                <w:rFonts w:ascii="Times New Roman" w:hAnsi="Times New Roman" w:cs="Times New Roman"/>
                <w:color w:val="231F20"/>
                <w:sz w:val="24"/>
                <w:szCs w:val="24"/>
              </w:rPr>
            </w:pPr>
          </w:p>
        </w:tc>
        <w:tc>
          <w:tcPr>
            <w:tcW w:w="1352"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rPr>
              <w:t>503,180,863</w:t>
            </w:r>
          </w:p>
        </w:tc>
        <w:tc>
          <w:tcPr>
            <w:tcW w:w="1358"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rPr>
              <w:t>625,752,869</w:t>
            </w:r>
          </w:p>
        </w:tc>
        <w:tc>
          <w:tcPr>
            <w:tcW w:w="1517"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rPr>
              <w:t>1,000,810,614</w:t>
            </w:r>
          </w:p>
        </w:tc>
        <w:tc>
          <w:tcPr>
            <w:tcW w:w="1517"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rPr>
              <w:t>218,852,797</w:t>
            </w:r>
          </w:p>
        </w:tc>
        <w:tc>
          <w:tcPr>
            <w:tcW w:w="1358"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rPr>
              <w:t>168,192,016</w:t>
            </w:r>
          </w:p>
        </w:tc>
        <w:tc>
          <w:tcPr>
            <w:tcW w:w="1179" w:type="dxa"/>
          </w:tcPr>
          <w:p w:rsidR="0007378F" w:rsidRPr="004D773A" w:rsidRDefault="0007378F" w:rsidP="00E266FC">
            <w:pPr>
              <w:jc w:val="right"/>
              <w:cnfStyle w:val="000000000000" w:firstRow="0" w:lastRow="0" w:firstColumn="0" w:lastColumn="0" w:oddVBand="0" w:evenVBand="0" w:oddHBand="0" w:evenHBand="0" w:firstRowFirstColumn="0" w:firstRowLastColumn="0" w:lastRowFirstColumn="0" w:lastRowLastColumn="0"/>
              <w:rPr>
                <w:color w:val="000000"/>
              </w:rPr>
            </w:pPr>
            <w:r w:rsidRPr="004D773A">
              <w:rPr>
                <w:color w:val="000000"/>
              </w:rPr>
              <w:t>0.2545</w:t>
            </w:r>
          </w:p>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color w:val="000000"/>
              </w:rPr>
            </w:pPr>
          </w:p>
        </w:tc>
      </w:tr>
      <w:tr w:rsidR="0007378F" w:rsidRPr="00D71B78" w:rsidTr="00E266FC">
        <w:trPr>
          <w:cnfStyle w:val="000000100000" w:firstRow="0" w:lastRow="0" w:firstColumn="0" w:lastColumn="0" w:oddVBand="0" w:evenVBand="0" w:oddHBand="1" w:evenHBand="0" w:firstRowFirstColumn="0" w:firstRowLastColumn="0" w:lastRowFirstColumn="0" w:lastRowLastColumn="0"/>
          <w:trHeight w:val="1137"/>
        </w:trPr>
        <w:tc>
          <w:tcPr>
            <w:cnfStyle w:val="001000000000" w:firstRow="0" w:lastRow="0" w:firstColumn="1" w:lastColumn="0" w:oddVBand="0" w:evenVBand="0" w:oddHBand="0" w:evenHBand="0" w:firstRowFirstColumn="0" w:firstRowLastColumn="0" w:lastRowFirstColumn="0" w:lastRowLastColumn="0"/>
            <w:tcW w:w="1070" w:type="dxa"/>
          </w:tcPr>
          <w:p w:rsidR="0007378F" w:rsidRPr="00D71B78" w:rsidRDefault="0007378F" w:rsidP="00E266FC">
            <w:pPr>
              <w:rPr>
                <w:rFonts w:ascii="Times New Roman" w:hAnsi="Times New Roman" w:cs="Times New Roman"/>
                <w:color w:val="000000"/>
                <w:sz w:val="24"/>
                <w:szCs w:val="24"/>
              </w:rPr>
            </w:pPr>
            <w:r w:rsidRPr="00D71B78">
              <w:rPr>
                <w:rFonts w:ascii="Times New Roman" w:hAnsi="Times New Roman" w:cs="Times New Roman"/>
                <w:color w:val="000000"/>
                <w:sz w:val="24"/>
                <w:szCs w:val="24"/>
              </w:rPr>
              <w:t xml:space="preserve">Dutch-Bangla Bank Limited  </w:t>
            </w:r>
          </w:p>
          <w:p w:rsidR="0007378F" w:rsidRPr="00D71B78" w:rsidRDefault="0007378F" w:rsidP="00E266FC">
            <w:pPr>
              <w:rPr>
                <w:rFonts w:ascii="Times New Roman" w:hAnsi="Times New Roman" w:cs="Times New Roman"/>
                <w:color w:val="231F20"/>
                <w:sz w:val="24"/>
                <w:szCs w:val="24"/>
              </w:rPr>
            </w:pPr>
          </w:p>
        </w:tc>
        <w:tc>
          <w:tcPr>
            <w:tcW w:w="1352" w:type="dxa"/>
          </w:tcPr>
          <w:p w:rsidR="0007378F" w:rsidRDefault="0007378F" w:rsidP="00E266FC">
            <w:pPr>
              <w:ind w:firstLineChars="100" w:firstLine="160"/>
              <w:cnfStyle w:val="000000100000" w:firstRow="0" w:lastRow="0" w:firstColumn="0" w:lastColumn="0" w:oddVBand="0" w:evenVBand="0" w:oddHBand="1" w:evenHBand="0" w:firstRowFirstColumn="0" w:firstRowLastColumn="0" w:lastRowFirstColumn="0" w:lastRowLastColumn="0"/>
              <w:rPr>
                <w:rFonts w:ascii="Calibri" w:hAnsi="Calibri" w:cs="Arial"/>
                <w:color w:val="000000"/>
                <w:sz w:val="16"/>
                <w:szCs w:val="16"/>
              </w:rPr>
            </w:pPr>
            <w:r>
              <w:rPr>
                <w:rFonts w:ascii="Calibri" w:hAnsi="Calibri" w:cs="Arial"/>
                <w:color w:val="000000"/>
                <w:sz w:val="16"/>
                <w:szCs w:val="16"/>
              </w:rPr>
              <w:t>275,127,097</w:t>
            </w:r>
          </w:p>
        </w:tc>
        <w:tc>
          <w:tcPr>
            <w:tcW w:w="1358"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221,046,000</w:t>
            </w:r>
          </w:p>
        </w:tc>
        <w:tc>
          <w:tcPr>
            <w:tcW w:w="1517"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145,267,868</w:t>
            </w:r>
          </w:p>
        </w:tc>
        <w:tc>
          <w:tcPr>
            <w:tcW w:w="1517"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191,276,743</w:t>
            </w:r>
          </w:p>
        </w:tc>
        <w:tc>
          <w:tcPr>
            <w:tcW w:w="1358"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340,001,334</w:t>
            </w:r>
          </w:p>
        </w:tc>
        <w:tc>
          <w:tcPr>
            <w:tcW w:w="1179" w:type="dxa"/>
          </w:tcPr>
          <w:p w:rsidR="0007378F" w:rsidRPr="004D773A"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D773A">
              <w:rPr>
                <w:rFonts w:ascii="Arial" w:hAnsi="Arial" w:cs="Arial"/>
                <w:color w:val="000000"/>
                <w:sz w:val="20"/>
                <w:szCs w:val="20"/>
              </w:rPr>
              <w:t>0.0439</w:t>
            </w:r>
          </w:p>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07378F" w:rsidRPr="00D71B78" w:rsidTr="00E266FC">
        <w:trPr>
          <w:trHeight w:val="692"/>
        </w:trPr>
        <w:tc>
          <w:tcPr>
            <w:cnfStyle w:val="001000000000" w:firstRow="0" w:lastRow="0" w:firstColumn="1" w:lastColumn="0" w:oddVBand="0" w:evenVBand="0" w:oddHBand="0" w:evenHBand="0" w:firstRowFirstColumn="0" w:firstRowLastColumn="0" w:lastRowFirstColumn="0" w:lastRowLastColumn="0"/>
            <w:tcW w:w="1070" w:type="dxa"/>
          </w:tcPr>
          <w:p w:rsidR="0007378F" w:rsidRPr="00D71B78" w:rsidRDefault="0007378F" w:rsidP="00E266FC">
            <w:pPr>
              <w:rPr>
                <w:rFonts w:ascii="Times New Roman" w:hAnsi="Times New Roman" w:cs="Times New Roman"/>
                <w:color w:val="000000"/>
                <w:sz w:val="24"/>
                <w:szCs w:val="24"/>
              </w:rPr>
            </w:pPr>
            <w:r w:rsidRPr="00D71B78">
              <w:rPr>
                <w:rFonts w:ascii="Times New Roman" w:hAnsi="Times New Roman" w:cs="Times New Roman"/>
                <w:color w:val="000000"/>
                <w:sz w:val="24"/>
                <w:szCs w:val="24"/>
              </w:rPr>
              <w:t xml:space="preserve">Bank Asia  </w:t>
            </w:r>
          </w:p>
          <w:p w:rsidR="0007378F" w:rsidRPr="00D71B78" w:rsidRDefault="0007378F" w:rsidP="00E266FC">
            <w:pPr>
              <w:rPr>
                <w:rFonts w:ascii="Times New Roman" w:hAnsi="Times New Roman" w:cs="Times New Roman"/>
                <w:color w:val="231F20"/>
                <w:sz w:val="24"/>
                <w:szCs w:val="24"/>
              </w:rPr>
            </w:pPr>
          </w:p>
        </w:tc>
        <w:tc>
          <w:tcPr>
            <w:tcW w:w="1352"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780,234,525</w:t>
            </w:r>
          </w:p>
        </w:tc>
        <w:tc>
          <w:tcPr>
            <w:tcW w:w="1358"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544,310,529</w:t>
            </w:r>
          </w:p>
        </w:tc>
        <w:tc>
          <w:tcPr>
            <w:tcW w:w="1517"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151,917,000</w:t>
            </w:r>
          </w:p>
        </w:tc>
        <w:tc>
          <w:tcPr>
            <w:tcW w:w="1517"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249,400,700</w:t>
            </w:r>
          </w:p>
        </w:tc>
        <w:tc>
          <w:tcPr>
            <w:tcW w:w="1358" w:type="dxa"/>
          </w:tcPr>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103,340,237</w:t>
            </w:r>
          </w:p>
        </w:tc>
        <w:tc>
          <w:tcPr>
            <w:tcW w:w="1179" w:type="dxa"/>
          </w:tcPr>
          <w:p w:rsidR="0007378F" w:rsidRPr="004D773A"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D773A">
              <w:rPr>
                <w:rFonts w:ascii="Arial" w:hAnsi="Arial" w:cs="Arial"/>
                <w:color w:val="000000"/>
                <w:sz w:val="20"/>
                <w:szCs w:val="20"/>
              </w:rPr>
              <w:t>0.8192</w:t>
            </w:r>
          </w:p>
          <w:p w:rsidR="0007378F"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07378F" w:rsidRPr="00D71B78" w:rsidTr="00E266FC">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070" w:type="dxa"/>
          </w:tcPr>
          <w:p w:rsidR="0007378F" w:rsidRPr="00D71B78" w:rsidRDefault="0007378F" w:rsidP="00E266FC">
            <w:pPr>
              <w:rPr>
                <w:rFonts w:ascii="Times New Roman" w:hAnsi="Times New Roman" w:cs="Times New Roman"/>
                <w:color w:val="000000"/>
                <w:sz w:val="24"/>
                <w:szCs w:val="24"/>
              </w:rPr>
            </w:pPr>
            <w:r w:rsidRPr="00D71B78">
              <w:rPr>
                <w:rFonts w:ascii="Times New Roman" w:hAnsi="Times New Roman" w:cs="Times New Roman"/>
                <w:color w:val="000000"/>
                <w:sz w:val="24"/>
                <w:szCs w:val="24"/>
              </w:rPr>
              <w:t xml:space="preserve">IFIC Bank  </w:t>
            </w:r>
          </w:p>
          <w:p w:rsidR="0007378F" w:rsidRPr="00D71B78" w:rsidRDefault="0007378F" w:rsidP="00E266FC">
            <w:pPr>
              <w:rPr>
                <w:rFonts w:ascii="Times New Roman" w:hAnsi="Times New Roman" w:cs="Times New Roman"/>
                <w:color w:val="231F20"/>
                <w:sz w:val="24"/>
                <w:szCs w:val="24"/>
              </w:rPr>
            </w:pPr>
          </w:p>
        </w:tc>
        <w:tc>
          <w:tcPr>
            <w:tcW w:w="1352"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200,081,196</w:t>
            </w:r>
          </w:p>
        </w:tc>
        <w:tc>
          <w:tcPr>
            <w:tcW w:w="1358"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359,222,587</w:t>
            </w:r>
          </w:p>
        </w:tc>
        <w:tc>
          <w:tcPr>
            <w:tcW w:w="1517"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704,241,678</w:t>
            </w:r>
          </w:p>
        </w:tc>
        <w:tc>
          <w:tcPr>
            <w:tcW w:w="1517"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1,282,352,831</w:t>
            </w:r>
          </w:p>
        </w:tc>
        <w:tc>
          <w:tcPr>
            <w:tcW w:w="1358" w:type="dxa"/>
          </w:tcPr>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466,870,669</w:t>
            </w:r>
          </w:p>
        </w:tc>
        <w:tc>
          <w:tcPr>
            <w:tcW w:w="1179" w:type="dxa"/>
          </w:tcPr>
          <w:p w:rsidR="0007378F" w:rsidRPr="004D773A"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D773A">
              <w:rPr>
                <w:rFonts w:ascii="Arial" w:hAnsi="Arial" w:cs="Arial"/>
                <w:color w:val="000000"/>
                <w:sz w:val="20"/>
                <w:szCs w:val="20"/>
              </w:rPr>
              <w:t xml:space="preserve"> 0.298</w:t>
            </w:r>
          </w:p>
          <w:p w:rsidR="0007378F"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bl>
    <w:p w:rsidR="0007378F" w:rsidRDefault="0007378F" w:rsidP="0007378F"/>
    <w:p w:rsidR="0007378F" w:rsidRDefault="0007378F" w:rsidP="0007378F">
      <w:pPr>
        <w:jc w:val="center"/>
      </w:pPr>
      <w:r>
        <w:rPr>
          <w:noProof/>
        </w:rPr>
        <w:lastRenderedPageBreak/>
        <w:drawing>
          <wp:inline distT="0" distB="0" distL="0" distR="0" wp14:anchorId="1A5C9337" wp14:editId="6C88748D">
            <wp:extent cx="6019800" cy="3133725"/>
            <wp:effectExtent l="0" t="0" r="0" b="0"/>
            <wp:docPr id="17" name="Chart 17">
              <a:extLst xmlns:a="http://schemas.openxmlformats.org/drawingml/2006/main">
                <a:ext uri="{FF2B5EF4-FFF2-40B4-BE49-F238E27FC236}">
                  <a16:creationId xmlns:w15="http://schemas.microsoft.com/office/word/2012/wordml" xmlns:lc="http://schemas.openxmlformats.org/drawingml/2006/lockedCanvas" xmlns:a16="http://schemas.microsoft.com/office/drawing/2014/main" xmlns="" xmlns:w="http://schemas.openxmlformats.org/wordprocessingml/2006/main" xmlns:w10="urn:schemas-microsoft-com:office:word" xmlns:v="urn:schemas-microsoft-com:vml" xmlns:o="urn:schemas-microsoft-com:office:office" xmlns:xdr="http://schemas.openxmlformats.org/drawingml/2006/spreadsheetDrawing"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7378F" w:rsidRPr="0014614B" w:rsidRDefault="0007378F" w:rsidP="00EF09E0">
      <w:pPr>
        <w:spacing w:after="0" w:line="360" w:lineRule="auto"/>
        <w:jc w:val="both"/>
        <w:rPr>
          <w:rFonts w:ascii="Times New Roman" w:hAnsi="Times New Roman" w:cs="Times New Roman"/>
          <w:sz w:val="24"/>
        </w:rPr>
      </w:pPr>
      <w:r w:rsidRPr="0014614B">
        <w:rPr>
          <w:rFonts w:ascii="Times New Roman" w:hAnsi="Times New Roman" w:cs="Times New Roman"/>
          <w:sz w:val="24"/>
        </w:rPr>
        <w:t>After the trend analysis we get</w:t>
      </w:r>
      <w:r>
        <w:rPr>
          <w:rFonts w:ascii="Times New Roman" w:hAnsi="Times New Roman" w:cs="Times New Roman"/>
          <w:sz w:val="24"/>
        </w:rPr>
        <w:t xml:space="preserve"> </w:t>
      </w:r>
      <w:r w:rsidRPr="0011327D">
        <w:rPr>
          <w:rFonts w:ascii="Times New Roman" w:hAnsi="Times New Roman" w:cs="Times New Roman"/>
          <w:color w:val="000000"/>
          <w:sz w:val="24"/>
          <w:szCs w:val="24"/>
        </w:rPr>
        <w:t>R²</w:t>
      </w:r>
      <w:r w:rsidRPr="0014614B">
        <w:rPr>
          <w:rFonts w:ascii="Times New Roman" w:hAnsi="Times New Roman" w:cs="Times New Roman"/>
          <w:sz w:val="24"/>
        </w:rPr>
        <w:t xml:space="preserve"> of doubtful loan of Brac Bank,</w:t>
      </w:r>
      <w:r>
        <w:rPr>
          <w:rFonts w:ascii="Times New Roman" w:hAnsi="Times New Roman" w:cs="Times New Roman"/>
          <w:sz w:val="24"/>
        </w:rPr>
        <w:t xml:space="preserve"> Dutch Bangla Bank and IFIC bank is less than standard </w:t>
      </w:r>
      <w:r w:rsidRPr="0011327D">
        <w:rPr>
          <w:rFonts w:ascii="Times New Roman" w:hAnsi="Times New Roman" w:cs="Times New Roman"/>
          <w:color w:val="000000"/>
          <w:sz w:val="24"/>
          <w:szCs w:val="24"/>
        </w:rPr>
        <w:t>R²</w:t>
      </w:r>
      <w:r>
        <w:rPr>
          <w:rFonts w:ascii="Times New Roman" w:hAnsi="Times New Roman" w:cs="Times New Roman"/>
          <w:color w:val="000000"/>
          <w:sz w:val="24"/>
          <w:szCs w:val="24"/>
        </w:rPr>
        <w:t xml:space="preserve"> value 0.50. which refers that which value we will get form this trend analysis won’t be enough appropriate. At the same time we are seeing that </w:t>
      </w:r>
      <w:r w:rsidRPr="0011327D">
        <w:rPr>
          <w:rFonts w:ascii="Times New Roman" w:hAnsi="Times New Roman" w:cs="Times New Roman"/>
          <w:color w:val="000000"/>
          <w:sz w:val="24"/>
          <w:szCs w:val="24"/>
        </w:rPr>
        <w:t>R²</w:t>
      </w:r>
      <w:r w:rsidRPr="0014614B">
        <w:rPr>
          <w:rFonts w:ascii="Times New Roman" w:hAnsi="Times New Roman" w:cs="Times New Roman"/>
          <w:sz w:val="24"/>
        </w:rPr>
        <w:t xml:space="preserve"> of doubtful loan of</w:t>
      </w:r>
      <w:r>
        <w:rPr>
          <w:rFonts w:ascii="Times New Roman" w:hAnsi="Times New Roman" w:cs="Times New Roman"/>
          <w:sz w:val="24"/>
        </w:rPr>
        <w:t xml:space="preserve"> Bank Asia is 0.8192 which is more than 0.50. which refers that which amount of </w:t>
      </w:r>
      <w:r w:rsidRPr="0014614B">
        <w:rPr>
          <w:rFonts w:ascii="Times New Roman" w:hAnsi="Times New Roman" w:cs="Times New Roman"/>
          <w:sz w:val="24"/>
        </w:rPr>
        <w:t xml:space="preserve">doubtful loan </w:t>
      </w:r>
      <w:r>
        <w:rPr>
          <w:rFonts w:ascii="Times New Roman" w:hAnsi="Times New Roman" w:cs="Times New Roman"/>
          <w:sz w:val="24"/>
        </w:rPr>
        <w:t>we will get for the Bank Asia it will be more appropriate.</w:t>
      </w:r>
      <w:r w:rsidRPr="0014614B">
        <w:rPr>
          <w:rFonts w:ascii="Times New Roman" w:hAnsi="Times New Roman" w:cs="Times New Roman"/>
          <w:sz w:val="24"/>
        </w:rPr>
        <w:t xml:space="preserve"> Here we are seeing most of the commercial private bank’s doubtful loan increases which is very alarming information for our countries banking industry. Because the interest won’t be collect and has the probability of loss of principal. So we can say if doubtful loan increase then bank’s capital won’t be increase rather has the probability of the decrease capital of the bank.     </w:t>
      </w:r>
    </w:p>
    <w:p w:rsidR="0007378F" w:rsidRPr="000560BD" w:rsidRDefault="0007378F" w:rsidP="0007378F">
      <w:pPr>
        <w:pStyle w:val="ListParagraph"/>
        <w:numPr>
          <w:ilvl w:val="0"/>
          <w:numId w:val="45"/>
        </w:numPr>
        <w:spacing w:after="0" w:line="360" w:lineRule="auto"/>
        <w:jc w:val="both"/>
        <w:rPr>
          <w:rFonts w:ascii="Times New Roman" w:eastAsia="Times New Roman" w:hAnsi="Times New Roman" w:cs="Times New Roman"/>
          <w:b/>
          <w:color w:val="4F81BD" w:themeColor="accent1"/>
          <w:sz w:val="24"/>
          <w:szCs w:val="24"/>
        </w:rPr>
      </w:pPr>
      <w:r w:rsidRPr="000560BD">
        <w:rPr>
          <w:rFonts w:ascii="Times New Roman" w:eastAsia="Times New Roman" w:hAnsi="Times New Roman" w:cs="Times New Roman"/>
          <w:b/>
          <w:color w:val="4F81BD" w:themeColor="accent1"/>
          <w:sz w:val="24"/>
          <w:szCs w:val="24"/>
        </w:rPr>
        <w:t>Bad loan/Loss</w:t>
      </w:r>
    </w:p>
    <w:p w:rsidR="0007378F" w:rsidRPr="000560BD" w:rsidRDefault="0007378F" w:rsidP="0007378F">
      <w:pPr>
        <w:spacing w:after="0" w:line="360" w:lineRule="auto"/>
        <w:jc w:val="both"/>
        <w:rPr>
          <w:rFonts w:ascii="Times New Roman" w:eastAsia="Times New Roman" w:hAnsi="Times New Roman" w:cs="Times New Roman"/>
          <w:b/>
          <w:color w:val="231F20"/>
          <w:sz w:val="24"/>
          <w:szCs w:val="24"/>
        </w:rPr>
      </w:pPr>
      <w:r w:rsidRPr="00186EE3">
        <w:rPr>
          <w:rFonts w:ascii="Times New Roman" w:hAnsi="Times New Roman" w:cs="Times New Roman"/>
          <w:sz w:val="24"/>
        </w:rPr>
        <w:t>Bad debt is a loss of bank incurs when credit that has been extended to customers becomes worthless, either because the debtor is bankrupt or unable to payback loan amount, has financial problems or because it cannot be collected. It is expensed on the</w:t>
      </w:r>
      <w:r>
        <w:rPr>
          <w:rFonts w:ascii="Times New Roman" w:hAnsi="Times New Roman" w:cs="Times New Roman"/>
          <w:sz w:val="24"/>
        </w:rPr>
        <w:t xml:space="preserve"> income statement</w:t>
      </w:r>
      <w:r w:rsidRPr="00186EE3">
        <w:rPr>
          <w:rFonts w:ascii="Times New Roman" w:hAnsi="Times New Roman" w:cs="Times New Roman"/>
          <w:sz w:val="24"/>
        </w:rPr>
        <w:t> . Here bank face loss of interest and principal.</w:t>
      </w:r>
    </w:p>
    <w:tbl>
      <w:tblPr>
        <w:tblStyle w:val="MediumGrid1-Accent6"/>
        <w:tblW w:w="0" w:type="auto"/>
        <w:tblLayout w:type="fixed"/>
        <w:tblLook w:val="04A0" w:firstRow="1" w:lastRow="0" w:firstColumn="1" w:lastColumn="0" w:noHBand="0" w:noVBand="1"/>
      </w:tblPr>
      <w:tblGrid>
        <w:gridCol w:w="1548"/>
        <w:gridCol w:w="1530"/>
        <w:gridCol w:w="1440"/>
        <w:gridCol w:w="1440"/>
        <w:gridCol w:w="1440"/>
        <w:gridCol w:w="1373"/>
        <w:gridCol w:w="805"/>
      </w:tblGrid>
      <w:tr w:rsidR="0007378F" w:rsidTr="00E2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rsidR="0007378F" w:rsidRDefault="0007378F" w:rsidP="00E266FC">
            <w:r>
              <w:t>year</w:t>
            </w:r>
          </w:p>
        </w:tc>
        <w:tc>
          <w:tcPr>
            <w:tcW w:w="1530"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2012</w:t>
            </w:r>
          </w:p>
        </w:tc>
        <w:tc>
          <w:tcPr>
            <w:tcW w:w="1440"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2013</w:t>
            </w:r>
          </w:p>
        </w:tc>
        <w:tc>
          <w:tcPr>
            <w:tcW w:w="1440"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2014</w:t>
            </w:r>
          </w:p>
        </w:tc>
        <w:tc>
          <w:tcPr>
            <w:tcW w:w="1440"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2015</w:t>
            </w:r>
          </w:p>
        </w:tc>
        <w:tc>
          <w:tcPr>
            <w:tcW w:w="1373" w:type="dxa"/>
          </w:tcPr>
          <w:p w:rsidR="0007378F" w:rsidRDefault="0007378F" w:rsidP="00E266FC">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rPr>
            </w:pPr>
            <w:r>
              <w:rPr>
                <w:rFonts w:ascii="Calibri" w:hAnsi="Calibri" w:cs="Arial"/>
                <w:color w:val="000000"/>
              </w:rPr>
              <w:t>2016</w:t>
            </w:r>
          </w:p>
        </w:tc>
        <w:tc>
          <w:tcPr>
            <w:tcW w:w="805" w:type="dxa"/>
          </w:tcPr>
          <w:p w:rsidR="0007378F" w:rsidRPr="0014614B" w:rsidRDefault="0007378F" w:rsidP="00F61C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1327D">
              <w:rPr>
                <w:rFonts w:ascii="Times New Roman" w:hAnsi="Times New Roman" w:cs="Times New Roman"/>
                <w:sz w:val="20"/>
              </w:rPr>
              <w:t>R²</w:t>
            </w:r>
            <w:r w:rsidRPr="0014614B">
              <w:rPr>
                <w:rFonts w:ascii="Times New Roman" w:hAnsi="Times New Roman" w:cs="Times New Roman"/>
                <w:sz w:val="20"/>
              </w:rPr>
              <w:t xml:space="preserve"> </w:t>
            </w: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rsidR="0007378F" w:rsidRPr="00D71B78" w:rsidRDefault="0007378F" w:rsidP="00E266FC">
            <w:pPr>
              <w:rPr>
                <w:rFonts w:ascii="Times New Roman" w:hAnsi="Times New Roman" w:cs="Times New Roman"/>
                <w:color w:val="000000"/>
                <w:sz w:val="24"/>
                <w:szCs w:val="24"/>
              </w:rPr>
            </w:pPr>
            <w:r>
              <w:rPr>
                <w:rFonts w:ascii="Times New Roman" w:hAnsi="Times New Roman" w:cs="Times New Roman"/>
                <w:color w:val="000000"/>
                <w:sz w:val="24"/>
                <w:szCs w:val="24"/>
              </w:rPr>
              <w:t>Dhaka Bank Limited</w:t>
            </w:r>
          </w:p>
        </w:tc>
        <w:tc>
          <w:tcPr>
            <w:tcW w:w="153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4,279,145,622</w:t>
            </w:r>
          </w:p>
        </w:tc>
        <w:tc>
          <w:tcPr>
            <w:tcW w:w="144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2,562,581,599</w:t>
            </w:r>
          </w:p>
        </w:tc>
        <w:tc>
          <w:tcPr>
            <w:tcW w:w="144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4,472,382,379</w:t>
            </w:r>
          </w:p>
        </w:tc>
        <w:tc>
          <w:tcPr>
            <w:tcW w:w="144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3,989,270,139</w:t>
            </w:r>
          </w:p>
        </w:tc>
        <w:tc>
          <w:tcPr>
            <w:tcW w:w="1373"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4,857,514,954</w:t>
            </w:r>
          </w:p>
        </w:tc>
        <w:tc>
          <w:tcPr>
            <w:tcW w:w="805" w:type="dxa"/>
          </w:tcPr>
          <w:p w:rsidR="0007378F" w:rsidRPr="0014614B"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0.2155</w:t>
            </w:r>
          </w:p>
        </w:tc>
      </w:tr>
      <w:tr w:rsidR="0007378F" w:rsidTr="00E266FC">
        <w:tc>
          <w:tcPr>
            <w:cnfStyle w:val="001000000000" w:firstRow="0" w:lastRow="0" w:firstColumn="1" w:lastColumn="0" w:oddVBand="0" w:evenVBand="0" w:oddHBand="0" w:evenHBand="0" w:firstRowFirstColumn="0" w:firstRowLastColumn="0" w:lastRowFirstColumn="0" w:lastRowLastColumn="0"/>
            <w:tcW w:w="1548" w:type="dxa"/>
          </w:tcPr>
          <w:p w:rsidR="0007378F" w:rsidRPr="00D71B78" w:rsidRDefault="0007378F" w:rsidP="00E266FC">
            <w:pPr>
              <w:rPr>
                <w:rFonts w:ascii="Times New Roman" w:hAnsi="Times New Roman" w:cs="Times New Roman"/>
                <w:color w:val="000000"/>
                <w:sz w:val="24"/>
                <w:szCs w:val="24"/>
              </w:rPr>
            </w:pPr>
            <w:r w:rsidRPr="00D71B78">
              <w:rPr>
                <w:rFonts w:ascii="Times New Roman" w:hAnsi="Times New Roman" w:cs="Times New Roman"/>
                <w:color w:val="000000"/>
                <w:sz w:val="24"/>
                <w:szCs w:val="24"/>
              </w:rPr>
              <w:t xml:space="preserve">BRAC </w:t>
            </w:r>
            <w:r>
              <w:rPr>
                <w:rFonts w:ascii="Times New Roman" w:hAnsi="Times New Roman" w:cs="Times New Roman"/>
                <w:color w:val="000000"/>
                <w:sz w:val="24"/>
                <w:szCs w:val="24"/>
              </w:rPr>
              <w:t>Bank</w:t>
            </w:r>
            <w:r w:rsidRPr="00D71B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Limited</w:t>
            </w:r>
          </w:p>
          <w:p w:rsidR="0007378F" w:rsidRPr="00D71B78" w:rsidRDefault="0007378F" w:rsidP="00E266FC">
            <w:pPr>
              <w:rPr>
                <w:rFonts w:ascii="Times New Roman" w:hAnsi="Times New Roman" w:cs="Times New Roman"/>
                <w:color w:val="231F20"/>
                <w:sz w:val="24"/>
                <w:szCs w:val="24"/>
              </w:rPr>
            </w:pPr>
          </w:p>
        </w:tc>
        <w:tc>
          <w:tcPr>
            <w:tcW w:w="1530"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4,649,504,757</w:t>
            </w:r>
          </w:p>
        </w:tc>
        <w:tc>
          <w:tcPr>
            <w:tcW w:w="1440"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3,675,985,192</w:t>
            </w:r>
          </w:p>
        </w:tc>
        <w:tc>
          <w:tcPr>
            <w:tcW w:w="1440"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4,550,083,550</w:t>
            </w:r>
          </w:p>
        </w:tc>
        <w:tc>
          <w:tcPr>
            <w:tcW w:w="1440"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5,640,956,869</w:t>
            </w:r>
          </w:p>
        </w:tc>
        <w:tc>
          <w:tcPr>
            <w:tcW w:w="1373"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3,133,955,812</w:t>
            </w:r>
          </w:p>
        </w:tc>
        <w:tc>
          <w:tcPr>
            <w:tcW w:w="805" w:type="dxa"/>
          </w:tcPr>
          <w:p w:rsidR="0007378F" w:rsidRPr="0014614B"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0.0305</w:t>
            </w:r>
          </w:p>
          <w:p w:rsidR="0007378F" w:rsidRPr="0014614B"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7378F" w:rsidTr="00E266FC">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1548" w:type="dxa"/>
          </w:tcPr>
          <w:p w:rsidR="0007378F" w:rsidRPr="00D71B78" w:rsidRDefault="0007378F" w:rsidP="00E266FC">
            <w:pPr>
              <w:rPr>
                <w:rFonts w:ascii="Times New Roman" w:hAnsi="Times New Roman" w:cs="Times New Roman"/>
                <w:color w:val="000000"/>
                <w:sz w:val="24"/>
                <w:szCs w:val="24"/>
              </w:rPr>
            </w:pPr>
            <w:r w:rsidRPr="00D71B78">
              <w:rPr>
                <w:rFonts w:ascii="Times New Roman" w:hAnsi="Times New Roman" w:cs="Times New Roman"/>
                <w:color w:val="000000"/>
                <w:sz w:val="24"/>
                <w:szCs w:val="24"/>
              </w:rPr>
              <w:t xml:space="preserve">Dutch-Bangla Bank </w:t>
            </w:r>
            <w:r w:rsidRPr="00D71B78">
              <w:rPr>
                <w:rFonts w:ascii="Times New Roman" w:hAnsi="Times New Roman" w:cs="Times New Roman"/>
                <w:color w:val="000000"/>
                <w:sz w:val="24"/>
                <w:szCs w:val="24"/>
              </w:rPr>
              <w:lastRenderedPageBreak/>
              <w:t xml:space="preserve">Limited  </w:t>
            </w:r>
          </w:p>
          <w:p w:rsidR="0007378F" w:rsidRPr="00D71B78" w:rsidRDefault="0007378F" w:rsidP="00E266FC">
            <w:pPr>
              <w:rPr>
                <w:rFonts w:ascii="Times New Roman" w:hAnsi="Times New Roman" w:cs="Times New Roman"/>
                <w:color w:val="231F20"/>
                <w:sz w:val="24"/>
                <w:szCs w:val="24"/>
              </w:rPr>
            </w:pPr>
          </w:p>
        </w:tc>
        <w:tc>
          <w:tcPr>
            <w:tcW w:w="153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lastRenderedPageBreak/>
              <w:t>2,013,079,058</w:t>
            </w:r>
          </w:p>
        </w:tc>
        <w:tc>
          <w:tcPr>
            <w:tcW w:w="144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2,065,238,000</w:t>
            </w:r>
          </w:p>
        </w:tc>
        <w:tc>
          <w:tcPr>
            <w:tcW w:w="144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2,814,141,359</w:t>
            </w:r>
          </w:p>
        </w:tc>
        <w:tc>
          <w:tcPr>
            <w:tcW w:w="144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4,217,831,876</w:t>
            </w:r>
          </w:p>
        </w:tc>
        <w:tc>
          <w:tcPr>
            <w:tcW w:w="1373"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8,306,072,236</w:t>
            </w:r>
          </w:p>
        </w:tc>
        <w:tc>
          <w:tcPr>
            <w:tcW w:w="805" w:type="dxa"/>
          </w:tcPr>
          <w:p w:rsidR="0007378F" w:rsidRPr="0014614B"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0.7865</w:t>
            </w:r>
          </w:p>
          <w:p w:rsidR="0007378F" w:rsidRPr="0014614B"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7378F" w:rsidTr="00E266FC">
        <w:tc>
          <w:tcPr>
            <w:cnfStyle w:val="001000000000" w:firstRow="0" w:lastRow="0" w:firstColumn="1" w:lastColumn="0" w:oddVBand="0" w:evenVBand="0" w:oddHBand="0" w:evenHBand="0" w:firstRowFirstColumn="0" w:firstRowLastColumn="0" w:lastRowFirstColumn="0" w:lastRowLastColumn="0"/>
            <w:tcW w:w="1548" w:type="dxa"/>
          </w:tcPr>
          <w:p w:rsidR="0007378F" w:rsidRPr="00D71B78" w:rsidRDefault="0007378F" w:rsidP="00E266FC">
            <w:pPr>
              <w:rPr>
                <w:rFonts w:ascii="Times New Roman" w:hAnsi="Times New Roman" w:cs="Times New Roman"/>
                <w:color w:val="000000"/>
                <w:sz w:val="24"/>
                <w:szCs w:val="24"/>
              </w:rPr>
            </w:pPr>
            <w:r w:rsidRPr="00D71B78">
              <w:rPr>
                <w:rFonts w:ascii="Times New Roman" w:hAnsi="Times New Roman" w:cs="Times New Roman"/>
                <w:color w:val="000000"/>
                <w:sz w:val="24"/>
                <w:szCs w:val="24"/>
              </w:rPr>
              <w:lastRenderedPageBreak/>
              <w:t xml:space="preserve">Bank Asia  </w:t>
            </w:r>
          </w:p>
          <w:p w:rsidR="0007378F" w:rsidRPr="00D71B78" w:rsidRDefault="0007378F" w:rsidP="00E266FC">
            <w:pPr>
              <w:rPr>
                <w:rFonts w:ascii="Times New Roman" w:hAnsi="Times New Roman" w:cs="Times New Roman"/>
                <w:color w:val="231F20"/>
                <w:sz w:val="24"/>
                <w:szCs w:val="24"/>
              </w:rPr>
            </w:pPr>
          </w:p>
        </w:tc>
        <w:tc>
          <w:tcPr>
            <w:tcW w:w="1530"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3,939,700,641</w:t>
            </w:r>
          </w:p>
        </w:tc>
        <w:tc>
          <w:tcPr>
            <w:tcW w:w="1440"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4,817,099,432</w:t>
            </w:r>
          </w:p>
        </w:tc>
        <w:tc>
          <w:tcPr>
            <w:tcW w:w="1440"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5,623,325,000</w:t>
            </w:r>
          </w:p>
        </w:tc>
        <w:tc>
          <w:tcPr>
            <w:tcW w:w="1440"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5,246,507,035</w:t>
            </w:r>
          </w:p>
        </w:tc>
        <w:tc>
          <w:tcPr>
            <w:tcW w:w="1373" w:type="dxa"/>
          </w:tcPr>
          <w:p w:rsidR="0007378F" w:rsidRPr="0014614B" w:rsidRDefault="0007378F" w:rsidP="00E266F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4,366,021,975</w:t>
            </w:r>
          </w:p>
        </w:tc>
        <w:tc>
          <w:tcPr>
            <w:tcW w:w="805" w:type="dxa"/>
          </w:tcPr>
          <w:p w:rsidR="0007378F" w:rsidRPr="0014614B"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0.091</w:t>
            </w:r>
          </w:p>
          <w:p w:rsidR="0007378F" w:rsidRPr="0014614B" w:rsidRDefault="0007378F" w:rsidP="00E266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7378F" w:rsidTr="00E26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rsidR="0007378F" w:rsidRPr="00D71B78" w:rsidRDefault="0007378F" w:rsidP="00E266FC">
            <w:pPr>
              <w:rPr>
                <w:rFonts w:ascii="Times New Roman" w:hAnsi="Times New Roman" w:cs="Times New Roman"/>
                <w:color w:val="000000"/>
                <w:sz w:val="24"/>
                <w:szCs w:val="24"/>
              </w:rPr>
            </w:pPr>
            <w:r w:rsidRPr="00D71B78">
              <w:rPr>
                <w:rFonts w:ascii="Times New Roman" w:hAnsi="Times New Roman" w:cs="Times New Roman"/>
                <w:color w:val="000000"/>
                <w:sz w:val="24"/>
                <w:szCs w:val="24"/>
              </w:rPr>
              <w:t xml:space="preserve">IFIC Bank  </w:t>
            </w:r>
          </w:p>
          <w:p w:rsidR="0007378F" w:rsidRPr="00D71B78" w:rsidRDefault="0007378F" w:rsidP="00E266FC">
            <w:pPr>
              <w:rPr>
                <w:rFonts w:ascii="Times New Roman" w:hAnsi="Times New Roman" w:cs="Times New Roman"/>
                <w:color w:val="231F20"/>
                <w:sz w:val="24"/>
                <w:szCs w:val="24"/>
              </w:rPr>
            </w:pPr>
          </w:p>
        </w:tc>
        <w:tc>
          <w:tcPr>
            <w:tcW w:w="153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3,264,856,301</w:t>
            </w:r>
          </w:p>
        </w:tc>
        <w:tc>
          <w:tcPr>
            <w:tcW w:w="144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2,325,675,085</w:t>
            </w:r>
          </w:p>
        </w:tc>
        <w:tc>
          <w:tcPr>
            <w:tcW w:w="144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3,761,826,178</w:t>
            </w:r>
          </w:p>
        </w:tc>
        <w:tc>
          <w:tcPr>
            <w:tcW w:w="1440"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5,470,837,378</w:t>
            </w:r>
          </w:p>
        </w:tc>
        <w:tc>
          <w:tcPr>
            <w:tcW w:w="1373" w:type="dxa"/>
          </w:tcPr>
          <w:p w:rsidR="0007378F" w:rsidRPr="0014614B" w:rsidRDefault="0007378F" w:rsidP="00E266F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4614B">
              <w:rPr>
                <w:rFonts w:ascii="Times New Roman" w:hAnsi="Times New Roman" w:cs="Times New Roman"/>
                <w:color w:val="000000"/>
                <w:sz w:val="20"/>
                <w:szCs w:val="20"/>
              </w:rPr>
              <w:t>5,033,825,550</w:t>
            </w:r>
          </w:p>
        </w:tc>
        <w:tc>
          <w:tcPr>
            <w:tcW w:w="805" w:type="dxa"/>
          </w:tcPr>
          <w:p w:rsidR="0007378F" w:rsidRPr="0014614B"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614B">
              <w:rPr>
                <w:rFonts w:ascii="Times New Roman" w:hAnsi="Times New Roman" w:cs="Times New Roman"/>
                <w:sz w:val="20"/>
                <w:szCs w:val="20"/>
              </w:rPr>
              <w:t>0.6738</w:t>
            </w:r>
          </w:p>
          <w:p w:rsidR="0007378F" w:rsidRPr="0014614B" w:rsidRDefault="0007378F" w:rsidP="00E266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rsidR="0007378F" w:rsidRDefault="0007378F" w:rsidP="0007378F">
      <w:r>
        <w:t xml:space="preserve">                    </w:t>
      </w:r>
      <w:r>
        <w:rPr>
          <w:noProof/>
        </w:rPr>
        <w:drawing>
          <wp:inline distT="0" distB="0" distL="0" distR="0" wp14:anchorId="49EC41AE" wp14:editId="07A07ED1">
            <wp:extent cx="6021238" cy="2794959"/>
            <wp:effectExtent l="0" t="0" r="17780" b="24765"/>
            <wp:docPr id="22" name="Chart 22">
              <a:extLst xmlns:a="http://schemas.openxmlformats.org/drawingml/2006/main">
                <a:ext uri="{FF2B5EF4-FFF2-40B4-BE49-F238E27FC236}">
                  <a16:creationId xmlns:w15="http://schemas.microsoft.com/office/word/2012/wordml" xmlns:lc="http://schemas.openxmlformats.org/drawingml/2006/lockedCanvas" xmlns:a16="http://schemas.microsoft.com/office/drawing/2014/main" xmlns="" xmlns:w="http://schemas.openxmlformats.org/wordprocessingml/2006/main" xmlns:w10="urn:schemas-microsoft-com:office:word" xmlns:v="urn:schemas-microsoft-com:vml" xmlns:o="urn:schemas-microsoft-com:office:office" xmlns:xdr="http://schemas.openxmlformats.org/drawingml/2006/spreadsheetDrawing"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F09E0" w:rsidRDefault="0007378F" w:rsidP="00EF09E0">
      <w:pPr>
        <w:spacing w:before="240" w:line="360" w:lineRule="auto"/>
        <w:jc w:val="both"/>
        <w:rPr>
          <w:rFonts w:ascii="Times New Roman" w:hAnsi="Times New Roman" w:cs="Times New Roman"/>
          <w:sz w:val="24"/>
          <w:szCs w:val="24"/>
        </w:rPr>
      </w:pPr>
      <w:r w:rsidRPr="000560BD">
        <w:rPr>
          <w:rFonts w:ascii="Times New Roman" w:hAnsi="Times New Roman" w:cs="Times New Roman"/>
          <w:sz w:val="24"/>
          <w:szCs w:val="24"/>
        </w:rPr>
        <w:t xml:space="preserve">From The trend analysis we get </w:t>
      </w:r>
      <w:r w:rsidRPr="000560BD">
        <w:rPr>
          <w:rFonts w:ascii="Times New Roman" w:hAnsi="Times New Roman" w:cs="Times New Roman"/>
          <w:color w:val="000000"/>
          <w:sz w:val="24"/>
          <w:szCs w:val="24"/>
        </w:rPr>
        <w:t xml:space="preserve">R² value </w:t>
      </w:r>
      <w:r w:rsidRPr="000560BD">
        <w:rPr>
          <w:rFonts w:ascii="Times New Roman" w:hAnsi="Times New Roman" w:cs="Times New Roman"/>
          <w:sz w:val="24"/>
          <w:szCs w:val="24"/>
        </w:rPr>
        <w:t xml:space="preserve">for bad loan of Dhaka Bank, Brac Bank, and Bank Asia is less than 0.50. </w:t>
      </w:r>
      <w:r w:rsidRPr="000560BD">
        <w:rPr>
          <w:rFonts w:ascii="Times New Roman" w:hAnsi="Times New Roman" w:cs="Times New Roman"/>
          <w:color w:val="000000"/>
          <w:sz w:val="24"/>
          <w:szCs w:val="24"/>
        </w:rPr>
        <w:t>which refers that which value we will get form this trend analysis won’t be enough appropriate. At the same time we are seeing that R²</w:t>
      </w:r>
      <w:r w:rsidRPr="000560BD">
        <w:rPr>
          <w:rFonts w:ascii="Times New Roman" w:hAnsi="Times New Roman" w:cs="Times New Roman"/>
          <w:sz w:val="24"/>
          <w:szCs w:val="24"/>
        </w:rPr>
        <w:t xml:space="preserve"> of  bad loan Dutch Bangla Bank and IFIC Bank is 0.7865 and 0.6738 which is more than 0.50. which refers that which amount of bad loan we will get for the Dutch Bangla Bank and IFIC Bank will be more appropriate. Every bank performance is bad in 2016 comparing with the previous year. It is happening because of Political presser, disqualified employee etc. Here we are seeing most of the commercial private bank’s bad loan or loss increases which is very alarming information for our countries banking industry. If bad loan increase then bank’s earning will be low. From the bad loan bank’s earning is zero and because of this loan bank has the probability of bankruptcy.     </w:t>
      </w:r>
      <w:bookmarkStart w:id="22" w:name="_Toc518818064"/>
    </w:p>
    <w:p w:rsidR="0007378F" w:rsidRPr="00EF09E0" w:rsidRDefault="0007378F" w:rsidP="00EF09E0">
      <w:pPr>
        <w:spacing w:after="0" w:line="360" w:lineRule="auto"/>
        <w:jc w:val="both"/>
        <w:rPr>
          <w:rFonts w:asciiTheme="majorHAnsi" w:eastAsiaTheme="majorEastAsia" w:hAnsiTheme="majorHAnsi" w:cstheme="majorBidi"/>
          <w:b/>
          <w:bCs/>
          <w:color w:val="365F91" w:themeColor="accent1" w:themeShade="BF"/>
          <w:sz w:val="28"/>
          <w:szCs w:val="28"/>
        </w:rPr>
      </w:pPr>
      <w:r w:rsidRPr="00EF09E0">
        <w:rPr>
          <w:rFonts w:asciiTheme="majorHAnsi" w:eastAsiaTheme="majorEastAsia" w:hAnsiTheme="majorHAnsi" w:cstheme="majorBidi"/>
          <w:b/>
          <w:bCs/>
          <w:color w:val="365F91" w:themeColor="accent1" w:themeShade="BF"/>
          <w:sz w:val="28"/>
          <w:szCs w:val="28"/>
        </w:rPr>
        <w:t>Conclusion:</w:t>
      </w:r>
      <w:bookmarkEnd w:id="22"/>
    </w:p>
    <w:p w:rsidR="0007378F" w:rsidRPr="009169FA" w:rsidRDefault="0007378F" w:rsidP="00EF09E0">
      <w:pPr>
        <w:spacing w:after="0" w:line="360" w:lineRule="auto"/>
        <w:jc w:val="both"/>
        <w:rPr>
          <w:rFonts w:ascii="Times New Roman" w:hAnsi="Times New Roman" w:cs="Times New Roman"/>
          <w:sz w:val="24"/>
        </w:rPr>
      </w:pPr>
      <w:r w:rsidRPr="009169FA">
        <w:rPr>
          <w:rFonts w:ascii="Times New Roman" w:hAnsi="Times New Roman" w:cs="Times New Roman"/>
          <w:sz w:val="24"/>
        </w:rPr>
        <w:t xml:space="preserve">Banking sectors no more depends only on traditional methods of banking in this present time. In this competitive world, this sector has stretched its wings wide enough to cover any kind of financial service anywhere in the world. Therefore, bank today face competition not only from local banks but also from foreign banks. The major task for bank, to survive in this </w:t>
      </w:r>
      <w:r w:rsidRPr="009169FA">
        <w:rPr>
          <w:rFonts w:ascii="Times New Roman" w:hAnsi="Times New Roman" w:cs="Times New Roman"/>
          <w:sz w:val="24"/>
        </w:rPr>
        <w:lastRenderedPageBreak/>
        <w:t xml:space="preserve">competitive environment is by acquiring new advanced technology to cut down its operating expenses giving a way to earn more profit. </w:t>
      </w:r>
    </w:p>
    <w:p w:rsidR="0007378F" w:rsidRPr="009169FA" w:rsidRDefault="0007378F" w:rsidP="00EF09E0">
      <w:pPr>
        <w:spacing w:after="0" w:line="360" w:lineRule="auto"/>
        <w:jc w:val="both"/>
        <w:rPr>
          <w:rFonts w:ascii="Times New Roman" w:hAnsi="Times New Roman" w:cs="Times New Roman"/>
          <w:sz w:val="24"/>
        </w:rPr>
      </w:pPr>
      <w:r w:rsidRPr="009169FA">
        <w:rPr>
          <w:rFonts w:ascii="Times New Roman" w:hAnsi="Times New Roman" w:cs="Times New Roman"/>
          <w:sz w:val="24"/>
        </w:rPr>
        <w:t xml:space="preserve">More experience and professional bankers need to overcome present competition in banking section for achieve more stable position of the private commercial bank of our country. Effective training facility, improvement of existing employee, employee may be motivated by providing incentive and other facility. </w:t>
      </w:r>
    </w:p>
    <w:p w:rsidR="0007378F" w:rsidRDefault="0007378F" w:rsidP="00EF09E0">
      <w:pPr>
        <w:spacing w:after="0" w:line="360" w:lineRule="auto"/>
        <w:jc w:val="both"/>
        <w:rPr>
          <w:rFonts w:ascii="Times New Roman" w:hAnsi="Times New Roman" w:cs="Times New Roman"/>
          <w:sz w:val="24"/>
        </w:rPr>
      </w:pPr>
      <w:r w:rsidRPr="009169FA">
        <w:rPr>
          <w:rFonts w:ascii="Times New Roman" w:hAnsi="Times New Roman" w:cs="Times New Roman"/>
          <w:sz w:val="24"/>
        </w:rPr>
        <w:t>Employees career depend performance evaluation. Employee must work hard for development of the bank, in order to achieve proper incentive. They must keep in mind that their future carrier depends upon their hard working, honesty sincerity and royalty.</w:t>
      </w:r>
      <w:r>
        <w:rPr>
          <w:rFonts w:ascii="Times New Roman" w:hAnsi="Times New Roman" w:cs="Times New Roman"/>
          <w:sz w:val="24"/>
        </w:rPr>
        <w:t xml:space="preserve"> IF we can follow it then I believe that private commercial bank performance will be good in our country. </w:t>
      </w:r>
    </w:p>
    <w:p w:rsidR="00DE6A63" w:rsidRDefault="00DE6A63" w:rsidP="0007378F">
      <w:pPr>
        <w:widowControl w:val="0"/>
        <w:autoSpaceDE w:val="0"/>
        <w:autoSpaceDN w:val="0"/>
        <w:adjustRightInd w:val="0"/>
        <w:snapToGrid w:val="0"/>
        <w:spacing w:line="360" w:lineRule="auto"/>
        <w:jc w:val="both"/>
        <w:rPr>
          <w:rFonts w:cs="Times New Roman"/>
          <w:b/>
          <w:color w:val="000000"/>
          <w:sz w:val="24"/>
          <w:szCs w:val="24"/>
        </w:rPr>
      </w:pPr>
    </w:p>
    <w:p w:rsidR="00DE6A63" w:rsidRDefault="00DE6A63" w:rsidP="0007378F">
      <w:pPr>
        <w:widowControl w:val="0"/>
        <w:autoSpaceDE w:val="0"/>
        <w:autoSpaceDN w:val="0"/>
        <w:adjustRightInd w:val="0"/>
        <w:snapToGrid w:val="0"/>
        <w:spacing w:line="360" w:lineRule="auto"/>
        <w:jc w:val="both"/>
        <w:rPr>
          <w:rFonts w:cs="Times New Roman"/>
          <w:b/>
          <w:color w:val="000000"/>
          <w:sz w:val="24"/>
          <w:szCs w:val="24"/>
        </w:rPr>
      </w:pPr>
    </w:p>
    <w:p w:rsidR="0007378F" w:rsidRPr="00D96905" w:rsidRDefault="0007378F" w:rsidP="0007378F">
      <w:pPr>
        <w:widowControl w:val="0"/>
        <w:autoSpaceDE w:val="0"/>
        <w:autoSpaceDN w:val="0"/>
        <w:adjustRightInd w:val="0"/>
        <w:snapToGrid w:val="0"/>
        <w:spacing w:line="360" w:lineRule="auto"/>
        <w:jc w:val="both"/>
        <w:rPr>
          <w:rFonts w:cs="Times New Roman"/>
          <w:b/>
          <w:color w:val="000000"/>
          <w:sz w:val="24"/>
          <w:szCs w:val="24"/>
        </w:rPr>
      </w:pPr>
      <w:r w:rsidRPr="00D96905">
        <w:rPr>
          <w:rFonts w:cs="Times New Roman"/>
          <w:b/>
          <w:color w:val="000000"/>
          <w:sz w:val="24"/>
          <w:szCs w:val="24"/>
        </w:rPr>
        <w:t>Reference:</w:t>
      </w:r>
    </w:p>
    <w:p w:rsidR="0007378F" w:rsidRPr="003545EC" w:rsidRDefault="0007378F" w:rsidP="0007378F">
      <w:pPr>
        <w:widowControl w:val="0"/>
        <w:numPr>
          <w:ilvl w:val="0"/>
          <w:numId w:val="22"/>
        </w:numPr>
        <w:autoSpaceDE w:val="0"/>
        <w:autoSpaceDN w:val="0"/>
        <w:adjustRightInd w:val="0"/>
        <w:snapToGrid w:val="0"/>
        <w:spacing w:after="0" w:line="360" w:lineRule="auto"/>
        <w:jc w:val="both"/>
        <w:rPr>
          <w:rFonts w:cs="Times New Roman"/>
          <w:color w:val="000000"/>
          <w:szCs w:val="16"/>
        </w:rPr>
      </w:pPr>
      <w:r>
        <w:t xml:space="preserve">Bangladesh Bank website: </w:t>
      </w:r>
      <w:r w:rsidRPr="00135B37">
        <w:t>https://www.bb.org.bd/</w:t>
      </w:r>
    </w:p>
    <w:p w:rsidR="0007378F" w:rsidRDefault="0007378F" w:rsidP="0007378F">
      <w:pPr>
        <w:widowControl w:val="0"/>
        <w:numPr>
          <w:ilvl w:val="0"/>
          <w:numId w:val="22"/>
        </w:numPr>
        <w:autoSpaceDE w:val="0"/>
        <w:autoSpaceDN w:val="0"/>
        <w:adjustRightInd w:val="0"/>
        <w:snapToGrid w:val="0"/>
        <w:spacing w:after="0" w:line="360" w:lineRule="auto"/>
        <w:jc w:val="both"/>
        <w:rPr>
          <w:rFonts w:cs="Times New Roman"/>
          <w:color w:val="000000"/>
          <w:szCs w:val="16"/>
        </w:rPr>
      </w:pPr>
      <w:r>
        <w:t>Dhaka Bank</w:t>
      </w:r>
      <w:r w:rsidRPr="003545EC">
        <w:rPr>
          <w:rFonts w:cs="Times New Roman"/>
          <w:color w:val="000000"/>
          <w:szCs w:val="16"/>
        </w:rPr>
        <w:t xml:space="preserve"> </w:t>
      </w:r>
      <w:r>
        <w:t xml:space="preserve">website: </w:t>
      </w:r>
      <w:r w:rsidRPr="00135B37">
        <w:t>https://dhakabankltd.com/</w:t>
      </w:r>
    </w:p>
    <w:p w:rsidR="0007378F" w:rsidRDefault="0007378F" w:rsidP="0007378F">
      <w:pPr>
        <w:widowControl w:val="0"/>
        <w:numPr>
          <w:ilvl w:val="0"/>
          <w:numId w:val="22"/>
        </w:numPr>
        <w:autoSpaceDE w:val="0"/>
        <w:autoSpaceDN w:val="0"/>
        <w:adjustRightInd w:val="0"/>
        <w:snapToGrid w:val="0"/>
        <w:spacing w:after="0" w:line="360" w:lineRule="auto"/>
        <w:jc w:val="both"/>
        <w:rPr>
          <w:rFonts w:cs="Times New Roman"/>
          <w:color w:val="000000"/>
          <w:szCs w:val="16"/>
        </w:rPr>
      </w:pPr>
      <w:r>
        <w:rPr>
          <w:rFonts w:cs="Times New Roman"/>
          <w:color w:val="000000"/>
          <w:szCs w:val="16"/>
        </w:rPr>
        <w:t xml:space="preserve">Brac Bank </w:t>
      </w:r>
      <w:r>
        <w:t xml:space="preserve">website: </w:t>
      </w:r>
      <w:r w:rsidRPr="00135B37">
        <w:t>https://www.bracbank.com/</w:t>
      </w:r>
    </w:p>
    <w:p w:rsidR="0007378F" w:rsidRDefault="0007378F" w:rsidP="0007378F">
      <w:pPr>
        <w:widowControl w:val="0"/>
        <w:numPr>
          <w:ilvl w:val="0"/>
          <w:numId w:val="22"/>
        </w:numPr>
        <w:autoSpaceDE w:val="0"/>
        <w:autoSpaceDN w:val="0"/>
        <w:adjustRightInd w:val="0"/>
        <w:snapToGrid w:val="0"/>
        <w:spacing w:after="0" w:line="360" w:lineRule="auto"/>
        <w:jc w:val="both"/>
        <w:rPr>
          <w:rFonts w:cs="Times New Roman"/>
          <w:color w:val="000000"/>
          <w:szCs w:val="16"/>
        </w:rPr>
      </w:pPr>
      <w:r>
        <w:rPr>
          <w:rFonts w:cs="Times New Roman"/>
          <w:color w:val="000000"/>
          <w:szCs w:val="16"/>
        </w:rPr>
        <w:t xml:space="preserve">Dutch Bangla Bank </w:t>
      </w:r>
      <w:r>
        <w:t xml:space="preserve">website: </w:t>
      </w:r>
      <w:r w:rsidRPr="00135B37">
        <w:t>https://www.dutchbanglabank.com/</w:t>
      </w:r>
    </w:p>
    <w:p w:rsidR="0007378F" w:rsidRDefault="0007378F" w:rsidP="0007378F">
      <w:pPr>
        <w:widowControl w:val="0"/>
        <w:numPr>
          <w:ilvl w:val="0"/>
          <w:numId w:val="22"/>
        </w:numPr>
        <w:autoSpaceDE w:val="0"/>
        <w:autoSpaceDN w:val="0"/>
        <w:adjustRightInd w:val="0"/>
        <w:snapToGrid w:val="0"/>
        <w:spacing w:after="0" w:line="360" w:lineRule="auto"/>
        <w:jc w:val="both"/>
        <w:rPr>
          <w:rFonts w:cs="Times New Roman"/>
          <w:color w:val="000000"/>
          <w:szCs w:val="16"/>
        </w:rPr>
      </w:pPr>
      <w:r>
        <w:rPr>
          <w:rFonts w:cs="Times New Roman"/>
          <w:color w:val="000000"/>
          <w:szCs w:val="16"/>
        </w:rPr>
        <w:t xml:space="preserve">Bank Asia </w:t>
      </w:r>
      <w:r>
        <w:t xml:space="preserve">website: </w:t>
      </w:r>
      <w:r w:rsidRPr="00135B37">
        <w:t>http://www.bankasia-bd.com/</w:t>
      </w:r>
    </w:p>
    <w:p w:rsidR="0007378F" w:rsidRDefault="0007378F" w:rsidP="0007378F">
      <w:pPr>
        <w:widowControl w:val="0"/>
        <w:numPr>
          <w:ilvl w:val="0"/>
          <w:numId w:val="22"/>
        </w:numPr>
        <w:autoSpaceDE w:val="0"/>
        <w:autoSpaceDN w:val="0"/>
        <w:adjustRightInd w:val="0"/>
        <w:snapToGrid w:val="0"/>
        <w:spacing w:after="0" w:line="360" w:lineRule="auto"/>
        <w:jc w:val="both"/>
        <w:rPr>
          <w:rFonts w:cs="Times New Roman"/>
          <w:color w:val="000000"/>
          <w:szCs w:val="16"/>
        </w:rPr>
      </w:pPr>
      <w:r>
        <w:rPr>
          <w:rFonts w:cs="Times New Roman"/>
          <w:color w:val="000000"/>
          <w:szCs w:val="16"/>
        </w:rPr>
        <w:t xml:space="preserve">IFIC Bank </w:t>
      </w:r>
      <w:r>
        <w:t xml:space="preserve">website: </w:t>
      </w:r>
      <w:r w:rsidRPr="00135B37">
        <w:t>https://www.ificbank.com.bd/</w:t>
      </w:r>
    </w:p>
    <w:p w:rsidR="0007378F" w:rsidRPr="001F75BD" w:rsidRDefault="0007378F" w:rsidP="001F75BD">
      <w:pPr>
        <w:widowControl w:val="0"/>
        <w:numPr>
          <w:ilvl w:val="0"/>
          <w:numId w:val="22"/>
        </w:numPr>
        <w:autoSpaceDE w:val="0"/>
        <w:autoSpaceDN w:val="0"/>
        <w:adjustRightInd w:val="0"/>
        <w:snapToGrid w:val="0"/>
        <w:spacing w:after="0" w:line="360" w:lineRule="auto"/>
        <w:jc w:val="both"/>
        <w:rPr>
          <w:rFonts w:cs="Times New Roman"/>
          <w:color w:val="000000"/>
          <w:szCs w:val="16"/>
        </w:rPr>
      </w:pPr>
      <w:r w:rsidRPr="00466EDC">
        <w:rPr>
          <w:rFonts w:ascii="Times New Roman" w:hAnsi="Times New Roman" w:cs="Times New Roman"/>
          <w:sz w:val="24"/>
          <w:szCs w:val="24"/>
        </w:rPr>
        <w:t>ASA University Review,</w:t>
      </w:r>
      <w:r w:rsidR="001F75BD" w:rsidRPr="001F75BD">
        <w:rPr>
          <w:rFonts w:ascii="Times New Roman" w:hAnsi="Times New Roman" w:cs="Times New Roman"/>
          <w:sz w:val="24"/>
          <w:szCs w:val="24"/>
        </w:rPr>
        <w:t xml:space="preserve"> </w:t>
      </w:r>
      <w:r w:rsidR="001F75BD" w:rsidRPr="00466EDC">
        <w:rPr>
          <w:rFonts w:ascii="Times New Roman" w:hAnsi="Times New Roman" w:cs="Times New Roman"/>
          <w:sz w:val="24"/>
          <w:szCs w:val="24"/>
        </w:rPr>
        <w:t>Performance Evaluation of the Banking Sector in Bangladesh: A Comparative Analysis</w:t>
      </w:r>
      <w:r w:rsidR="001F75BD">
        <w:rPr>
          <w:rFonts w:cs="Times New Roman"/>
          <w:color w:val="000000"/>
          <w:szCs w:val="16"/>
        </w:rPr>
        <w:t>,</w:t>
      </w:r>
      <w:r w:rsidRPr="001F75BD">
        <w:rPr>
          <w:rFonts w:ascii="Times New Roman" w:hAnsi="Times New Roman" w:cs="Times New Roman"/>
          <w:sz w:val="24"/>
          <w:szCs w:val="24"/>
        </w:rPr>
        <w:t xml:space="preserve"> Vol. 7 No. 1, January–June, 2013 </w:t>
      </w:r>
      <w:r w:rsidR="001F75BD">
        <w:rPr>
          <w:rFonts w:ascii="Times New Roman" w:hAnsi="Times New Roman" w:cs="Times New Roman"/>
          <w:sz w:val="24"/>
          <w:szCs w:val="24"/>
        </w:rPr>
        <w:t>.</w:t>
      </w:r>
    </w:p>
    <w:p w:rsidR="001F75BD" w:rsidRDefault="001F75BD" w:rsidP="001F75BD">
      <w:pPr>
        <w:pStyle w:val="ListParagraph"/>
        <w:numPr>
          <w:ilvl w:val="0"/>
          <w:numId w:val="22"/>
        </w:numPr>
      </w:pPr>
      <w:r>
        <w:rPr>
          <w:rFonts w:ascii="Times New Roman" w:hAnsi="Times New Roman" w:cs="Times New Roman"/>
          <w:sz w:val="24"/>
          <w:szCs w:val="24"/>
        </w:rPr>
        <w:t xml:space="preserve">Roy and </w:t>
      </w:r>
      <w:r w:rsidRPr="001F75BD">
        <w:rPr>
          <w:rFonts w:ascii="Times New Roman" w:hAnsi="Times New Roman" w:cs="Times New Roman"/>
          <w:sz w:val="24"/>
          <w:szCs w:val="24"/>
        </w:rPr>
        <w:t>Khan</w:t>
      </w:r>
      <w:r>
        <w:rPr>
          <w:rFonts w:ascii="Times New Roman" w:hAnsi="Times New Roman" w:cs="Times New Roman"/>
          <w:sz w:val="24"/>
          <w:szCs w:val="24"/>
        </w:rPr>
        <w:t xml:space="preserve"> (2013),</w:t>
      </w:r>
      <w:r w:rsidRPr="001F75BD">
        <w:rPr>
          <w:rFonts w:ascii="Times New Roman" w:hAnsi="Times New Roman" w:cs="Times New Roman"/>
          <w:sz w:val="24"/>
          <w:szCs w:val="24"/>
        </w:rPr>
        <w:t xml:space="preserve"> </w:t>
      </w:r>
      <w:r w:rsidRPr="00466EDC">
        <w:rPr>
          <w:rFonts w:ascii="Times New Roman" w:hAnsi="Times New Roman" w:cs="Times New Roman"/>
          <w:sz w:val="24"/>
          <w:szCs w:val="24"/>
        </w:rPr>
        <w:t xml:space="preserve">Study on Private Commercial Banks in Bangladesh </w:t>
      </w:r>
      <w:r>
        <w:rPr>
          <w:rFonts w:ascii="Times New Roman" w:hAnsi="Times New Roman" w:cs="Times New Roman"/>
          <w:sz w:val="24"/>
          <w:szCs w:val="24"/>
        </w:rPr>
        <w:t>,</w:t>
      </w:r>
      <w:r w:rsidRPr="00466EDC">
        <w:rPr>
          <w:rFonts w:ascii="Times New Roman" w:hAnsi="Times New Roman" w:cs="Times New Roman"/>
          <w:sz w:val="24"/>
          <w:szCs w:val="24"/>
        </w:rPr>
        <w:t xml:space="preserve"> Vol. 7 No. 1, January–June,</w:t>
      </w:r>
      <w:r w:rsidRPr="001F75BD">
        <w:rPr>
          <w:rFonts w:ascii="Times New Roman" w:hAnsi="Times New Roman" w:cs="Times New Roman"/>
          <w:sz w:val="24"/>
          <w:szCs w:val="24"/>
        </w:rPr>
        <w:t xml:space="preserve"> </w:t>
      </w:r>
      <w:r>
        <w:rPr>
          <w:rFonts w:ascii="Times New Roman" w:hAnsi="Times New Roman" w:cs="Times New Roman"/>
          <w:sz w:val="24"/>
          <w:szCs w:val="24"/>
        </w:rPr>
        <w:t>ASA University Review.</w:t>
      </w:r>
    </w:p>
    <w:p w:rsidR="0007378F" w:rsidRPr="00707145" w:rsidRDefault="00CA7765" w:rsidP="0007378F">
      <w:pPr>
        <w:pStyle w:val="ListParagraph"/>
        <w:numPr>
          <w:ilvl w:val="0"/>
          <w:numId w:val="22"/>
        </w:numPr>
        <w:spacing w:line="360" w:lineRule="auto"/>
        <w:jc w:val="both"/>
        <w:rPr>
          <w:sz w:val="24"/>
          <w:szCs w:val="24"/>
        </w:rPr>
      </w:pPr>
      <w:hyperlink r:id="rId39" w:history="1">
        <w:r w:rsidR="0007378F" w:rsidRPr="00707145">
          <w:rPr>
            <w:rStyle w:val="Hyperlink"/>
            <w:color w:val="auto"/>
            <w:sz w:val="24"/>
            <w:szCs w:val="24"/>
          </w:rPr>
          <w:t>http://www.newagebd.net/article/29229/rising-npls-matter-of-serious-concern-for-banking-sector-experts-say-at-abc</w:t>
        </w:r>
      </w:hyperlink>
    </w:p>
    <w:p w:rsidR="0007378F" w:rsidRPr="00135B37" w:rsidRDefault="0007378F" w:rsidP="0007378F">
      <w:pPr>
        <w:pStyle w:val="ListParagraph"/>
        <w:numPr>
          <w:ilvl w:val="0"/>
          <w:numId w:val="22"/>
        </w:numPr>
        <w:spacing w:line="360" w:lineRule="auto"/>
        <w:jc w:val="both"/>
        <w:rPr>
          <w:sz w:val="24"/>
          <w:szCs w:val="24"/>
        </w:rPr>
      </w:pPr>
      <w:r w:rsidRPr="00707145">
        <w:rPr>
          <w:sz w:val="24"/>
          <w:szCs w:val="24"/>
        </w:rPr>
        <w:t>https://dailyasianage.com/news/110424/strong-adr-process-can-reduce-npl-experts</w:t>
      </w:r>
    </w:p>
    <w:p w:rsidR="0007378F" w:rsidRPr="009169FA" w:rsidRDefault="0007378F" w:rsidP="0007378F">
      <w:pPr>
        <w:spacing w:line="360" w:lineRule="auto"/>
        <w:jc w:val="both"/>
        <w:rPr>
          <w:rFonts w:ascii="Times New Roman" w:hAnsi="Times New Roman" w:cs="Times New Roman"/>
          <w:sz w:val="24"/>
        </w:rPr>
      </w:pPr>
    </w:p>
    <w:p w:rsidR="0007378F" w:rsidRDefault="0007378F" w:rsidP="0007378F">
      <w:pPr>
        <w:pStyle w:val="Default"/>
        <w:jc w:val="both"/>
        <w:rPr>
          <w:sz w:val="23"/>
          <w:szCs w:val="23"/>
        </w:rPr>
      </w:pPr>
      <w:r>
        <w:rPr>
          <w:sz w:val="23"/>
          <w:szCs w:val="23"/>
        </w:rPr>
        <w:t xml:space="preserve"> </w:t>
      </w:r>
    </w:p>
    <w:p w:rsidR="0007378F" w:rsidRPr="00106B86" w:rsidRDefault="0007378F" w:rsidP="0007378F">
      <w:pPr>
        <w:spacing w:line="360" w:lineRule="auto"/>
        <w:jc w:val="both"/>
        <w:rPr>
          <w:rFonts w:ascii="Times New Roman" w:hAnsi="Times New Roman" w:cs="Times New Roman"/>
          <w:sz w:val="24"/>
          <w:szCs w:val="24"/>
        </w:rPr>
      </w:pPr>
    </w:p>
    <w:p w:rsidR="0007378F" w:rsidRPr="00E50D88" w:rsidRDefault="0007378F" w:rsidP="0007378F">
      <w:pPr>
        <w:jc w:val="both"/>
      </w:pPr>
    </w:p>
    <w:p w:rsidR="0007378F" w:rsidRDefault="0007378F" w:rsidP="00C41FCD">
      <w:pPr>
        <w:spacing w:line="360" w:lineRule="auto"/>
        <w:jc w:val="both"/>
        <w:rPr>
          <w:rFonts w:ascii="Times New Roman" w:hAnsi="Times New Roman" w:cs="Times New Roman"/>
          <w:sz w:val="24"/>
        </w:rPr>
      </w:pPr>
    </w:p>
    <w:p w:rsidR="0007378F" w:rsidRPr="00C41FCD" w:rsidRDefault="0007378F" w:rsidP="00C41FCD">
      <w:pPr>
        <w:spacing w:line="360" w:lineRule="auto"/>
        <w:jc w:val="both"/>
        <w:rPr>
          <w:rFonts w:ascii="Times New Roman" w:hAnsi="Times New Roman" w:cs="Times New Roman"/>
          <w:sz w:val="24"/>
        </w:rPr>
      </w:pPr>
    </w:p>
    <w:p w:rsidR="00FB6B40" w:rsidRPr="00536843" w:rsidRDefault="00FB6B40" w:rsidP="00536843">
      <w:pPr>
        <w:shd w:val="clear" w:color="auto" w:fill="FFFFFF"/>
        <w:spacing w:after="0" w:line="360" w:lineRule="auto"/>
        <w:ind w:left="105" w:right="105"/>
        <w:jc w:val="both"/>
        <w:rPr>
          <w:rFonts w:ascii="Times New Roman" w:eastAsia="Times New Roman" w:hAnsi="Times New Roman" w:cs="Times New Roman"/>
          <w:color w:val="000000"/>
          <w:sz w:val="24"/>
          <w:szCs w:val="24"/>
        </w:rPr>
      </w:pPr>
    </w:p>
    <w:sectPr w:rsidR="00FB6B40" w:rsidRPr="00536843" w:rsidSect="0007378F">
      <w:footerReference w:type="default" r:id="rId40"/>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28A" w:rsidRDefault="0093328A" w:rsidP="0007378F">
      <w:pPr>
        <w:spacing w:after="0" w:line="240" w:lineRule="auto"/>
      </w:pPr>
      <w:r>
        <w:separator/>
      </w:r>
    </w:p>
  </w:endnote>
  <w:endnote w:type="continuationSeparator" w:id="0">
    <w:p w:rsidR="0093328A" w:rsidRDefault="0093328A" w:rsidP="00073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279763"/>
      <w:docPartObj>
        <w:docPartGallery w:val="Page Numbers (Bottom of Page)"/>
        <w:docPartUnique/>
      </w:docPartObj>
    </w:sdtPr>
    <w:sdtContent>
      <w:sdt>
        <w:sdtPr>
          <w:id w:val="1728636285"/>
          <w:docPartObj>
            <w:docPartGallery w:val="Page Numbers (Top of Page)"/>
            <w:docPartUnique/>
          </w:docPartObj>
        </w:sdtPr>
        <w:sdtContent>
          <w:p w:rsidR="00CA7765" w:rsidRDefault="00CA776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C796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C7967">
              <w:rPr>
                <w:b/>
                <w:bCs/>
                <w:noProof/>
              </w:rPr>
              <w:t>38</w:t>
            </w:r>
            <w:r>
              <w:rPr>
                <w:b/>
                <w:bCs/>
                <w:sz w:val="24"/>
                <w:szCs w:val="24"/>
              </w:rPr>
              <w:fldChar w:fldCharType="end"/>
            </w:r>
          </w:p>
        </w:sdtContent>
      </w:sdt>
    </w:sdtContent>
  </w:sdt>
  <w:p w:rsidR="00CA7765" w:rsidRDefault="00CA7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28A" w:rsidRDefault="0093328A" w:rsidP="0007378F">
      <w:pPr>
        <w:spacing w:after="0" w:line="240" w:lineRule="auto"/>
      </w:pPr>
      <w:r>
        <w:separator/>
      </w:r>
    </w:p>
  </w:footnote>
  <w:footnote w:type="continuationSeparator" w:id="0">
    <w:p w:rsidR="0093328A" w:rsidRDefault="0093328A" w:rsidP="000737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1.25pt;height:11.25pt" o:bullet="t">
        <v:imagedata r:id="rId1" o:title="msoB72E"/>
      </v:shape>
    </w:pict>
  </w:numPicBullet>
  <w:numPicBullet w:numPicBulletId="1">
    <w:pict>
      <v:shape id="_x0000_i1101" type="#_x0000_t75" style="width:11.25pt;height:11.25pt" o:bullet="t">
        <v:imagedata r:id="rId2" o:title="msoAAA4"/>
      </v:shape>
    </w:pict>
  </w:numPicBullet>
  <w:abstractNum w:abstractNumId="0">
    <w:nsid w:val="03446497"/>
    <w:multiLevelType w:val="hybridMultilevel"/>
    <w:tmpl w:val="FC6C460A"/>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
    <w:nsid w:val="0C363417"/>
    <w:multiLevelType w:val="multilevel"/>
    <w:tmpl w:val="25FC961E"/>
    <w:lvl w:ilvl="0">
      <w:start w:val="1"/>
      <w:numFmt w:val="bullet"/>
      <w:lvlText w:val=""/>
      <w:lvlJc w:val="left"/>
      <w:pPr>
        <w:ind w:left="432" w:hanging="432"/>
      </w:pPr>
      <w:rPr>
        <w:rFonts w:ascii="Wingdings" w:hAnsi="Wingdings" w:hint="default"/>
      </w:rPr>
    </w:lvl>
    <w:lvl w:ilvl="1">
      <w:start w:val="1"/>
      <w:numFmt w:val="decimal"/>
      <w:lvlText w:val="%1.%2"/>
      <w:lvlJc w:val="left"/>
      <w:pPr>
        <w:ind w:left="576" w:hanging="576"/>
      </w:p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F5269E1"/>
    <w:multiLevelType w:val="multilevel"/>
    <w:tmpl w:val="FB7C4E98"/>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F88786B"/>
    <w:multiLevelType w:val="hybridMultilevel"/>
    <w:tmpl w:val="69B81C36"/>
    <w:lvl w:ilvl="0" w:tplc="3F02AA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B966BC"/>
    <w:multiLevelType w:val="hybridMultilevel"/>
    <w:tmpl w:val="FDA4127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E74A56"/>
    <w:multiLevelType w:val="hybridMultilevel"/>
    <w:tmpl w:val="F6DE38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2B7A59"/>
    <w:multiLevelType w:val="multilevel"/>
    <w:tmpl w:val="FB7C4E98"/>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10B072FD"/>
    <w:multiLevelType w:val="hybridMultilevel"/>
    <w:tmpl w:val="5A329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6B37C8"/>
    <w:multiLevelType w:val="multilevel"/>
    <w:tmpl w:val="719CCE78"/>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15563EA5"/>
    <w:multiLevelType w:val="hybridMultilevel"/>
    <w:tmpl w:val="06C4DC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7F1BC0"/>
    <w:multiLevelType w:val="multilevel"/>
    <w:tmpl w:val="FB7C4E98"/>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1918752D"/>
    <w:multiLevelType w:val="hybridMultilevel"/>
    <w:tmpl w:val="B1DA897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A1575F"/>
    <w:multiLevelType w:val="hybridMultilevel"/>
    <w:tmpl w:val="3F18C8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1450A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24EA66F4"/>
    <w:multiLevelType w:val="hybridMultilevel"/>
    <w:tmpl w:val="F6D02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86486"/>
    <w:multiLevelType w:val="multilevel"/>
    <w:tmpl w:val="9A5EA146"/>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PicBulletId w:val="1"/>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27C749A2"/>
    <w:multiLevelType w:val="hybridMultilevel"/>
    <w:tmpl w:val="3550AB3C"/>
    <w:lvl w:ilvl="0" w:tplc="1C0A1BC8">
      <w:numFmt w:val="bullet"/>
      <w:lvlText w:val="•"/>
      <w:lvlJc w:val="left"/>
      <w:pPr>
        <w:ind w:left="720" w:hanging="360"/>
      </w:pPr>
      <w:rPr>
        <w:rFonts w:ascii="Times New Roman" w:eastAsiaTheme="minorHAnsi"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FF6C33"/>
    <w:multiLevelType w:val="hybridMultilevel"/>
    <w:tmpl w:val="E4F067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4A1CBD"/>
    <w:multiLevelType w:val="hybridMultilevel"/>
    <w:tmpl w:val="037C01CE"/>
    <w:lvl w:ilvl="0" w:tplc="FB5452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19022E"/>
    <w:multiLevelType w:val="multilevel"/>
    <w:tmpl w:val="9A5EA146"/>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PicBulletId w:val="1"/>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33BE33F2"/>
    <w:multiLevelType w:val="hybridMultilevel"/>
    <w:tmpl w:val="2A56ADF4"/>
    <w:lvl w:ilvl="0" w:tplc="8FC4FA7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34600AC4"/>
    <w:multiLevelType w:val="hybridMultilevel"/>
    <w:tmpl w:val="78FA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6B71A3"/>
    <w:multiLevelType w:val="hybridMultilevel"/>
    <w:tmpl w:val="B72812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40071E"/>
    <w:multiLevelType w:val="hybridMultilevel"/>
    <w:tmpl w:val="7380741A"/>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756B09"/>
    <w:multiLevelType w:val="hybridMultilevel"/>
    <w:tmpl w:val="6FD4B7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741620"/>
    <w:multiLevelType w:val="hybridMultilevel"/>
    <w:tmpl w:val="1F8E0C8E"/>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8E28CF"/>
    <w:multiLevelType w:val="hybridMultilevel"/>
    <w:tmpl w:val="9B9C40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7676C5"/>
    <w:multiLevelType w:val="hybridMultilevel"/>
    <w:tmpl w:val="865025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790650"/>
    <w:multiLevelType w:val="hybridMultilevel"/>
    <w:tmpl w:val="B552A936"/>
    <w:lvl w:ilvl="0" w:tplc="3F02AA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3F26EE"/>
    <w:multiLevelType w:val="hybridMultilevel"/>
    <w:tmpl w:val="582C08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665E1A"/>
    <w:multiLevelType w:val="hybridMultilevel"/>
    <w:tmpl w:val="A2CE287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1C65B9"/>
    <w:multiLevelType w:val="hybridMultilevel"/>
    <w:tmpl w:val="72ACC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7A4DDA"/>
    <w:multiLevelType w:val="hybridMultilevel"/>
    <w:tmpl w:val="B7DADC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4640B3"/>
    <w:multiLevelType w:val="hybridMultilevel"/>
    <w:tmpl w:val="98E064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3C29F1"/>
    <w:multiLevelType w:val="multilevel"/>
    <w:tmpl w:val="9A5EA146"/>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PicBulletId w:val="1"/>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571B0113"/>
    <w:multiLevelType w:val="hybridMultilevel"/>
    <w:tmpl w:val="E9527998"/>
    <w:lvl w:ilvl="0" w:tplc="3F02AA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8A5D1E"/>
    <w:multiLevelType w:val="hybridMultilevel"/>
    <w:tmpl w:val="202A33C0"/>
    <w:lvl w:ilvl="0" w:tplc="04090009">
      <w:start w:val="1"/>
      <w:numFmt w:val="bullet"/>
      <w:lvlText w:val=""/>
      <w:lvlJc w:val="left"/>
      <w:pPr>
        <w:ind w:left="829" w:hanging="360"/>
      </w:pPr>
      <w:rPr>
        <w:rFonts w:ascii="Wingdings" w:hAnsi="Wingdings"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37">
    <w:nsid w:val="5C0A4832"/>
    <w:multiLevelType w:val="hybridMultilevel"/>
    <w:tmpl w:val="52C009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4F5469"/>
    <w:multiLevelType w:val="hybridMultilevel"/>
    <w:tmpl w:val="25967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F6576B"/>
    <w:multiLevelType w:val="hybridMultilevel"/>
    <w:tmpl w:val="00AADF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241A24"/>
    <w:multiLevelType w:val="hybridMultilevel"/>
    <w:tmpl w:val="ED72C29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192A2C"/>
    <w:multiLevelType w:val="hybridMultilevel"/>
    <w:tmpl w:val="B80E6E68"/>
    <w:lvl w:ilvl="0" w:tplc="0409000B">
      <w:start w:val="1"/>
      <w:numFmt w:val="bullet"/>
      <w:lvlText w:val=""/>
      <w:lvlJc w:val="left"/>
      <w:pPr>
        <w:ind w:left="829" w:hanging="360"/>
      </w:pPr>
      <w:rPr>
        <w:rFonts w:ascii="Wingdings" w:hAnsi="Wingdings"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2">
    <w:nsid w:val="78CE517C"/>
    <w:multiLevelType w:val="hybridMultilevel"/>
    <w:tmpl w:val="316EAC0E"/>
    <w:lvl w:ilvl="0" w:tplc="3F02AA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7"/>
  </w:num>
  <w:num w:numId="3">
    <w:abstractNumId w:val="12"/>
  </w:num>
  <w:num w:numId="4">
    <w:abstractNumId w:val="5"/>
  </w:num>
  <w:num w:numId="5">
    <w:abstractNumId w:val="27"/>
  </w:num>
  <w:num w:numId="6">
    <w:abstractNumId w:val="13"/>
  </w:num>
  <w:num w:numId="7">
    <w:abstractNumId w:val="14"/>
  </w:num>
  <w:num w:numId="8">
    <w:abstractNumId w:val="42"/>
  </w:num>
  <w:num w:numId="9">
    <w:abstractNumId w:val="28"/>
  </w:num>
  <w:num w:numId="10">
    <w:abstractNumId w:val="35"/>
  </w:num>
  <w:num w:numId="11">
    <w:abstractNumId w:val="22"/>
  </w:num>
  <w:num w:numId="12">
    <w:abstractNumId w:val="29"/>
  </w:num>
  <w:num w:numId="13">
    <w:abstractNumId w:val="16"/>
  </w:num>
  <w:num w:numId="14">
    <w:abstractNumId w:val="33"/>
  </w:num>
  <w:num w:numId="15">
    <w:abstractNumId w:val="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5"/>
  </w:num>
  <w:num w:numId="20">
    <w:abstractNumId w:val="11"/>
  </w:num>
  <w:num w:numId="21">
    <w:abstractNumId w:val="17"/>
  </w:num>
  <w:num w:numId="22">
    <w:abstractNumId w:val="20"/>
  </w:num>
  <w:num w:numId="23">
    <w:abstractNumId w:val="31"/>
  </w:num>
  <w:num w:numId="24">
    <w:abstractNumId w:val="8"/>
  </w:num>
  <w:num w:numId="25">
    <w:abstractNumId w:val="19"/>
  </w:num>
  <w:num w:numId="26">
    <w:abstractNumId w:val="15"/>
  </w:num>
  <w:num w:numId="27">
    <w:abstractNumId w:val="34"/>
  </w:num>
  <w:num w:numId="28">
    <w:abstractNumId w:val="38"/>
  </w:num>
  <w:num w:numId="29">
    <w:abstractNumId w:val="0"/>
  </w:num>
  <w:num w:numId="30">
    <w:abstractNumId w:val="41"/>
  </w:num>
  <w:num w:numId="31">
    <w:abstractNumId w:val="36"/>
  </w:num>
  <w:num w:numId="32">
    <w:abstractNumId w:val="6"/>
  </w:num>
  <w:num w:numId="33">
    <w:abstractNumId w:val="10"/>
  </w:num>
  <w:num w:numId="34">
    <w:abstractNumId w:val="2"/>
  </w:num>
  <w:num w:numId="35">
    <w:abstractNumId w:val="1"/>
  </w:num>
  <w:num w:numId="36">
    <w:abstractNumId w:val="4"/>
  </w:num>
  <w:num w:numId="37">
    <w:abstractNumId w:val="40"/>
  </w:num>
  <w:num w:numId="38">
    <w:abstractNumId w:val="7"/>
  </w:num>
  <w:num w:numId="39">
    <w:abstractNumId w:val="30"/>
  </w:num>
  <w:num w:numId="40">
    <w:abstractNumId w:val="21"/>
  </w:num>
  <w:num w:numId="41">
    <w:abstractNumId w:val="23"/>
  </w:num>
  <w:num w:numId="42">
    <w:abstractNumId w:val="26"/>
  </w:num>
  <w:num w:numId="43">
    <w:abstractNumId w:val="32"/>
  </w:num>
  <w:num w:numId="44">
    <w:abstractNumId w:val="39"/>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C91"/>
    <w:rsid w:val="00061371"/>
    <w:rsid w:val="0007378F"/>
    <w:rsid w:val="000A2864"/>
    <w:rsid w:val="001F75BD"/>
    <w:rsid w:val="002031A5"/>
    <w:rsid w:val="0025628E"/>
    <w:rsid w:val="002743CF"/>
    <w:rsid w:val="00360640"/>
    <w:rsid w:val="003D20C2"/>
    <w:rsid w:val="0049662E"/>
    <w:rsid w:val="00500B82"/>
    <w:rsid w:val="00536843"/>
    <w:rsid w:val="00631993"/>
    <w:rsid w:val="00651792"/>
    <w:rsid w:val="007A1615"/>
    <w:rsid w:val="00806412"/>
    <w:rsid w:val="00866D78"/>
    <w:rsid w:val="008F3502"/>
    <w:rsid w:val="008F4620"/>
    <w:rsid w:val="008F72E8"/>
    <w:rsid w:val="00911549"/>
    <w:rsid w:val="0093328A"/>
    <w:rsid w:val="00967AD3"/>
    <w:rsid w:val="00AA1A2C"/>
    <w:rsid w:val="00B61DEE"/>
    <w:rsid w:val="00BB580D"/>
    <w:rsid w:val="00BD174E"/>
    <w:rsid w:val="00C41FCD"/>
    <w:rsid w:val="00C8224D"/>
    <w:rsid w:val="00CA7765"/>
    <w:rsid w:val="00D83822"/>
    <w:rsid w:val="00DC7967"/>
    <w:rsid w:val="00DE6A63"/>
    <w:rsid w:val="00E06A74"/>
    <w:rsid w:val="00E266FC"/>
    <w:rsid w:val="00EF09E0"/>
    <w:rsid w:val="00F26C91"/>
    <w:rsid w:val="00F61CC5"/>
    <w:rsid w:val="00FB6B40"/>
    <w:rsid w:val="00FD0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17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37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174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7378F"/>
    <w:pPr>
      <w:keepNext/>
      <w:keepLines/>
      <w:spacing w:before="200" w:after="0"/>
      <w:ind w:left="864" w:hanging="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7378F"/>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378F"/>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7378F"/>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7378F"/>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7378F"/>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1371"/>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BD174E"/>
    <w:rPr>
      <w:rFonts w:asciiTheme="majorHAnsi" w:eastAsiaTheme="majorEastAsia" w:hAnsiTheme="majorHAnsi" w:cstheme="majorBidi"/>
      <w:b/>
      <w:bCs/>
      <w:color w:val="365F91" w:themeColor="accent1" w:themeShade="BF"/>
      <w:sz w:val="28"/>
      <w:szCs w:val="28"/>
    </w:rPr>
  </w:style>
  <w:style w:type="character" w:customStyle="1" w:styleId="5yl5">
    <w:name w:val="_5yl5"/>
    <w:basedOn w:val="DefaultParagraphFont"/>
    <w:rsid w:val="00BD174E"/>
  </w:style>
  <w:style w:type="character" w:customStyle="1" w:styleId="Heading3Char">
    <w:name w:val="Heading 3 Char"/>
    <w:basedOn w:val="DefaultParagraphFont"/>
    <w:link w:val="Heading3"/>
    <w:uiPriority w:val="9"/>
    <w:rsid w:val="00BD174E"/>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07378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7378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7378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378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7378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7378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7378F"/>
    <w:rPr>
      <w:rFonts w:asciiTheme="majorHAnsi" w:eastAsiaTheme="majorEastAsia" w:hAnsiTheme="majorHAnsi" w:cstheme="majorBidi"/>
      <w:i/>
      <w:iCs/>
      <w:color w:val="404040" w:themeColor="text1" w:themeTint="BF"/>
      <w:sz w:val="20"/>
      <w:szCs w:val="20"/>
    </w:rPr>
  </w:style>
  <w:style w:type="table" w:styleId="LightGrid-Accent5">
    <w:name w:val="Light Grid Accent 5"/>
    <w:basedOn w:val="TableNormal"/>
    <w:uiPriority w:val="62"/>
    <w:rsid w:val="0007378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yperlink">
    <w:name w:val="Hyperlink"/>
    <w:basedOn w:val="DefaultParagraphFont"/>
    <w:uiPriority w:val="99"/>
    <w:unhideWhenUsed/>
    <w:rsid w:val="0007378F"/>
    <w:rPr>
      <w:color w:val="0000FF"/>
      <w:u w:val="single"/>
    </w:rPr>
  </w:style>
  <w:style w:type="paragraph" w:styleId="NoSpacing">
    <w:name w:val="No Spacing"/>
    <w:uiPriority w:val="1"/>
    <w:qFormat/>
    <w:rsid w:val="0007378F"/>
    <w:pPr>
      <w:spacing w:after="0" w:line="240" w:lineRule="auto"/>
    </w:pPr>
  </w:style>
  <w:style w:type="table" w:styleId="MediumGrid1-Accent4">
    <w:name w:val="Medium Grid 1 Accent 4"/>
    <w:basedOn w:val="TableNormal"/>
    <w:uiPriority w:val="67"/>
    <w:rsid w:val="0007378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Grid-Accent2">
    <w:name w:val="Light Grid Accent 2"/>
    <w:basedOn w:val="TableNormal"/>
    <w:uiPriority w:val="62"/>
    <w:rsid w:val="0007378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7378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alloonText">
    <w:name w:val="Balloon Text"/>
    <w:basedOn w:val="Normal"/>
    <w:link w:val="BalloonTextChar"/>
    <w:uiPriority w:val="99"/>
    <w:semiHidden/>
    <w:unhideWhenUsed/>
    <w:rsid w:val="00073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78F"/>
    <w:rPr>
      <w:rFonts w:ascii="Tahoma" w:hAnsi="Tahoma" w:cs="Tahoma"/>
      <w:sz w:val="16"/>
      <w:szCs w:val="16"/>
    </w:rPr>
  </w:style>
  <w:style w:type="table" w:styleId="LightGrid-Accent1">
    <w:name w:val="Light Grid Accent 1"/>
    <w:basedOn w:val="TableNormal"/>
    <w:uiPriority w:val="62"/>
    <w:rsid w:val="0007378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4">
    <w:name w:val="Light Grid Accent 4"/>
    <w:basedOn w:val="TableNormal"/>
    <w:uiPriority w:val="62"/>
    <w:rsid w:val="0007378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
    <w:name w:val="t"/>
    <w:basedOn w:val="DefaultParagraphFont"/>
    <w:rsid w:val="0007378F"/>
  </w:style>
  <w:style w:type="paragraph" w:styleId="ListParagraph">
    <w:name w:val="List Paragraph"/>
    <w:basedOn w:val="Normal"/>
    <w:uiPriority w:val="34"/>
    <w:qFormat/>
    <w:rsid w:val="0007378F"/>
    <w:pPr>
      <w:ind w:left="720"/>
      <w:contextualSpacing/>
    </w:pPr>
  </w:style>
  <w:style w:type="table" w:styleId="TableGrid">
    <w:name w:val="Table Grid"/>
    <w:basedOn w:val="TableNormal"/>
    <w:uiPriority w:val="59"/>
    <w:rsid w:val="000737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07378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7378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5">
    <w:name w:val="Light List Accent 5"/>
    <w:basedOn w:val="TableNormal"/>
    <w:uiPriority w:val="61"/>
    <w:rsid w:val="0007378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3">
    <w:name w:val="Medium Shading 1 Accent 3"/>
    <w:basedOn w:val="TableNormal"/>
    <w:uiPriority w:val="63"/>
    <w:rsid w:val="0007378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7378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07378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7378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gc">
    <w:name w:val="_tgc"/>
    <w:basedOn w:val="DefaultParagraphFont"/>
    <w:rsid w:val="0007378F"/>
  </w:style>
  <w:style w:type="table" w:styleId="MediumGrid1-Accent2">
    <w:name w:val="Medium Grid 1 Accent 2"/>
    <w:basedOn w:val="TableNormal"/>
    <w:uiPriority w:val="67"/>
    <w:rsid w:val="0007378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5">
    <w:name w:val="Medium Grid 1 Accent 5"/>
    <w:basedOn w:val="TableNormal"/>
    <w:uiPriority w:val="67"/>
    <w:rsid w:val="0007378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1">
    <w:name w:val="Medium Grid 1 Accent 1"/>
    <w:basedOn w:val="TableNormal"/>
    <w:uiPriority w:val="67"/>
    <w:rsid w:val="0007378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3">
    <w:name w:val="Medium Grid 1 Accent 3"/>
    <w:basedOn w:val="TableNormal"/>
    <w:uiPriority w:val="67"/>
    <w:rsid w:val="0007378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NormalWeb">
    <w:name w:val="Normal (Web)"/>
    <w:basedOn w:val="Normal"/>
    <w:uiPriority w:val="99"/>
    <w:unhideWhenUsed/>
    <w:rsid w:val="0007378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73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78F"/>
  </w:style>
  <w:style w:type="paragraph" w:styleId="Footer">
    <w:name w:val="footer"/>
    <w:basedOn w:val="Normal"/>
    <w:link w:val="FooterChar"/>
    <w:uiPriority w:val="99"/>
    <w:unhideWhenUsed/>
    <w:rsid w:val="00073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78F"/>
  </w:style>
  <w:style w:type="paragraph" w:styleId="TOCHeading">
    <w:name w:val="TOC Heading"/>
    <w:basedOn w:val="Heading1"/>
    <w:next w:val="Normal"/>
    <w:uiPriority w:val="39"/>
    <w:unhideWhenUsed/>
    <w:qFormat/>
    <w:rsid w:val="0007378F"/>
    <w:pPr>
      <w:outlineLvl w:val="9"/>
    </w:pPr>
    <w:rPr>
      <w:lang w:eastAsia="ja-JP"/>
    </w:rPr>
  </w:style>
  <w:style w:type="paragraph" w:styleId="TOC1">
    <w:name w:val="toc 1"/>
    <w:basedOn w:val="Normal"/>
    <w:next w:val="Normal"/>
    <w:autoRedefine/>
    <w:uiPriority w:val="39"/>
    <w:unhideWhenUsed/>
    <w:rsid w:val="0007378F"/>
    <w:pPr>
      <w:spacing w:after="100"/>
    </w:pPr>
  </w:style>
  <w:style w:type="paragraph" w:styleId="TOC2">
    <w:name w:val="toc 2"/>
    <w:basedOn w:val="Normal"/>
    <w:next w:val="Normal"/>
    <w:autoRedefine/>
    <w:uiPriority w:val="39"/>
    <w:unhideWhenUsed/>
    <w:rsid w:val="0007378F"/>
    <w:pPr>
      <w:spacing w:after="100"/>
      <w:ind w:left="220"/>
    </w:pPr>
  </w:style>
  <w:style w:type="paragraph" w:styleId="TOC3">
    <w:name w:val="toc 3"/>
    <w:basedOn w:val="Normal"/>
    <w:next w:val="Normal"/>
    <w:autoRedefine/>
    <w:uiPriority w:val="39"/>
    <w:unhideWhenUsed/>
    <w:rsid w:val="0007378F"/>
    <w:pPr>
      <w:spacing w:after="100"/>
      <w:ind w:left="440"/>
    </w:pPr>
  </w:style>
  <w:style w:type="table" w:styleId="LightShading-Accent3">
    <w:name w:val="Light Shading Accent 3"/>
    <w:basedOn w:val="TableNormal"/>
    <w:uiPriority w:val="60"/>
    <w:rsid w:val="0007378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7378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7378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
    <w:name w:val="Medium Grid 2"/>
    <w:basedOn w:val="TableNormal"/>
    <w:uiPriority w:val="68"/>
    <w:rsid w:val="0007378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07378F"/>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2">
    <w:name w:val="Medium Grid 2 Accent 2"/>
    <w:basedOn w:val="TableNormal"/>
    <w:uiPriority w:val="68"/>
    <w:rsid w:val="0007378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BodyText">
    <w:name w:val="Body Text"/>
    <w:basedOn w:val="Normal"/>
    <w:link w:val="BodyTextChar"/>
    <w:uiPriority w:val="1"/>
    <w:qFormat/>
    <w:rsid w:val="0007378F"/>
    <w:pPr>
      <w:widowControl w:val="0"/>
      <w:autoSpaceDE w:val="0"/>
      <w:autoSpaceDN w:val="0"/>
      <w:spacing w:before="192" w:after="0" w:line="240" w:lineRule="auto"/>
      <w:ind w:left="16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07378F"/>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07378F"/>
    <w:pPr>
      <w:widowControl w:val="0"/>
      <w:autoSpaceDE w:val="0"/>
      <w:autoSpaceDN w:val="0"/>
      <w:spacing w:before="40" w:after="0" w:line="240" w:lineRule="auto"/>
    </w:pPr>
    <w:rPr>
      <w:rFonts w:ascii="Times New Roman" w:eastAsia="Times New Roman" w:hAnsi="Times New Roman" w:cs="Times New Roman"/>
      <w:lang w:bidi="en-US"/>
    </w:rPr>
  </w:style>
  <w:style w:type="table" w:styleId="DarkList-Accent2">
    <w:name w:val="Dark List Accent 2"/>
    <w:basedOn w:val="TableNormal"/>
    <w:uiPriority w:val="70"/>
    <w:rsid w:val="0007378F"/>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ediumGrid2-Accent1">
    <w:name w:val="Medium Grid 2 Accent 1"/>
    <w:basedOn w:val="TableNormal"/>
    <w:uiPriority w:val="68"/>
    <w:rsid w:val="0007378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1">
    <w:name w:val="Medium Grid 1"/>
    <w:basedOn w:val="TableNormal"/>
    <w:uiPriority w:val="67"/>
    <w:rsid w:val="0007378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6">
    <w:name w:val="Colorful Grid Accent 6"/>
    <w:basedOn w:val="TableNormal"/>
    <w:uiPriority w:val="73"/>
    <w:rsid w:val="0007378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Grid-Accent1">
    <w:name w:val="Colorful Grid Accent 1"/>
    <w:basedOn w:val="TableNormal"/>
    <w:uiPriority w:val="73"/>
    <w:rsid w:val="0007378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4">
    <w:name w:val="Colorful List Accent 4"/>
    <w:basedOn w:val="TableNormal"/>
    <w:uiPriority w:val="72"/>
    <w:rsid w:val="0007378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6">
    <w:name w:val="Colorful List Accent 6"/>
    <w:basedOn w:val="TableNormal"/>
    <w:uiPriority w:val="72"/>
    <w:rsid w:val="0007378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Shading1-Accent6">
    <w:name w:val="Medium Shading 1 Accent 6"/>
    <w:basedOn w:val="TableNormal"/>
    <w:uiPriority w:val="63"/>
    <w:rsid w:val="0007378F"/>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07378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5">
    <w:name w:val="Medium Shading 1 Accent 5"/>
    <w:basedOn w:val="TableNormal"/>
    <w:uiPriority w:val="63"/>
    <w:rsid w:val="0007378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17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37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174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7378F"/>
    <w:pPr>
      <w:keepNext/>
      <w:keepLines/>
      <w:spacing w:before="200" w:after="0"/>
      <w:ind w:left="864" w:hanging="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7378F"/>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378F"/>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7378F"/>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7378F"/>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7378F"/>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1371"/>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BD174E"/>
    <w:rPr>
      <w:rFonts w:asciiTheme="majorHAnsi" w:eastAsiaTheme="majorEastAsia" w:hAnsiTheme="majorHAnsi" w:cstheme="majorBidi"/>
      <w:b/>
      <w:bCs/>
      <w:color w:val="365F91" w:themeColor="accent1" w:themeShade="BF"/>
      <w:sz w:val="28"/>
      <w:szCs w:val="28"/>
    </w:rPr>
  </w:style>
  <w:style w:type="character" w:customStyle="1" w:styleId="5yl5">
    <w:name w:val="_5yl5"/>
    <w:basedOn w:val="DefaultParagraphFont"/>
    <w:rsid w:val="00BD174E"/>
  </w:style>
  <w:style w:type="character" w:customStyle="1" w:styleId="Heading3Char">
    <w:name w:val="Heading 3 Char"/>
    <w:basedOn w:val="DefaultParagraphFont"/>
    <w:link w:val="Heading3"/>
    <w:uiPriority w:val="9"/>
    <w:rsid w:val="00BD174E"/>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07378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7378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7378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378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7378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7378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7378F"/>
    <w:rPr>
      <w:rFonts w:asciiTheme="majorHAnsi" w:eastAsiaTheme="majorEastAsia" w:hAnsiTheme="majorHAnsi" w:cstheme="majorBidi"/>
      <w:i/>
      <w:iCs/>
      <w:color w:val="404040" w:themeColor="text1" w:themeTint="BF"/>
      <w:sz w:val="20"/>
      <w:szCs w:val="20"/>
    </w:rPr>
  </w:style>
  <w:style w:type="table" w:styleId="LightGrid-Accent5">
    <w:name w:val="Light Grid Accent 5"/>
    <w:basedOn w:val="TableNormal"/>
    <w:uiPriority w:val="62"/>
    <w:rsid w:val="0007378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yperlink">
    <w:name w:val="Hyperlink"/>
    <w:basedOn w:val="DefaultParagraphFont"/>
    <w:uiPriority w:val="99"/>
    <w:unhideWhenUsed/>
    <w:rsid w:val="0007378F"/>
    <w:rPr>
      <w:color w:val="0000FF"/>
      <w:u w:val="single"/>
    </w:rPr>
  </w:style>
  <w:style w:type="paragraph" w:styleId="NoSpacing">
    <w:name w:val="No Spacing"/>
    <w:uiPriority w:val="1"/>
    <w:qFormat/>
    <w:rsid w:val="0007378F"/>
    <w:pPr>
      <w:spacing w:after="0" w:line="240" w:lineRule="auto"/>
    </w:pPr>
  </w:style>
  <w:style w:type="table" w:styleId="MediumGrid1-Accent4">
    <w:name w:val="Medium Grid 1 Accent 4"/>
    <w:basedOn w:val="TableNormal"/>
    <w:uiPriority w:val="67"/>
    <w:rsid w:val="0007378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Grid-Accent2">
    <w:name w:val="Light Grid Accent 2"/>
    <w:basedOn w:val="TableNormal"/>
    <w:uiPriority w:val="62"/>
    <w:rsid w:val="0007378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7378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alloonText">
    <w:name w:val="Balloon Text"/>
    <w:basedOn w:val="Normal"/>
    <w:link w:val="BalloonTextChar"/>
    <w:uiPriority w:val="99"/>
    <w:semiHidden/>
    <w:unhideWhenUsed/>
    <w:rsid w:val="00073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78F"/>
    <w:rPr>
      <w:rFonts w:ascii="Tahoma" w:hAnsi="Tahoma" w:cs="Tahoma"/>
      <w:sz w:val="16"/>
      <w:szCs w:val="16"/>
    </w:rPr>
  </w:style>
  <w:style w:type="table" w:styleId="LightGrid-Accent1">
    <w:name w:val="Light Grid Accent 1"/>
    <w:basedOn w:val="TableNormal"/>
    <w:uiPriority w:val="62"/>
    <w:rsid w:val="0007378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4">
    <w:name w:val="Light Grid Accent 4"/>
    <w:basedOn w:val="TableNormal"/>
    <w:uiPriority w:val="62"/>
    <w:rsid w:val="0007378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
    <w:name w:val="t"/>
    <w:basedOn w:val="DefaultParagraphFont"/>
    <w:rsid w:val="0007378F"/>
  </w:style>
  <w:style w:type="paragraph" w:styleId="ListParagraph">
    <w:name w:val="List Paragraph"/>
    <w:basedOn w:val="Normal"/>
    <w:uiPriority w:val="34"/>
    <w:qFormat/>
    <w:rsid w:val="0007378F"/>
    <w:pPr>
      <w:ind w:left="720"/>
      <w:contextualSpacing/>
    </w:pPr>
  </w:style>
  <w:style w:type="table" w:styleId="TableGrid">
    <w:name w:val="Table Grid"/>
    <w:basedOn w:val="TableNormal"/>
    <w:uiPriority w:val="59"/>
    <w:rsid w:val="000737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07378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7378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5">
    <w:name w:val="Light List Accent 5"/>
    <w:basedOn w:val="TableNormal"/>
    <w:uiPriority w:val="61"/>
    <w:rsid w:val="0007378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3">
    <w:name w:val="Medium Shading 1 Accent 3"/>
    <w:basedOn w:val="TableNormal"/>
    <w:uiPriority w:val="63"/>
    <w:rsid w:val="0007378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7378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07378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7378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gc">
    <w:name w:val="_tgc"/>
    <w:basedOn w:val="DefaultParagraphFont"/>
    <w:rsid w:val="0007378F"/>
  </w:style>
  <w:style w:type="table" w:styleId="MediumGrid1-Accent2">
    <w:name w:val="Medium Grid 1 Accent 2"/>
    <w:basedOn w:val="TableNormal"/>
    <w:uiPriority w:val="67"/>
    <w:rsid w:val="0007378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5">
    <w:name w:val="Medium Grid 1 Accent 5"/>
    <w:basedOn w:val="TableNormal"/>
    <w:uiPriority w:val="67"/>
    <w:rsid w:val="0007378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1">
    <w:name w:val="Medium Grid 1 Accent 1"/>
    <w:basedOn w:val="TableNormal"/>
    <w:uiPriority w:val="67"/>
    <w:rsid w:val="0007378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3">
    <w:name w:val="Medium Grid 1 Accent 3"/>
    <w:basedOn w:val="TableNormal"/>
    <w:uiPriority w:val="67"/>
    <w:rsid w:val="0007378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NormalWeb">
    <w:name w:val="Normal (Web)"/>
    <w:basedOn w:val="Normal"/>
    <w:uiPriority w:val="99"/>
    <w:unhideWhenUsed/>
    <w:rsid w:val="0007378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73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78F"/>
  </w:style>
  <w:style w:type="paragraph" w:styleId="Footer">
    <w:name w:val="footer"/>
    <w:basedOn w:val="Normal"/>
    <w:link w:val="FooterChar"/>
    <w:uiPriority w:val="99"/>
    <w:unhideWhenUsed/>
    <w:rsid w:val="00073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78F"/>
  </w:style>
  <w:style w:type="paragraph" w:styleId="TOCHeading">
    <w:name w:val="TOC Heading"/>
    <w:basedOn w:val="Heading1"/>
    <w:next w:val="Normal"/>
    <w:uiPriority w:val="39"/>
    <w:unhideWhenUsed/>
    <w:qFormat/>
    <w:rsid w:val="0007378F"/>
    <w:pPr>
      <w:outlineLvl w:val="9"/>
    </w:pPr>
    <w:rPr>
      <w:lang w:eastAsia="ja-JP"/>
    </w:rPr>
  </w:style>
  <w:style w:type="paragraph" w:styleId="TOC1">
    <w:name w:val="toc 1"/>
    <w:basedOn w:val="Normal"/>
    <w:next w:val="Normal"/>
    <w:autoRedefine/>
    <w:uiPriority w:val="39"/>
    <w:unhideWhenUsed/>
    <w:rsid w:val="0007378F"/>
    <w:pPr>
      <w:spacing w:after="100"/>
    </w:pPr>
  </w:style>
  <w:style w:type="paragraph" w:styleId="TOC2">
    <w:name w:val="toc 2"/>
    <w:basedOn w:val="Normal"/>
    <w:next w:val="Normal"/>
    <w:autoRedefine/>
    <w:uiPriority w:val="39"/>
    <w:unhideWhenUsed/>
    <w:rsid w:val="0007378F"/>
    <w:pPr>
      <w:spacing w:after="100"/>
      <w:ind w:left="220"/>
    </w:pPr>
  </w:style>
  <w:style w:type="paragraph" w:styleId="TOC3">
    <w:name w:val="toc 3"/>
    <w:basedOn w:val="Normal"/>
    <w:next w:val="Normal"/>
    <w:autoRedefine/>
    <w:uiPriority w:val="39"/>
    <w:unhideWhenUsed/>
    <w:rsid w:val="0007378F"/>
    <w:pPr>
      <w:spacing w:after="100"/>
      <w:ind w:left="440"/>
    </w:pPr>
  </w:style>
  <w:style w:type="table" w:styleId="LightShading-Accent3">
    <w:name w:val="Light Shading Accent 3"/>
    <w:basedOn w:val="TableNormal"/>
    <w:uiPriority w:val="60"/>
    <w:rsid w:val="0007378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7378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7378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
    <w:name w:val="Medium Grid 2"/>
    <w:basedOn w:val="TableNormal"/>
    <w:uiPriority w:val="68"/>
    <w:rsid w:val="0007378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07378F"/>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2">
    <w:name w:val="Medium Grid 2 Accent 2"/>
    <w:basedOn w:val="TableNormal"/>
    <w:uiPriority w:val="68"/>
    <w:rsid w:val="0007378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BodyText">
    <w:name w:val="Body Text"/>
    <w:basedOn w:val="Normal"/>
    <w:link w:val="BodyTextChar"/>
    <w:uiPriority w:val="1"/>
    <w:qFormat/>
    <w:rsid w:val="0007378F"/>
    <w:pPr>
      <w:widowControl w:val="0"/>
      <w:autoSpaceDE w:val="0"/>
      <w:autoSpaceDN w:val="0"/>
      <w:spacing w:before="192" w:after="0" w:line="240" w:lineRule="auto"/>
      <w:ind w:left="16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07378F"/>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07378F"/>
    <w:pPr>
      <w:widowControl w:val="0"/>
      <w:autoSpaceDE w:val="0"/>
      <w:autoSpaceDN w:val="0"/>
      <w:spacing w:before="40" w:after="0" w:line="240" w:lineRule="auto"/>
    </w:pPr>
    <w:rPr>
      <w:rFonts w:ascii="Times New Roman" w:eastAsia="Times New Roman" w:hAnsi="Times New Roman" w:cs="Times New Roman"/>
      <w:lang w:bidi="en-US"/>
    </w:rPr>
  </w:style>
  <w:style w:type="table" w:styleId="DarkList-Accent2">
    <w:name w:val="Dark List Accent 2"/>
    <w:basedOn w:val="TableNormal"/>
    <w:uiPriority w:val="70"/>
    <w:rsid w:val="0007378F"/>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ediumGrid2-Accent1">
    <w:name w:val="Medium Grid 2 Accent 1"/>
    <w:basedOn w:val="TableNormal"/>
    <w:uiPriority w:val="68"/>
    <w:rsid w:val="0007378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1">
    <w:name w:val="Medium Grid 1"/>
    <w:basedOn w:val="TableNormal"/>
    <w:uiPriority w:val="67"/>
    <w:rsid w:val="0007378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6">
    <w:name w:val="Colorful Grid Accent 6"/>
    <w:basedOn w:val="TableNormal"/>
    <w:uiPriority w:val="73"/>
    <w:rsid w:val="0007378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Grid-Accent1">
    <w:name w:val="Colorful Grid Accent 1"/>
    <w:basedOn w:val="TableNormal"/>
    <w:uiPriority w:val="73"/>
    <w:rsid w:val="0007378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4">
    <w:name w:val="Colorful List Accent 4"/>
    <w:basedOn w:val="TableNormal"/>
    <w:uiPriority w:val="72"/>
    <w:rsid w:val="0007378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6">
    <w:name w:val="Colorful List Accent 6"/>
    <w:basedOn w:val="TableNormal"/>
    <w:uiPriority w:val="72"/>
    <w:rsid w:val="0007378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Shading1-Accent6">
    <w:name w:val="Medium Shading 1 Accent 6"/>
    <w:basedOn w:val="TableNormal"/>
    <w:uiPriority w:val="63"/>
    <w:rsid w:val="0007378F"/>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07378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5">
    <w:name w:val="Medium Shading 1 Accent 5"/>
    <w:basedOn w:val="TableNormal"/>
    <w:uiPriority w:val="63"/>
    <w:rsid w:val="0007378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ank_Asia_Limited" TargetMode="External"/><Relationship Id="rId13" Type="http://schemas.openxmlformats.org/officeDocument/2006/relationships/hyperlink" Target="https://www.investopedia.com/terms/c/currentliabilities.asp" TargetMode="External"/><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hyperlink" Target="http://www.newagebd.net/article/29229/rising-npls-matter-of-serious-concern-for-banking-sector-experts-say-at-abc" TargetMode="External"/><Relationship Id="rId3" Type="http://schemas.microsoft.com/office/2007/relationships/stylesWithEffects" Target="stylesWithEffects.xml"/><Relationship Id="rId21" Type="http://schemas.openxmlformats.org/officeDocument/2006/relationships/chart" Target="charts/chart3.xml"/><Relationship Id="rId34" Type="http://schemas.openxmlformats.org/officeDocument/2006/relationships/chart" Target="charts/chart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vestopedia.com/terms/c/cashandcashequivalents.asp" TargetMode="External"/><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4.xml"/><Relationship Id="rId38" Type="http://schemas.openxmlformats.org/officeDocument/2006/relationships/chart" Target="charts/chart19.xml"/><Relationship Id="rId2" Type="http://schemas.openxmlformats.org/officeDocument/2006/relationships/styles" Target="styles.xml"/><Relationship Id="rId16" Type="http://schemas.openxmlformats.org/officeDocument/2006/relationships/hyperlink" Target="https://www.investopedia.com/terms/d/deposit.asp" TargetMode="External"/><Relationship Id="rId20" Type="http://schemas.openxmlformats.org/officeDocument/2006/relationships/hyperlink" Target="https://www.investopedia.com/terms/c/currentliabilities.asp" TargetMode="External"/><Relationship Id="rId29" Type="http://schemas.openxmlformats.org/officeDocument/2006/relationships/hyperlink" Target="http://www.investopedia.com/terms/v/valuestock.asp"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Dutch_Bangla_Bank"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vestopedia.com/terms/c/currentliabilities.asp" TargetMode="Externa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7.xml"/><Relationship Id="rId10" Type="http://schemas.openxmlformats.org/officeDocument/2006/relationships/hyperlink" Target="https://en.wikipedia.org/wiki/Dhaka_Bank_Limited" TargetMode="External"/><Relationship Id="rId19" Type="http://schemas.openxmlformats.org/officeDocument/2006/relationships/hyperlink" Target="https://www.investopedia.com/terms/c/cashandcashequivalents.asp" TargetMode="Externa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yperlink" Target="https://en.wikipedia.org/wiki/BRAC_Bank" TargetMode="External"/><Relationship Id="rId14" Type="http://schemas.openxmlformats.org/officeDocument/2006/relationships/hyperlink" Target="https://www.investopedia.com/terms/c/currentassets.asp"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1.xml"/><Relationship Id="rId35" Type="http://schemas.openxmlformats.org/officeDocument/2006/relationships/chart" Target="charts/chart16.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hakhawath\Desktop\Report%20Final\Bank-Ratios-Analysis-Cop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800" b="1" i="0" u="none" strike="noStrike" baseline="0">
                <a:effectLst/>
              </a:rPr>
              <a:t>Current ratio</a:t>
            </a:r>
            <a:endParaRPr lang="en-US"/>
          </a:p>
        </c:rich>
      </c:tx>
      <c:layout>
        <c:manualLayout>
          <c:xMode val="edge"/>
          <c:yMode val="edge"/>
          <c:x val="0.3533563248219298"/>
          <c:y val="3.1746031746031744E-2"/>
        </c:manualLayout>
      </c:layout>
      <c:overlay val="0"/>
    </c:title>
    <c:autoTitleDeleted val="0"/>
    <c:plotArea>
      <c:layout>
        <c:manualLayout>
          <c:layoutTarget val="inner"/>
          <c:xMode val="edge"/>
          <c:yMode val="edge"/>
          <c:x val="0.10003607592727076"/>
          <c:y val="0.2174990730388412"/>
          <c:w val="0.67183638217918207"/>
          <c:h val="0.6530088284147072"/>
        </c:manualLayout>
      </c:layout>
      <c:barChart>
        <c:barDir val="col"/>
        <c:grouping val="clustered"/>
        <c:varyColors val="0"/>
        <c:ser>
          <c:idx val="0"/>
          <c:order val="0"/>
          <c:tx>
            <c:strRef>
              <c:f>'Ratio Analysis'!$A$2</c:f>
              <c:strCache>
                <c:ptCount val="1"/>
                <c:pt idx="0">
                  <c:v>Dhaka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Analysis'!$C$66:$G$66</c:f>
              <c:numCache>
                <c:formatCode>0.000</c:formatCode>
                <c:ptCount val="5"/>
                <c:pt idx="0">
                  <c:v>1.0701902137366266</c:v>
                </c:pt>
                <c:pt idx="1">
                  <c:v>0.99339016973879946</c:v>
                </c:pt>
                <c:pt idx="2">
                  <c:v>0.93214521372548409</c:v>
                </c:pt>
                <c:pt idx="3">
                  <c:v>0.29771855853564827</c:v>
                </c:pt>
                <c:pt idx="4">
                  <c:v>0.77982779160911375</c:v>
                </c:pt>
              </c:numCache>
            </c:numRef>
          </c:val>
          <c:extLst xmlns:c16r2="http://schemas.microsoft.com/office/drawing/2015/06/chart">
            <c:ext xmlns:c16="http://schemas.microsoft.com/office/drawing/2014/chart" uri="{C3380CC4-5D6E-409C-BE32-E72D297353CC}">
              <c16:uniqueId val="{00000000-0AF6-427B-BD85-B3575CCC0DDA}"/>
            </c:ext>
          </c:extLst>
        </c:ser>
        <c:ser>
          <c:idx val="1"/>
          <c:order val="1"/>
          <c:tx>
            <c:strRef>
              <c:f>'Ratio Analysis'!$I$2</c:f>
              <c:strCache>
                <c:ptCount val="1"/>
                <c:pt idx="0">
                  <c:v>BRAC BANK LIMITED</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Analysis'!$K$66:$O$66</c:f>
              <c:numCache>
                <c:formatCode>0.000</c:formatCode>
                <c:ptCount val="5"/>
                <c:pt idx="0">
                  <c:v>0.67892425905212384</c:v>
                </c:pt>
                <c:pt idx="1">
                  <c:v>0.57632470763376975</c:v>
                </c:pt>
                <c:pt idx="2">
                  <c:v>0.67566428714144089</c:v>
                </c:pt>
                <c:pt idx="3">
                  <c:v>0.44079668079636519</c:v>
                </c:pt>
                <c:pt idx="4">
                  <c:v>0.45743237423367489</c:v>
                </c:pt>
              </c:numCache>
            </c:numRef>
          </c:val>
          <c:extLst xmlns:c16r2="http://schemas.microsoft.com/office/drawing/2015/06/chart">
            <c:ext xmlns:c16="http://schemas.microsoft.com/office/drawing/2014/chart" uri="{C3380CC4-5D6E-409C-BE32-E72D297353CC}">
              <c16:uniqueId val="{00000001-0AF6-427B-BD85-B3575CCC0DDA}"/>
            </c:ext>
          </c:extLst>
        </c:ser>
        <c:ser>
          <c:idx val="2"/>
          <c:order val="2"/>
          <c:tx>
            <c:strRef>
              <c:f>'Ratio Analysis'!$Q$2</c:f>
              <c:strCache>
                <c:ptCount val="1"/>
                <c:pt idx="0">
                  <c:v>Dutch-Bangla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Analysis'!$S$66:$W$66</c:f>
              <c:numCache>
                <c:formatCode>0.000</c:formatCode>
                <c:ptCount val="5"/>
                <c:pt idx="0">
                  <c:v>0.3423441863897303</c:v>
                </c:pt>
                <c:pt idx="1">
                  <c:v>0.36219901465286447</c:v>
                </c:pt>
                <c:pt idx="2">
                  <c:v>0.36390581937514843</c:v>
                </c:pt>
                <c:pt idx="3">
                  <c:v>0.30636113580705576</c:v>
                </c:pt>
                <c:pt idx="4">
                  <c:v>0.36672039054395839</c:v>
                </c:pt>
              </c:numCache>
            </c:numRef>
          </c:val>
          <c:extLst xmlns:c16r2="http://schemas.microsoft.com/office/drawing/2015/06/chart">
            <c:ext xmlns:c16="http://schemas.microsoft.com/office/drawing/2014/chart" uri="{C3380CC4-5D6E-409C-BE32-E72D297353CC}">
              <c16:uniqueId val="{00000002-0AF6-427B-BD85-B3575CCC0DDA}"/>
            </c:ext>
          </c:extLst>
        </c:ser>
        <c:ser>
          <c:idx val="3"/>
          <c:order val="3"/>
          <c:tx>
            <c:strRef>
              <c:f>'Ratio Analysis'!$Y$2</c:f>
              <c:strCache>
                <c:ptCount val="1"/>
                <c:pt idx="0">
                  <c:v>Bank Asia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Analysis'!$AA$66:$AE$66</c:f>
              <c:numCache>
                <c:formatCode>0.000</c:formatCode>
                <c:ptCount val="5"/>
                <c:pt idx="0">
                  <c:v>0.80790367914943184</c:v>
                </c:pt>
                <c:pt idx="1">
                  <c:v>0.94069940725893042</c:v>
                </c:pt>
                <c:pt idx="2">
                  <c:v>0.77189885385628543</c:v>
                </c:pt>
                <c:pt idx="3">
                  <c:v>0.80908007110734825</c:v>
                </c:pt>
                <c:pt idx="4">
                  <c:v>0.6837969091928251</c:v>
                </c:pt>
              </c:numCache>
            </c:numRef>
          </c:val>
        </c:ser>
        <c:ser>
          <c:idx val="4"/>
          <c:order val="4"/>
          <c:tx>
            <c:strRef>
              <c:f>'Ratio Analysis'!$AG$2</c:f>
              <c:strCache>
                <c:ptCount val="1"/>
                <c:pt idx="0">
                  <c:v>IFIC Bank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Analysis'!$AI$66:$AM$66</c:f>
              <c:numCache>
                <c:formatCode>0.000</c:formatCode>
                <c:ptCount val="5"/>
                <c:pt idx="0">
                  <c:v>0.7894676583776884</c:v>
                </c:pt>
                <c:pt idx="1">
                  <c:v>1.5938362927256045</c:v>
                </c:pt>
                <c:pt idx="2">
                  <c:v>1.1308866470124423</c:v>
                </c:pt>
                <c:pt idx="3">
                  <c:v>0.72847655875325867</c:v>
                </c:pt>
                <c:pt idx="4">
                  <c:v>0.68405715822522239</c:v>
                </c:pt>
              </c:numCache>
            </c:numRef>
          </c:val>
        </c:ser>
        <c:dLbls>
          <c:showLegendKey val="0"/>
          <c:showVal val="0"/>
          <c:showCatName val="0"/>
          <c:showSerName val="0"/>
          <c:showPercent val="0"/>
          <c:showBubbleSize val="0"/>
        </c:dLbls>
        <c:gapWidth val="150"/>
        <c:axId val="163344384"/>
        <c:axId val="163345920"/>
      </c:barChart>
      <c:catAx>
        <c:axId val="163344384"/>
        <c:scaling>
          <c:orientation val="minMax"/>
        </c:scaling>
        <c:delete val="0"/>
        <c:axPos val="b"/>
        <c:numFmt formatCode="General" sourceLinked="1"/>
        <c:majorTickMark val="out"/>
        <c:minorTickMark val="none"/>
        <c:tickLblPos val="nextTo"/>
        <c:crossAx val="163345920"/>
        <c:crosses val="autoZero"/>
        <c:auto val="1"/>
        <c:lblAlgn val="ctr"/>
        <c:lblOffset val="100"/>
        <c:noMultiLvlLbl val="0"/>
      </c:catAx>
      <c:valAx>
        <c:axId val="163345920"/>
        <c:scaling>
          <c:orientation val="minMax"/>
        </c:scaling>
        <c:delete val="0"/>
        <c:axPos val="l"/>
        <c:majorGridlines/>
        <c:numFmt formatCode="0.000" sourceLinked="1"/>
        <c:majorTickMark val="out"/>
        <c:minorTickMark val="none"/>
        <c:tickLblPos val="nextTo"/>
        <c:crossAx val="163344384"/>
        <c:crosses val="autoZero"/>
        <c:crossBetween val="between"/>
      </c:valAx>
    </c:plotArea>
    <c:legend>
      <c:legendPos val="r"/>
      <c:layout>
        <c:manualLayout>
          <c:xMode val="edge"/>
          <c:yMode val="edge"/>
          <c:x val="0.77441991279678135"/>
          <c:y val="0.14994751629355552"/>
          <c:w val="0.21002193862289964"/>
          <c:h val="0.77755699844482173"/>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Equity Ratio</a:t>
            </a:r>
          </a:p>
        </c:rich>
      </c:tx>
      <c:overlay val="0"/>
    </c:title>
    <c:autoTitleDeleted val="0"/>
    <c:plotArea>
      <c:layout/>
      <c:lineChart>
        <c:grouping val="standard"/>
        <c:varyColors val="0"/>
        <c:ser>
          <c:idx val="1"/>
          <c:order val="0"/>
          <c:tx>
            <c:strRef>
              <c:f>'Ratio Analysis'!$A$2</c:f>
              <c:strCache>
                <c:ptCount val="1"/>
                <c:pt idx="0">
                  <c:v>Dhaka Bank Limited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Analysis'!$C$80:$G$80</c:f>
              <c:numCache>
                <c:formatCode>0.000</c:formatCode>
                <c:ptCount val="5"/>
                <c:pt idx="0">
                  <c:v>7.3242000408675054E-2</c:v>
                </c:pt>
                <c:pt idx="1">
                  <c:v>8.2839017680928786E-2</c:v>
                </c:pt>
                <c:pt idx="2">
                  <c:v>8.1195729926814314E-2</c:v>
                </c:pt>
                <c:pt idx="3">
                  <c:v>7.7258544565353096E-2</c:v>
                </c:pt>
                <c:pt idx="4">
                  <c:v>7.3372710600839608E-2</c:v>
                </c:pt>
              </c:numCache>
            </c:numRef>
          </c:val>
          <c:smooth val="0"/>
        </c:ser>
        <c:ser>
          <c:idx val="2"/>
          <c:order val="1"/>
          <c:tx>
            <c:strRef>
              <c:f>'Ratio Analysis'!$I$2</c:f>
              <c:strCache>
                <c:ptCount val="1"/>
                <c:pt idx="0">
                  <c:v>BRAC BANK LIMITED</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Analysis'!$K$80:$O$80</c:f>
              <c:numCache>
                <c:formatCode>0.000</c:formatCode>
                <c:ptCount val="5"/>
                <c:pt idx="0">
                  <c:v>6.3609286413343374E-2</c:v>
                </c:pt>
                <c:pt idx="1">
                  <c:v>7.4775446626664591E-2</c:v>
                </c:pt>
                <c:pt idx="2">
                  <c:v>9.8953376669752915E-2</c:v>
                </c:pt>
                <c:pt idx="3">
                  <c:v>0.10656357011973043</c:v>
                </c:pt>
                <c:pt idx="4">
                  <c:v>0.10505129030210289</c:v>
                </c:pt>
              </c:numCache>
            </c:numRef>
          </c:val>
          <c:smooth val="0"/>
        </c:ser>
        <c:ser>
          <c:idx val="3"/>
          <c:order val="2"/>
          <c:tx>
            <c:strRef>
              <c:f>'Ratio Analysis'!$Q$2</c:f>
              <c:strCache>
                <c:ptCount val="1"/>
                <c:pt idx="0">
                  <c:v>Dutch-Bangla Bank Limited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Analysis'!$S$80:$W$80</c:f>
              <c:numCache>
                <c:formatCode>0.000</c:formatCode>
                <c:ptCount val="5"/>
                <c:pt idx="0">
                  <c:v>6.9616468242539628E-2</c:v>
                </c:pt>
                <c:pt idx="1">
                  <c:v>6.8135704591023402E-2</c:v>
                </c:pt>
                <c:pt idx="2">
                  <c:v>6.7814618563348777E-2</c:v>
                </c:pt>
                <c:pt idx="3">
                  <c:v>7.0130117583750803E-2</c:v>
                </c:pt>
                <c:pt idx="4">
                  <c:v>6.2625039419899289E-2</c:v>
                </c:pt>
              </c:numCache>
            </c:numRef>
          </c:val>
          <c:smooth val="0"/>
        </c:ser>
        <c:ser>
          <c:idx val="4"/>
          <c:order val="3"/>
          <c:tx>
            <c:strRef>
              <c:f>'Ratio Analysis'!$Y$2</c:f>
              <c:strCache>
                <c:ptCount val="1"/>
                <c:pt idx="0">
                  <c:v>Bank Asia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Analysis'!$AA$80:$AE$80</c:f>
              <c:numCache>
                <c:formatCode>0.000</c:formatCode>
                <c:ptCount val="5"/>
                <c:pt idx="0">
                  <c:v>9.2853261312961843E-2</c:v>
                </c:pt>
                <c:pt idx="1">
                  <c:v>8.8190866465690895E-2</c:v>
                </c:pt>
                <c:pt idx="2">
                  <c:v>9.0182805087052981E-2</c:v>
                </c:pt>
                <c:pt idx="3">
                  <c:v>8.2849332600566483E-2</c:v>
                </c:pt>
                <c:pt idx="4">
                  <c:v>7.4013128231188205E-2</c:v>
                </c:pt>
              </c:numCache>
            </c:numRef>
          </c:val>
          <c:smooth val="0"/>
        </c:ser>
        <c:ser>
          <c:idx val="5"/>
          <c:order val="4"/>
          <c:tx>
            <c:strRef>
              <c:f>'Ratio Analysis'!$AG$2</c:f>
              <c:strCache>
                <c:ptCount val="1"/>
                <c:pt idx="0">
                  <c:v>IFIC Bank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Analysis'!$AI$80:$AM$80</c:f>
              <c:numCache>
                <c:formatCode>0.000</c:formatCode>
                <c:ptCount val="5"/>
                <c:pt idx="0">
                  <c:v>6.0461718744659734E-2</c:v>
                </c:pt>
                <c:pt idx="1">
                  <c:v>6.3764358991529366E-2</c:v>
                </c:pt>
                <c:pt idx="2">
                  <c:v>6.7981377288330661E-2</c:v>
                </c:pt>
                <c:pt idx="3">
                  <c:v>6.5350502269269542E-2</c:v>
                </c:pt>
                <c:pt idx="4">
                  <c:v>6.5162537308069826E-2</c:v>
                </c:pt>
              </c:numCache>
            </c:numRef>
          </c:val>
          <c:smooth val="0"/>
        </c:ser>
        <c:dLbls>
          <c:showLegendKey val="0"/>
          <c:showVal val="0"/>
          <c:showCatName val="0"/>
          <c:showSerName val="0"/>
          <c:showPercent val="0"/>
          <c:showBubbleSize val="0"/>
        </c:dLbls>
        <c:marker val="1"/>
        <c:smooth val="0"/>
        <c:axId val="160259456"/>
        <c:axId val="160277632"/>
      </c:lineChart>
      <c:catAx>
        <c:axId val="160259456"/>
        <c:scaling>
          <c:orientation val="minMax"/>
        </c:scaling>
        <c:delete val="0"/>
        <c:axPos val="b"/>
        <c:numFmt formatCode="General" sourceLinked="1"/>
        <c:majorTickMark val="out"/>
        <c:minorTickMark val="none"/>
        <c:tickLblPos val="nextTo"/>
        <c:crossAx val="160277632"/>
        <c:crosses val="autoZero"/>
        <c:auto val="1"/>
        <c:lblAlgn val="ctr"/>
        <c:lblOffset val="100"/>
        <c:noMultiLvlLbl val="0"/>
      </c:catAx>
      <c:valAx>
        <c:axId val="160277632"/>
        <c:scaling>
          <c:orientation val="minMax"/>
        </c:scaling>
        <c:delete val="0"/>
        <c:axPos val="l"/>
        <c:majorGridlines/>
        <c:numFmt formatCode="0.000" sourceLinked="1"/>
        <c:majorTickMark val="out"/>
        <c:minorTickMark val="none"/>
        <c:tickLblPos val="nextTo"/>
        <c:crossAx val="160259456"/>
        <c:crosses val="autoZero"/>
        <c:crossBetween val="between"/>
      </c:valAx>
    </c:plotArea>
    <c:legend>
      <c:legendPos val="r"/>
      <c:layout>
        <c:manualLayout>
          <c:xMode val="edge"/>
          <c:yMode val="edge"/>
          <c:x val="0.66712711225562216"/>
          <c:y val="0.24762460789962229"/>
          <c:w val="0.30931850301929043"/>
          <c:h val="0.7062139427693489"/>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200" b="1" i="0" u="none" strike="noStrike" baseline="0">
                <a:effectLst/>
                <a:latin typeface="Times New Roman" pitchFamily="18" charset="0"/>
                <a:cs typeface="Times New Roman" pitchFamily="18" charset="0"/>
              </a:rPr>
              <a:t>NWC Turnover Ratio</a:t>
            </a:r>
            <a:endParaRPr lang="en-US" sz="1200">
              <a:latin typeface="Times New Roman" pitchFamily="18" charset="0"/>
              <a:cs typeface="Times New Roman" pitchFamily="18" charset="0"/>
            </a:endParaRPr>
          </a:p>
        </c:rich>
      </c:tx>
      <c:layout>
        <c:manualLayout>
          <c:xMode val="edge"/>
          <c:yMode val="edge"/>
          <c:x val="0.3997341309405118"/>
          <c:y val="2.9332681495966757E-2"/>
        </c:manualLayout>
      </c:layout>
      <c:overlay val="0"/>
    </c:title>
    <c:autoTitleDeleted val="0"/>
    <c:plotArea>
      <c:layout>
        <c:manualLayout>
          <c:layoutTarget val="inner"/>
          <c:xMode val="edge"/>
          <c:yMode val="edge"/>
          <c:x val="0.15187231600449416"/>
          <c:y val="0.1973371343715912"/>
          <c:w val="0.59563856957459482"/>
          <c:h val="0.73803818760140427"/>
        </c:manualLayout>
      </c:layout>
      <c:lineChart>
        <c:grouping val="standard"/>
        <c:varyColors val="0"/>
        <c:ser>
          <c:idx val="0"/>
          <c:order val="0"/>
          <c:tx>
            <c:strRef>
              <c:f>'Ratio Analysis'!$A$2</c:f>
              <c:strCache>
                <c:ptCount val="1"/>
                <c:pt idx="0">
                  <c:v>Dhaka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Analysis'!$C$83:$G$83</c:f>
              <c:numCache>
                <c:formatCode>0.0000</c:formatCode>
                <c:ptCount val="5"/>
                <c:pt idx="0">
                  <c:v>5.6519994751522287</c:v>
                </c:pt>
                <c:pt idx="1">
                  <c:v>-64.858047751439045</c:v>
                </c:pt>
                <c:pt idx="2">
                  <c:v>-4.2217416839102571</c:v>
                </c:pt>
                <c:pt idx="3">
                  <c:v>-0.10668016560421367</c:v>
                </c:pt>
                <c:pt idx="4">
                  <c:v>-0.88403377335950506</c:v>
                </c:pt>
              </c:numCache>
            </c:numRef>
          </c:val>
          <c:smooth val="0"/>
        </c:ser>
        <c:ser>
          <c:idx val="6"/>
          <c:order val="1"/>
          <c:tx>
            <c:strRef>
              <c:f>'Ratio Analysis'!$I$2</c:f>
              <c:strCache>
                <c:ptCount val="1"/>
                <c:pt idx="0">
                  <c:v>BRAC BANK LIMITED</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Analysis'!$K$83:$O$83</c:f>
              <c:numCache>
                <c:formatCode>0.0000</c:formatCode>
                <c:ptCount val="5"/>
                <c:pt idx="0">
                  <c:v>-0.70649971043877791</c:v>
                </c:pt>
                <c:pt idx="1">
                  <c:v>-0.5078336494338993</c:v>
                </c:pt>
                <c:pt idx="2">
                  <c:v>-0.69677959387716459</c:v>
                </c:pt>
                <c:pt idx="3">
                  <c:v>-0.22436689982876909</c:v>
                </c:pt>
                <c:pt idx="4">
                  <c:v>-0.2151607029510926</c:v>
                </c:pt>
              </c:numCache>
            </c:numRef>
          </c:val>
          <c:smooth val="0"/>
        </c:ser>
        <c:ser>
          <c:idx val="1"/>
          <c:order val="2"/>
          <c:tx>
            <c:strRef>
              <c:f>'Ratio Analysis'!$Q$2</c:f>
              <c:strCache>
                <c:ptCount val="1"/>
                <c:pt idx="0">
                  <c:v>Dutch-Bangla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Analysis'!$S$83:$W$83</c:f>
              <c:numCache>
                <c:formatCode>0.0000</c:formatCode>
                <c:ptCount val="5"/>
                <c:pt idx="0">
                  <c:v>-0.14717261391375139</c:v>
                </c:pt>
                <c:pt idx="1">
                  <c:v>-0.13555009857531183</c:v>
                </c:pt>
                <c:pt idx="2">
                  <c:v>-0.12146597836345402</c:v>
                </c:pt>
                <c:pt idx="3">
                  <c:v>-9.8424761707330929E-2</c:v>
                </c:pt>
                <c:pt idx="4">
                  <c:v>-0.10141512719024874</c:v>
                </c:pt>
              </c:numCache>
            </c:numRef>
          </c:val>
          <c:smooth val="0"/>
        </c:ser>
        <c:ser>
          <c:idx val="2"/>
          <c:order val="3"/>
          <c:tx>
            <c:strRef>
              <c:f>'Ratio Analysis'!$Y$2</c:f>
              <c:strCache>
                <c:ptCount val="1"/>
                <c:pt idx="0">
                  <c:v>Bank Asia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Analysis'!$AA$83:$AE$83</c:f>
              <c:numCache>
                <c:formatCode>0.0000</c:formatCode>
                <c:ptCount val="5"/>
                <c:pt idx="0">
                  <c:v>-1.6318397223290064</c:v>
                </c:pt>
                <c:pt idx="1">
                  <c:v>-5.1667140533825036</c:v>
                </c:pt>
                <c:pt idx="2">
                  <c:v>-0.92697674225859461</c:v>
                </c:pt>
                <c:pt idx="3">
                  <c:v>-0.82861683652124241</c:v>
                </c:pt>
                <c:pt idx="4">
                  <c:v>-0.43132279230390924</c:v>
                </c:pt>
              </c:numCache>
            </c:numRef>
          </c:val>
          <c:smooth val="0"/>
        </c:ser>
        <c:ser>
          <c:idx val="3"/>
          <c:order val="4"/>
          <c:tx>
            <c:strRef>
              <c:f>'Ratio Analysis'!$AG$2</c:f>
              <c:strCache>
                <c:ptCount val="1"/>
                <c:pt idx="0">
                  <c:v>IFIC Bank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Analysis'!$AI$83:$AM$83</c:f>
              <c:numCache>
                <c:formatCode>0.0000</c:formatCode>
                <c:ptCount val="5"/>
                <c:pt idx="0">
                  <c:v>-1.2654668249796857</c:v>
                </c:pt>
                <c:pt idx="1">
                  <c:v>0.57904735482895098</c:v>
                </c:pt>
                <c:pt idx="2">
                  <c:v>2.192247425955054</c:v>
                </c:pt>
                <c:pt idx="3">
                  <c:v>-0.73685923520515428</c:v>
                </c:pt>
                <c:pt idx="4">
                  <c:v>-0.5598020838100185</c:v>
                </c:pt>
              </c:numCache>
            </c:numRef>
          </c:val>
          <c:smooth val="0"/>
        </c:ser>
        <c:dLbls>
          <c:showLegendKey val="0"/>
          <c:showVal val="0"/>
          <c:showCatName val="0"/>
          <c:showSerName val="0"/>
          <c:showPercent val="0"/>
          <c:showBubbleSize val="0"/>
        </c:dLbls>
        <c:marker val="1"/>
        <c:smooth val="0"/>
        <c:axId val="160305536"/>
        <c:axId val="160307072"/>
      </c:lineChart>
      <c:catAx>
        <c:axId val="160305536"/>
        <c:scaling>
          <c:orientation val="minMax"/>
        </c:scaling>
        <c:delete val="0"/>
        <c:axPos val="b"/>
        <c:numFmt formatCode="General" sourceLinked="1"/>
        <c:majorTickMark val="out"/>
        <c:minorTickMark val="none"/>
        <c:tickLblPos val="nextTo"/>
        <c:crossAx val="160307072"/>
        <c:crosses val="autoZero"/>
        <c:auto val="1"/>
        <c:lblAlgn val="ctr"/>
        <c:lblOffset val="100"/>
        <c:noMultiLvlLbl val="0"/>
      </c:catAx>
      <c:valAx>
        <c:axId val="160307072"/>
        <c:scaling>
          <c:orientation val="minMax"/>
        </c:scaling>
        <c:delete val="0"/>
        <c:axPos val="l"/>
        <c:majorGridlines/>
        <c:numFmt formatCode="0.0000" sourceLinked="1"/>
        <c:majorTickMark val="out"/>
        <c:minorTickMark val="none"/>
        <c:tickLblPos val="nextTo"/>
        <c:crossAx val="160305536"/>
        <c:crosses val="autoZero"/>
        <c:crossBetween val="between"/>
      </c:valAx>
    </c:plotArea>
    <c:legend>
      <c:legendPos val="r"/>
      <c:layout>
        <c:manualLayout>
          <c:xMode val="edge"/>
          <c:yMode val="edge"/>
          <c:x val="0.75739966060647768"/>
          <c:y val="0.19195457087072498"/>
          <c:w val="0.23907538608381987"/>
          <c:h val="0.77801201658844543"/>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a:t>Total assets turnover ratio</a:t>
            </a:r>
          </a:p>
        </c:rich>
      </c:tx>
      <c:overlay val="0"/>
    </c:title>
    <c:autoTitleDeleted val="0"/>
    <c:plotArea>
      <c:layout>
        <c:manualLayout>
          <c:layoutTarget val="inner"/>
          <c:xMode val="edge"/>
          <c:yMode val="edge"/>
          <c:x val="0.15036259842722577"/>
          <c:y val="0.27257948842983892"/>
          <c:w val="0.56453736427968892"/>
          <c:h val="0.56513526830756233"/>
        </c:manualLayout>
      </c:layout>
      <c:barChart>
        <c:barDir val="col"/>
        <c:grouping val="clustered"/>
        <c:varyColors val="0"/>
        <c:ser>
          <c:idx val="0"/>
          <c:order val="0"/>
          <c:tx>
            <c:strRef>
              <c:f>'Ratio Analysis'!$A$2</c:f>
              <c:strCache>
                <c:ptCount val="1"/>
                <c:pt idx="0">
                  <c:v>Dhaka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Analysis'!$C$85:$G$85</c:f>
              <c:numCache>
                <c:formatCode>0.0000</c:formatCode>
                <c:ptCount val="5"/>
                <c:pt idx="0">
                  <c:v>0.10005427893017252</c:v>
                </c:pt>
                <c:pt idx="1">
                  <c:v>0.1043961004200345</c:v>
                </c:pt>
                <c:pt idx="2">
                  <c:v>8.5970369965737078E-2</c:v>
                </c:pt>
                <c:pt idx="3">
                  <c:v>6.8539464149987628E-2</c:v>
                </c:pt>
                <c:pt idx="4">
                  <c:v>6.4805548688659426E-2</c:v>
                </c:pt>
              </c:numCache>
            </c:numRef>
          </c:val>
          <c:extLst xmlns:c16r2="http://schemas.microsoft.com/office/drawing/2015/06/chart">
            <c:ext xmlns:c16="http://schemas.microsoft.com/office/drawing/2014/chart" uri="{C3380CC4-5D6E-409C-BE32-E72D297353CC}">
              <c16:uniqueId val="{00000000-0AF6-427B-BD85-B3575CCC0DDA}"/>
            </c:ext>
          </c:extLst>
        </c:ser>
        <c:ser>
          <c:idx val="1"/>
          <c:order val="1"/>
          <c:tx>
            <c:strRef>
              <c:f>'Ratio Analysis'!$I$2</c:f>
              <c:strCache>
                <c:ptCount val="1"/>
                <c:pt idx="0">
                  <c:v>BRAC BANK LIMITED</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Analysis'!$K$85:$O$85</c:f>
              <c:numCache>
                <c:formatCode>0.0000</c:formatCode>
                <c:ptCount val="5"/>
                <c:pt idx="0">
                  <c:v>9.2649263528953543E-2</c:v>
                </c:pt>
                <c:pt idx="1">
                  <c:v>0.10085168271319567</c:v>
                </c:pt>
                <c:pt idx="2">
                  <c:v>0.10691601673302113</c:v>
                </c:pt>
                <c:pt idx="3">
                  <c:v>9.7982591121406989E-2</c:v>
                </c:pt>
                <c:pt idx="4">
                  <c:v>8.6715815730197085E-2</c:v>
                </c:pt>
              </c:numCache>
            </c:numRef>
          </c:val>
          <c:extLst xmlns:c16r2="http://schemas.microsoft.com/office/drawing/2015/06/chart">
            <c:ext xmlns:c16="http://schemas.microsoft.com/office/drawing/2014/chart" uri="{C3380CC4-5D6E-409C-BE32-E72D297353CC}">
              <c16:uniqueId val="{00000001-0AF6-427B-BD85-B3575CCC0DDA}"/>
            </c:ext>
          </c:extLst>
        </c:ser>
        <c:ser>
          <c:idx val="2"/>
          <c:order val="2"/>
          <c:tx>
            <c:strRef>
              <c:f>'Ratio Analysis'!$Q$2</c:f>
              <c:strCache>
                <c:ptCount val="1"/>
                <c:pt idx="0">
                  <c:v>Dutch-Bangla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Analysis'!$S$85:$W$85</c:f>
              <c:numCache>
                <c:formatCode>0.0000</c:formatCode>
                <c:ptCount val="5"/>
                <c:pt idx="0">
                  <c:v>8.9307025054073744E-2</c:v>
                </c:pt>
                <c:pt idx="1">
                  <c:v>7.9175847514725645E-2</c:v>
                </c:pt>
                <c:pt idx="2">
                  <c:v>7.1035475126254674E-2</c:v>
                </c:pt>
                <c:pt idx="3">
                  <c:v>6.709051767733179E-2</c:v>
                </c:pt>
                <c:pt idx="4">
                  <c:v>5.5482133410598093E-2</c:v>
                </c:pt>
              </c:numCache>
            </c:numRef>
          </c:val>
          <c:extLst xmlns:c16r2="http://schemas.microsoft.com/office/drawing/2015/06/chart">
            <c:ext xmlns:c16="http://schemas.microsoft.com/office/drawing/2014/chart" uri="{C3380CC4-5D6E-409C-BE32-E72D297353CC}">
              <c16:uniqueId val="{00000002-0AF6-427B-BD85-B3575CCC0DDA}"/>
            </c:ext>
          </c:extLst>
        </c:ser>
        <c:ser>
          <c:idx val="3"/>
          <c:order val="3"/>
          <c:tx>
            <c:strRef>
              <c:f>'Ratio Analysis'!$Y$2</c:f>
              <c:strCache>
                <c:ptCount val="1"/>
                <c:pt idx="0">
                  <c:v>Bank Asia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Analysis'!$AA$85:$AE$85</c:f>
              <c:numCache>
                <c:formatCode>0.0000</c:formatCode>
                <c:ptCount val="5"/>
                <c:pt idx="0">
                  <c:v>9.8337978313480956E-2</c:v>
                </c:pt>
                <c:pt idx="1">
                  <c:v>8.9169170100447379E-2</c:v>
                </c:pt>
                <c:pt idx="2">
                  <c:v>7.5851838607868927E-2</c:v>
                </c:pt>
                <c:pt idx="3">
                  <c:v>6.2075178530156538E-2</c:v>
                </c:pt>
                <c:pt idx="4">
                  <c:v>5.8052350204513783E-2</c:v>
                </c:pt>
              </c:numCache>
            </c:numRef>
          </c:val>
        </c:ser>
        <c:ser>
          <c:idx val="4"/>
          <c:order val="4"/>
          <c:tx>
            <c:strRef>
              <c:f>'Ratio Analysis'!$AG$2</c:f>
              <c:strCache>
                <c:ptCount val="1"/>
                <c:pt idx="0">
                  <c:v>IFIC Bank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Analysis'!$AI$85:$AM$85</c:f>
              <c:numCache>
                <c:formatCode>0.0000</c:formatCode>
                <c:ptCount val="5"/>
                <c:pt idx="0">
                  <c:v>9.1937954543429817E-2</c:v>
                </c:pt>
                <c:pt idx="1">
                  <c:v>7.7876169739760429E-2</c:v>
                </c:pt>
                <c:pt idx="2">
                  <c:v>7.5850671817504628E-2</c:v>
                </c:pt>
                <c:pt idx="3">
                  <c:v>7.0950943448391007E-2</c:v>
                </c:pt>
                <c:pt idx="4">
                  <c:v>6.3349879386789695E-2</c:v>
                </c:pt>
              </c:numCache>
            </c:numRef>
          </c:val>
        </c:ser>
        <c:dLbls>
          <c:showLegendKey val="0"/>
          <c:showVal val="0"/>
          <c:showCatName val="0"/>
          <c:showSerName val="0"/>
          <c:showPercent val="0"/>
          <c:showBubbleSize val="0"/>
        </c:dLbls>
        <c:gapWidth val="150"/>
        <c:axId val="160323840"/>
        <c:axId val="160354304"/>
      </c:barChart>
      <c:catAx>
        <c:axId val="160323840"/>
        <c:scaling>
          <c:orientation val="minMax"/>
        </c:scaling>
        <c:delete val="0"/>
        <c:axPos val="b"/>
        <c:numFmt formatCode="General" sourceLinked="1"/>
        <c:majorTickMark val="out"/>
        <c:minorTickMark val="none"/>
        <c:tickLblPos val="nextTo"/>
        <c:crossAx val="160354304"/>
        <c:crosses val="autoZero"/>
        <c:auto val="1"/>
        <c:lblAlgn val="ctr"/>
        <c:lblOffset val="100"/>
        <c:noMultiLvlLbl val="0"/>
      </c:catAx>
      <c:valAx>
        <c:axId val="160354304"/>
        <c:scaling>
          <c:orientation val="minMax"/>
        </c:scaling>
        <c:delete val="0"/>
        <c:axPos val="l"/>
        <c:majorGridlines/>
        <c:numFmt formatCode="0.0000" sourceLinked="1"/>
        <c:majorTickMark val="out"/>
        <c:minorTickMark val="none"/>
        <c:tickLblPos val="nextTo"/>
        <c:crossAx val="160323840"/>
        <c:crosses val="autoZero"/>
        <c:crossBetween val="between"/>
      </c:valAx>
    </c:plotArea>
    <c:legend>
      <c:legendPos val="r"/>
      <c:layout>
        <c:manualLayout>
          <c:xMode val="edge"/>
          <c:yMode val="edge"/>
          <c:x val="0.72554718429980425"/>
          <c:y val="0.24213072960926796"/>
          <c:w val="0.25277720853723196"/>
          <c:h val="0.7100311440661754"/>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0" i="0" u="none" strike="noStrike" baseline="0">
                <a:effectLst/>
              </a:rPr>
              <a:t>Profit margin</a:t>
            </a:r>
            <a:r>
              <a:rPr lang="en-US" sz="1800" b="1" i="0" u="none" strike="noStrike" baseline="0"/>
              <a:t> </a:t>
            </a:r>
            <a:endParaRPr lang="en-US"/>
          </a:p>
        </c:rich>
      </c:tx>
      <c:overlay val="0"/>
    </c:title>
    <c:autoTitleDeleted val="0"/>
    <c:plotArea>
      <c:layout>
        <c:manualLayout>
          <c:layoutTarget val="inner"/>
          <c:xMode val="edge"/>
          <c:yMode val="edge"/>
          <c:x val="9.6637256505024083E-2"/>
          <c:y val="0.2058057014863178"/>
          <c:w val="0.61115967415520145"/>
          <c:h val="0.67166406513871668"/>
        </c:manualLayout>
      </c:layout>
      <c:lineChart>
        <c:grouping val="standard"/>
        <c:varyColors val="0"/>
        <c:ser>
          <c:idx val="1"/>
          <c:order val="0"/>
          <c:tx>
            <c:strRef>
              <c:f>'Ratio Analysis'!$A$2</c:f>
              <c:strCache>
                <c:ptCount val="1"/>
                <c:pt idx="0">
                  <c:v>Dhaka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Analysis'!$C$90:$G$90</c:f>
              <c:numCache>
                <c:formatCode>#,##0.0000</c:formatCode>
                <c:ptCount val="5"/>
                <c:pt idx="0">
                  <c:v>0.11923898237448102</c:v>
                </c:pt>
                <c:pt idx="1">
                  <c:v>0.13053997320932578</c:v>
                </c:pt>
                <c:pt idx="2">
                  <c:v>0.15278504946604904</c:v>
                </c:pt>
                <c:pt idx="3">
                  <c:v>0.12454316997148482</c:v>
                </c:pt>
                <c:pt idx="4">
                  <c:v>0.11179055487670768</c:v>
                </c:pt>
              </c:numCache>
            </c:numRef>
          </c:val>
          <c:smooth val="0"/>
        </c:ser>
        <c:ser>
          <c:idx val="0"/>
          <c:order val="1"/>
          <c:tx>
            <c:strRef>
              <c:f>'Ratio Analysis'!$I$2</c:f>
              <c:strCache>
                <c:ptCount val="1"/>
                <c:pt idx="0">
                  <c:v>BRAC BANK LIMITED</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Analysis'!$K$90:$O$90</c:f>
              <c:numCache>
                <c:formatCode>0.000</c:formatCode>
                <c:ptCount val="5"/>
                <c:pt idx="0">
                  <c:v>0.15714863175461019</c:v>
                </c:pt>
                <c:pt idx="1">
                  <c:v>0.31175268872556677</c:v>
                </c:pt>
                <c:pt idx="2">
                  <c:v>0.24017694019998712</c:v>
                </c:pt>
                <c:pt idx="3">
                  <c:v>0.48485856201087207</c:v>
                </c:pt>
                <c:pt idx="4">
                  <c:v>0.4064597680103213</c:v>
                </c:pt>
              </c:numCache>
            </c:numRef>
          </c:val>
          <c:smooth val="0"/>
        </c:ser>
        <c:ser>
          <c:idx val="2"/>
          <c:order val="2"/>
          <c:tx>
            <c:strRef>
              <c:f>'Ratio Analysis'!$Q$2</c:f>
              <c:strCache>
                <c:ptCount val="1"/>
                <c:pt idx="0">
                  <c:v>Dutch-Bangla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Analysis'!$S$90:$W$90</c:f>
              <c:numCache>
                <c:formatCode>#,##0.0000</c:formatCode>
                <c:ptCount val="5"/>
                <c:pt idx="0">
                  <c:v>0.16618787643450847</c:v>
                </c:pt>
                <c:pt idx="1">
                  <c:v>0.13619819272741429</c:v>
                </c:pt>
                <c:pt idx="2">
                  <c:v>7.958319663365257E-2</c:v>
                </c:pt>
                <c:pt idx="3">
                  <c:v>-2.9373788009671733</c:v>
                </c:pt>
                <c:pt idx="4">
                  <c:v>-3.0073780740759526</c:v>
                </c:pt>
              </c:numCache>
            </c:numRef>
          </c:val>
          <c:smooth val="0"/>
        </c:ser>
        <c:ser>
          <c:idx val="3"/>
          <c:order val="3"/>
          <c:tx>
            <c:strRef>
              <c:f>'Ratio Analysis'!$Y$2</c:f>
              <c:strCache>
                <c:ptCount val="1"/>
                <c:pt idx="0">
                  <c:v>Bank Asia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Analysis'!$AA$90:$AE$90</c:f>
              <c:numCache>
                <c:formatCode>0.0000</c:formatCode>
                <c:ptCount val="5"/>
                <c:pt idx="0">
                  <c:v>1.5275402442115196</c:v>
                </c:pt>
                <c:pt idx="1">
                  <c:v>1.6768031684246305</c:v>
                </c:pt>
                <c:pt idx="2">
                  <c:v>0.14412618953296286</c:v>
                </c:pt>
                <c:pt idx="3">
                  <c:v>0.18204080858851543</c:v>
                </c:pt>
                <c:pt idx="4">
                  <c:v>0.11111876316506802</c:v>
                </c:pt>
              </c:numCache>
            </c:numRef>
          </c:val>
          <c:smooth val="0"/>
        </c:ser>
        <c:ser>
          <c:idx val="4"/>
          <c:order val="4"/>
          <c:tx>
            <c:strRef>
              <c:f>'Ratio Analysis'!$AG$2</c:f>
              <c:strCache>
                <c:ptCount val="1"/>
                <c:pt idx="0">
                  <c:v>IFIC Bank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Analysis'!$AI$90:$AM$90</c:f>
              <c:numCache>
                <c:formatCode>0.0000</c:formatCode>
                <c:ptCount val="5"/>
                <c:pt idx="0">
                  <c:v>0.1632590028386309</c:v>
                </c:pt>
                <c:pt idx="1">
                  <c:v>0.12109189817120507</c:v>
                </c:pt>
                <c:pt idx="2">
                  <c:v>0.13026498255311442</c:v>
                </c:pt>
                <c:pt idx="3">
                  <c:v>7.0100662516012754E-2</c:v>
                </c:pt>
                <c:pt idx="4">
                  <c:v>9.7260454340499944E-2</c:v>
                </c:pt>
              </c:numCache>
            </c:numRef>
          </c:val>
          <c:smooth val="0"/>
        </c:ser>
        <c:dLbls>
          <c:showLegendKey val="0"/>
          <c:showVal val="0"/>
          <c:showCatName val="0"/>
          <c:showSerName val="0"/>
          <c:showPercent val="0"/>
          <c:showBubbleSize val="0"/>
        </c:dLbls>
        <c:marker val="1"/>
        <c:smooth val="0"/>
        <c:axId val="160721920"/>
        <c:axId val="160731904"/>
      </c:lineChart>
      <c:catAx>
        <c:axId val="160721920"/>
        <c:scaling>
          <c:orientation val="minMax"/>
        </c:scaling>
        <c:delete val="0"/>
        <c:axPos val="b"/>
        <c:numFmt formatCode="General" sourceLinked="1"/>
        <c:majorTickMark val="out"/>
        <c:minorTickMark val="none"/>
        <c:tickLblPos val="nextTo"/>
        <c:crossAx val="160731904"/>
        <c:crosses val="autoZero"/>
        <c:auto val="1"/>
        <c:lblAlgn val="ctr"/>
        <c:lblOffset val="100"/>
        <c:noMultiLvlLbl val="0"/>
      </c:catAx>
      <c:valAx>
        <c:axId val="160731904"/>
        <c:scaling>
          <c:orientation val="minMax"/>
        </c:scaling>
        <c:delete val="0"/>
        <c:axPos val="l"/>
        <c:majorGridlines/>
        <c:numFmt formatCode="#,##0.0000" sourceLinked="1"/>
        <c:majorTickMark val="out"/>
        <c:minorTickMark val="none"/>
        <c:tickLblPos val="nextTo"/>
        <c:crossAx val="160721920"/>
        <c:crosses val="autoZero"/>
        <c:crossBetween val="between"/>
      </c:valAx>
    </c:plotArea>
    <c:legend>
      <c:legendPos val="r"/>
      <c:layout>
        <c:manualLayout>
          <c:xMode val="edge"/>
          <c:yMode val="edge"/>
          <c:x val="0.76224819402195798"/>
          <c:y val="0.20344418486150775"/>
          <c:w val="0.22450385938356596"/>
          <c:h val="0.67171334352436718"/>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0" i="0" u="none" strike="noStrike" baseline="0">
                <a:effectLst/>
              </a:rPr>
              <a:t>Ros</a:t>
            </a:r>
            <a:endParaRPr lang="en-US"/>
          </a:p>
        </c:rich>
      </c:tx>
      <c:overlay val="0"/>
    </c:title>
    <c:autoTitleDeleted val="0"/>
    <c:plotArea>
      <c:layout>
        <c:manualLayout>
          <c:layoutTarget val="inner"/>
          <c:xMode val="edge"/>
          <c:yMode val="edge"/>
          <c:x val="9.6637256505024083E-2"/>
          <c:y val="0.2058057014863178"/>
          <c:w val="0.61115967415520145"/>
          <c:h val="0.67166406513871668"/>
        </c:manualLayout>
      </c:layout>
      <c:lineChart>
        <c:grouping val="standard"/>
        <c:varyColors val="0"/>
        <c:ser>
          <c:idx val="1"/>
          <c:order val="0"/>
          <c:tx>
            <c:strRef>
              <c:f>'Ratio Analysis'!$A$2</c:f>
              <c:strCache>
                <c:ptCount val="1"/>
                <c:pt idx="0">
                  <c:v>Dhaka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Analysis'!$C$93:$G$93</c:f>
              <c:numCache>
                <c:formatCode>#,##0.0000</c:formatCode>
                <c:ptCount val="5"/>
                <c:pt idx="0">
                  <c:v>0.11923898237448102</c:v>
                </c:pt>
                <c:pt idx="1">
                  <c:v>0.13053997320932578</c:v>
                </c:pt>
                <c:pt idx="2">
                  <c:v>0.15278504946604904</c:v>
                </c:pt>
                <c:pt idx="3">
                  <c:v>0.12454316997148482</c:v>
                </c:pt>
                <c:pt idx="4">
                  <c:v>0.11179055487670768</c:v>
                </c:pt>
              </c:numCache>
            </c:numRef>
          </c:val>
          <c:smooth val="0"/>
        </c:ser>
        <c:ser>
          <c:idx val="0"/>
          <c:order val="1"/>
          <c:tx>
            <c:strRef>
              <c:f>'Ratio Analysis'!$I$2</c:f>
              <c:strCache>
                <c:ptCount val="1"/>
                <c:pt idx="0">
                  <c:v>BRAC BANK LIMITED</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Analysis'!$K$93:$O$93</c:f>
              <c:numCache>
                <c:formatCode>0.000</c:formatCode>
                <c:ptCount val="5"/>
                <c:pt idx="0">
                  <c:v>0.15714863175461019</c:v>
                </c:pt>
                <c:pt idx="1">
                  <c:v>0.31175268872556677</c:v>
                </c:pt>
                <c:pt idx="2">
                  <c:v>0.24017694019998712</c:v>
                </c:pt>
                <c:pt idx="3">
                  <c:v>0.48485856201087207</c:v>
                </c:pt>
                <c:pt idx="4">
                  <c:v>0.4064597680103213</c:v>
                </c:pt>
              </c:numCache>
            </c:numRef>
          </c:val>
          <c:smooth val="0"/>
        </c:ser>
        <c:ser>
          <c:idx val="2"/>
          <c:order val="2"/>
          <c:tx>
            <c:strRef>
              <c:f>'Ratio Analysis'!$Q$2</c:f>
              <c:strCache>
                <c:ptCount val="1"/>
                <c:pt idx="0">
                  <c:v>Dutch-Bangla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Analysis'!$S$93:$W$93</c:f>
              <c:numCache>
                <c:formatCode>#,##0.0000</c:formatCode>
                <c:ptCount val="5"/>
                <c:pt idx="0">
                  <c:v>0.16618787643450847</c:v>
                </c:pt>
                <c:pt idx="1">
                  <c:v>0.13619819272741429</c:v>
                </c:pt>
                <c:pt idx="2">
                  <c:v>7.958319663365257E-2</c:v>
                </c:pt>
                <c:pt idx="3">
                  <c:v>-2.9373788009671733</c:v>
                </c:pt>
                <c:pt idx="4">
                  <c:v>-3.0073780740759526</c:v>
                </c:pt>
              </c:numCache>
            </c:numRef>
          </c:val>
          <c:smooth val="0"/>
        </c:ser>
        <c:ser>
          <c:idx val="3"/>
          <c:order val="3"/>
          <c:tx>
            <c:strRef>
              <c:f>'Ratio Analysis'!$Y$2</c:f>
              <c:strCache>
                <c:ptCount val="1"/>
                <c:pt idx="0">
                  <c:v>Bank Asia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Analysis'!$AA$93:$AE$93</c:f>
              <c:numCache>
                <c:formatCode>0.0000</c:formatCode>
                <c:ptCount val="5"/>
                <c:pt idx="0">
                  <c:v>1.5275402442115196</c:v>
                </c:pt>
                <c:pt idx="1">
                  <c:v>1.6768031684246305</c:v>
                </c:pt>
                <c:pt idx="2">
                  <c:v>0.14412618953296286</c:v>
                </c:pt>
                <c:pt idx="3">
                  <c:v>0.18204080858851543</c:v>
                </c:pt>
                <c:pt idx="4">
                  <c:v>0.11111876316506802</c:v>
                </c:pt>
              </c:numCache>
            </c:numRef>
          </c:val>
          <c:smooth val="0"/>
        </c:ser>
        <c:ser>
          <c:idx val="4"/>
          <c:order val="4"/>
          <c:tx>
            <c:strRef>
              <c:f>'Ratio Analysis'!$AG$2</c:f>
              <c:strCache>
                <c:ptCount val="1"/>
                <c:pt idx="0">
                  <c:v>IFIC Bank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Analysis'!$AI$93:$AM$93</c:f>
              <c:numCache>
                <c:formatCode>0.0000</c:formatCode>
                <c:ptCount val="5"/>
                <c:pt idx="0">
                  <c:v>0.1632590028386309</c:v>
                </c:pt>
                <c:pt idx="1">
                  <c:v>0.12109189817120507</c:v>
                </c:pt>
                <c:pt idx="2">
                  <c:v>0.13026498255311442</c:v>
                </c:pt>
                <c:pt idx="3">
                  <c:v>7.0100662516012754E-2</c:v>
                </c:pt>
                <c:pt idx="4">
                  <c:v>9.7260454340499944E-2</c:v>
                </c:pt>
              </c:numCache>
            </c:numRef>
          </c:val>
          <c:smooth val="0"/>
        </c:ser>
        <c:dLbls>
          <c:showLegendKey val="0"/>
          <c:showVal val="0"/>
          <c:showCatName val="0"/>
          <c:showSerName val="0"/>
          <c:showPercent val="0"/>
          <c:showBubbleSize val="0"/>
        </c:dLbls>
        <c:marker val="1"/>
        <c:smooth val="0"/>
        <c:axId val="160903168"/>
        <c:axId val="160904704"/>
      </c:lineChart>
      <c:catAx>
        <c:axId val="160903168"/>
        <c:scaling>
          <c:orientation val="minMax"/>
        </c:scaling>
        <c:delete val="0"/>
        <c:axPos val="b"/>
        <c:numFmt formatCode="General" sourceLinked="1"/>
        <c:majorTickMark val="out"/>
        <c:minorTickMark val="none"/>
        <c:tickLblPos val="nextTo"/>
        <c:crossAx val="160904704"/>
        <c:crosses val="autoZero"/>
        <c:auto val="1"/>
        <c:lblAlgn val="ctr"/>
        <c:lblOffset val="100"/>
        <c:noMultiLvlLbl val="0"/>
      </c:catAx>
      <c:valAx>
        <c:axId val="160904704"/>
        <c:scaling>
          <c:orientation val="minMax"/>
        </c:scaling>
        <c:delete val="0"/>
        <c:axPos val="l"/>
        <c:majorGridlines/>
        <c:numFmt formatCode="#,##0.0000" sourceLinked="1"/>
        <c:majorTickMark val="out"/>
        <c:minorTickMark val="none"/>
        <c:tickLblPos val="nextTo"/>
        <c:crossAx val="160903168"/>
        <c:crosses val="autoZero"/>
        <c:crossBetween val="between"/>
      </c:valAx>
    </c:plotArea>
    <c:legend>
      <c:legendPos val="r"/>
      <c:layout>
        <c:manualLayout>
          <c:xMode val="edge"/>
          <c:yMode val="edge"/>
          <c:x val="0.76224819402195798"/>
          <c:y val="0.20344418486150775"/>
          <c:w val="0.22450385938356596"/>
          <c:h val="0.67171334352436718"/>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a:t>ROA</a:t>
            </a:r>
          </a:p>
        </c:rich>
      </c:tx>
      <c:overlay val="0"/>
    </c:title>
    <c:autoTitleDeleted val="0"/>
    <c:plotArea>
      <c:layout>
        <c:manualLayout>
          <c:layoutTarget val="inner"/>
          <c:xMode val="edge"/>
          <c:yMode val="edge"/>
          <c:x val="0.10450769457077147"/>
          <c:y val="0.18442465244260811"/>
          <c:w val="0.55775795748005108"/>
          <c:h val="0.7669133438639637"/>
        </c:manualLayout>
      </c:layout>
      <c:barChart>
        <c:barDir val="col"/>
        <c:grouping val="clustered"/>
        <c:varyColors val="0"/>
        <c:ser>
          <c:idx val="0"/>
          <c:order val="0"/>
          <c:tx>
            <c:strRef>
              <c:f>'Ratio Analysis'!$A$2</c:f>
              <c:strCache>
                <c:ptCount val="1"/>
                <c:pt idx="0">
                  <c:v>Dhaka Bank Limited </c:v>
                </c:pt>
              </c:strCache>
            </c:strRef>
          </c:tx>
          <c:invertIfNegative val="0"/>
          <c:cat>
            <c:numRef>
              <c:f>'Ratio Analysis'!$C$64:$G$64</c:f>
              <c:numCache>
                <c:formatCode>General</c:formatCode>
                <c:ptCount val="5"/>
                <c:pt idx="0">
                  <c:v>2012</c:v>
                </c:pt>
                <c:pt idx="1">
                  <c:v>2013</c:v>
                </c:pt>
                <c:pt idx="2">
                  <c:v>2014</c:v>
                </c:pt>
                <c:pt idx="3">
                  <c:v>2015</c:v>
                </c:pt>
                <c:pt idx="4">
                  <c:v>2016</c:v>
                </c:pt>
              </c:numCache>
            </c:numRef>
          </c:cat>
          <c:val>
            <c:numRef>
              <c:f>'Ratio Analysis'!$C$91:$G$91</c:f>
              <c:numCache>
                <c:formatCode>#,##0.0000</c:formatCode>
                <c:ptCount val="5"/>
                <c:pt idx="0">
                  <c:v>1.193037040184625E-2</c:v>
                </c:pt>
                <c:pt idx="1">
                  <c:v>1.3627864151989388E-2</c:v>
                </c:pt>
                <c:pt idx="2">
                  <c:v>1.3134987227829676E-2</c:v>
                </c:pt>
                <c:pt idx="3">
                  <c:v>8.5361221333863993E-3</c:v>
                </c:pt>
                <c:pt idx="4">
                  <c:v>7.2446482469947339E-3</c:v>
                </c:pt>
              </c:numCache>
            </c:numRef>
          </c:val>
          <c:extLst xmlns:c16r2="http://schemas.microsoft.com/office/drawing/2015/06/chart">
            <c:ext xmlns:c16="http://schemas.microsoft.com/office/drawing/2014/chart" uri="{C3380CC4-5D6E-409C-BE32-E72D297353CC}">
              <c16:uniqueId val="{00000000-0AF6-427B-BD85-B3575CCC0DDA}"/>
            </c:ext>
          </c:extLst>
        </c:ser>
        <c:ser>
          <c:idx val="1"/>
          <c:order val="1"/>
          <c:tx>
            <c:strRef>
              <c:f>'Ratio Analysis'!$I$2</c:f>
              <c:strCache>
                <c:ptCount val="1"/>
                <c:pt idx="0">
                  <c:v>BRAC BANK LIMITED</c:v>
                </c:pt>
              </c:strCache>
            </c:strRef>
          </c:tx>
          <c:invertIfNegative val="0"/>
          <c:cat>
            <c:numRef>
              <c:f>'Ratio Analysis'!$C$64:$G$64</c:f>
              <c:numCache>
                <c:formatCode>General</c:formatCode>
                <c:ptCount val="5"/>
                <c:pt idx="0">
                  <c:v>2012</c:v>
                </c:pt>
                <c:pt idx="1">
                  <c:v>2013</c:v>
                </c:pt>
                <c:pt idx="2">
                  <c:v>2014</c:v>
                </c:pt>
                <c:pt idx="3">
                  <c:v>2015</c:v>
                </c:pt>
                <c:pt idx="4">
                  <c:v>2016</c:v>
                </c:pt>
              </c:numCache>
            </c:numRef>
          </c:cat>
          <c:val>
            <c:numRef>
              <c:f>'Ratio Analysis'!$K$91:$O$91</c:f>
              <c:numCache>
                <c:formatCode>0.000</c:formatCode>
                <c:ptCount val="5"/>
                <c:pt idx="0">
                  <c:v>1.4559704996647358E-2</c:v>
                </c:pt>
                <c:pt idx="1">
                  <c:v>3.1440783248336511E-2</c:v>
                </c:pt>
                <c:pt idx="2">
                  <c:v>2.5678761757307638E-2</c:v>
                </c:pt>
                <c:pt idx="3">
                  <c:v>4.7507698233224635E-2</c:v>
                </c:pt>
                <c:pt idx="4">
                  <c:v>3.5246490344521673E-2</c:v>
                </c:pt>
              </c:numCache>
            </c:numRef>
          </c:val>
          <c:extLst xmlns:c16r2="http://schemas.microsoft.com/office/drawing/2015/06/chart">
            <c:ext xmlns:c16="http://schemas.microsoft.com/office/drawing/2014/chart" uri="{C3380CC4-5D6E-409C-BE32-E72D297353CC}">
              <c16:uniqueId val="{00000001-0AF6-427B-BD85-B3575CCC0DDA}"/>
            </c:ext>
          </c:extLst>
        </c:ser>
        <c:ser>
          <c:idx val="2"/>
          <c:order val="2"/>
          <c:tx>
            <c:strRef>
              <c:f>'Ratio Analysis'!$Q$2</c:f>
              <c:strCache>
                <c:ptCount val="1"/>
                <c:pt idx="0">
                  <c:v>Dutch-Bangla Bank Limited  </c:v>
                </c:pt>
              </c:strCache>
            </c:strRef>
          </c:tx>
          <c:invertIfNegative val="0"/>
          <c:cat>
            <c:numRef>
              <c:f>'Ratio Analysis'!$C$64:$G$64</c:f>
              <c:numCache>
                <c:formatCode>General</c:formatCode>
                <c:ptCount val="5"/>
                <c:pt idx="0">
                  <c:v>2012</c:v>
                </c:pt>
                <c:pt idx="1">
                  <c:v>2013</c:v>
                </c:pt>
                <c:pt idx="2">
                  <c:v>2014</c:v>
                </c:pt>
                <c:pt idx="3">
                  <c:v>2015</c:v>
                </c:pt>
                <c:pt idx="4">
                  <c:v>2016</c:v>
                </c:pt>
              </c:numCache>
            </c:numRef>
          </c:cat>
          <c:val>
            <c:numRef>
              <c:f>'Ratio Analysis'!$S$91:$W$91</c:f>
              <c:numCache>
                <c:formatCode>#,##0.0000</c:formatCode>
                <c:ptCount val="5"/>
                <c:pt idx="0">
                  <c:v>1.4841744844419958E-2</c:v>
                </c:pt>
                <c:pt idx="1">
                  <c:v>1.0783607339166969E-2</c:v>
                </c:pt>
                <c:pt idx="2">
                  <c:v>5.6532301849376611E-3</c:v>
                </c:pt>
                <c:pt idx="3">
                  <c:v>-0.19707026437130779</c:v>
                </c:pt>
                <c:pt idx="4">
                  <c:v>-0.16685575152198956</c:v>
                </c:pt>
              </c:numCache>
            </c:numRef>
          </c:val>
          <c:extLst xmlns:c16r2="http://schemas.microsoft.com/office/drawing/2015/06/chart">
            <c:ext xmlns:c16="http://schemas.microsoft.com/office/drawing/2014/chart" uri="{C3380CC4-5D6E-409C-BE32-E72D297353CC}">
              <c16:uniqueId val="{00000002-0AF6-427B-BD85-B3575CCC0DDA}"/>
            </c:ext>
          </c:extLst>
        </c:ser>
        <c:ser>
          <c:idx val="3"/>
          <c:order val="3"/>
          <c:tx>
            <c:strRef>
              <c:f>'Ratio Analysis'!$Y$2</c:f>
              <c:strCache>
                <c:ptCount val="1"/>
                <c:pt idx="0">
                  <c:v>Bank Asia  </c:v>
                </c:pt>
              </c:strCache>
            </c:strRef>
          </c:tx>
          <c:invertIfNegative val="0"/>
          <c:cat>
            <c:numRef>
              <c:f>'Ratio Analysis'!$C$64:$G$64</c:f>
              <c:numCache>
                <c:formatCode>General</c:formatCode>
                <c:ptCount val="5"/>
                <c:pt idx="0">
                  <c:v>2012</c:v>
                </c:pt>
                <c:pt idx="1">
                  <c:v>2013</c:v>
                </c:pt>
                <c:pt idx="2">
                  <c:v>2014</c:v>
                </c:pt>
                <c:pt idx="3">
                  <c:v>2015</c:v>
                </c:pt>
                <c:pt idx="4">
                  <c:v>2016</c:v>
                </c:pt>
              </c:numCache>
            </c:numRef>
          </c:cat>
          <c:val>
            <c:numRef>
              <c:f>'Ratio Analysis'!$AA$91:$AE$91</c:f>
              <c:numCache>
                <c:formatCode>0.0000</c:formatCode>
                <c:ptCount val="5"/>
                <c:pt idx="0">
                  <c:v>0.15021521940824181</c:v>
                </c:pt>
                <c:pt idx="1">
                  <c:v>0.149519146950225</c:v>
                </c:pt>
                <c:pt idx="2">
                  <c:v>1.0932236467621426E-2</c:v>
                </c:pt>
                <c:pt idx="3">
                  <c:v>1.130021569290615E-2</c:v>
                </c:pt>
                <c:pt idx="4">
                  <c:v>6.450705353550956E-3</c:v>
                </c:pt>
              </c:numCache>
            </c:numRef>
          </c:val>
        </c:ser>
        <c:ser>
          <c:idx val="4"/>
          <c:order val="4"/>
          <c:tx>
            <c:strRef>
              <c:f>'Ratio Analysis'!$AG$2</c:f>
              <c:strCache>
                <c:ptCount val="1"/>
                <c:pt idx="0">
                  <c:v>IFIC Bank  </c:v>
                </c:pt>
              </c:strCache>
            </c:strRef>
          </c:tx>
          <c:invertIfNegative val="0"/>
          <c:cat>
            <c:numRef>
              <c:f>'Ratio Analysis'!$C$64:$G$64</c:f>
              <c:numCache>
                <c:formatCode>General</c:formatCode>
                <c:ptCount val="5"/>
                <c:pt idx="0">
                  <c:v>2012</c:v>
                </c:pt>
                <c:pt idx="1">
                  <c:v>2013</c:v>
                </c:pt>
                <c:pt idx="2">
                  <c:v>2014</c:v>
                </c:pt>
                <c:pt idx="3">
                  <c:v>2015</c:v>
                </c:pt>
                <c:pt idx="4">
                  <c:v>2016</c:v>
                </c:pt>
              </c:numCache>
            </c:numRef>
          </c:cat>
          <c:val>
            <c:numRef>
              <c:f>'Ratio Analysis'!$AI$91:$AM$91</c:f>
              <c:numCache>
                <c:formatCode>0.0000</c:formatCode>
                <c:ptCount val="5"/>
                <c:pt idx="0">
                  <c:v>1.5009698781783726E-2</c:v>
                </c:pt>
                <c:pt idx="1">
                  <c:v>9.43017321609055E-3</c:v>
                </c:pt>
                <c:pt idx="2">
                  <c:v>9.8806864409492472E-3</c:v>
                </c:pt>
                <c:pt idx="3">
                  <c:v>4.9737081418683637E-3</c:v>
                </c:pt>
                <c:pt idx="4">
                  <c:v>6.1614380515750376E-3</c:v>
                </c:pt>
              </c:numCache>
            </c:numRef>
          </c:val>
        </c:ser>
        <c:dLbls>
          <c:showLegendKey val="0"/>
          <c:showVal val="0"/>
          <c:showCatName val="0"/>
          <c:showSerName val="0"/>
          <c:showPercent val="0"/>
          <c:showBubbleSize val="0"/>
        </c:dLbls>
        <c:gapWidth val="150"/>
        <c:axId val="160982912"/>
        <c:axId val="160984448"/>
      </c:barChart>
      <c:catAx>
        <c:axId val="160982912"/>
        <c:scaling>
          <c:orientation val="minMax"/>
        </c:scaling>
        <c:delete val="0"/>
        <c:axPos val="b"/>
        <c:numFmt formatCode="General" sourceLinked="1"/>
        <c:majorTickMark val="out"/>
        <c:minorTickMark val="none"/>
        <c:tickLblPos val="nextTo"/>
        <c:crossAx val="160984448"/>
        <c:crosses val="autoZero"/>
        <c:auto val="1"/>
        <c:lblAlgn val="ctr"/>
        <c:lblOffset val="100"/>
        <c:noMultiLvlLbl val="0"/>
      </c:catAx>
      <c:valAx>
        <c:axId val="160984448"/>
        <c:scaling>
          <c:orientation val="minMax"/>
        </c:scaling>
        <c:delete val="0"/>
        <c:axPos val="l"/>
        <c:majorGridlines/>
        <c:numFmt formatCode="#,##0.0000" sourceLinked="1"/>
        <c:majorTickMark val="out"/>
        <c:minorTickMark val="none"/>
        <c:tickLblPos val="nextTo"/>
        <c:crossAx val="160982912"/>
        <c:crosses val="autoZero"/>
        <c:crossBetween val="between"/>
      </c:valAx>
    </c:plotArea>
    <c:legend>
      <c:legendPos val="r"/>
      <c:layout>
        <c:manualLayout>
          <c:xMode val="edge"/>
          <c:yMode val="edge"/>
          <c:x val="0.7282181693809332"/>
          <c:y val="0.17250539156999686"/>
          <c:w val="0.24865571680019669"/>
          <c:h val="0.75570295063568582"/>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a:t>ROE</a:t>
            </a:r>
          </a:p>
        </c:rich>
      </c:tx>
      <c:overlay val="0"/>
    </c:title>
    <c:autoTitleDeleted val="0"/>
    <c:plotArea>
      <c:layout>
        <c:manualLayout>
          <c:layoutTarget val="inner"/>
          <c:xMode val="edge"/>
          <c:yMode val="edge"/>
          <c:x val="0.16789905701336053"/>
          <c:y val="0.28988608740983524"/>
          <c:w val="0.47721488534278289"/>
          <c:h val="0.6336250176979773"/>
        </c:manualLayout>
      </c:layout>
      <c:barChart>
        <c:barDir val="col"/>
        <c:grouping val="clustered"/>
        <c:varyColors val="0"/>
        <c:ser>
          <c:idx val="0"/>
          <c:order val="0"/>
          <c:tx>
            <c:strRef>
              <c:f>'Ratio Analysis'!$A$2</c:f>
              <c:strCache>
                <c:ptCount val="1"/>
                <c:pt idx="0">
                  <c:v>Dhaka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Analysis'!$C$92:$G$92</c:f>
              <c:numCache>
                <c:formatCode>#,##0.0000</c:formatCode>
                <c:ptCount val="5"/>
                <c:pt idx="0">
                  <c:v>0.16288973997538675</c:v>
                </c:pt>
                <c:pt idx="1">
                  <c:v>0.16451020948220149</c:v>
                </c:pt>
                <c:pt idx="2">
                  <c:v>0.16176943343780373</c:v>
                </c:pt>
                <c:pt idx="3">
                  <c:v>0.11048774192433411</c:v>
                </c:pt>
                <c:pt idx="4">
                  <c:v>9.8737639480254297E-2</c:v>
                </c:pt>
              </c:numCache>
            </c:numRef>
          </c:val>
          <c:extLst xmlns:c16r2="http://schemas.microsoft.com/office/drawing/2015/06/chart">
            <c:ext xmlns:c16="http://schemas.microsoft.com/office/drawing/2014/chart" uri="{C3380CC4-5D6E-409C-BE32-E72D297353CC}">
              <c16:uniqueId val="{00000000-0AF6-427B-BD85-B3575CCC0DDA}"/>
            </c:ext>
          </c:extLst>
        </c:ser>
        <c:ser>
          <c:idx val="1"/>
          <c:order val="1"/>
          <c:tx>
            <c:strRef>
              <c:f>'Ratio Analysis'!$I$2</c:f>
              <c:strCache>
                <c:ptCount val="1"/>
                <c:pt idx="0">
                  <c:v>BRAC BANK LIMITED</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Analysis'!$K$92:$O$92</c:f>
              <c:numCache>
                <c:formatCode>0.000</c:formatCode>
                <c:ptCount val="5"/>
                <c:pt idx="0">
                  <c:v>0.22889275792273558</c:v>
                </c:pt>
                <c:pt idx="1">
                  <c:v>0.42046934744920494</c:v>
                </c:pt>
                <c:pt idx="2">
                  <c:v>0.25950364324613157</c:v>
                </c:pt>
                <c:pt idx="3">
                  <c:v>0.44581556511148179</c:v>
                </c:pt>
                <c:pt idx="4">
                  <c:v>0.33551696740859654</c:v>
                </c:pt>
              </c:numCache>
            </c:numRef>
          </c:val>
          <c:extLst xmlns:c16r2="http://schemas.microsoft.com/office/drawing/2015/06/chart">
            <c:ext xmlns:c16="http://schemas.microsoft.com/office/drawing/2014/chart" uri="{C3380CC4-5D6E-409C-BE32-E72D297353CC}">
              <c16:uniqueId val="{00000001-0AF6-427B-BD85-B3575CCC0DDA}"/>
            </c:ext>
          </c:extLst>
        </c:ser>
        <c:ser>
          <c:idx val="2"/>
          <c:order val="2"/>
          <c:tx>
            <c:strRef>
              <c:f>'Ratio Analysis'!$Q$2</c:f>
              <c:strCache>
                <c:ptCount val="1"/>
                <c:pt idx="0">
                  <c:v>Dutch-Bangla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Analysis'!$S$92:$W$92</c:f>
              <c:numCache>
                <c:formatCode>#,##0.0000</c:formatCode>
                <c:ptCount val="5"/>
                <c:pt idx="0">
                  <c:v>0.21319301623736792</c:v>
                </c:pt>
                <c:pt idx="1">
                  <c:v>0.15826661518941226</c:v>
                </c:pt>
                <c:pt idx="2">
                  <c:v>8.3363002029668815E-2</c:v>
                </c:pt>
                <c:pt idx="3">
                  <c:v>-2.8100660766176881</c:v>
                </c:pt>
                <c:pt idx="4">
                  <c:v>-2.6643616206486676</c:v>
                </c:pt>
              </c:numCache>
            </c:numRef>
          </c:val>
          <c:extLst xmlns:c16r2="http://schemas.microsoft.com/office/drawing/2015/06/chart">
            <c:ext xmlns:c16="http://schemas.microsoft.com/office/drawing/2014/chart" uri="{C3380CC4-5D6E-409C-BE32-E72D297353CC}">
              <c16:uniqueId val="{00000002-0AF6-427B-BD85-B3575CCC0DDA}"/>
            </c:ext>
          </c:extLst>
        </c:ser>
        <c:ser>
          <c:idx val="3"/>
          <c:order val="3"/>
          <c:tx>
            <c:strRef>
              <c:f>'Ratio Analysis'!$Y$2</c:f>
              <c:strCache>
                <c:ptCount val="1"/>
                <c:pt idx="0">
                  <c:v>Bank Asia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Analysis'!$AA$92:$AE$92</c:f>
              <c:numCache>
                <c:formatCode>0.0000</c:formatCode>
                <c:ptCount val="5"/>
                <c:pt idx="0">
                  <c:v>1.6177699876576388</c:v>
                </c:pt>
                <c:pt idx="1">
                  <c:v>1.6954039907113601</c:v>
                </c:pt>
                <c:pt idx="2">
                  <c:v>0.12122306970900491</c:v>
                </c:pt>
                <c:pt idx="3">
                  <c:v>0.13639477034035738</c:v>
                </c:pt>
                <c:pt idx="4">
                  <c:v>8.7156231707994608E-2</c:v>
                </c:pt>
              </c:numCache>
            </c:numRef>
          </c:val>
        </c:ser>
        <c:ser>
          <c:idx val="4"/>
          <c:order val="4"/>
          <c:tx>
            <c:strRef>
              <c:f>'Ratio Analysis'!$AG$2</c:f>
              <c:strCache>
                <c:ptCount val="1"/>
                <c:pt idx="0">
                  <c:v>IFIC Bank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Analysis'!$AI$92:$AM$92</c:f>
              <c:numCache>
                <c:formatCode>0.0000</c:formatCode>
                <c:ptCount val="5"/>
                <c:pt idx="0">
                  <c:v>0.2482512752436343</c:v>
                </c:pt>
                <c:pt idx="1">
                  <c:v>0.1478909749150506</c:v>
                </c:pt>
                <c:pt idx="2">
                  <c:v>0.14534401677450737</c:v>
                </c:pt>
                <c:pt idx="3">
                  <c:v>7.6108185387386118E-2</c:v>
                </c:pt>
                <c:pt idx="4">
                  <c:v>9.4554913085190678E-2</c:v>
                </c:pt>
              </c:numCache>
            </c:numRef>
          </c:val>
        </c:ser>
        <c:dLbls>
          <c:showLegendKey val="0"/>
          <c:showVal val="0"/>
          <c:showCatName val="0"/>
          <c:showSerName val="0"/>
          <c:showPercent val="0"/>
          <c:showBubbleSize val="0"/>
        </c:dLbls>
        <c:gapWidth val="150"/>
        <c:axId val="161624064"/>
        <c:axId val="161625600"/>
      </c:barChart>
      <c:catAx>
        <c:axId val="161624064"/>
        <c:scaling>
          <c:orientation val="minMax"/>
        </c:scaling>
        <c:delete val="0"/>
        <c:axPos val="b"/>
        <c:numFmt formatCode="General" sourceLinked="1"/>
        <c:majorTickMark val="out"/>
        <c:minorTickMark val="none"/>
        <c:tickLblPos val="nextTo"/>
        <c:crossAx val="161625600"/>
        <c:crosses val="autoZero"/>
        <c:auto val="1"/>
        <c:lblAlgn val="ctr"/>
        <c:lblOffset val="100"/>
        <c:noMultiLvlLbl val="0"/>
      </c:catAx>
      <c:valAx>
        <c:axId val="161625600"/>
        <c:scaling>
          <c:orientation val="minMax"/>
        </c:scaling>
        <c:delete val="0"/>
        <c:axPos val="l"/>
        <c:majorGridlines/>
        <c:numFmt formatCode="#,##0.0000" sourceLinked="1"/>
        <c:majorTickMark val="out"/>
        <c:minorTickMark val="none"/>
        <c:tickLblPos val="nextTo"/>
        <c:crossAx val="161624064"/>
        <c:crosses val="autoZero"/>
        <c:crossBetween val="between"/>
      </c:valAx>
    </c:plotArea>
    <c:legend>
      <c:legendPos val="r"/>
      <c:layout>
        <c:manualLayout>
          <c:xMode val="edge"/>
          <c:yMode val="edge"/>
          <c:x val="0.63431593426810151"/>
          <c:y val="0.21228921479544646"/>
          <c:w val="0.34411684790299846"/>
          <c:h val="0.78771052455991031"/>
        </c:manualLayout>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200" b="1" i="0" u="none" strike="noStrike" baseline="0">
                <a:effectLst/>
                <a:latin typeface="Times New Roman" pitchFamily="18" charset="0"/>
                <a:cs typeface="Times New Roman" pitchFamily="18" charset="0"/>
              </a:rPr>
              <a:t>Sub-standard loan</a:t>
            </a:r>
            <a:endParaRPr lang="en-US" sz="1200">
              <a:latin typeface="Times New Roman" pitchFamily="18" charset="0"/>
              <a:cs typeface="Times New Roman" pitchFamily="18" charset="0"/>
            </a:endParaRPr>
          </a:p>
        </c:rich>
      </c:tx>
      <c:layout>
        <c:manualLayout>
          <c:xMode val="edge"/>
          <c:yMode val="edge"/>
          <c:x val="0.3533563248219298"/>
          <c:y val="3.1746031746031744E-2"/>
        </c:manualLayout>
      </c:layout>
      <c:overlay val="0"/>
    </c:title>
    <c:autoTitleDeleted val="0"/>
    <c:plotArea>
      <c:layout>
        <c:manualLayout>
          <c:layoutTarget val="inner"/>
          <c:xMode val="edge"/>
          <c:yMode val="edge"/>
          <c:x val="0.10003607592727076"/>
          <c:y val="0.2174990730388412"/>
          <c:w val="0.62330164027878854"/>
          <c:h val="0.6530088284147072"/>
        </c:manualLayout>
      </c:layout>
      <c:barChart>
        <c:barDir val="col"/>
        <c:grouping val="clustered"/>
        <c:varyColors val="0"/>
        <c:ser>
          <c:idx val="0"/>
          <c:order val="0"/>
          <c:tx>
            <c:strRef>
              <c:f>Sheet1!$A$1</c:f>
              <c:strCache>
                <c:ptCount val="1"/>
                <c:pt idx="0">
                  <c:v>Dhaka Bank Limited </c:v>
                </c:pt>
              </c:strCache>
            </c:strRef>
          </c:tx>
          <c:invertIfNegative val="0"/>
          <c:trendline>
            <c:spPr>
              <a:ln>
                <a:solidFill>
                  <a:schemeClr val="tx2"/>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Sheet1!$B$4:$F$4</c:f>
              <c:numCache>
                <c:formatCode>#,##0</c:formatCode>
                <c:ptCount val="5"/>
                <c:pt idx="0">
                  <c:v>473222071</c:v>
                </c:pt>
                <c:pt idx="1">
                  <c:v>1420499820</c:v>
                </c:pt>
                <c:pt idx="2">
                  <c:v>688524510</c:v>
                </c:pt>
                <c:pt idx="3">
                  <c:v>1236020456</c:v>
                </c:pt>
                <c:pt idx="4">
                  <c:v>257483421</c:v>
                </c:pt>
              </c:numCache>
            </c:numRef>
          </c:val>
        </c:ser>
        <c:ser>
          <c:idx val="1"/>
          <c:order val="1"/>
          <c:tx>
            <c:strRef>
              <c:f>Sheet1!$H$1</c:f>
              <c:strCache>
                <c:ptCount val="1"/>
                <c:pt idx="0">
                  <c:v>BRAC BANK LIMITED</c:v>
                </c:pt>
              </c:strCache>
            </c:strRef>
          </c:tx>
          <c:invertIfNegative val="0"/>
          <c:trendline>
            <c:spPr>
              <a:ln>
                <a:solidFill>
                  <a:schemeClr val="accent2"/>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Sheet1!$I$4:$M$4</c:f>
              <c:numCache>
                <c:formatCode>#,##0</c:formatCode>
                <c:ptCount val="5"/>
                <c:pt idx="0">
                  <c:v>252571967</c:v>
                </c:pt>
                <c:pt idx="1">
                  <c:v>343893649</c:v>
                </c:pt>
                <c:pt idx="2">
                  <c:v>1429490706</c:v>
                </c:pt>
                <c:pt idx="3">
                  <c:v>151510706</c:v>
                </c:pt>
                <c:pt idx="4">
                  <c:v>80601628</c:v>
                </c:pt>
              </c:numCache>
            </c:numRef>
          </c:val>
        </c:ser>
        <c:ser>
          <c:idx val="2"/>
          <c:order val="2"/>
          <c:tx>
            <c:strRef>
              <c:f>Sheet1!$O$1</c:f>
              <c:strCache>
                <c:ptCount val="1"/>
                <c:pt idx="0">
                  <c:v>Dutch-Bangla Bank Limited  </c:v>
                </c:pt>
              </c:strCache>
            </c:strRef>
          </c:tx>
          <c:invertIfNegative val="0"/>
          <c:trendline>
            <c:spPr>
              <a:ln>
                <a:solidFill>
                  <a:schemeClr val="accent3"/>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Sheet1!$P$4:$T$4</c:f>
              <c:numCache>
                <c:formatCode>#,##0</c:formatCode>
                <c:ptCount val="5"/>
                <c:pt idx="0">
                  <c:v>440155275</c:v>
                </c:pt>
                <c:pt idx="1">
                  <c:v>11096200</c:v>
                </c:pt>
                <c:pt idx="2">
                  <c:v>76676850</c:v>
                </c:pt>
                <c:pt idx="3">
                  <c:v>1215748451</c:v>
                </c:pt>
                <c:pt idx="4">
                  <c:v>352956624</c:v>
                </c:pt>
              </c:numCache>
            </c:numRef>
          </c:val>
        </c:ser>
        <c:ser>
          <c:idx val="3"/>
          <c:order val="3"/>
          <c:tx>
            <c:strRef>
              <c:f>Sheet1!$V$1</c:f>
              <c:strCache>
                <c:ptCount val="1"/>
                <c:pt idx="0">
                  <c:v>Bank Asia  </c:v>
                </c:pt>
              </c:strCache>
            </c:strRef>
          </c:tx>
          <c:invertIfNegative val="0"/>
          <c:trendline>
            <c:spPr>
              <a:ln>
                <a:solidFill>
                  <a:schemeClr val="accent4"/>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Sheet1!$W$4:$AA$4</c:f>
              <c:numCache>
                <c:formatCode>#,##0</c:formatCode>
                <c:ptCount val="5"/>
                <c:pt idx="0">
                  <c:v>531549128</c:v>
                </c:pt>
                <c:pt idx="1">
                  <c:v>517380895</c:v>
                </c:pt>
                <c:pt idx="2">
                  <c:v>425308000</c:v>
                </c:pt>
                <c:pt idx="3">
                  <c:v>312964106</c:v>
                </c:pt>
                <c:pt idx="4">
                  <c:v>24923695</c:v>
                </c:pt>
              </c:numCache>
            </c:numRef>
          </c:val>
        </c:ser>
        <c:ser>
          <c:idx val="4"/>
          <c:order val="4"/>
          <c:tx>
            <c:strRef>
              <c:f>Sheet1!$AC$1</c:f>
              <c:strCache>
                <c:ptCount val="1"/>
                <c:pt idx="0">
                  <c:v>IFIC Bank  </c:v>
                </c:pt>
              </c:strCache>
            </c:strRef>
          </c:tx>
          <c:invertIfNegative val="0"/>
          <c:trendline>
            <c:spPr>
              <a:ln>
                <a:solidFill>
                  <a:schemeClr val="accent5"/>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Sheet1!$AD$4:$AH$4</c:f>
              <c:numCache>
                <c:formatCode>#,##0</c:formatCode>
                <c:ptCount val="5"/>
                <c:pt idx="0">
                  <c:v>630607645</c:v>
                </c:pt>
                <c:pt idx="1">
                  <c:v>483177962</c:v>
                </c:pt>
                <c:pt idx="2">
                  <c:v>595065796</c:v>
                </c:pt>
                <c:pt idx="3">
                  <c:v>1208861621</c:v>
                </c:pt>
                <c:pt idx="4">
                  <c:v>1750246665</c:v>
                </c:pt>
              </c:numCache>
            </c:numRef>
          </c:val>
        </c:ser>
        <c:dLbls>
          <c:showLegendKey val="0"/>
          <c:showVal val="0"/>
          <c:showCatName val="0"/>
          <c:showSerName val="0"/>
          <c:showPercent val="0"/>
          <c:showBubbleSize val="0"/>
        </c:dLbls>
        <c:gapWidth val="150"/>
        <c:axId val="161829632"/>
        <c:axId val="161831168"/>
      </c:barChart>
      <c:catAx>
        <c:axId val="161829632"/>
        <c:scaling>
          <c:orientation val="minMax"/>
        </c:scaling>
        <c:delete val="0"/>
        <c:axPos val="b"/>
        <c:numFmt formatCode="General" sourceLinked="1"/>
        <c:majorTickMark val="out"/>
        <c:minorTickMark val="none"/>
        <c:tickLblPos val="nextTo"/>
        <c:crossAx val="161831168"/>
        <c:crosses val="autoZero"/>
        <c:auto val="1"/>
        <c:lblAlgn val="ctr"/>
        <c:lblOffset val="100"/>
        <c:noMultiLvlLbl val="0"/>
      </c:catAx>
      <c:valAx>
        <c:axId val="161831168"/>
        <c:scaling>
          <c:orientation val="minMax"/>
        </c:scaling>
        <c:delete val="0"/>
        <c:axPos val="l"/>
        <c:majorGridlines/>
        <c:numFmt formatCode="#,##0" sourceLinked="1"/>
        <c:majorTickMark val="out"/>
        <c:minorTickMark val="none"/>
        <c:tickLblPos val="nextTo"/>
        <c:crossAx val="161829632"/>
        <c:crosses val="autoZero"/>
        <c:crossBetween val="between"/>
      </c:valAx>
    </c:plotArea>
    <c:legend>
      <c:legendPos val="r"/>
      <c:layout>
        <c:manualLayout>
          <c:xMode val="edge"/>
          <c:yMode val="edge"/>
          <c:x val="0.75622266135671323"/>
          <c:y val="0.14994751629355552"/>
          <c:w val="0.24377726623791807"/>
          <c:h val="0.85005254199907343"/>
        </c:manualLayout>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200" b="1" i="0" u="none" strike="noStrike" baseline="0">
                <a:effectLst/>
                <a:latin typeface="Times New Roman" pitchFamily="18" charset="0"/>
                <a:cs typeface="Times New Roman" pitchFamily="18" charset="0"/>
              </a:rPr>
              <a:t>Doubtful loan</a:t>
            </a:r>
            <a:endParaRPr lang="en-US" sz="1200">
              <a:latin typeface="Times New Roman" pitchFamily="18" charset="0"/>
              <a:cs typeface="Times New Roman" pitchFamily="18" charset="0"/>
            </a:endParaRPr>
          </a:p>
        </c:rich>
      </c:tx>
      <c:layout>
        <c:manualLayout>
          <c:xMode val="edge"/>
          <c:yMode val="edge"/>
          <c:x val="0.3533563248219298"/>
          <c:y val="3.1746031746031744E-2"/>
        </c:manualLayout>
      </c:layout>
      <c:overlay val="0"/>
    </c:title>
    <c:autoTitleDeleted val="0"/>
    <c:plotArea>
      <c:layout>
        <c:manualLayout>
          <c:layoutTarget val="inner"/>
          <c:xMode val="edge"/>
          <c:yMode val="edge"/>
          <c:x val="0.10003607592727076"/>
          <c:y val="0.2174990730388412"/>
          <c:w val="0.55957987210361593"/>
          <c:h val="0.6530088284147072"/>
        </c:manualLayout>
      </c:layout>
      <c:barChart>
        <c:barDir val="col"/>
        <c:grouping val="clustered"/>
        <c:varyColors val="0"/>
        <c:ser>
          <c:idx val="0"/>
          <c:order val="0"/>
          <c:tx>
            <c:strRef>
              <c:f>Sheet1!$A$1</c:f>
              <c:strCache>
                <c:ptCount val="1"/>
                <c:pt idx="0">
                  <c:v>Dhaka Bank Limited </c:v>
                </c:pt>
              </c:strCache>
            </c:strRef>
          </c:tx>
          <c:invertIfNegative val="0"/>
          <c:trendline>
            <c:spPr>
              <a:ln>
                <a:solidFill>
                  <a:schemeClr val="accent4">
                    <a:alpha val="57000"/>
                  </a:schemeClr>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Sheet1!$B$5:$F$5</c:f>
              <c:numCache>
                <c:formatCode>#,##0</c:formatCode>
                <c:ptCount val="5"/>
                <c:pt idx="0">
                  <c:v>903946622</c:v>
                </c:pt>
                <c:pt idx="1">
                  <c:v>153604651</c:v>
                </c:pt>
                <c:pt idx="2">
                  <c:v>496348474</c:v>
                </c:pt>
                <c:pt idx="3">
                  <c:v>265358725</c:v>
                </c:pt>
                <c:pt idx="4">
                  <c:v>287950818</c:v>
                </c:pt>
              </c:numCache>
            </c:numRef>
          </c:val>
        </c:ser>
        <c:ser>
          <c:idx val="1"/>
          <c:order val="1"/>
          <c:tx>
            <c:strRef>
              <c:f>Sheet1!$H$1</c:f>
              <c:strCache>
                <c:ptCount val="1"/>
                <c:pt idx="0">
                  <c:v>BRAC BANK LIMITED</c:v>
                </c:pt>
              </c:strCache>
            </c:strRef>
          </c:tx>
          <c:invertIfNegative val="0"/>
          <c:trendline>
            <c:spPr>
              <a:ln>
                <a:solidFill>
                  <a:schemeClr val="accent2"/>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Sheet1!$I$5:$M$5</c:f>
              <c:numCache>
                <c:formatCode>#,##0</c:formatCode>
                <c:ptCount val="5"/>
                <c:pt idx="0">
                  <c:v>503180863</c:v>
                </c:pt>
                <c:pt idx="1">
                  <c:v>625752869</c:v>
                </c:pt>
                <c:pt idx="2">
                  <c:v>1000810614</c:v>
                </c:pt>
                <c:pt idx="3">
                  <c:v>218852797</c:v>
                </c:pt>
                <c:pt idx="4">
                  <c:v>168192016</c:v>
                </c:pt>
              </c:numCache>
            </c:numRef>
          </c:val>
        </c:ser>
        <c:ser>
          <c:idx val="2"/>
          <c:order val="2"/>
          <c:tx>
            <c:strRef>
              <c:f>Sheet1!$O$1</c:f>
              <c:strCache>
                <c:ptCount val="1"/>
                <c:pt idx="0">
                  <c:v>Dutch-Bangla Bank Limited  </c:v>
                </c:pt>
              </c:strCache>
            </c:strRef>
          </c:tx>
          <c:invertIfNegative val="0"/>
          <c:trendline>
            <c:spPr>
              <a:ln>
                <a:solidFill>
                  <a:schemeClr val="accent3"/>
                </a:solidFill>
              </a:ln>
            </c:spPr>
            <c:trendlineType val="exp"/>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Sheet1!$P$5:$T$5</c:f>
              <c:numCache>
                <c:formatCode>#,##0</c:formatCode>
                <c:ptCount val="5"/>
                <c:pt idx="0">
                  <c:v>275127097</c:v>
                </c:pt>
                <c:pt idx="1">
                  <c:v>221046000</c:v>
                </c:pt>
                <c:pt idx="2">
                  <c:v>145267868</c:v>
                </c:pt>
                <c:pt idx="3">
                  <c:v>191276743</c:v>
                </c:pt>
                <c:pt idx="4">
                  <c:v>340001334</c:v>
                </c:pt>
              </c:numCache>
            </c:numRef>
          </c:val>
        </c:ser>
        <c:ser>
          <c:idx val="3"/>
          <c:order val="3"/>
          <c:tx>
            <c:strRef>
              <c:f>Sheet1!$V$1</c:f>
              <c:strCache>
                <c:ptCount val="1"/>
                <c:pt idx="0">
                  <c:v>Bank Asia  </c:v>
                </c:pt>
              </c:strCache>
            </c:strRef>
          </c:tx>
          <c:invertIfNegative val="0"/>
          <c:trendline>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Sheet1!$W$5:$AA$5</c:f>
              <c:numCache>
                <c:formatCode>#,##0</c:formatCode>
                <c:ptCount val="5"/>
                <c:pt idx="0">
                  <c:v>780234525</c:v>
                </c:pt>
                <c:pt idx="1">
                  <c:v>544310529</c:v>
                </c:pt>
                <c:pt idx="2">
                  <c:v>151917000</c:v>
                </c:pt>
                <c:pt idx="3">
                  <c:v>249400700</c:v>
                </c:pt>
                <c:pt idx="4">
                  <c:v>103340237</c:v>
                </c:pt>
              </c:numCache>
            </c:numRef>
          </c:val>
        </c:ser>
        <c:ser>
          <c:idx val="4"/>
          <c:order val="4"/>
          <c:tx>
            <c:strRef>
              <c:f>Sheet1!$AC$1</c:f>
              <c:strCache>
                <c:ptCount val="1"/>
                <c:pt idx="0">
                  <c:v>IFIC Bank  </c:v>
                </c:pt>
              </c:strCache>
            </c:strRef>
          </c:tx>
          <c:invertIfNegative val="0"/>
          <c:trendline>
            <c:trendlineType val="linear"/>
            <c:dispRSqr val="0"/>
            <c:dispEq val="0"/>
          </c:trendline>
          <c:trendline>
            <c:spPr>
              <a:ln>
                <a:solidFill>
                  <a:schemeClr val="accent5"/>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Sheet1!$AD$5:$AH$5</c:f>
              <c:numCache>
                <c:formatCode>#,##0</c:formatCode>
                <c:ptCount val="5"/>
                <c:pt idx="0">
                  <c:v>200081196</c:v>
                </c:pt>
                <c:pt idx="1">
                  <c:v>359222587</c:v>
                </c:pt>
                <c:pt idx="2">
                  <c:v>704241678</c:v>
                </c:pt>
                <c:pt idx="3">
                  <c:v>1282352831</c:v>
                </c:pt>
                <c:pt idx="4">
                  <c:v>466870669</c:v>
                </c:pt>
              </c:numCache>
            </c:numRef>
          </c:val>
        </c:ser>
        <c:dLbls>
          <c:showLegendKey val="0"/>
          <c:showVal val="0"/>
          <c:showCatName val="0"/>
          <c:showSerName val="0"/>
          <c:showPercent val="0"/>
          <c:showBubbleSize val="0"/>
        </c:dLbls>
        <c:gapWidth val="150"/>
        <c:axId val="162117888"/>
        <c:axId val="162873344"/>
      </c:barChart>
      <c:catAx>
        <c:axId val="162117888"/>
        <c:scaling>
          <c:orientation val="minMax"/>
        </c:scaling>
        <c:delete val="0"/>
        <c:axPos val="b"/>
        <c:numFmt formatCode="General" sourceLinked="1"/>
        <c:majorTickMark val="out"/>
        <c:minorTickMark val="none"/>
        <c:tickLblPos val="nextTo"/>
        <c:crossAx val="162873344"/>
        <c:crosses val="autoZero"/>
        <c:auto val="1"/>
        <c:lblAlgn val="ctr"/>
        <c:lblOffset val="100"/>
        <c:noMultiLvlLbl val="0"/>
      </c:catAx>
      <c:valAx>
        <c:axId val="162873344"/>
        <c:scaling>
          <c:orientation val="minMax"/>
        </c:scaling>
        <c:delete val="0"/>
        <c:axPos val="l"/>
        <c:majorGridlines/>
        <c:numFmt formatCode="#,##0" sourceLinked="1"/>
        <c:majorTickMark val="out"/>
        <c:minorTickMark val="none"/>
        <c:tickLblPos val="nextTo"/>
        <c:crossAx val="162117888"/>
        <c:crosses val="autoZero"/>
        <c:crossBetween val="between"/>
      </c:valAx>
    </c:plotArea>
    <c:legend>
      <c:legendPos val="r"/>
      <c:legendEntry>
        <c:idx val="9"/>
        <c:delete val="1"/>
      </c:legendEntry>
      <c:layout>
        <c:manualLayout>
          <c:xMode val="edge"/>
          <c:yMode val="edge"/>
          <c:x val="0.72860098673232854"/>
          <c:y val="0.12889941835160051"/>
          <c:w val="0.27139901326767146"/>
          <c:h val="0.82443160685316341"/>
        </c:manualLayout>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200" b="1" i="0" u="none" strike="noStrike" baseline="0">
                <a:effectLst/>
                <a:latin typeface="Times New Roman" pitchFamily="18" charset="0"/>
                <a:cs typeface="Times New Roman" pitchFamily="18" charset="0"/>
              </a:rPr>
              <a:t>Bad loan/loss </a:t>
            </a:r>
            <a:endParaRPr lang="en-US">
              <a:latin typeface="Times New Roman" pitchFamily="18" charset="0"/>
              <a:cs typeface="Times New Roman" pitchFamily="18" charset="0"/>
            </a:endParaRPr>
          </a:p>
        </c:rich>
      </c:tx>
      <c:layout>
        <c:manualLayout>
          <c:xMode val="edge"/>
          <c:yMode val="edge"/>
          <c:x val="0.3533563248219298"/>
          <c:y val="3.1746031746031744E-2"/>
        </c:manualLayout>
      </c:layout>
      <c:overlay val="0"/>
    </c:title>
    <c:autoTitleDeleted val="0"/>
    <c:plotArea>
      <c:layout>
        <c:manualLayout>
          <c:layoutTarget val="inner"/>
          <c:xMode val="edge"/>
          <c:yMode val="edge"/>
          <c:x val="0.10003607592727076"/>
          <c:y val="0.2174990730388412"/>
          <c:w val="0.55957987210361593"/>
          <c:h val="0.6530088284147072"/>
        </c:manualLayout>
      </c:layout>
      <c:barChart>
        <c:barDir val="col"/>
        <c:grouping val="clustered"/>
        <c:varyColors val="0"/>
        <c:ser>
          <c:idx val="0"/>
          <c:order val="0"/>
          <c:tx>
            <c:strRef>
              <c:f>Sheet1!$A$1</c:f>
              <c:strCache>
                <c:ptCount val="1"/>
                <c:pt idx="0">
                  <c:v>Dhaka Bank Limited </c:v>
                </c:pt>
              </c:strCache>
            </c:strRef>
          </c:tx>
          <c:invertIfNegative val="0"/>
          <c:trendline>
            <c:spPr>
              <a:ln>
                <a:solidFill>
                  <a:schemeClr val="accent1"/>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Sheet1!$B$6:$F$6</c:f>
              <c:numCache>
                <c:formatCode>#,##0</c:formatCode>
                <c:ptCount val="5"/>
                <c:pt idx="0">
                  <c:v>4279145622</c:v>
                </c:pt>
                <c:pt idx="1">
                  <c:v>2562581599</c:v>
                </c:pt>
                <c:pt idx="2">
                  <c:v>4472382379</c:v>
                </c:pt>
                <c:pt idx="3">
                  <c:v>3989270139</c:v>
                </c:pt>
                <c:pt idx="4">
                  <c:v>4857514954</c:v>
                </c:pt>
              </c:numCache>
            </c:numRef>
          </c:val>
        </c:ser>
        <c:ser>
          <c:idx val="1"/>
          <c:order val="1"/>
          <c:tx>
            <c:strRef>
              <c:f>Sheet1!$H$1</c:f>
              <c:strCache>
                <c:ptCount val="1"/>
                <c:pt idx="0">
                  <c:v>BRAC BANK LIMITED</c:v>
                </c:pt>
              </c:strCache>
            </c:strRef>
          </c:tx>
          <c:invertIfNegative val="0"/>
          <c:trendline>
            <c:spPr>
              <a:ln>
                <a:solidFill>
                  <a:schemeClr val="accent2"/>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Sheet1!$I$6:$M$6</c:f>
              <c:numCache>
                <c:formatCode>#,##0</c:formatCode>
                <c:ptCount val="5"/>
                <c:pt idx="0">
                  <c:v>4649504757</c:v>
                </c:pt>
                <c:pt idx="1">
                  <c:v>3675985192</c:v>
                </c:pt>
                <c:pt idx="2">
                  <c:v>4550083550</c:v>
                </c:pt>
                <c:pt idx="3">
                  <c:v>5640956869</c:v>
                </c:pt>
                <c:pt idx="4">
                  <c:v>3133955812</c:v>
                </c:pt>
              </c:numCache>
            </c:numRef>
          </c:val>
        </c:ser>
        <c:ser>
          <c:idx val="2"/>
          <c:order val="2"/>
          <c:tx>
            <c:strRef>
              <c:f>Sheet1!$O$1</c:f>
              <c:strCache>
                <c:ptCount val="1"/>
                <c:pt idx="0">
                  <c:v>Dutch-Bangla Bank Limited  </c:v>
                </c:pt>
              </c:strCache>
            </c:strRef>
          </c:tx>
          <c:invertIfNegative val="0"/>
          <c:trendline>
            <c:spPr>
              <a:ln>
                <a:solidFill>
                  <a:schemeClr val="accent3"/>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Sheet1!$P$6:$T$6</c:f>
              <c:numCache>
                <c:formatCode>#,##0</c:formatCode>
                <c:ptCount val="5"/>
                <c:pt idx="0">
                  <c:v>2013079058</c:v>
                </c:pt>
                <c:pt idx="1">
                  <c:v>2065238000</c:v>
                </c:pt>
                <c:pt idx="2">
                  <c:v>2814141359</c:v>
                </c:pt>
                <c:pt idx="3">
                  <c:v>4217831876</c:v>
                </c:pt>
                <c:pt idx="4">
                  <c:v>8306072236</c:v>
                </c:pt>
              </c:numCache>
            </c:numRef>
          </c:val>
        </c:ser>
        <c:ser>
          <c:idx val="3"/>
          <c:order val="3"/>
          <c:tx>
            <c:strRef>
              <c:f>Sheet1!$V$1</c:f>
              <c:strCache>
                <c:ptCount val="1"/>
                <c:pt idx="0">
                  <c:v>Bank Asia  </c:v>
                </c:pt>
              </c:strCache>
            </c:strRef>
          </c:tx>
          <c:invertIfNegative val="0"/>
          <c:trendline>
            <c:spPr>
              <a:ln>
                <a:solidFill>
                  <a:schemeClr val="accent4"/>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Sheet1!$W$6:$AA$6</c:f>
              <c:numCache>
                <c:formatCode>#,##0</c:formatCode>
                <c:ptCount val="5"/>
                <c:pt idx="0">
                  <c:v>3939700641</c:v>
                </c:pt>
                <c:pt idx="1">
                  <c:v>4817099432</c:v>
                </c:pt>
                <c:pt idx="2">
                  <c:v>5623325000</c:v>
                </c:pt>
                <c:pt idx="3">
                  <c:v>5246507035</c:v>
                </c:pt>
                <c:pt idx="4">
                  <c:v>4366021975</c:v>
                </c:pt>
              </c:numCache>
            </c:numRef>
          </c:val>
        </c:ser>
        <c:ser>
          <c:idx val="4"/>
          <c:order val="4"/>
          <c:tx>
            <c:strRef>
              <c:f>Sheet1!$AC$1</c:f>
              <c:strCache>
                <c:ptCount val="1"/>
                <c:pt idx="0">
                  <c:v>IFIC Bank  </c:v>
                </c:pt>
              </c:strCache>
            </c:strRef>
          </c:tx>
          <c:invertIfNegative val="0"/>
          <c:trendline>
            <c:spPr>
              <a:ln>
                <a:solidFill>
                  <a:schemeClr val="accent5"/>
                </a:solidFill>
              </a:ln>
            </c:spPr>
            <c:trendlineType val="linear"/>
            <c:forward val="2"/>
            <c:dispRSqr val="1"/>
            <c:dispEq val="0"/>
            <c:trendlineLbl>
              <c:numFmt formatCode="General" sourceLinked="0"/>
            </c:trendlineLbl>
          </c:trendline>
          <c:cat>
            <c:numRef>
              <c:f>Sheet1!$AD$2:$AH$2</c:f>
              <c:numCache>
                <c:formatCode>General</c:formatCode>
                <c:ptCount val="5"/>
                <c:pt idx="0">
                  <c:v>2012</c:v>
                </c:pt>
                <c:pt idx="1">
                  <c:v>2013</c:v>
                </c:pt>
                <c:pt idx="2">
                  <c:v>2014</c:v>
                </c:pt>
                <c:pt idx="3">
                  <c:v>2015</c:v>
                </c:pt>
                <c:pt idx="4">
                  <c:v>2016</c:v>
                </c:pt>
              </c:numCache>
            </c:numRef>
          </c:cat>
          <c:val>
            <c:numRef>
              <c:f>Sheet1!$AD$6:$AH$6</c:f>
              <c:numCache>
                <c:formatCode>#,##0</c:formatCode>
                <c:ptCount val="5"/>
                <c:pt idx="0">
                  <c:v>3264856301</c:v>
                </c:pt>
                <c:pt idx="1">
                  <c:v>2325675085</c:v>
                </c:pt>
                <c:pt idx="2">
                  <c:v>3761826178</c:v>
                </c:pt>
                <c:pt idx="3">
                  <c:v>5470837378</c:v>
                </c:pt>
                <c:pt idx="4">
                  <c:v>5033825550</c:v>
                </c:pt>
              </c:numCache>
            </c:numRef>
          </c:val>
        </c:ser>
        <c:dLbls>
          <c:showLegendKey val="0"/>
          <c:showVal val="0"/>
          <c:showCatName val="0"/>
          <c:showSerName val="0"/>
          <c:showPercent val="0"/>
          <c:showBubbleSize val="0"/>
        </c:dLbls>
        <c:gapWidth val="150"/>
        <c:axId val="162991488"/>
        <c:axId val="162997376"/>
      </c:barChart>
      <c:catAx>
        <c:axId val="162991488"/>
        <c:scaling>
          <c:orientation val="minMax"/>
        </c:scaling>
        <c:delete val="0"/>
        <c:axPos val="b"/>
        <c:numFmt formatCode="General" sourceLinked="1"/>
        <c:majorTickMark val="out"/>
        <c:minorTickMark val="none"/>
        <c:tickLblPos val="nextTo"/>
        <c:crossAx val="162997376"/>
        <c:crosses val="autoZero"/>
        <c:auto val="1"/>
        <c:lblAlgn val="ctr"/>
        <c:lblOffset val="100"/>
        <c:noMultiLvlLbl val="0"/>
      </c:catAx>
      <c:valAx>
        <c:axId val="162997376"/>
        <c:scaling>
          <c:orientation val="minMax"/>
        </c:scaling>
        <c:delete val="0"/>
        <c:axPos val="l"/>
        <c:majorGridlines/>
        <c:numFmt formatCode="#,##0" sourceLinked="1"/>
        <c:majorTickMark val="out"/>
        <c:minorTickMark val="none"/>
        <c:tickLblPos val="nextTo"/>
        <c:crossAx val="162991488"/>
        <c:crosses val="autoZero"/>
        <c:crossBetween val="between"/>
      </c:valAx>
    </c:plotArea>
    <c:legend>
      <c:legendPos val="r"/>
      <c:layout>
        <c:manualLayout>
          <c:xMode val="edge"/>
          <c:yMode val="edge"/>
          <c:x val="0.73429822274114065"/>
          <c:y val="4.6182804893669237E-2"/>
          <c:w val="0.2657017772588593"/>
          <c:h val="0.89639970872761554"/>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800" b="1" i="0" u="none" strike="noStrike" baseline="0">
                <a:effectLst/>
              </a:rPr>
              <a:t>Quick ratio</a:t>
            </a:r>
            <a:endParaRPr lang="en-US"/>
          </a:p>
        </c:rich>
      </c:tx>
      <c:layout>
        <c:manualLayout>
          <c:xMode val="edge"/>
          <c:yMode val="edge"/>
          <c:x val="0.3533563248219298"/>
          <c:y val="3.1746031746031744E-2"/>
        </c:manualLayout>
      </c:layout>
      <c:overlay val="0"/>
    </c:title>
    <c:autoTitleDeleted val="0"/>
    <c:plotArea>
      <c:layout>
        <c:manualLayout>
          <c:layoutTarget val="inner"/>
          <c:xMode val="edge"/>
          <c:yMode val="edge"/>
          <c:x val="0.10003607592727076"/>
          <c:y val="0.2174990730388412"/>
          <c:w val="0.60705617254932687"/>
          <c:h val="0.6530088284147072"/>
        </c:manualLayout>
      </c:layout>
      <c:barChart>
        <c:barDir val="col"/>
        <c:grouping val="clustered"/>
        <c:varyColors val="0"/>
        <c:ser>
          <c:idx val="0"/>
          <c:order val="0"/>
          <c:tx>
            <c:strRef>
              <c:f>'Ratio Analysis'!$A$2</c:f>
              <c:strCache>
                <c:ptCount val="1"/>
                <c:pt idx="0">
                  <c:v>Dhaka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Analysis'!$C$67:$G$67</c:f>
              <c:numCache>
                <c:formatCode>0.000</c:formatCode>
                <c:ptCount val="5"/>
                <c:pt idx="0">
                  <c:v>1.0701902137366266</c:v>
                </c:pt>
                <c:pt idx="1">
                  <c:v>0.99339016973879946</c:v>
                </c:pt>
                <c:pt idx="2">
                  <c:v>0.93214521372548409</c:v>
                </c:pt>
                <c:pt idx="3">
                  <c:v>0.29771855853564827</c:v>
                </c:pt>
                <c:pt idx="4">
                  <c:v>0.77982779160911375</c:v>
                </c:pt>
              </c:numCache>
            </c:numRef>
          </c:val>
          <c:extLst xmlns:c16r2="http://schemas.microsoft.com/office/drawing/2015/06/chart">
            <c:ext xmlns:c16="http://schemas.microsoft.com/office/drawing/2014/chart" uri="{C3380CC4-5D6E-409C-BE32-E72D297353CC}">
              <c16:uniqueId val="{00000000-0AF6-427B-BD85-B3575CCC0DDA}"/>
            </c:ext>
          </c:extLst>
        </c:ser>
        <c:ser>
          <c:idx val="1"/>
          <c:order val="1"/>
          <c:tx>
            <c:strRef>
              <c:f>'Ratio Analysis'!$I$2</c:f>
              <c:strCache>
                <c:ptCount val="1"/>
                <c:pt idx="0">
                  <c:v>BRAC BANK LIMITED</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Analysis'!$K$67:$O$67</c:f>
              <c:numCache>
                <c:formatCode>0.000</c:formatCode>
                <c:ptCount val="5"/>
                <c:pt idx="0">
                  <c:v>0.67892425905212384</c:v>
                </c:pt>
                <c:pt idx="1">
                  <c:v>0.57632470763376975</c:v>
                </c:pt>
                <c:pt idx="2">
                  <c:v>0.67566428714144089</c:v>
                </c:pt>
                <c:pt idx="3">
                  <c:v>0.44079668079636519</c:v>
                </c:pt>
                <c:pt idx="4">
                  <c:v>0.45743237423367489</c:v>
                </c:pt>
              </c:numCache>
            </c:numRef>
          </c:val>
          <c:extLst xmlns:c16r2="http://schemas.microsoft.com/office/drawing/2015/06/chart">
            <c:ext xmlns:c16="http://schemas.microsoft.com/office/drawing/2014/chart" uri="{C3380CC4-5D6E-409C-BE32-E72D297353CC}">
              <c16:uniqueId val="{00000001-0AF6-427B-BD85-B3575CCC0DDA}"/>
            </c:ext>
          </c:extLst>
        </c:ser>
        <c:ser>
          <c:idx val="2"/>
          <c:order val="2"/>
          <c:tx>
            <c:strRef>
              <c:f>'Ratio Analysis'!$Q$2</c:f>
              <c:strCache>
                <c:ptCount val="1"/>
                <c:pt idx="0">
                  <c:v>Dutch-Bangla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Analysis'!$S$67:$W$67</c:f>
              <c:numCache>
                <c:formatCode>0.000</c:formatCode>
                <c:ptCount val="5"/>
                <c:pt idx="0">
                  <c:v>0.3423441863897303</c:v>
                </c:pt>
                <c:pt idx="1">
                  <c:v>0.36219901465286447</c:v>
                </c:pt>
                <c:pt idx="2">
                  <c:v>0.36390581937514843</c:v>
                </c:pt>
                <c:pt idx="3">
                  <c:v>0.30636113580705576</c:v>
                </c:pt>
                <c:pt idx="4">
                  <c:v>0.36672039054395839</c:v>
                </c:pt>
              </c:numCache>
            </c:numRef>
          </c:val>
          <c:extLst xmlns:c16r2="http://schemas.microsoft.com/office/drawing/2015/06/chart">
            <c:ext xmlns:c16="http://schemas.microsoft.com/office/drawing/2014/chart" uri="{C3380CC4-5D6E-409C-BE32-E72D297353CC}">
              <c16:uniqueId val="{00000002-0AF6-427B-BD85-B3575CCC0DDA}"/>
            </c:ext>
          </c:extLst>
        </c:ser>
        <c:ser>
          <c:idx val="3"/>
          <c:order val="3"/>
          <c:tx>
            <c:strRef>
              <c:f>'Ratio Analysis'!$Y$2</c:f>
              <c:strCache>
                <c:ptCount val="1"/>
                <c:pt idx="0">
                  <c:v>Bank Asia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Analysis'!$AA$67:$AE$67</c:f>
              <c:numCache>
                <c:formatCode>0.000</c:formatCode>
                <c:ptCount val="5"/>
                <c:pt idx="0">
                  <c:v>0.80790367914943184</c:v>
                </c:pt>
                <c:pt idx="1">
                  <c:v>0.94069940725893042</c:v>
                </c:pt>
                <c:pt idx="2">
                  <c:v>0.77189885385628543</c:v>
                </c:pt>
                <c:pt idx="3">
                  <c:v>0.80908007110734825</c:v>
                </c:pt>
                <c:pt idx="4">
                  <c:v>0.6837969091928251</c:v>
                </c:pt>
              </c:numCache>
            </c:numRef>
          </c:val>
        </c:ser>
        <c:ser>
          <c:idx val="4"/>
          <c:order val="4"/>
          <c:tx>
            <c:strRef>
              <c:f>'Ratio Analysis'!$AG$2</c:f>
              <c:strCache>
                <c:ptCount val="1"/>
                <c:pt idx="0">
                  <c:v>IFIC Bank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Analysis'!$AI$67:$AM$67</c:f>
              <c:numCache>
                <c:formatCode>0.000</c:formatCode>
                <c:ptCount val="5"/>
                <c:pt idx="0">
                  <c:v>0.7894676583776884</c:v>
                </c:pt>
                <c:pt idx="1">
                  <c:v>1.5938362927256045</c:v>
                </c:pt>
                <c:pt idx="2">
                  <c:v>1.1308866470124423</c:v>
                </c:pt>
                <c:pt idx="3">
                  <c:v>0.72847655875325867</c:v>
                </c:pt>
                <c:pt idx="4">
                  <c:v>0.68405715822522239</c:v>
                </c:pt>
              </c:numCache>
            </c:numRef>
          </c:val>
        </c:ser>
        <c:dLbls>
          <c:showLegendKey val="0"/>
          <c:showVal val="0"/>
          <c:showCatName val="0"/>
          <c:showSerName val="0"/>
          <c:showPercent val="0"/>
          <c:showBubbleSize val="0"/>
        </c:dLbls>
        <c:gapWidth val="150"/>
        <c:axId val="136943872"/>
        <c:axId val="138211328"/>
      </c:barChart>
      <c:catAx>
        <c:axId val="136943872"/>
        <c:scaling>
          <c:orientation val="minMax"/>
        </c:scaling>
        <c:delete val="0"/>
        <c:axPos val="b"/>
        <c:numFmt formatCode="General" sourceLinked="1"/>
        <c:majorTickMark val="out"/>
        <c:minorTickMark val="none"/>
        <c:tickLblPos val="nextTo"/>
        <c:crossAx val="138211328"/>
        <c:crosses val="autoZero"/>
        <c:auto val="1"/>
        <c:lblAlgn val="ctr"/>
        <c:lblOffset val="100"/>
        <c:noMultiLvlLbl val="0"/>
      </c:catAx>
      <c:valAx>
        <c:axId val="138211328"/>
        <c:scaling>
          <c:orientation val="minMax"/>
        </c:scaling>
        <c:delete val="0"/>
        <c:axPos val="l"/>
        <c:majorGridlines/>
        <c:numFmt formatCode="0.000" sourceLinked="1"/>
        <c:majorTickMark val="out"/>
        <c:minorTickMark val="none"/>
        <c:tickLblPos val="nextTo"/>
        <c:crossAx val="136943872"/>
        <c:crosses val="autoZero"/>
        <c:crossBetween val="between"/>
      </c:valAx>
    </c:plotArea>
    <c:legend>
      <c:legendPos val="r"/>
      <c:layout>
        <c:manualLayout>
          <c:xMode val="edge"/>
          <c:yMode val="edge"/>
          <c:x val="0.74390117562873304"/>
          <c:y val="0.14994751629355552"/>
          <c:w val="0.2405406343535644"/>
          <c:h val="0.77755699844482173"/>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Cash Ratio</a:t>
            </a:r>
          </a:p>
        </c:rich>
      </c:tx>
      <c:overlay val="0"/>
    </c:title>
    <c:autoTitleDeleted val="0"/>
    <c:plotArea>
      <c:layout/>
      <c:lineChart>
        <c:grouping val="standard"/>
        <c:varyColors val="0"/>
        <c:ser>
          <c:idx val="1"/>
          <c:order val="0"/>
          <c:tx>
            <c:strRef>
              <c:f>'Ratio Analysis'!$A$2</c:f>
              <c:strCache>
                <c:ptCount val="1"/>
                <c:pt idx="0">
                  <c:v>Dhaka Bank Limited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Analysis'!$C$68:$G$68</c:f>
              <c:numCache>
                <c:formatCode>0.000</c:formatCode>
                <c:ptCount val="5"/>
                <c:pt idx="0">
                  <c:v>0.32446661743171246</c:v>
                </c:pt>
                <c:pt idx="1">
                  <c:v>0.33610847552938827</c:v>
                </c:pt>
                <c:pt idx="2">
                  <c:v>0.33161722980667147</c:v>
                </c:pt>
                <c:pt idx="3">
                  <c:v>9.2314884748678716E-2</c:v>
                </c:pt>
                <c:pt idx="4">
                  <c:v>0.24697739291612453</c:v>
                </c:pt>
              </c:numCache>
            </c:numRef>
          </c:val>
          <c:smooth val="0"/>
        </c:ser>
        <c:ser>
          <c:idx val="2"/>
          <c:order val="1"/>
          <c:tx>
            <c:strRef>
              <c:f>'Ratio Analysis'!$I$2</c:f>
              <c:strCache>
                <c:ptCount val="1"/>
                <c:pt idx="0">
                  <c:v>BRAC BANK LIMITED</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Analysis'!$K$68:$O$68</c:f>
              <c:numCache>
                <c:formatCode>0.000</c:formatCode>
                <c:ptCount val="5"/>
                <c:pt idx="0">
                  <c:v>0.18433649019550144</c:v>
                </c:pt>
                <c:pt idx="1">
                  <c:v>0.19710756379668695</c:v>
                </c:pt>
                <c:pt idx="2">
                  <c:v>0.17344104370889235</c:v>
                </c:pt>
                <c:pt idx="3">
                  <c:v>0.11719426976045706</c:v>
                </c:pt>
                <c:pt idx="4">
                  <c:v>0.10355822626219775</c:v>
                </c:pt>
              </c:numCache>
            </c:numRef>
          </c:val>
          <c:smooth val="0"/>
        </c:ser>
        <c:ser>
          <c:idx val="3"/>
          <c:order val="2"/>
          <c:tx>
            <c:strRef>
              <c:f>'Ratio Analysis'!$Q$2</c:f>
              <c:strCache>
                <c:ptCount val="1"/>
                <c:pt idx="0">
                  <c:v>Dutch-Bangla Bank Limited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Analysis'!$S$68:$W$68</c:f>
              <c:numCache>
                <c:formatCode>0.000</c:formatCode>
                <c:ptCount val="5"/>
                <c:pt idx="0">
                  <c:v>0.13066600872393938</c:v>
                </c:pt>
                <c:pt idx="1">
                  <c:v>0.12724515341195516</c:v>
                </c:pt>
                <c:pt idx="2">
                  <c:v>0.10985364475060272</c:v>
                </c:pt>
                <c:pt idx="3">
                  <c:v>9.7341001702556704E-2</c:v>
                </c:pt>
                <c:pt idx="4">
                  <c:v>0.11786156045620105</c:v>
                </c:pt>
              </c:numCache>
            </c:numRef>
          </c:val>
          <c:smooth val="0"/>
        </c:ser>
        <c:ser>
          <c:idx val="4"/>
          <c:order val="3"/>
          <c:tx>
            <c:strRef>
              <c:f>'Ratio Analysis'!$Y$2</c:f>
              <c:strCache>
                <c:ptCount val="1"/>
                <c:pt idx="0">
                  <c:v>Bank Asia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Analysis'!$AA$68:$AE$68</c:f>
              <c:numCache>
                <c:formatCode>0.000</c:formatCode>
                <c:ptCount val="5"/>
                <c:pt idx="0">
                  <c:v>0.14886439152416014</c:v>
                </c:pt>
                <c:pt idx="1">
                  <c:v>0.20213670149970653</c:v>
                </c:pt>
                <c:pt idx="2">
                  <c:v>0.16583437587138647</c:v>
                </c:pt>
                <c:pt idx="3">
                  <c:v>0.14083896827737002</c:v>
                </c:pt>
                <c:pt idx="4">
                  <c:v>0.14733787935227599</c:v>
                </c:pt>
              </c:numCache>
            </c:numRef>
          </c:val>
          <c:smooth val="0"/>
        </c:ser>
        <c:ser>
          <c:idx val="5"/>
          <c:order val="4"/>
          <c:tx>
            <c:strRef>
              <c:f>'Ratio Analysis'!$AG$2</c:f>
              <c:strCache>
                <c:ptCount val="1"/>
                <c:pt idx="0">
                  <c:v>IFIC Bank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Analysis'!$AI$68:$AM$68</c:f>
              <c:numCache>
                <c:formatCode>0.000</c:formatCode>
                <c:ptCount val="5"/>
                <c:pt idx="0">
                  <c:v>0.2444865484023086</c:v>
                </c:pt>
                <c:pt idx="1">
                  <c:v>0.29977423361990496</c:v>
                </c:pt>
                <c:pt idx="2">
                  <c:v>0.25161871472360081</c:v>
                </c:pt>
                <c:pt idx="3">
                  <c:v>0.18755730355201441</c:v>
                </c:pt>
                <c:pt idx="4">
                  <c:v>0.1993083466039178</c:v>
                </c:pt>
              </c:numCache>
            </c:numRef>
          </c:val>
          <c:smooth val="0"/>
        </c:ser>
        <c:dLbls>
          <c:showLegendKey val="0"/>
          <c:showVal val="0"/>
          <c:showCatName val="0"/>
          <c:showSerName val="0"/>
          <c:showPercent val="0"/>
          <c:showBubbleSize val="0"/>
        </c:dLbls>
        <c:marker val="1"/>
        <c:smooth val="0"/>
        <c:axId val="158051328"/>
        <c:axId val="158085888"/>
      </c:lineChart>
      <c:catAx>
        <c:axId val="158051328"/>
        <c:scaling>
          <c:orientation val="minMax"/>
        </c:scaling>
        <c:delete val="0"/>
        <c:axPos val="b"/>
        <c:numFmt formatCode="General" sourceLinked="1"/>
        <c:majorTickMark val="out"/>
        <c:minorTickMark val="none"/>
        <c:tickLblPos val="nextTo"/>
        <c:crossAx val="158085888"/>
        <c:crosses val="autoZero"/>
        <c:auto val="1"/>
        <c:lblAlgn val="ctr"/>
        <c:lblOffset val="100"/>
        <c:noMultiLvlLbl val="0"/>
      </c:catAx>
      <c:valAx>
        <c:axId val="158085888"/>
        <c:scaling>
          <c:orientation val="minMax"/>
        </c:scaling>
        <c:delete val="0"/>
        <c:axPos val="l"/>
        <c:majorGridlines/>
        <c:numFmt formatCode="0.000" sourceLinked="1"/>
        <c:majorTickMark val="out"/>
        <c:minorTickMark val="none"/>
        <c:tickLblPos val="nextTo"/>
        <c:crossAx val="158051328"/>
        <c:crosses val="autoZero"/>
        <c:crossBetween val="between"/>
      </c:valAx>
    </c:plotArea>
    <c:legend>
      <c:legendPos val="r"/>
      <c:layout>
        <c:manualLayout>
          <c:xMode val="edge"/>
          <c:yMode val="edge"/>
          <c:x val="0.63814955640050697"/>
          <c:y val="0.15911764257356792"/>
          <c:w val="0.34283903675538657"/>
          <c:h val="0.7913517992303899"/>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u="none" strike="noStrike" baseline="0">
                <a:effectLst/>
                <a:latin typeface="Times New Roman" pitchFamily="18" charset="0"/>
                <a:cs typeface="Times New Roman" pitchFamily="18" charset="0"/>
              </a:rPr>
              <a:t>Net working capital</a:t>
            </a:r>
            <a:endParaRPr lang="en-US" sz="1200">
              <a:latin typeface="Times New Roman" pitchFamily="18" charset="0"/>
              <a:cs typeface="Times New Roman" pitchFamily="18" charset="0"/>
            </a:endParaRPr>
          </a:p>
        </c:rich>
      </c:tx>
      <c:overlay val="0"/>
    </c:title>
    <c:autoTitleDeleted val="0"/>
    <c:plotArea>
      <c:layout>
        <c:manualLayout>
          <c:layoutTarget val="inner"/>
          <c:xMode val="edge"/>
          <c:yMode val="edge"/>
          <c:x val="0.23912467731657"/>
          <c:y val="0.26715910511186103"/>
          <c:w val="0.50824082174913321"/>
          <c:h val="0.66234870641169852"/>
        </c:manualLayout>
      </c:layout>
      <c:lineChart>
        <c:grouping val="standard"/>
        <c:varyColors val="0"/>
        <c:ser>
          <c:idx val="1"/>
          <c:order val="0"/>
          <c:tx>
            <c:strRef>
              <c:f>'Ratio Analysis'!$A$2</c:f>
              <c:strCache>
                <c:ptCount val="1"/>
                <c:pt idx="0">
                  <c:v>Dhaka Bank Limited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Analysis'!$C$73:$G$73</c:f>
              <c:numCache>
                <c:formatCode>#,##0</c:formatCode>
                <c:ptCount val="5"/>
                <c:pt idx="0">
                  <c:v>2365333470</c:v>
                </c:pt>
                <c:pt idx="1">
                  <c:v>-234037596</c:v>
                </c:pt>
                <c:pt idx="2">
                  <c:v>-3253620101</c:v>
                </c:pt>
                <c:pt idx="3">
                  <c:v>-113856400524</c:v>
                </c:pt>
                <c:pt idx="4">
                  <c:v>-14901548184</c:v>
                </c:pt>
              </c:numCache>
            </c:numRef>
          </c:val>
          <c:smooth val="0"/>
        </c:ser>
        <c:ser>
          <c:idx val="2"/>
          <c:order val="1"/>
          <c:tx>
            <c:strRef>
              <c:f>'Ratio Analysis'!$I$2</c:f>
              <c:strCache>
                <c:ptCount val="1"/>
                <c:pt idx="0">
                  <c:v>BRAC BANK LIMITED</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Analysis'!$K$73:$O$73</c:f>
              <c:numCache>
                <c:formatCode>#,##0</c:formatCode>
                <c:ptCount val="5"/>
                <c:pt idx="0">
                  <c:v>-23656865894</c:v>
                </c:pt>
                <c:pt idx="1">
                  <c:v>-36853981779</c:v>
                </c:pt>
                <c:pt idx="2">
                  <c:v>-31960870081</c:v>
                </c:pt>
                <c:pt idx="3">
                  <c:v>-77430726570</c:v>
                </c:pt>
                <c:pt idx="4">
                  <c:v>-82925618941</c:v>
                </c:pt>
              </c:numCache>
            </c:numRef>
          </c:val>
          <c:smooth val="0"/>
        </c:ser>
        <c:ser>
          <c:idx val="3"/>
          <c:order val="2"/>
          <c:tx>
            <c:strRef>
              <c:f>'Ratio Analysis'!$Q$2</c:f>
              <c:strCache>
                <c:ptCount val="1"/>
                <c:pt idx="0">
                  <c:v>Dutch-Bangla Bank Limited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Analysis'!$S$73:$W$73</c:f>
              <c:numCache>
                <c:formatCode>#,##0</c:formatCode>
                <c:ptCount val="5"/>
                <c:pt idx="0">
                  <c:v>-94614224248</c:v>
                </c:pt>
                <c:pt idx="1">
                  <c:v>-108373804279</c:v>
                </c:pt>
                <c:pt idx="2">
                  <c:v>-125195100866</c:v>
                </c:pt>
                <c:pt idx="3">
                  <c:v>-162846868308</c:v>
                </c:pt>
                <c:pt idx="4">
                  <c:v>-154275512268</c:v>
                </c:pt>
              </c:numCache>
            </c:numRef>
          </c:val>
          <c:smooth val="0"/>
        </c:ser>
        <c:ser>
          <c:idx val="4"/>
          <c:order val="3"/>
          <c:tx>
            <c:strRef>
              <c:f>'Ratio Analysis'!$Y$2</c:f>
              <c:strCache>
                <c:ptCount val="1"/>
                <c:pt idx="0">
                  <c:v>Bank Asia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Analysis'!$AA$73:$AE$73</c:f>
              <c:numCache>
                <c:formatCode>#,##0</c:formatCode>
                <c:ptCount val="5"/>
                <c:pt idx="0">
                  <c:v>-8511130562</c:v>
                </c:pt>
                <c:pt idx="1">
                  <c:v>-2848794174</c:v>
                </c:pt>
                <c:pt idx="2">
                  <c:v>-15063869225</c:v>
                </c:pt>
                <c:pt idx="3">
                  <c:v>-16905561446</c:v>
                </c:pt>
                <c:pt idx="4">
                  <c:v>-34302794865</c:v>
                </c:pt>
              </c:numCache>
            </c:numRef>
          </c:val>
          <c:smooth val="0"/>
        </c:ser>
        <c:ser>
          <c:idx val="5"/>
          <c:order val="4"/>
          <c:tx>
            <c:strRef>
              <c:f>'Ratio Analysis'!$AG$2</c:f>
              <c:strCache>
                <c:ptCount val="1"/>
                <c:pt idx="0">
                  <c:v>IFIC Bank  </c:v>
                </c:pt>
              </c:strCache>
            </c:strRef>
          </c:tx>
          <c:cat>
            <c:numRef>
              <c:f>'Ratio Analysis'!$K$64:$O$64</c:f>
              <c:numCache>
                <c:formatCode>General</c:formatCode>
                <c:ptCount val="5"/>
                <c:pt idx="0">
                  <c:v>2012</c:v>
                </c:pt>
                <c:pt idx="1">
                  <c:v>2013</c:v>
                </c:pt>
                <c:pt idx="2">
                  <c:v>2014</c:v>
                </c:pt>
                <c:pt idx="3">
                  <c:v>2015</c:v>
                </c:pt>
                <c:pt idx="4">
                  <c:v>2016</c:v>
                </c:pt>
              </c:numCache>
            </c:numRef>
          </c:cat>
          <c:val>
            <c:numRef>
              <c:f>'Ratio Analysis'!$AI$73:$AM$73</c:f>
              <c:numCache>
                <c:formatCode>#,##0</c:formatCode>
                <c:ptCount val="5"/>
                <c:pt idx="0">
                  <c:v>-8251990109</c:v>
                </c:pt>
                <c:pt idx="1">
                  <c:v>19188954498</c:v>
                </c:pt>
                <c:pt idx="2">
                  <c:v>5409239171</c:v>
                </c:pt>
                <c:pt idx="3">
                  <c:v>-17171477937</c:v>
                </c:pt>
                <c:pt idx="4">
                  <c:v>-22299200689</c:v>
                </c:pt>
              </c:numCache>
            </c:numRef>
          </c:val>
          <c:smooth val="0"/>
        </c:ser>
        <c:dLbls>
          <c:showLegendKey val="0"/>
          <c:showVal val="0"/>
          <c:showCatName val="0"/>
          <c:showSerName val="0"/>
          <c:showPercent val="0"/>
          <c:showBubbleSize val="0"/>
        </c:dLbls>
        <c:marker val="1"/>
        <c:smooth val="0"/>
        <c:axId val="158375936"/>
        <c:axId val="158377472"/>
      </c:lineChart>
      <c:catAx>
        <c:axId val="158375936"/>
        <c:scaling>
          <c:orientation val="minMax"/>
        </c:scaling>
        <c:delete val="0"/>
        <c:axPos val="b"/>
        <c:numFmt formatCode="General" sourceLinked="1"/>
        <c:majorTickMark val="out"/>
        <c:minorTickMark val="none"/>
        <c:tickLblPos val="nextTo"/>
        <c:crossAx val="158377472"/>
        <c:crosses val="autoZero"/>
        <c:auto val="1"/>
        <c:lblAlgn val="ctr"/>
        <c:lblOffset val="100"/>
        <c:noMultiLvlLbl val="0"/>
      </c:catAx>
      <c:valAx>
        <c:axId val="158377472"/>
        <c:scaling>
          <c:orientation val="minMax"/>
        </c:scaling>
        <c:delete val="0"/>
        <c:axPos val="l"/>
        <c:majorGridlines/>
        <c:numFmt formatCode="#,##0" sourceLinked="1"/>
        <c:majorTickMark val="out"/>
        <c:minorTickMark val="none"/>
        <c:tickLblPos val="nextTo"/>
        <c:crossAx val="158375936"/>
        <c:crosses val="autoZero"/>
        <c:crossBetween val="between"/>
      </c:valAx>
    </c:plotArea>
    <c:legend>
      <c:legendPos val="r"/>
      <c:layout>
        <c:manualLayout>
          <c:xMode val="edge"/>
          <c:yMode val="edge"/>
          <c:x val="0.7623122434371028"/>
          <c:y val="0.20731600857585109"/>
          <c:w val="0.22284545600631089"/>
          <c:h val="0.7366502264140059"/>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200" b="1" i="0" u="none" strike="noStrike" baseline="0">
                <a:effectLst/>
                <a:latin typeface="Times New Roman" pitchFamily="18" charset="0"/>
                <a:cs typeface="Times New Roman" pitchFamily="18" charset="0"/>
              </a:rPr>
              <a:t>Borrowed fund to total assets</a:t>
            </a:r>
            <a:endParaRPr lang="en-US" sz="1200">
              <a:latin typeface="Times New Roman" pitchFamily="18" charset="0"/>
              <a:cs typeface="Times New Roman" pitchFamily="18" charset="0"/>
            </a:endParaRPr>
          </a:p>
        </c:rich>
      </c:tx>
      <c:layout>
        <c:manualLayout>
          <c:xMode val="edge"/>
          <c:yMode val="edge"/>
          <c:x val="0.20290245820439759"/>
          <c:y val="4.7274214786217114E-2"/>
        </c:manualLayout>
      </c:layout>
      <c:overlay val="0"/>
    </c:title>
    <c:autoTitleDeleted val="0"/>
    <c:plotArea>
      <c:layout>
        <c:manualLayout>
          <c:layoutTarget val="inner"/>
          <c:xMode val="edge"/>
          <c:yMode val="edge"/>
          <c:x val="0.10003607592727076"/>
          <c:y val="0.2174990730388412"/>
          <c:w val="0.67183638217918207"/>
          <c:h val="0.6530088284147072"/>
        </c:manualLayout>
      </c:layout>
      <c:barChart>
        <c:barDir val="col"/>
        <c:grouping val="clustered"/>
        <c:varyColors val="0"/>
        <c:ser>
          <c:idx val="0"/>
          <c:order val="0"/>
          <c:tx>
            <c:strRef>
              <c:f>'Ratio Analysis'!$A$2</c:f>
              <c:strCache>
                <c:ptCount val="1"/>
                <c:pt idx="0">
                  <c:v>Dhaka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Analysis'!$C$74:$G$74</c:f>
              <c:numCache>
                <c:formatCode>0.0000</c:formatCode>
                <c:ptCount val="5"/>
                <c:pt idx="0">
                  <c:v>0.92675799959132499</c:v>
                </c:pt>
                <c:pt idx="1">
                  <c:v>0.91716098231219367</c:v>
                </c:pt>
                <c:pt idx="2">
                  <c:v>0.91880427007318566</c:v>
                </c:pt>
                <c:pt idx="3">
                  <c:v>0.92274145543464692</c:v>
                </c:pt>
                <c:pt idx="4">
                  <c:v>0.92662728939916039</c:v>
                </c:pt>
              </c:numCache>
            </c:numRef>
          </c:val>
          <c:extLst xmlns:c16r2="http://schemas.microsoft.com/office/drawing/2015/06/chart">
            <c:ext xmlns:c16="http://schemas.microsoft.com/office/drawing/2014/chart" uri="{C3380CC4-5D6E-409C-BE32-E72D297353CC}">
              <c16:uniqueId val="{00000000-0AF6-427B-BD85-B3575CCC0DDA}"/>
            </c:ext>
          </c:extLst>
        </c:ser>
        <c:ser>
          <c:idx val="1"/>
          <c:order val="1"/>
          <c:tx>
            <c:strRef>
              <c:f>'Ratio Analysis'!$I$2</c:f>
              <c:strCache>
                <c:ptCount val="1"/>
                <c:pt idx="0">
                  <c:v>BRAC BANK LIMITED</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Analysis'!$K$74:$O$74</c:f>
              <c:numCache>
                <c:formatCode>0.00000</c:formatCode>
                <c:ptCount val="5"/>
                <c:pt idx="0">
                  <c:v>0.8241842988910425</c:v>
                </c:pt>
                <c:pt idx="1">
                  <c:v>0.80324937137263186</c:v>
                </c:pt>
                <c:pt idx="2">
                  <c:v>0.77933104702771272</c:v>
                </c:pt>
                <c:pt idx="3">
                  <c:v>1.1380087096973166</c:v>
                </c:pt>
                <c:pt idx="4">
                  <c:v>1.1495505539635897</c:v>
                </c:pt>
              </c:numCache>
            </c:numRef>
          </c:val>
          <c:extLst xmlns:c16r2="http://schemas.microsoft.com/office/drawing/2015/06/chart">
            <c:ext xmlns:c16="http://schemas.microsoft.com/office/drawing/2014/chart" uri="{C3380CC4-5D6E-409C-BE32-E72D297353CC}">
              <c16:uniqueId val="{00000001-0AF6-427B-BD85-B3575CCC0DDA}"/>
            </c:ext>
          </c:extLst>
        </c:ser>
        <c:ser>
          <c:idx val="2"/>
          <c:order val="2"/>
          <c:tx>
            <c:strRef>
              <c:f>'Ratio Analysis'!$Q$2</c:f>
              <c:strCache>
                <c:ptCount val="1"/>
                <c:pt idx="0">
                  <c:v>Dutch-Bangla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Analysis'!$S$74:$W$74</c:f>
              <c:numCache>
                <c:formatCode>0.00000</c:formatCode>
                <c:ptCount val="5"/>
                <c:pt idx="0">
                  <c:v>0.93038353175746036</c:v>
                </c:pt>
                <c:pt idx="1">
                  <c:v>0.93186429540897664</c:v>
                </c:pt>
                <c:pt idx="2">
                  <c:v>0.94114567805185201</c:v>
                </c:pt>
                <c:pt idx="3">
                  <c:v>1.0011308574109361</c:v>
                </c:pt>
                <c:pt idx="4">
                  <c:v>0.8770040375821585</c:v>
                </c:pt>
              </c:numCache>
            </c:numRef>
          </c:val>
          <c:extLst xmlns:c16r2="http://schemas.microsoft.com/office/drawing/2015/06/chart">
            <c:ext xmlns:c16="http://schemas.microsoft.com/office/drawing/2014/chart" uri="{C3380CC4-5D6E-409C-BE32-E72D297353CC}">
              <c16:uniqueId val="{00000002-0AF6-427B-BD85-B3575CCC0DDA}"/>
            </c:ext>
          </c:extLst>
        </c:ser>
        <c:ser>
          <c:idx val="3"/>
          <c:order val="3"/>
          <c:tx>
            <c:strRef>
              <c:f>'Ratio Analysis'!$Y$2</c:f>
              <c:strCache>
                <c:ptCount val="1"/>
                <c:pt idx="0">
                  <c:v>Bank Asia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Analysis'!$AA$74:$AE$74</c:f>
              <c:numCache>
                <c:formatCode>0.00000</c:formatCode>
                <c:ptCount val="5"/>
                <c:pt idx="0">
                  <c:v>0.9071467386870381</c:v>
                </c:pt>
                <c:pt idx="1">
                  <c:v>0.91180913353430915</c:v>
                </c:pt>
                <c:pt idx="2">
                  <c:v>0.90981719491294699</c:v>
                </c:pt>
                <c:pt idx="3">
                  <c:v>0.91715066739943352</c:v>
                </c:pt>
                <c:pt idx="4">
                  <c:v>0.92598687176881178</c:v>
                </c:pt>
              </c:numCache>
            </c:numRef>
          </c:val>
        </c:ser>
        <c:ser>
          <c:idx val="4"/>
          <c:order val="4"/>
          <c:tx>
            <c:strRef>
              <c:f>'Ratio Analysis'!$AG$2</c:f>
              <c:strCache>
                <c:ptCount val="1"/>
                <c:pt idx="0">
                  <c:v>IFIC Bank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Analysis'!$AI$74:$AM$74</c:f>
              <c:numCache>
                <c:formatCode>0.00000</c:formatCode>
                <c:ptCount val="5"/>
                <c:pt idx="0">
                  <c:v>0.94316116329013211</c:v>
                </c:pt>
                <c:pt idx="1">
                  <c:v>0.79869116005392282</c:v>
                </c:pt>
                <c:pt idx="2">
                  <c:v>0.86585922110657021</c:v>
                </c:pt>
                <c:pt idx="3">
                  <c:v>0.93464949773073047</c:v>
                </c:pt>
                <c:pt idx="4">
                  <c:v>0.93483746269193013</c:v>
                </c:pt>
              </c:numCache>
            </c:numRef>
          </c:val>
        </c:ser>
        <c:dLbls>
          <c:showLegendKey val="0"/>
          <c:showVal val="0"/>
          <c:showCatName val="0"/>
          <c:showSerName val="0"/>
          <c:showPercent val="0"/>
          <c:showBubbleSize val="0"/>
        </c:dLbls>
        <c:gapWidth val="150"/>
        <c:axId val="158734208"/>
        <c:axId val="158735744"/>
      </c:barChart>
      <c:catAx>
        <c:axId val="158734208"/>
        <c:scaling>
          <c:orientation val="minMax"/>
        </c:scaling>
        <c:delete val="0"/>
        <c:axPos val="b"/>
        <c:numFmt formatCode="General" sourceLinked="1"/>
        <c:majorTickMark val="out"/>
        <c:minorTickMark val="none"/>
        <c:tickLblPos val="nextTo"/>
        <c:crossAx val="158735744"/>
        <c:crosses val="autoZero"/>
        <c:auto val="1"/>
        <c:lblAlgn val="ctr"/>
        <c:lblOffset val="100"/>
        <c:noMultiLvlLbl val="0"/>
      </c:catAx>
      <c:valAx>
        <c:axId val="158735744"/>
        <c:scaling>
          <c:orientation val="minMax"/>
        </c:scaling>
        <c:delete val="0"/>
        <c:axPos val="l"/>
        <c:majorGridlines/>
        <c:numFmt formatCode="0.0000" sourceLinked="1"/>
        <c:majorTickMark val="out"/>
        <c:minorTickMark val="none"/>
        <c:tickLblPos val="nextTo"/>
        <c:crossAx val="158734208"/>
        <c:crosses val="autoZero"/>
        <c:crossBetween val="between"/>
      </c:valAx>
    </c:plotArea>
    <c:legend>
      <c:legendPos val="r"/>
      <c:layout>
        <c:manualLayout>
          <c:xMode val="edge"/>
          <c:yMode val="edge"/>
          <c:x val="0.77441991279678135"/>
          <c:y val="0.14994751629355552"/>
          <c:w val="0.21002193862289964"/>
          <c:h val="0.77755699844482173"/>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200" b="1" i="0" u="none" strike="noStrike" baseline="0">
                <a:effectLst/>
                <a:latin typeface="Times New Roman" pitchFamily="18" charset="0"/>
                <a:cs typeface="Times New Roman" pitchFamily="18" charset="0"/>
              </a:rPr>
              <a:t>core deposit to total assets</a:t>
            </a:r>
            <a:endParaRPr lang="en-US" sz="1200" b="1">
              <a:latin typeface="Times New Roman" pitchFamily="18" charset="0"/>
              <a:cs typeface="Times New Roman" pitchFamily="18" charset="0"/>
            </a:endParaRPr>
          </a:p>
        </c:rich>
      </c:tx>
      <c:layout>
        <c:manualLayout>
          <c:xMode val="edge"/>
          <c:yMode val="edge"/>
          <c:x val="0.20370687022479136"/>
          <c:y val="2.9364620431368525E-2"/>
        </c:manualLayout>
      </c:layout>
      <c:overlay val="0"/>
    </c:title>
    <c:autoTitleDeleted val="0"/>
    <c:plotArea>
      <c:layout/>
      <c:lineChart>
        <c:grouping val="standard"/>
        <c:varyColors val="0"/>
        <c:ser>
          <c:idx val="0"/>
          <c:order val="0"/>
          <c:tx>
            <c:strRef>
              <c:f>'Ratio Analysis'!$A$2</c:f>
              <c:strCache>
                <c:ptCount val="1"/>
                <c:pt idx="0">
                  <c:v>Dhaka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Analysis'!$C$75:$G$75</c:f>
              <c:numCache>
                <c:formatCode>0.00000</c:formatCode>
                <c:ptCount val="5"/>
                <c:pt idx="0">
                  <c:v>5.3315072662508893E-2</c:v>
                </c:pt>
                <c:pt idx="1">
                  <c:v>6.1005056446560652E-2</c:v>
                </c:pt>
                <c:pt idx="2">
                  <c:v>7.1750008125179954E-2</c:v>
                </c:pt>
                <c:pt idx="3">
                  <c:v>0.60365718595364826</c:v>
                </c:pt>
                <c:pt idx="4">
                  <c:v>8.2327301714465478E-2</c:v>
                </c:pt>
              </c:numCache>
            </c:numRef>
          </c:val>
          <c:smooth val="0"/>
        </c:ser>
        <c:ser>
          <c:idx val="6"/>
          <c:order val="1"/>
          <c:tx>
            <c:strRef>
              <c:f>'Ratio Analysis'!$I$2</c:f>
              <c:strCache>
                <c:ptCount val="1"/>
                <c:pt idx="0">
                  <c:v>BRAC BANK LIMITED</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Analysis'!$K$75:$O$75</c:f>
              <c:numCache>
                <c:formatCode>0.00000</c:formatCode>
                <c:ptCount val="5"/>
                <c:pt idx="0">
                  <c:v>0.10050623723565037</c:v>
                </c:pt>
                <c:pt idx="1">
                  <c:v>0.11175240882432548</c:v>
                </c:pt>
                <c:pt idx="2">
                  <c:v>0.12396174352513133</c:v>
                </c:pt>
                <c:pt idx="3">
                  <c:v>0.16415508655896713</c:v>
                </c:pt>
                <c:pt idx="4">
                  <c:v>0.15245550315459616</c:v>
                </c:pt>
              </c:numCache>
            </c:numRef>
          </c:val>
          <c:smooth val="0"/>
        </c:ser>
        <c:ser>
          <c:idx val="1"/>
          <c:order val="2"/>
          <c:tx>
            <c:strRef>
              <c:f>'Ratio Analysis'!$Q$2</c:f>
              <c:strCache>
                <c:ptCount val="1"/>
                <c:pt idx="0">
                  <c:v>Dutch-Bangla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Analysis'!$S$75:$W$75</c:f>
              <c:numCache>
                <c:formatCode>0.00000</c:formatCode>
                <c:ptCount val="5"/>
                <c:pt idx="0">
                  <c:v>0.27499725262196822</c:v>
                </c:pt>
                <c:pt idx="1">
                  <c:v>0.26911532152560835</c:v>
                </c:pt>
                <c:pt idx="2">
                  <c:v>0.28381465561478592</c:v>
                </c:pt>
                <c:pt idx="3">
                  <c:v>0.34524440518884175</c:v>
                </c:pt>
                <c:pt idx="4">
                  <c:v>0.25039017736316771</c:v>
                </c:pt>
              </c:numCache>
            </c:numRef>
          </c:val>
          <c:smooth val="0"/>
        </c:ser>
        <c:ser>
          <c:idx val="2"/>
          <c:order val="3"/>
          <c:tx>
            <c:strRef>
              <c:f>'Ratio Analysis'!$Y$2</c:f>
              <c:strCache>
                <c:ptCount val="1"/>
                <c:pt idx="0">
                  <c:v>Bank Asia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Analysis'!$AA$75:$AE$75</c:f>
              <c:numCache>
                <c:formatCode>0.00000</c:formatCode>
                <c:ptCount val="5"/>
                <c:pt idx="0">
                  <c:v>7.514663968951496E-2</c:v>
                </c:pt>
                <c:pt idx="1">
                  <c:v>7.770925958036963E-2</c:v>
                </c:pt>
                <c:pt idx="2">
                  <c:v>8.9884608687358827E-2</c:v>
                </c:pt>
                <c:pt idx="3">
                  <c:v>9.3829912049621558E-2</c:v>
                </c:pt>
                <c:pt idx="4">
                  <c:v>0.1090525643675495</c:v>
                </c:pt>
              </c:numCache>
            </c:numRef>
          </c:val>
          <c:smooth val="0"/>
        </c:ser>
        <c:ser>
          <c:idx val="3"/>
          <c:order val="4"/>
          <c:tx>
            <c:strRef>
              <c:f>'Ratio Analysis'!$AG$2</c:f>
              <c:strCache>
                <c:ptCount val="1"/>
                <c:pt idx="0">
                  <c:v>IFIC Bank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Analysis'!$AI$75:$AM$75</c:f>
              <c:numCache>
                <c:formatCode>0.00000</c:formatCode>
                <c:ptCount val="5"/>
                <c:pt idx="0">
                  <c:v>0.10097038939948368</c:v>
                </c:pt>
                <c:pt idx="1">
                  <c:v>9.735678129229744E-2</c:v>
                </c:pt>
                <c:pt idx="2">
                  <c:v>0.11747871823041688</c:v>
                </c:pt>
                <c:pt idx="3">
                  <c:v>0.13736087860482191</c:v>
                </c:pt>
                <c:pt idx="4">
                  <c:v>0.14151776932272131</c:v>
                </c:pt>
              </c:numCache>
            </c:numRef>
          </c:val>
          <c:smooth val="0"/>
        </c:ser>
        <c:dLbls>
          <c:showLegendKey val="0"/>
          <c:showVal val="0"/>
          <c:showCatName val="0"/>
          <c:showSerName val="0"/>
          <c:showPercent val="0"/>
          <c:showBubbleSize val="0"/>
        </c:dLbls>
        <c:marker val="1"/>
        <c:smooth val="0"/>
        <c:axId val="159107712"/>
        <c:axId val="159138176"/>
      </c:lineChart>
      <c:catAx>
        <c:axId val="159107712"/>
        <c:scaling>
          <c:orientation val="minMax"/>
        </c:scaling>
        <c:delete val="0"/>
        <c:axPos val="b"/>
        <c:numFmt formatCode="General" sourceLinked="1"/>
        <c:majorTickMark val="out"/>
        <c:minorTickMark val="none"/>
        <c:tickLblPos val="nextTo"/>
        <c:crossAx val="159138176"/>
        <c:crosses val="autoZero"/>
        <c:auto val="1"/>
        <c:lblAlgn val="ctr"/>
        <c:lblOffset val="100"/>
        <c:noMultiLvlLbl val="0"/>
      </c:catAx>
      <c:valAx>
        <c:axId val="159138176"/>
        <c:scaling>
          <c:orientation val="minMax"/>
        </c:scaling>
        <c:delete val="0"/>
        <c:axPos val="l"/>
        <c:majorGridlines/>
        <c:numFmt formatCode="0.00000" sourceLinked="1"/>
        <c:majorTickMark val="out"/>
        <c:minorTickMark val="none"/>
        <c:tickLblPos val="nextTo"/>
        <c:crossAx val="159107712"/>
        <c:crosses val="autoZero"/>
        <c:crossBetween val="between"/>
      </c:valAx>
    </c:plotArea>
    <c:legend>
      <c:legendPos val="r"/>
      <c:layout>
        <c:manualLayout>
          <c:xMode val="edge"/>
          <c:yMode val="edge"/>
          <c:x val="0.65189922364644493"/>
          <c:y val="0.22023843622155329"/>
          <c:w val="0.33056204498845709"/>
          <c:h val="0.77896480662392353"/>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200" b="1" i="0" u="none" strike="noStrike" baseline="0">
                <a:effectLst/>
                <a:latin typeface="Times New Roman" pitchFamily="18" charset="0"/>
                <a:cs typeface="Times New Roman" pitchFamily="18" charset="0"/>
              </a:rPr>
              <a:t>Loan to deposit</a:t>
            </a:r>
            <a:endParaRPr lang="en-US" sz="1200">
              <a:latin typeface="Times New Roman" pitchFamily="18" charset="0"/>
              <a:cs typeface="Times New Roman" pitchFamily="18" charset="0"/>
            </a:endParaRPr>
          </a:p>
        </c:rich>
      </c:tx>
      <c:layout>
        <c:manualLayout>
          <c:xMode val="edge"/>
          <c:yMode val="edge"/>
          <c:x val="0.3533563248219298"/>
          <c:y val="3.1746031746031744E-2"/>
        </c:manualLayout>
      </c:layout>
      <c:overlay val="0"/>
    </c:title>
    <c:autoTitleDeleted val="0"/>
    <c:plotArea>
      <c:layout>
        <c:manualLayout>
          <c:layoutTarget val="inner"/>
          <c:xMode val="edge"/>
          <c:yMode val="edge"/>
          <c:x val="0.10003607592727076"/>
          <c:y val="0.2174990730388412"/>
          <c:w val="0.62453403002044094"/>
          <c:h val="0.6530088284147072"/>
        </c:manualLayout>
      </c:layout>
      <c:barChart>
        <c:barDir val="col"/>
        <c:grouping val="clustered"/>
        <c:varyColors val="0"/>
        <c:ser>
          <c:idx val="0"/>
          <c:order val="0"/>
          <c:tx>
            <c:strRef>
              <c:f>'Ratio Analysis'!$A$2</c:f>
              <c:strCache>
                <c:ptCount val="1"/>
                <c:pt idx="0">
                  <c:v>Dhaka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Analysis'!$C$76:$G$76</c:f>
              <c:numCache>
                <c:formatCode>0.00000</c:formatCode>
                <c:ptCount val="5"/>
                <c:pt idx="0">
                  <c:v>0.70873688024551396</c:v>
                </c:pt>
                <c:pt idx="1">
                  <c:v>0.73600715650541182</c:v>
                </c:pt>
                <c:pt idx="2">
                  <c:v>0.69056468407811089</c:v>
                </c:pt>
                <c:pt idx="3">
                  <c:v>0.70809244361576629</c:v>
                </c:pt>
                <c:pt idx="4">
                  <c:v>0.69922361740164796</c:v>
                </c:pt>
              </c:numCache>
            </c:numRef>
          </c:val>
          <c:extLst xmlns:c16r2="http://schemas.microsoft.com/office/drawing/2015/06/chart">
            <c:ext xmlns:c16="http://schemas.microsoft.com/office/drawing/2014/chart" uri="{C3380CC4-5D6E-409C-BE32-E72D297353CC}">
              <c16:uniqueId val="{00000000-0AF6-427B-BD85-B3575CCC0DDA}"/>
            </c:ext>
          </c:extLst>
        </c:ser>
        <c:ser>
          <c:idx val="1"/>
          <c:order val="1"/>
          <c:tx>
            <c:strRef>
              <c:f>'Ratio Analysis'!$I$2</c:f>
              <c:strCache>
                <c:ptCount val="1"/>
                <c:pt idx="0">
                  <c:v>BRAC BANK LIMITED</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Analysis'!$K$76:$O$76</c:f>
              <c:numCache>
                <c:formatCode>0.00000</c:formatCode>
                <c:ptCount val="5"/>
                <c:pt idx="0">
                  <c:v>0.76328629229240041</c:v>
                </c:pt>
                <c:pt idx="1">
                  <c:v>0.79619412269676204</c:v>
                </c:pt>
                <c:pt idx="2">
                  <c:v>0.76214769026478102</c:v>
                </c:pt>
                <c:pt idx="3">
                  <c:v>0.47459627473033245</c:v>
                </c:pt>
                <c:pt idx="4">
                  <c:v>0.47659782655913341</c:v>
                </c:pt>
              </c:numCache>
            </c:numRef>
          </c:val>
          <c:extLst xmlns:c16r2="http://schemas.microsoft.com/office/drawing/2015/06/chart">
            <c:ext xmlns:c16="http://schemas.microsoft.com/office/drawing/2014/chart" uri="{C3380CC4-5D6E-409C-BE32-E72D297353CC}">
              <c16:uniqueId val="{00000001-0AF6-427B-BD85-B3575CCC0DDA}"/>
            </c:ext>
          </c:extLst>
        </c:ser>
        <c:ser>
          <c:idx val="2"/>
          <c:order val="2"/>
          <c:tx>
            <c:strRef>
              <c:f>'Ratio Analysis'!$Q$2</c:f>
              <c:strCache>
                <c:ptCount val="1"/>
                <c:pt idx="0">
                  <c:v>Dutch-Bangla Bank Limited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Analysis'!$S$76:$W$76</c:f>
              <c:numCache>
                <c:formatCode>0.00000</c:formatCode>
                <c:ptCount val="5"/>
                <c:pt idx="0">
                  <c:v>0.56967445556042762</c:v>
                </c:pt>
                <c:pt idx="1">
                  <c:v>0.57471579175870202</c:v>
                </c:pt>
                <c:pt idx="2">
                  <c:v>0.59172053382915657</c:v>
                </c:pt>
                <c:pt idx="3">
                  <c:v>0.61190515077062924</c:v>
                </c:pt>
                <c:pt idx="4">
                  <c:v>0.65671956922905361</c:v>
                </c:pt>
              </c:numCache>
            </c:numRef>
          </c:val>
          <c:extLst xmlns:c16r2="http://schemas.microsoft.com/office/drawing/2015/06/chart">
            <c:ext xmlns:c16="http://schemas.microsoft.com/office/drawing/2014/chart" uri="{C3380CC4-5D6E-409C-BE32-E72D297353CC}">
              <c16:uniqueId val="{00000002-0AF6-427B-BD85-B3575CCC0DDA}"/>
            </c:ext>
          </c:extLst>
        </c:ser>
        <c:ser>
          <c:idx val="3"/>
          <c:order val="3"/>
          <c:tx>
            <c:strRef>
              <c:f>'Ratio Analysis'!$Y$2</c:f>
              <c:strCache>
                <c:ptCount val="1"/>
                <c:pt idx="0">
                  <c:v>Bank Asia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Analysis'!$AA$76:$AE$76</c:f>
              <c:numCache>
                <c:formatCode>0.00000</c:formatCode>
                <c:ptCount val="5"/>
                <c:pt idx="0">
                  <c:v>0.69611264077546131</c:v>
                </c:pt>
                <c:pt idx="1">
                  <c:v>0.69168954803257643</c:v>
                </c:pt>
                <c:pt idx="2">
                  <c:v>0.66789245726385682</c:v>
                </c:pt>
                <c:pt idx="3">
                  <c:v>0.62615567382325799</c:v>
                </c:pt>
                <c:pt idx="4">
                  <c:v>0.66925725975006556</c:v>
                </c:pt>
              </c:numCache>
            </c:numRef>
          </c:val>
        </c:ser>
        <c:ser>
          <c:idx val="4"/>
          <c:order val="4"/>
          <c:tx>
            <c:strRef>
              <c:f>'Ratio Analysis'!$AG$2</c:f>
              <c:strCache>
                <c:ptCount val="1"/>
                <c:pt idx="0">
                  <c:v>IFIC Bank  </c:v>
                </c:pt>
              </c:strCache>
            </c:strRef>
          </c:tx>
          <c:invertIfNegative val="0"/>
          <c:cat>
            <c:numRef>
              <c:f>'Ratio Analysis'!$AA$64:$AE$64</c:f>
              <c:numCache>
                <c:formatCode>General</c:formatCode>
                <c:ptCount val="5"/>
                <c:pt idx="0">
                  <c:v>2012</c:v>
                </c:pt>
                <c:pt idx="1">
                  <c:v>2013</c:v>
                </c:pt>
                <c:pt idx="2">
                  <c:v>2014</c:v>
                </c:pt>
                <c:pt idx="3">
                  <c:v>2015</c:v>
                </c:pt>
                <c:pt idx="4">
                  <c:v>2016</c:v>
                </c:pt>
              </c:numCache>
            </c:numRef>
          </c:cat>
          <c:val>
            <c:numRef>
              <c:f>'Ratio Analysis'!$AI$76:$AM$76</c:f>
              <c:numCache>
                <c:formatCode>0.00000</c:formatCode>
                <c:ptCount val="5"/>
                <c:pt idx="0">
                  <c:v>0.65585039305227744</c:v>
                </c:pt>
                <c:pt idx="1">
                  <c:v>0.63424146283479266</c:v>
                </c:pt>
                <c:pt idx="2">
                  <c:v>0.64877182795014443</c:v>
                </c:pt>
                <c:pt idx="3">
                  <c:v>0.68536300487159707</c:v>
                </c:pt>
                <c:pt idx="4">
                  <c:v>0.69484802698078707</c:v>
                </c:pt>
              </c:numCache>
            </c:numRef>
          </c:val>
        </c:ser>
        <c:dLbls>
          <c:showLegendKey val="0"/>
          <c:showVal val="0"/>
          <c:showCatName val="0"/>
          <c:showSerName val="0"/>
          <c:showPercent val="0"/>
          <c:showBubbleSize val="0"/>
        </c:dLbls>
        <c:gapWidth val="150"/>
        <c:axId val="159351552"/>
        <c:axId val="159353088"/>
      </c:barChart>
      <c:catAx>
        <c:axId val="159351552"/>
        <c:scaling>
          <c:orientation val="minMax"/>
        </c:scaling>
        <c:delete val="0"/>
        <c:axPos val="b"/>
        <c:numFmt formatCode="General" sourceLinked="1"/>
        <c:majorTickMark val="out"/>
        <c:minorTickMark val="none"/>
        <c:tickLblPos val="nextTo"/>
        <c:crossAx val="159353088"/>
        <c:crosses val="autoZero"/>
        <c:auto val="1"/>
        <c:lblAlgn val="ctr"/>
        <c:lblOffset val="100"/>
        <c:noMultiLvlLbl val="0"/>
      </c:catAx>
      <c:valAx>
        <c:axId val="159353088"/>
        <c:scaling>
          <c:orientation val="minMax"/>
        </c:scaling>
        <c:delete val="0"/>
        <c:axPos val="l"/>
        <c:majorGridlines/>
        <c:numFmt formatCode="0.00000" sourceLinked="1"/>
        <c:majorTickMark val="out"/>
        <c:minorTickMark val="none"/>
        <c:tickLblPos val="nextTo"/>
        <c:crossAx val="159351552"/>
        <c:crosses val="autoZero"/>
        <c:crossBetween val="between"/>
      </c:valAx>
    </c:plotArea>
    <c:legend>
      <c:legendPos val="r"/>
      <c:layout>
        <c:manualLayout>
          <c:xMode val="edge"/>
          <c:yMode val="edge"/>
          <c:x val="0.75561600937221907"/>
          <c:y val="0.14994751629355552"/>
          <c:w val="0.21125004224257377"/>
          <c:h val="0.77755699844482173"/>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800" b="0" i="0" u="none" strike="noStrike" baseline="0">
                <a:effectLst/>
              </a:rPr>
              <a:t>Total debt ratio</a:t>
            </a:r>
            <a:r>
              <a:rPr lang="en-US" sz="1800" b="1" i="0" u="none" strike="noStrike" baseline="0"/>
              <a:t> </a:t>
            </a:r>
            <a:endParaRPr lang="en-US"/>
          </a:p>
        </c:rich>
      </c:tx>
      <c:layout>
        <c:manualLayout>
          <c:xMode val="edge"/>
          <c:yMode val="edge"/>
          <c:x val="0.3997341309405118"/>
          <c:y val="2.9332681495966757E-2"/>
        </c:manualLayout>
      </c:layout>
      <c:overlay val="0"/>
    </c:title>
    <c:autoTitleDeleted val="0"/>
    <c:plotArea>
      <c:layout>
        <c:manualLayout>
          <c:layoutTarget val="inner"/>
          <c:xMode val="edge"/>
          <c:yMode val="edge"/>
          <c:x val="8.3406175308604572E-2"/>
          <c:y val="0.18113308978203085"/>
          <c:w val="0.62118898737099415"/>
          <c:h val="0.71102597285503455"/>
        </c:manualLayout>
      </c:layout>
      <c:lineChart>
        <c:grouping val="standard"/>
        <c:varyColors val="0"/>
        <c:ser>
          <c:idx val="0"/>
          <c:order val="0"/>
          <c:tx>
            <c:strRef>
              <c:f>'Ratio Analysis'!$A$2</c:f>
              <c:strCache>
                <c:ptCount val="1"/>
                <c:pt idx="0">
                  <c:v>Dhaka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Analysis'!$C$76:$G$76</c:f>
              <c:numCache>
                <c:formatCode>0.000</c:formatCode>
                <c:ptCount val="5"/>
                <c:pt idx="0">
                  <c:v>0.92675799959132499</c:v>
                </c:pt>
                <c:pt idx="1">
                  <c:v>0.91716098231907117</c:v>
                </c:pt>
                <c:pt idx="2">
                  <c:v>0.91880427007318566</c:v>
                </c:pt>
                <c:pt idx="3">
                  <c:v>0.92274145543464692</c:v>
                </c:pt>
                <c:pt idx="4">
                  <c:v>0.92662728939916039</c:v>
                </c:pt>
              </c:numCache>
            </c:numRef>
          </c:val>
          <c:smooth val="0"/>
        </c:ser>
        <c:ser>
          <c:idx val="6"/>
          <c:order val="1"/>
          <c:tx>
            <c:strRef>
              <c:f>'Ratio Analysis'!$I$2</c:f>
              <c:strCache>
                <c:ptCount val="1"/>
                <c:pt idx="0">
                  <c:v>BRAC BANK LIMITED</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Analysis'!$K$76:$O$76</c:f>
              <c:numCache>
                <c:formatCode>0.000</c:formatCode>
                <c:ptCount val="5"/>
                <c:pt idx="0">
                  <c:v>0.9363907135866566</c:v>
                </c:pt>
                <c:pt idx="1">
                  <c:v>0.92522455337333542</c:v>
                </c:pt>
                <c:pt idx="2">
                  <c:v>0.9010466233302471</c:v>
                </c:pt>
                <c:pt idx="3">
                  <c:v>0.89343642988026961</c:v>
                </c:pt>
                <c:pt idx="4">
                  <c:v>0.89494870969789708</c:v>
                </c:pt>
              </c:numCache>
            </c:numRef>
          </c:val>
          <c:smooth val="0"/>
        </c:ser>
        <c:ser>
          <c:idx val="1"/>
          <c:order val="2"/>
          <c:tx>
            <c:strRef>
              <c:f>'Ratio Analysis'!$Q$2</c:f>
              <c:strCache>
                <c:ptCount val="1"/>
                <c:pt idx="0">
                  <c:v>Dutch-Bangla Bank Limited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Analysis'!$S$76:$W$76</c:f>
              <c:numCache>
                <c:formatCode>0.000</c:formatCode>
                <c:ptCount val="5"/>
                <c:pt idx="0">
                  <c:v>0.93038353175746036</c:v>
                </c:pt>
                <c:pt idx="1">
                  <c:v>0.93186429540897664</c:v>
                </c:pt>
                <c:pt idx="2">
                  <c:v>0.93218538143665119</c:v>
                </c:pt>
                <c:pt idx="3">
                  <c:v>0.92986988241624924</c:v>
                </c:pt>
                <c:pt idx="4">
                  <c:v>0.93737496058010072</c:v>
                </c:pt>
              </c:numCache>
            </c:numRef>
          </c:val>
          <c:smooth val="0"/>
        </c:ser>
        <c:ser>
          <c:idx val="2"/>
          <c:order val="3"/>
          <c:tx>
            <c:strRef>
              <c:f>'Ratio Analysis'!$Y$2</c:f>
              <c:strCache>
                <c:ptCount val="1"/>
                <c:pt idx="0">
                  <c:v>Bank Asia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Analysis'!$AA$76:$AE$76</c:f>
              <c:numCache>
                <c:formatCode>0.000</c:formatCode>
                <c:ptCount val="5"/>
                <c:pt idx="0">
                  <c:v>0.9071467386870381</c:v>
                </c:pt>
                <c:pt idx="1">
                  <c:v>0.91180913353430915</c:v>
                </c:pt>
                <c:pt idx="2">
                  <c:v>0.90981719491294699</c:v>
                </c:pt>
                <c:pt idx="3">
                  <c:v>0.91715066739943352</c:v>
                </c:pt>
                <c:pt idx="4">
                  <c:v>0.92598687176881178</c:v>
                </c:pt>
              </c:numCache>
            </c:numRef>
          </c:val>
          <c:smooth val="0"/>
        </c:ser>
        <c:ser>
          <c:idx val="3"/>
          <c:order val="4"/>
          <c:tx>
            <c:strRef>
              <c:f>'Ratio Analysis'!$AG$2</c:f>
              <c:strCache>
                <c:ptCount val="1"/>
                <c:pt idx="0">
                  <c:v>IFIC Bank  </c:v>
                </c:pt>
              </c:strCache>
            </c:strRef>
          </c:tx>
          <c:cat>
            <c:numRef>
              <c:f>'Ratio Analysis'!$AI$64:$AM$64</c:f>
              <c:numCache>
                <c:formatCode>General</c:formatCode>
                <c:ptCount val="5"/>
                <c:pt idx="0">
                  <c:v>2012</c:v>
                </c:pt>
                <c:pt idx="1">
                  <c:v>2013</c:v>
                </c:pt>
                <c:pt idx="2">
                  <c:v>2014</c:v>
                </c:pt>
                <c:pt idx="3">
                  <c:v>2015</c:v>
                </c:pt>
                <c:pt idx="4">
                  <c:v>2016</c:v>
                </c:pt>
              </c:numCache>
            </c:numRef>
          </c:cat>
          <c:val>
            <c:numRef>
              <c:f>'Ratio Analysis'!$AI$76:$AM$76</c:f>
              <c:numCache>
                <c:formatCode>0.000</c:formatCode>
                <c:ptCount val="5"/>
                <c:pt idx="0">
                  <c:v>0.93953828125534022</c:v>
                </c:pt>
                <c:pt idx="1">
                  <c:v>0.93623564100847068</c:v>
                </c:pt>
                <c:pt idx="2">
                  <c:v>0.93201862271166935</c:v>
                </c:pt>
                <c:pt idx="3">
                  <c:v>0.93464949773073047</c:v>
                </c:pt>
                <c:pt idx="4">
                  <c:v>0.93483746269193013</c:v>
                </c:pt>
              </c:numCache>
            </c:numRef>
          </c:val>
          <c:smooth val="0"/>
        </c:ser>
        <c:dLbls>
          <c:showLegendKey val="0"/>
          <c:showVal val="0"/>
          <c:showCatName val="0"/>
          <c:showSerName val="0"/>
          <c:showPercent val="0"/>
          <c:showBubbleSize val="0"/>
        </c:dLbls>
        <c:marker val="1"/>
        <c:smooth val="0"/>
        <c:axId val="159405568"/>
        <c:axId val="159407104"/>
      </c:lineChart>
      <c:catAx>
        <c:axId val="159405568"/>
        <c:scaling>
          <c:orientation val="minMax"/>
        </c:scaling>
        <c:delete val="0"/>
        <c:axPos val="b"/>
        <c:numFmt formatCode="General" sourceLinked="1"/>
        <c:majorTickMark val="out"/>
        <c:minorTickMark val="none"/>
        <c:tickLblPos val="nextTo"/>
        <c:crossAx val="159407104"/>
        <c:crosses val="autoZero"/>
        <c:auto val="1"/>
        <c:lblAlgn val="ctr"/>
        <c:lblOffset val="100"/>
        <c:noMultiLvlLbl val="0"/>
      </c:catAx>
      <c:valAx>
        <c:axId val="159407104"/>
        <c:scaling>
          <c:orientation val="minMax"/>
        </c:scaling>
        <c:delete val="0"/>
        <c:axPos val="l"/>
        <c:majorGridlines/>
        <c:numFmt formatCode="0.000" sourceLinked="1"/>
        <c:majorTickMark val="out"/>
        <c:minorTickMark val="none"/>
        <c:tickLblPos val="nextTo"/>
        <c:crossAx val="159405568"/>
        <c:crosses val="autoZero"/>
        <c:crossBetween val="between"/>
      </c:valAx>
    </c:plotArea>
    <c:legend>
      <c:legendPos val="r"/>
      <c:layout>
        <c:manualLayout>
          <c:xMode val="edge"/>
          <c:yMode val="edge"/>
          <c:x val="0.73476469394873045"/>
          <c:y val="0.18265534191525146"/>
          <c:w val="0.23924835579078443"/>
          <c:h val="0.65016178305580652"/>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800" b="1" i="0" u="none" strike="noStrike" baseline="0">
                <a:effectLst/>
              </a:rPr>
              <a:t>Long term debt ratio</a:t>
            </a:r>
            <a:endParaRPr lang="en-US"/>
          </a:p>
        </c:rich>
      </c:tx>
      <c:layout>
        <c:manualLayout>
          <c:xMode val="edge"/>
          <c:yMode val="edge"/>
          <c:x val="0.3533563248219298"/>
          <c:y val="3.1746031746031744E-2"/>
        </c:manualLayout>
      </c:layout>
      <c:overlay val="0"/>
    </c:title>
    <c:autoTitleDeleted val="0"/>
    <c:plotArea>
      <c:layout>
        <c:manualLayout>
          <c:layoutTarget val="inner"/>
          <c:xMode val="edge"/>
          <c:yMode val="edge"/>
          <c:x val="0.10003607592727076"/>
          <c:y val="0.2174990730388412"/>
          <c:w val="0.61131525171271794"/>
          <c:h val="0.6530088284147072"/>
        </c:manualLayout>
      </c:layout>
      <c:barChart>
        <c:barDir val="col"/>
        <c:grouping val="clustered"/>
        <c:varyColors val="0"/>
        <c:ser>
          <c:idx val="0"/>
          <c:order val="0"/>
          <c:tx>
            <c:strRef>
              <c:f>'Ratio Analysis'!$A$2</c:f>
              <c:strCache>
                <c:ptCount val="1"/>
                <c:pt idx="0">
                  <c:v>Dhaka Bank Limited </c:v>
                </c:pt>
              </c:strCache>
            </c:strRef>
          </c:tx>
          <c:invertIfNegative val="0"/>
          <c:cat>
            <c:numRef>
              <c:f>'Ratio Analysis'!$AI$64:$AM$64</c:f>
              <c:numCache>
                <c:formatCode>General</c:formatCode>
                <c:ptCount val="5"/>
                <c:pt idx="0">
                  <c:v>2012</c:v>
                </c:pt>
                <c:pt idx="1">
                  <c:v>2013</c:v>
                </c:pt>
                <c:pt idx="2">
                  <c:v>2014</c:v>
                </c:pt>
                <c:pt idx="3">
                  <c:v>2015</c:v>
                </c:pt>
                <c:pt idx="4">
                  <c:v>2016</c:v>
                </c:pt>
              </c:numCache>
            </c:numRef>
          </c:cat>
          <c:val>
            <c:numRef>
              <c:f>'Ratio Analysis'!$C$79:$G$79</c:f>
              <c:numCache>
                <c:formatCode>0.000</c:formatCode>
                <c:ptCount val="5"/>
                <c:pt idx="0">
                  <c:v>1.1218042471888172</c:v>
                </c:pt>
                <c:pt idx="1">
                  <c:v>1.1402139225540446</c:v>
                </c:pt>
                <c:pt idx="2">
                  <c:v>1.1510614925664244</c:v>
                </c:pt>
                <c:pt idx="3">
                  <c:v>-0.11390104200554811</c:v>
                </c:pt>
                <c:pt idx="4">
                  <c:v>1.1410191454342788</c:v>
                </c:pt>
              </c:numCache>
            </c:numRef>
          </c:val>
        </c:ser>
        <c:ser>
          <c:idx val="1"/>
          <c:order val="1"/>
          <c:tx>
            <c:strRef>
              <c:f>'Ratio Analysis'!$I$2</c:f>
              <c:strCache>
                <c:ptCount val="1"/>
                <c:pt idx="0">
                  <c:v>BRAC BANK LIMITED</c:v>
                </c:pt>
              </c:strCache>
            </c:strRef>
          </c:tx>
          <c:invertIfNegative val="0"/>
          <c:cat>
            <c:numRef>
              <c:f>'Ratio Analysis'!$AI$64:$AM$64</c:f>
              <c:numCache>
                <c:formatCode>General</c:formatCode>
                <c:ptCount val="5"/>
                <c:pt idx="0">
                  <c:v>2012</c:v>
                </c:pt>
                <c:pt idx="1">
                  <c:v>2013</c:v>
                </c:pt>
                <c:pt idx="2">
                  <c:v>2014</c:v>
                </c:pt>
                <c:pt idx="3">
                  <c:v>2015</c:v>
                </c:pt>
                <c:pt idx="4">
                  <c:v>2016</c:v>
                </c:pt>
              </c:numCache>
            </c:numRef>
          </c:cat>
          <c:val>
            <c:numRef>
              <c:f>'Ratio Analysis'!$K$79:$O$79</c:f>
              <c:numCache>
                <c:formatCode>0.000</c:formatCode>
                <c:ptCount val="5"/>
                <c:pt idx="0">
                  <c:v>1.1806361271528667</c:v>
                </c:pt>
                <c:pt idx="1">
                  <c:v>1.2878883293712882</c:v>
                </c:pt>
                <c:pt idx="2">
                  <c:v>1.4773943213250436</c:v>
                </c:pt>
                <c:pt idx="3">
                  <c:v>1.4254030645312343</c:v>
                </c:pt>
                <c:pt idx="4">
                  <c:v>1.3482176236315233</c:v>
                </c:pt>
              </c:numCache>
            </c:numRef>
          </c:val>
        </c:ser>
        <c:ser>
          <c:idx val="2"/>
          <c:order val="2"/>
          <c:tx>
            <c:strRef>
              <c:f>'Ratio Analysis'!$Q$2</c:f>
              <c:strCache>
                <c:ptCount val="1"/>
                <c:pt idx="0">
                  <c:v>Dutch-Bangla Bank Limited  </c:v>
                </c:pt>
              </c:strCache>
            </c:strRef>
          </c:tx>
          <c:invertIfNegative val="0"/>
          <c:cat>
            <c:numRef>
              <c:f>'Ratio Analysis'!$AI$64:$AM$64</c:f>
              <c:numCache>
                <c:formatCode>General</c:formatCode>
                <c:ptCount val="5"/>
                <c:pt idx="0">
                  <c:v>2012</c:v>
                </c:pt>
                <c:pt idx="1">
                  <c:v>2013</c:v>
                </c:pt>
                <c:pt idx="2">
                  <c:v>2014</c:v>
                </c:pt>
                <c:pt idx="3">
                  <c:v>2015</c:v>
                </c:pt>
                <c:pt idx="4">
                  <c:v>2016</c:v>
                </c:pt>
              </c:numCache>
            </c:numRef>
          </c:cat>
          <c:val>
            <c:numRef>
              <c:f>'Ratio Analysis'!$S$79:$W$79</c:f>
              <c:numCache>
                <c:formatCode>0.000</c:formatCode>
                <c:ptCount val="5"/>
                <c:pt idx="0">
                  <c:v>-0.12408391147428638</c:v>
                </c:pt>
                <c:pt idx="1">
                  <c:v>-0.30813120095858859</c:v>
                </c:pt>
                <c:pt idx="2">
                  <c:v>-0.47238227287503898</c:v>
                </c:pt>
                <c:pt idx="3">
                  <c:v>-0.35635911100337281</c:v>
                </c:pt>
                <c:pt idx="4">
                  <c:v>-0.26505104689963732</c:v>
                </c:pt>
              </c:numCache>
            </c:numRef>
          </c:val>
        </c:ser>
        <c:ser>
          <c:idx val="3"/>
          <c:order val="3"/>
          <c:tx>
            <c:strRef>
              <c:f>'Ratio Analysis'!$Y$2</c:f>
              <c:strCache>
                <c:ptCount val="1"/>
                <c:pt idx="0">
                  <c:v>Bank Asia  </c:v>
                </c:pt>
              </c:strCache>
            </c:strRef>
          </c:tx>
          <c:invertIfNegative val="0"/>
          <c:cat>
            <c:numRef>
              <c:f>'Ratio Analysis'!$AI$64:$AM$64</c:f>
              <c:numCache>
                <c:formatCode>General</c:formatCode>
                <c:ptCount val="5"/>
                <c:pt idx="0">
                  <c:v>2012</c:v>
                </c:pt>
                <c:pt idx="1">
                  <c:v>2013</c:v>
                </c:pt>
                <c:pt idx="2">
                  <c:v>2014</c:v>
                </c:pt>
                <c:pt idx="3">
                  <c:v>2015</c:v>
                </c:pt>
                <c:pt idx="4">
                  <c:v>2016</c:v>
                </c:pt>
              </c:numCache>
            </c:numRef>
          </c:cat>
          <c:val>
            <c:numRef>
              <c:f>'Ratio Analysis'!$AA$79:$AE$79</c:f>
              <c:numCache>
                <c:formatCode>0.000</c:formatCode>
                <c:ptCount val="5"/>
                <c:pt idx="0">
                  <c:v>1.1854890912334488</c:v>
                </c:pt>
                <c:pt idx="1">
                  <c:v>1.1655899327542187</c:v>
                </c:pt>
                <c:pt idx="2">
                  <c:v>1.1956656261140703</c:v>
                </c:pt>
                <c:pt idx="3">
                  <c:v>1.1874776319445408</c:v>
                </c:pt>
                <c:pt idx="4">
                  <c:v>1.1736072635888779</c:v>
                </c:pt>
              </c:numCache>
            </c:numRef>
          </c:val>
        </c:ser>
        <c:ser>
          <c:idx val="4"/>
          <c:order val="4"/>
          <c:tx>
            <c:strRef>
              <c:f>'Ratio Analysis'!$AG$2</c:f>
              <c:strCache>
                <c:ptCount val="1"/>
                <c:pt idx="0">
                  <c:v>IFIC Bank  </c:v>
                </c:pt>
              </c:strCache>
            </c:strRef>
          </c:tx>
          <c:invertIfNegative val="0"/>
          <c:cat>
            <c:numRef>
              <c:f>'Ratio Analysis'!$AI$64:$AM$64</c:f>
              <c:numCache>
                <c:formatCode>General</c:formatCode>
                <c:ptCount val="5"/>
                <c:pt idx="0">
                  <c:v>2012</c:v>
                </c:pt>
                <c:pt idx="1">
                  <c:v>2013</c:v>
                </c:pt>
                <c:pt idx="2">
                  <c:v>2014</c:v>
                </c:pt>
                <c:pt idx="3">
                  <c:v>2015</c:v>
                </c:pt>
                <c:pt idx="4">
                  <c:v>2016</c:v>
                </c:pt>
              </c:numCache>
            </c:numRef>
          </c:cat>
          <c:val>
            <c:numRef>
              <c:f>'Ratio Analysis'!$AI$79:$AM$79</c:f>
              <c:numCache>
                <c:formatCode>0.000</c:formatCode>
                <c:ptCount val="5"/>
                <c:pt idx="0">
                  <c:v>1.1124628350139425</c:v>
                </c:pt>
                <c:pt idx="1">
                  <c:v>1.1254093062838824</c:v>
                </c:pt>
                <c:pt idx="2">
                  <c:v>1.1274179150253538</c:v>
                </c:pt>
                <c:pt idx="3">
                  <c:v>1.1269739451608376</c:v>
                </c:pt>
                <c:pt idx="4">
                  <c:v>1.1273965473663732</c:v>
                </c:pt>
              </c:numCache>
            </c:numRef>
          </c:val>
        </c:ser>
        <c:dLbls>
          <c:showLegendKey val="0"/>
          <c:showVal val="0"/>
          <c:showCatName val="0"/>
          <c:showSerName val="0"/>
          <c:showPercent val="0"/>
          <c:showBubbleSize val="0"/>
        </c:dLbls>
        <c:gapWidth val="150"/>
        <c:axId val="159639808"/>
        <c:axId val="159641600"/>
      </c:barChart>
      <c:catAx>
        <c:axId val="159639808"/>
        <c:scaling>
          <c:orientation val="minMax"/>
        </c:scaling>
        <c:delete val="0"/>
        <c:axPos val="b"/>
        <c:numFmt formatCode="General" sourceLinked="1"/>
        <c:majorTickMark val="out"/>
        <c:minorTickMark val="none"/>
        <c:tickLblPos val="nextTo"/>
        <c:crossAx val="159641600"/>
        <c:crosses val="autoZero"/>
        <c:auto val="1"/>
        <c:lblAlgn val="ctr"/>
        <c:lblOffset val="100"/>
        <c:noMultiLvlLbl val="0"/>
      </c:catAx>
      <c:valAx>
        <c:axId val="159641600"/>
        <c:scaling>
          <c:orientation val="minMax"/>
        </c:scaling>
        <c:delete val="0"/>
        <c:axPos val="l"/>
        <c:majorGridlines/>
        <c:numFmt formatCode="0.000" sourceLinked="1"/>
        <c:majorTickMark val="out"/>
        <c:minorTickMark val="none"/>
        <c:tickLblPos val="nextTo"/>
        <c:crossAx val="159639808"/>
        <c:crosses val="autoZero"/>
        <c:crossBetween val="between"/>
      </c:valAx>
    </c:plotArea>
    <c:legend>
      <c:legendPos val="r"/>
      <c:layout>
        <c:manualLayout>
          <c:xMode val="edge"/>
          <c:yMode val="edge"/>
          <c:x val="0.73157191127526588"/>
          <c:y val="0.22307903852960292"/>
          <c:w val="0.25033231187596394"/>
          <c:h val="0.6398440547732121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8030</Words>
  <Characters>45775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Shakhawath</dc:creator>
  <cp:lastModifiedBy>Zinnatun Nesa</cp:lastModifiedBy>
  <cp:revision>3</cp:revision>
  <dcterms:created xsi:type="dcterms:W3CDTF">2018-07-14T08:23:00Z</dcterms:created>
  <dcterms:modified xsi:type="dcterms:W3CDTF">2018-07-14T08:23:00Z</dcterms:modified>
</cp:coreProperties>
</file>