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69D" w:rsidRPr="0075446D" w:rsidRDefault="00E80DA5" w:rsidP="00EF6CDA">
      <w:pPr>
        <w:spacing w:line="360" w:lineRule="auto"/>
        <w:jc w:val="center"/>
        <w:rPr>
          <w:rFonts w:ascii="Imprint MT Shadow" w:hAnsi="Imprint MT Shadow" w:cs="David"/>
          <w:sz w:val="92"/>
          <w:szCs w:val="92"/>
        </w:rPr>
      </w:pPr>
      <w:r w:rsidRPr="0075446D">
        <w:rPr>
          <w:rFonts w:ascii="Imprint MT Shadow" w:hAnsi="Imprint MT Shadow" w:cs="David"/>
          <w:sz w:val="92"/>
          <w:szCs w:val="92"/>
        </w:rPr>
        <w:t>Internship Report</w:t>
      </w:r>
    </w:p>
    <w:p w:rsidR="00A20D1C" w:rsidRPr="0075446D" w:rsidRDefault="00E80DA5" w:rsidP="00A20D1C">
      <w:pPr>
        <w:spacing w:line="360" w:lineRule="auto"/>
        <w:jc w:val="center"/>
        <w:rPr>
          <w:rFonts w:ascii="Imprint MT Shadow" w:hAnsi="Imprint MT Shadow" w:cs="David"/>
          <w:sz w:val="92"/>
          <w:szCs w:val="92"/>
        </w:rPr>
      </w:pPr>
      <w:r w:rsidRPr="0075446D">
        <w:rPr>
          <w:rFonts w:ascii="Imprint MT Shadow" w:hAnsi="Imprint MT Shadow" w:cs="David"/>
          <w:sz w:val="92"/>
          <w:szCs w:val="92"/>
        </w:rPr>
        <w:t xml:space="preserve">On </w:t>
      </w:r>
    </w:p>
    <w:p w:rsidR="00A20D1C" w:rsidRPr="0075446D" w:rsidRDefault="00A20D1C" w:rsidP="00A20D1C">
      <w:pPr>
        <w:spacing w:line="360" w:lineRule="auto"/>
        <w:jc w:val="center"/>
        <w:rPr>
          <w:rFonts w:ascii="Imprint MT Shadow" w:hAnsi="Imprint MT Shadow" w:cs="David"/>
          <w:sz w:val="92"/>
          <w:szCs w:val="92"/>
        </w:rPr>
      </w:pPr>
      <w:r w:rsidRPr="0075446D">
        <w:rPr>
          <w:rFonts w:ascii="Imprint MT Shadow" w:hAnsi="Imprint MT Shadow" w:cs="David"/>
          <w:sz w:val="92"/>
          <w:szCs w:val="92"/>
        </w:rPr>
        <w:t>Determination of Value of a Public Limited Company:</w:t>
      </w:r>
      <w:r w:rsidR="00640458" w:rsidRPr="0075446D">
        <w:rPr>
          <w:rFonts w:ascii="Imprint MT Shadow" w:hAnsi="Imprint MT Shadow" w:cs="David"/>
          <w:sz w:val="92"/>
          <w:szCs w:val="92"/>
        </w:rPr>
        <w:t xml:space="preserve"> </w:t>
      </w:r>
    </w:p>
    <w:p w:rsidR="00640458" w:rsidRPr="0075446D" w:rsidRDefault="00A20D1C" w:rsidP="00EF6CDA">
      <w:pPr>
        <w:spacing w:line="360" w:lineRule="auto"/>
        <w:jc w:val="center"/>
        <w:rPr>
          <w:rFonts w:ascii="Castellar" w:hAnsi="Castellar" w:cs="Times New Roman"/>
          <w:sz w:val="92"/>
          <w:szCs w:val="92"/>
        </w:rPr>
      </w:pPr>
      <w:r w:rsidRPr="0075446D">
        <w:rPr>
          <w:rFonts w:ascii="Imprint MT Shadow" w:hAnsi="Imprint MT Shadow" w:cs="David"/>
          <w:sz w:val="92"/>
          <w:szCs w:val="92"/>
        </w:rPr>
        <w:t>A Case Study of Grameenphone</w:t>
      </w:r>
      <w:r w:rsidR="001272F0" w:rsidRPr="0075446D">
        <w:rPr>
          <w:rFonts w:ascii="Imprint MT Shadow" w:hAnsi="Imprint MT Shadow" w:cs="David"/>
          <w:sz w:val="92"/>
          <w:szCs w:val="92"/>
        </w:rPr>
        <w:t xml:space="preserve"> </w:t>
      </w:r>
      <w:r w:rsidR="00104F91" w:rsidRPr="0075446D">
        <w:rPr>
          <w:rFonts w:ascii="Imprint MT Shadow" w:hAnsi="Imprint MT Shadow" w:cs="David"/>
          <w:sz w:val="92"/>
          <w:szCs w:val="92"/>
        </w:rPr>
        <w:t>Limited</w:t>
      </w:r>
    </w:p>
    <w:p w:rsidR="00640458" w:rsidRPr="00591C50" w:rsidRDefault="00640458" w:rsidP="00C20AC0">
      <w:pPr>
        <w:spacing w:line="360" w:lineRule="auto"/>
        <w:jc w:val="center"/>
        <w:rPr>
          <w:rFonts w:ascii="Times New Roman" w:hAnsi="Times New Roman" w:cs="Times New Roman"/>
          <w:b/>
          <w:sz w:val="28"/>
          <w:szCs w:val="28"/>
          <w:u w:val="single"/>
        </w:rPr>
      </w:pPr>
      <w:r w:rsidRPr="00591C50">
        <w:rPr>
          <w:rFonts w:ascii="Times New Roman" w:hAnsi="Times New Roman" w:cs="Times New Roman"/>
          <w:noProof/>
        </w:rPr>
        <w:lastRenderedPageBreak/>
        <w:drawing>
          <wp:inline distT="0" distB="0" distL="0" distR="0" wp14:anchorId="2392A2B5" wp14:editId="4B78C5F5">
            <wp:extent cx="1495425" cy="1281489"/>
            <wp:effectExtent l="19050" t="0" r="9525" b="0"/>
            <wp:docPr id="3" name="Picture 1" descr="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U"/>
                    <pic:cNvPicPr>
                      <a:picLocks noChangeAspect="1" noChangeArrowheads="1"/>
                    </pic:cNvPicPr>
                  </pic:nvPicPr>
                  <pic:blipFill>
                    <a:blip r:embed="rId9"/>
                    <a:srcRect/>
                    <a:stretch>
                      <a:fillRect/>
                    </a:stretch>
                  </pic:blipFill>
                  <pic:spPr bwMode="auto">
                    <a:xfrm>
                      <a:off x="0" y="0"/>
                      <a:ext cx="1501814" cy="1286964"/>
                    </a:xfrm>
                    <a:prstGeom prst="rect">
                      <a:avLst/>
                    </a:prstGeom>
                    <a:noFill/>
                    <a:ln w="9525">
                      <a:noFill/>
                      <a:miter lim="800000"/>
                      <a:headEnd/>
                      <a:tailEnd/>
                    </a:ln>
                  </pic:spPr>
                </pic:pic>
              </a:graphicData>
            </a:graphic>
          </wp:inline>
        </w:drawing>
      </w:r>
    </w:p>
    <w:p w:rsidR="00C20AC0" w:rsidRDefault="00640458" w:rsidP="003E2D30">
      <w:pPr>
        <w:spacing w:line="360" w:lineRule="auto"/>
        <w:jc w:val="center"/>
        <w:rPr>
          <w:rFonts w:ascii="Times New Roman" w:hAnsi="Times New Roman" w:cs="Times New Roman"/>
          <w:b/>
          <w:sz w:val="28"/>
          <w:szCs w:val="28"/>
        </w:rPr>
      </w:pPr>
      <w:r w:rsidRPr="00C20AC0">
        <w:rPr>
          <w:rFonts w:ascii="Times New Roman" w:hAnsi="Times New Roman" w:cs="Times New Roman"/>
          <w:b/>
          <w:sz w:val="28"/>
          <w:szCs w:val="28"/>
        </w:rPr>
        <w:t>UNITED INTERNATIONAL UNIVERSITY</w:t>
      </w:r>
    </w:p>
    <w:p w:rsidR="003E2D30" w:rsidRDefault="003E2D30" w:rsidP="00591C50">
      <w:pPr>
        <w:spacing w:line="360" w:lineRule="auto"/>
        <w:jc w:val="center"/>
        <w:rPr>
          <w:rFonts w:ascii="Times New Roman" w:hAnsi="Times New Roman" w:cs="Times New Roman"/>
          <w:b/>
          <w:sz w:val="28"/>
          <w:szCs w:val="28"/>
        </w:rPr>
      </w:pPr>
    </w:p>
    <w:p w:rsidR="00805858" w:rsidRDefault="00374EFB" w:rsidP="00591C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Internship Report</w:t>
      </w:r>
    </w:p>
    <w:p w:rsidR="003E2D30" w:rsidRDefault="003E2D30" w:rsidP="00591C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On </w:t>
      </w:r>
    </w:p>
    <w:p w:rsidR="003E2D30" w:rsidRDefault="003D73D9" w:rsidP="00591C5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Determination</w:t>
      </w:r>
      <w:r w:rsidR="003E2D30">
        <w:rPr>
          <w:rFonts w:ascii="Times New Roman" w:hAnsi="Times New Roman" w:cs="Times New Roman"/>
          <w:b/>
          <w:sz w:val="28"/>
          <w:szCs w:val="28"/>
        </w:rPr>
        <w:t xml:space="preserve"> of Value of a Public Limited Company:</w:t>
      </w:r>
    </w:p>
    <w:p w:rsidR="00C20AC0" w:rsidRDefault="003E2D30" w:rsidP="00A20D1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A Case </w:t>
      </w:r>
      <w:r w:rsidR="00F16B37">
        <w:rPr>
          <w:rFonts w:ascii="Times New Roman" w:hAnsi="Times New Roman" w:cs="Times New Roman"/>
          <w:b/>
          <w:sz w:val="28"/>
          <w:szCs w:val="28"/>
        </w:rPr>
        <w:t>S</w:t>
      </w:r>
      <w:r>
        <w:rPr>
          <w:rFonts w:ascii="Times New Roman" w:hAnsi="Times New Roman" w:cs="Times New Roman"/>
          <w:b/>
          <w:sz w:val="28"/>
          <w:szCs w:val="28"/>
        </w:rPr>
        <w:t>tudy of Grameenphone</w:t>
      </w:r>
      <w:r w:rsidR="00104F91">
        <w:rPr>
          <w:rFonts w:ascii="Times New Roman" w:hAnsi="Times New Roman" w:cs="Times New Roman"/>
          <w:b/>
          <w:sz w:val="28"/>
          <w:szCs w:val="28"/>
        </w:rPr>
        <w:t xml:space="preserve"> </w:t>
      </w:r>
      <w:r w:rsidR="003D73D9">
        <w:rPr>
          <w:rFonts w:ascii="Times New Roman" w:hAnsi="Times New Roman" w:cs="Times New Roman"/>
          <w:b/>
          <w:sz w:val="28"/>
          <w:szCs w:val="28"/>
        </w:rPr>
        <w:t>Limit</w:t>
      </w:r>
      <w:r w:rsidR="009F6148">
        <w:rPr>
          <w:rFonts w:ascii="Times New Roman" w:hAnsi="Times New Roman" w:cs="Times New Roman"/>
          <w:b/>
          <w:sz w:val="28"/>
          <w:szCs w:val="28"/>
        </w:rPr>
        <w:t>ed</w:t>
      </w:r>
      <w:bookmarkStart w:id="0" w:name="_GoBack"/>
      <w:bookmarkEnd w:id="0"/>
    </w:p>
    <w:p w:rsidR="003E2D30" w:rsidRDefault="003E2D30" w:rsidP="00591C50">
      <w:pPr>
        <w:spacing w:line="360" w:lineRule="auto"/>
        <w:jc w:val="center"/>
        <w:rPr>
          <w:rFonts w:ascii="Times New Roman" w:hAnsi="Times New Roman" w:cs="Times New Roman"/>
          <w:b/>
          <w:sz w:val="24"/>
          <w:szCs w:val="24"/>
        </w:rPr>
      </w:pPr>
    </w:p>
    <w:p w:rsidR="00640458" w:rsidRPr="00591C50" w:rsidRDefault="00640458" w:rsidP="00591C50">
      <w:pPr>
        <w:spacing w:line="360" w:lineRule="auto"/>
        <w:jc w:val="center"/>
        <w:rPr>
          <w:rFonts w:ascii="Times New Roman" w:hAnsi="Times New Roman" w:cs="Times New Roman"/>
          <w:b/>
          <w:sz w:val="24"/>
          <w:szCs w:val="24"/>
        </w:rPr>
      </w:pPr>
      <w:r w:rsidRPr="00591C50">
        <w:rPr>
          <w:rFonts w:ascii="Times New Roman" w:hAnsi="Times New Roman" w:cs="Times New Roman"/>
          <w:b/>
          <w:sz w:val="24"/>
          <w:szCs w:val="24"/>
        </w:rPr>
        <w:t>Submitted To:</w:t>
      </w:r>
    </w:p>
    <w:p w:rsidR="00591C50" w:rsidRPr="00591C50" w:rsidRDefault="00591C50" w:rsidP="00591C50">
      <w:pPr>
        <w:spacing w:line="360" w:lineRule="auto"/>
        <w:jc w:val="center"/>
        <w:rPr>
          <w:rFonts w:ascii="Times New Roman" w:hAnsi="Times New Roman" w:cs="Times New Roman"/>
          <w:sz w:val="24"/>
          <w:szCs w:val="24"/>
        </w:rPr>
      </w:pPr>
      <w:r w:rsidRPr="00591C50">
        <w:rPr>
          <w:rFonts w:ascii="Times New Roman" w:hAnsi="Times New Roman" w:cs="Times New Roman"/>
          <w:sz w:val="24"/>
          <w:szCs w:val="24"/>
        </w:rPr>
        <w:t>Muhammad Enamul Haque,</w:t>
      </w:r>
    </w:p>
    <w:p w:rsidR="00591C50" w:rsidRDefault="00591C50" w:rsidP="00591C50">
      <w:pPr>
        <w:spacing w:line="360" w:lineRule="auto"/>
        <w:jc w:val="center"/>
        <w:rPr>
          <w:rFonts w:ascii="Times New Roman" w:hAnsi="Times New Roman" w:cs="Times New Roman"/>
          <w:sz w:val="24"/>
          <w:szCs w:val="24"/>
        </w:rPr>
      </w:pPr>
      <w:r w:rsidRPr="00591C50">
        <w:rPr>
          <w:rFonts w:ascii="Times New Roman" w:hAnsi="Times New Roman" w:cs="Times New Roman"/>
          <w:sz w:val="24"/>
          <w:szCs w:val="24"/>
        </w:rPr>
        <w:t>Assistant Professor</w:t>
      </w:r>
    </w:p>
    <w:p w:rsidR="00640458" w:rsidRPr="00591C50" w:rsidRDefault="00591C50" w:rsidP="00591C50">
      <w:pPr>
        <w:spacing w:line="360" w:lineRule="auto"/>
        <w:jc w:val="center"/>
        <w:rPr>
          <w:rFonts w:ascii="Times New Roman" w:hAnsi="Times New Roman" w:cs="Times New Roman"/>
          <w:sz w:val="24"/>
          <w:szCs w:val="24"/>
        </w:rPr>
      </w:pPr>
      <w:r w:rsidRPr="00591C50">
        <w:rPr>
          <w:rFonts w:ascii="Times New Roman" w:hAnsi="Times New Roman" w:cs="Times New Roman"/>
          <w:sz w:val="24"/>
          <w:szCs w:val="24"/>
        </w:rPr>
        <w:t xml:space="preserve"> </w:t>
      </w:r>
      <w:r w:rsidR="00640458" w:rsidRPr="00591C50">
        <w:rPr>
          <w:rFonts w:ascii="Times New Roman" w:hAnsi="Times New Roman" w:cs="Times New Roman"/>
          <w:sz w:val="24"/>
          <w:szCs w:val="24"/>
        </w:rPr>
        <w:t>School of Business &amp; Economics,</w:t>
      </w:r>
    </w:p>
    <w:p w:rsidR="00640458" w:rsidRPr="00591C50" w:rsidRDefault="00640458" w:rsidP="00591C50">
      <w:pPr>
        <w:spacing w:line="360" w:lineRule="auto"/>
        <w:jc w:val="center"/>
        <w:rPr>
          <w:rFonts w:ascii="Times New Roman" w:hAnsi="Times New Roman" w:cs="Times New Roman"/>
          <w:sz w:val="24"/>
          <w:szCs w:val="24"/>
        </w:rPr>
      </w:pPr>
      <w:r w:rsidRPr="00591C50">
        <w:rPr>
          <w:rFonts w:ascii="Times New Roman" w:hAnsi="Times New Roman" w:cs="Times New Roman"/>
          <w:sz w:val="24"/>
          <w:szCs w:val="24"/>
        </w:rPr>
        <w:t>United International University</w:t>
      </w:r>
    </w:p>
    <w:p w:rsidR="00C20AC0" w:rsidRPr="00591C50" w:rsidRDefault="00C20AC0" w:rsidP="003E2D30">
      <w:pPr>
        <w:spacing w:line="360" w:lineRule="auto"/>
        <w:rPr>
          <w:rFonts w:ascii="Times New Roman" w:hAnsi="Times New Roman" w:cs="Times New Roman"/>
          <w:b/>
          <w:sz w:val="24"/>
          <w:szCs w:val="24"/>
        </w:rPr>
      </w:pPr>
    </w:p>
    <w:p w:rsidR="00640458" w:rsidRPr="00C20AC0" w:rsidRDefault="00640458" w:rsidP="00591C50">
      <w:pPr>
        <w:spacing w:line="360" w:lineRule="auto"/>
        <w:jc w:val="center"/>
        <w:rPr>
          <w:rFonts w:ascii="Times New Roman" w:hAnsi="Times New Roman" w:cs="Times New Roman"/>
          <w:b/>
          <w:sz w:val="24"/>
          <w:szCs w:val="24"/>
        </w:rPr>
      </w:pPr>
      <w:r w:rsidRPr="00C20AC0">
        <w:rPr>
          <w:rFonts w:ascii="Times New Roman" w:hAnsi="Times New Roman" w:cs="Times New Roman"/>
          <w:b/>
          <w:sz w:val="24"/>
          <w:szCs w:val="24"/>
        </w:rPr>
        <w:t>Submitted By:</w:t>
      </w:r>
    </w:p>
    <w:p w:rsidR="00640458" w:rsidRPr="00C20AC0" w:rsidRDefault="00591C50" w:rsidP="00591C50">
      <w:pPr>
        <w:spacing w:line="360" w:lineRule="auto"/>
        <w:jc w:val="center"/>
        <w:rPr>
          <w:rFonts w:ascii="Times New Roman" w:hAnsi="Times New Roman" w:cs="Times New Roman"/>
          <w:sz w:val="24"/>
          <w:szCs w:val="24"/>
        </w:rPr>
      </w:pPr>
      <w:r w:rsidRPr="00C20AC0">
        <w:rPr>
          <w:rFonts w:ascii="Times New Roman" w:hAnsi="Times New Roman" w:cs="Times New Roman"/>
          <w:sz w:val="24"/>
          <w:szCs w:val="24"/>
        </w:rPr>
        <w:t>Farzana Mostofa Orchi</w:t>
      </w:r>
    </w:p>
    <w:p w:rsidR="00C20AC0" w:rsidRDefault="00591C50" w:rsidP="003E2D30">
      <w:pPr>
        <w:spacing w:line="360" w:lineRule="auto"/>
        <w:jc w:val="center"/>
        <w:rPr>
          <w:rFonts w:ascii="Times New Roman" w:hAnsi="Times New Roman" w:cs="Times New Roman"/>
          <w:sz w:val="24"/>
          <w:szCs w:val="24"/>
        </w:rPr>
      </w:pPr>
      <w:r w:rsidRPr="00C20AC0">
        <w:rPr>
          <w:rFonts w:ascii="Times New Roman" w:hAnsi="Times New Roman" w:cs="Times New Roman"/>
          <w:sz w:val="24"/>
          <w:szCs w:val="24"/>
        </w:rPr>
        <w:t>ID: 111 142 048</w:t>
      </w:r>
    </w:p>
    <w:p w:rsidR="00C20AC0" w:rsidRPr="00C20AC0" w:rsidRDefault="00C20AC0" w:rsidP="00591C50">
      <w:pPr>
        <w:spacing w:line="360" w:lineRule="auto"/>
        <w:jc w:val="center"/>
        <w:rPr>
          <w:rFonts w:ascii="Times New Roman" w:hAnsi="Times New Roman" w:cs="Times New Roman"/>
          <w:sz w:val="24"/>
          <w:szCs w:val="24"/>
        </w:rPr>
      </w:pPr>
    </w:p>
    <w:p w:rsidR="00591C50" w:rsidRPr="00707561" w:rsidRDefault="00640458" w:rsidP="00707561">
      <w:pPr>
        <w:spacing w:line="360" w:lineRule="auto"/>
        <w:jc w:val="center"/>
        <w:rPr>
          <w:rFonts w:ascii="Times New Roman" w:hAnsi="Times New Roman" w:cs="Times New Roman"/>
          <w:b/>
          <w:sz w:val="24"/>
          <w:szCs w:val="24"/>
        </w:rPr>
      </w:pPr>
      <w:r w:rsidRPr="00C20AC0">
        <w:rPr>
          <w:rFonts w:ascii="Times New Roman" w:hAnsi="Times New Roman" w:cs="Times New Roman"/>
          <w:b/>
          <w:sz w:val="24"/>
          <w:szCs w:val="24"/>
        </w:rPr>
        <w:t>Sub</w:t>
      </w:r>
      <w:r w:rsidR="00591C50" w:rsidRPr="00C20AC0">
        <w:rPr>
          <w:rFonts w:ascii="Times New Roman" w:hAnsi="Times New Roman" w:cs="Times New Roman"/>
          <w:b/>
          <w:sz w:val="24"/>
          <w:szCs w:val="24"/>
        </w:rPr>
        <w:t xml:space="preserve">mission Date:  </w:t>
      </w:r>
      <w:r w:rsidR="0092466F">
        <w:rPr>
          <w:rFonts w:ascii="Times New Roman" w:hAnsi="Times New Roman" w:cs="Times New Roman"/>
          <w:b/>
          <w:sz w:val="24"/>
          <w:szCs w:val="24"/>
        </w:rPr>
        <w:t>May</w:t>
      </w:r>
      <w:r w:rsidR="00EF3FB4">
        <w:rPr>
          <w:rFonts w:ascii="Times New Roman" w:hAnsi="Times New Roman" w:cs="Times New Roman"/>
          <w:b/>
          <w:sz w:val="24"/>
          <w:szCs w:val="24"/>
        </w:rPr>
        <w:t xml:space="preserve"> </w:t>
      </w:r>
      <w:r w:rsidR="00591C50" w:rsidRPr="00C20AC0">
        <w:rPr>
          <w:rFonts w:ascii="Times New Roman" w:hAnsi="Times New Roman" w:cs="Times New Roman"/>
          <w:b/>
          <w:sz w:val="24"/>
          <w:szCs w:val="24"/>
        </w:rPr>
        <w:t>20, 2019</w:t>
      </w:r>
    </w:p>
    <w:p w:rsidR="00640458" w:rsidRPr="00835F17" w:rsidRDefault="00640458" w:rsidP="00591C50">
      <w:pPr>
        <w:pStyle w:val="Heading1"/>
        <w:spacing w:line="360" w:lineRule="auto"/>
        <w:jc w:val="center"/>
        <w:rPr>
          <w:rFonts w:ascii="Times New Roman" w:hAnsi="Times New Roman" w:cs="Times New Roman"/>
          <w:b/>
          <w:color w:val="8496B0" w:themeColor="text2" w:themeTint="99"/>
          <w:sz w:val="32"/>
          <w:szCs w:val="32"/>
        </w:rPr>
      </w:pPr>
      <w:bookmarkStart w:id="1" w:name="_Toc9422044"/>
      <w:r w:rsidRPr="00835F17">
        <w:rPr>
          <w:rFonts w:ascii="Times New Roman" w:hAnsi="Times New Roman" w:cs="Times New Roman"/>
          <w:b/>
          <w:color w:val="8496B0" w:themeColor="text2" w:themeTint="99"/>
          <w:sz w:val="32"/>
          <w:szCs w:val="32"/>
        </w:rPr>
        <w:lastRenderedPageBreak/>
        <w:t>Letter of Transmittal</w:t>
      </w:r>
      <w:bookmarkEnd w:id="1"/>
    </w:p>
    <w:p w:rsidR="00640458" w:rsidRPr="00D51C4F" w:rsidRDefault="00640458" w:rsidP="00591C50">
      <w:pPr>
        <w:spacing w:line="360" w:lineRule="auto"/>
        <w:jc w:val="center"/>
        <w:rPr>
          <w:rFonts w:ascii="Times New Roman" w:hAnsi="Times New Roman" w:cs="Times New Roman"/>
          <w:b/>
          <w:bCs/>
          <w:color w:val="8496B0" w:themeColor="text2" w:themeTint="99"/>
          <w:sz w:val="28"/>
          <w:szCs w:val="28"/>
          <w:u w:val="single"/>
        </w:rPr>
      </w:pPr>
    </w:p>
    <w:p w:rsidR="00640458" w:rsidRPr="00494E54" w:rsidRDefault="00640458" w:rsidP="00591C50">
      <w:pPr>
        <w:spacing w:line="360" w:lineRule="auto"/>
        <w:jc w:val="center"/>
        <w:rPr>
          <w:rFonts w:ascii="Times New Roman" w:hAnsi="Times New Roman" w:cs="Times New Roman"/>
          <w:bCs/>
          <w:sz w:val="24"/>
          <w:szCs w:val="24"/>
        </w:rPr>
      </w:pPr>
    </w:p>
    <w:p w:rsidR="00640458" w:rsidRPr="00494E54" w:rsidRDefault="00640458" w:rsidP="00591C50">
      <w:pPr>
        <w:spacing w:line="360" w:lineRule="auto"/>
        <w:rPr>
          <w:rFonts w:ascii="Times New Roman" w:hAnsi="Times New Roman" w:cs="Times New Roman"/>
          <w:bCs/>
          <w:sz w:val="24"/>
          <w:szCs w:val="24"/>
        </w:rPr>
      </w:pPr>
      <w:r>
        <w:rPr>
          <w:rFonts w:ascii="Times New Roman" w:hAnsi="Times New Roman" w:cs="Times New Roman"/>
          <w:bCs/>
          <w:sz w:val="24"/>
          <w:szCs w:val="24"/>
        </w:rPr>
        <w:t>20</w:t>
      </w:r>
      <w:r w:rsidRPr="00F106D6">
        <w:rPr>
          <w:rFonts w:ascii="Times New Roman" w:hAnsi="Times New Roman" w:cs="Times New Roman"/>
          <w:bCs/>
          <w:sz w:val="24"/>
          <w:szCs w:val="24"/>
          <w:vertAlign w:val="superscript"/>
        </w:rPr>
        <w:t>th</w:t>
      </w:r>
      <w:r w:rsidR="006747AB">
        <w:rPr>
          <w:rFonts w:ascii="Times New Roman" w:hAnsi="Times New Roman" w:cs="Times New Roman"/>
          <w:bCs/>
          <w:sz w:val="24"/>
          <w:szCs w:val="24"/>
        </w:rPr>
        <w:t xml:space="preserve"> February</w:t>
      </w:r>
      <w:r w:rsidRPr="00494E54">
        <w:rPr>
          <w:rFonts w:ascii="Times New Roman" w:hAnsi="Times New Roman" w:cs="Times New Roman"/>
          <w:bCs/>
          <w:sz w:val="24"/>
          <w:szCs w:val="24"/>
        </w:rPr>
        <w:t>,</w:t>
      </w:r>
      <w:r w:rsidR="00316A46">
        <w:rPr>
          <w:rFonts w:ascii="Times New Roman" w:hAnsi="Times New Roman" w:cs="Times New Roman"/>
          <w:bCs/>
          <w:sz w:val="24"/>
          <w:szCs w:val="24"/>
        </w:rPr>
        <w:t xml:space="preserve"> 2019</w:t>
      </w:r>
    </w:p>
    <w:p w:rsidR="00640458" w:rsidRPr="00494E54" w:rsidRDefault="00DA2BF5" w:rsidP="00C4474B">
      <w:pPr>
        <w:spacing w:line="360" w:lineRule="auto"/>
        <w:jc w:val="both"/>
        <w:rPr>
          <w:rFonts w:ascii="Times New Roman" w:hAnsi="Times New Roman" w:cs="Times New Roman"/>
          <w:bCs/>
          <w:sz w:val="24"/>
          <w:szCs w:val="24"/>
        </w:rPr>
      </w:pPr>
      <w:r w:rsidRPr="00DA2BF5">
        <w:rPr>
          <w:rFonts w:ascii="Times New Roman" w:hAnsi="Times New Roman" w:cs="Times New Roman"/>
          <w:noProof/>
          <w:sz w:val="24"/>
          <w:szCs w:val="24"/>
        </w:rPr>
        <w:t>Muhammad Enamul Haque</w:t>
      </w:r>
      <w:r w:rsidR="00640458" w:rsidRPr="00494E54">
        <w:rPr>
          <w:rFonts w:ascii="Times New Roman" w:hAnsi="Times New Roman" w:cs="Times New Roman"/>
          <w:noProof/>
          <w:sz w:val="24"/>
          <w:szCs w:val="24"/>
        </w:rPr>
        <w:t>,</w:t>
      </w:r>
    </w:p>
    <w:p w:rsidR="00DA2BF5" w:rsidRDefault="00DA2BF5" w:rsidP="00C4474B">
      <w:pPr>
        <w:spacing w:line="360" w:lineRule="auto"/>
        <w:jc w:val="both"/>
        <w:rPr>
          <w:rFonts w:ascii="Times New Roman" w:hAnsi="Times New Roman" w:cs="Times New Roman"/>
          <w:bCs/>
          <w:sz w:val="24"/>
          <w:szCs w:val="24"/>
        </w:rPr>
      </w:pPr>
      <w:r w:rsidRPr="00DA2BF5">
        <w:rPr>
          <w:rFonts w:ascii="Times New Roman" w:hAnsi="Times New Roman" w:cs="Times New Roman"/>
          <w:bCs/>
          <w:sz w:val="24"/>
          <w:szCs w:val="24"/>
        </w:rPr>
        <w:t xml:space="preserve">Assistant Professor </w:t>
      </w:r>
    </w:p>
    <w:p w:rsidR="00640458" w:rsidRPr="00494E54"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School of Business &amp; Economics</w:t>
      </w:r>
    </w:p>
    <w:p w:rsidR="00640458" w:rsidRPr="00494E54"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United International University</w:t>
      </w:r>
    </w:p>
    <w:p w:rsidR="00640458" w:rsidRPr="00494E54"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 xml:space="preserve">Subject: Submission of </w:t>
      </w:r>
      <w:r w:rsidR="00DA2BF5">
        <w:rPr>
          <w:rFonts w:ascii="Times New Roman" w:hAnsi="Times New Roman" w:cs="Times New Roman"/>
          <w:bCs/>
          <w:sz w:val="24"/>
          <w:szCs w:val="24"/>
        </w:rPr>
        <w:t xml:space="preserve">internship </w:t>
      </w:r>
      <w:r w:rsidRPr="00494E54">
        <w:rPr>
          <w:rFonts w:ascii="Times New Roman" w:hAnsi="Times New Roman" w:cs="Times New Roman"/>
          <w:bCs/>
          <w:sz w:val="24"/>
          <w:szCs w:val="24"/>
        </w:rPr>
        <w:t>report</w:t>
      </w:r>
    </w:p>
    <w:p w:rsidR="00640458" w:rsidRPr="00494E54"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Dear Sir,</w:t>
      </w:r>
    </w:p>
    <w:p w:rsidR="00640458" w:rsidRPr="00494E54" w:rsidRDefault="00640458" w:rsidP="00891CD6">
      <w:pPr>
        <w:spacing w:line="360" w:lineRule="auto"/>
        <w:rPr>
          <w:rFonts w:ascii="Times New Roman" w:hAnsi="Times New Roman" w:cs="Times New Roman"/>
          <w:bCs/>
          <w:sz w:val="24"/>
          <w:szCs w:val="24"/>
        </w:rPr>
      </w:pPr>
      <w:r w:rsidRPr="00494E54">
        <w:rPr>
          <w:rFonts w:ascii="Times New Roman" w:hAnsi="Times New Roman" w:cs="Times New Roman"/>
          <w:bCs/>
          <w:sz w:val="24"/>
          <w:szCs w:val="24"/>
        </w:rPr>
        <w:t xml:space="preserve">Here is the </w:t>
      </w:r>
      <w:r w:rsidR="000458B3">
        <w:rPr>
          <w:rFonts w:ascii="Times New Roman" w:hAnsi="Times New Roman" w:cs="Times New Roman"/>
          <w:bCs/>
          <w:sz w:val="24"/>
          <w:szCs w:val="24"/>
        </w:rPr>
        <w:t>internship report that I</w:t>
      </w:r>
      <w:r w:rsidRPr="00494E54">
        <w:rPr>
          <w:rFonts w:ascii="Times New Roman" w:hAnsi="Times New Roman" w:cs="Times New Roman"/>
          <w:bCs/>
          <w:sz w:val="24"/>
          <w:szCs w:val="24"/>
        </w:rPr>
        <w:t xml:space="preserve"> have been assigne</w:t>
      </w:r>
      <w:r w:rsidR="000458B3">
        <w:rPr>
          <w:rFonts w:ascii="Times New Roman" w:hAnsi="Times New Roman" w:cs="Times New Roman"/>
          <w:bCs/>
          <w:sz w:val="24"/>
          <w:szCs w:val="24"/>
        </w:rPr>
        <w:t>d on the topic of “</w:t>
      </w:r>
      <w:r w:rsidR="003A4387" w:rsidRPr="003A4387">
        <w:rPr>
          <w:rFonts w:ascii="Times New Roman" w:hAnsi="Times New Roman" w:cs="Times New Roman"/>
          <w:bCs/>
          <w:sz w:val="24"/>
          <w:szCs w:val="24"/>
        </w:rPr>
        <w:t>Determination of Valu</w:t>
      </w:r>
      <w:r w:rsidR="003A4387">
        <w:rPr>
          <w:rFonts w:ascii="Times New Roman" w:hAnsi="Times New Roman" w:cs="Times New Roman"/>
          <w:bCs/>
          <w:sz w:val="24"/>
          <w:szCs w:val="24"/>
        </w:rPr>
        <w:t xml:space="preserve">e of a Public Limited Company: </w:t>
      </w:r>
      <w:r w:rsidR="003A4387" w:rsidRPr="003A4387">
        <w:rPr>
          <w:rFonts w:ascii="Times New Roman" w:hAnsi="Times New Roman" w:cs="Times New Roman"/>
          <w:bCs/>
          <w:sz w:val="24"/>
          <w:szCs w:val="24"/>
        </w:rPr>
        <w:t>A Case Study of Grameenphone</w:t>
      </w:r>
      <w:r w:rsidR="00891CD6">
        <w:rPr>
          <w:rFonts w:ascii="Times New Roman" w:hAnsi="Times New Roman" w:cs="Times New Roman"/>
          <w:bCs/>
          <w:sz w:val="24"/>
          <w:szCs w:val="24"/>
        </w:rPr>
        <w:t xml:space="preserve"> </w:t>
      </w:r>
      <w:r w:rsidR="00104F91">
        <w:rPr>
          <w:rFonts w:ascii="Times New Roman" w:hAnsi="Times New Roman" w:cs="Times New Roman"/>
          <w:bCs/>
          <w:sz w:val="24"/>
          <w:szCs w:val="24"/>
        </w:rPr>
        <w:t>Limited</w:t>
      </w:r>
      <w:r w:rsidR="000458B3">
        <w:rPr>
          <w:rFonts w:ascii="Times New Roman" w:hAnsi="Times New Roman" w:cs="Times New Roman"/>
          <w:bCs/>
          <w:sz w:val="24"/>
          <w:szCs w:val="24"/>
        </w:rPr>
        <w:t xml:space="preserve">” as I have completed my internship at the research </w:t>
      </w:r>
      <w:r w:rsidR="00E435E0">
        <w:rPr>
          <w:rFonts w:ascii="Times New Roman" w:hAnsi="Times New Roman" w:cs="Times New Roman"/>
          <w:bCs/>
          <w:sz w:val="24"/>
          <w:szCs w:val="24"/>
        </w:rPr>
        <w:t xml:space="preserve">department of UCB Capital Management. </w:t>
      </w:r>
      <w:r w:rsidR="000458B3">
        <w:rPr>
          <w:rFonts w:ascii="Times New Roman" w:hAnsi="Times New Roman" w:cs="Times New Roman"/>
          <w:bCs/>
          <w:sz w:val="24"/>
          <w:szCs w:val="24"/>
        </w:rPr>
        <w:t>The internship report</w:t>
      </w:r>
      <w:r w:rsidRPr="00494E54">
        <w:rPr>
          <w:rFonts w:ascii="Times New Roman" w:hAnsi="Times New Roman" w:cs="Times New Roman"/>
          <w:bCs/>
          <w:sz w:val="24"/>
          <w:szCs w:val="24"/>
        </w:rPr>
        <w:t xml:space="preserve"> has been completed by the </w:t>
      </w:r>
      <w:r w:rsidR="000458B3">
        <w:rPr>
          <w:rFonts w:ascii="Times New Roman" w:hAnsi="Times New Roman" w:cs="Times New Roman"/>
          <w:bCs/>
          <w:sz w:val="24"/>
          <w:szCs w:val="24"/>
        </w:rPr>
        <w:t>knowledge that I</w:t>
      </w:r>
      <w:r w:rsidRPr="00494E54">
        <w:rPr>
          <w:rFonts w:ascii="Times New Roman" w:hAnsi="Times New Roman" w:cs="Times New Roman"/>
          <w:bCs/>
          <w:sz w:val="24"/>
          <w:szCs w:val="24"/>
        </w:rPr>
        <w:t xml:space="preserve"> have gathered from </w:t>
      </w:r>
      <w:r w:rsidR="000458B3">
        <w:rPr>
          <w:rFonts w:ascii="Times New Roman" w:hAnsi="Times New Roman" w:cs="Times New Roman"/>
          <w:bCs/>
          <w:sz w:val="24"/>
          <w:szCs w:val="24"/>
        </w:rPr>
        <w:t>primary and secondary</w:t>
      </w:r>
      <w:r w:rsidRPr="00494E54">
        <w:rPr>
          <w:rFonts w:ascii="Times New Roman" w:hAnsi="Times New Roman" w:cs="Times New Roman"/>
          <w:bCs/>
          <w:sz w:val="24"/>
          <w:szCs w:val="24"/>
        </w:rPr>
        <w:t xml:space="preserve"> resources</w:t>
      </w:r>
      <w:r w:rsidR="000458B3">
        <w:rPr>
          <w:rFonts w:ascii="Times New Roman" w:hAnsi="Times New Roman" w:cs="Times New Roman"/>
          <w:bCs/>
          <w:sz w:val="24"/>
          <w:szCs w:val="24"/>
        </w:rPr>
        <w:t>.</w:t>
      </w:r>
    </w:p>
    <w:p w:rsidR="00640458" w:rsidRPr="00494E54" w:rsidRDefault="000458B3" w:rsidP="00C4474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w:t>
      </w:r>
      <w:r w:rsidR="00640458" w:rsidRPr="00494E54">
        <w:rPr>
          <w:rFonts w:ascii="Times New Roman" w:hAnsi="Times New Roman" w:cs="Times New Roman"/>
          <w:bCs/>
          <w:sz w:val="24"/>
          <w:szCs w:val="24"/>
        </w:rPr>
        <w:t xml:space="preserve"> would be happy if you </w:t>
      </w:r>
      <w:r w:rsidR="00EC723F">
        <w:rPr>
          <w:rFonts w:ascii="Times New Roman" w:hAnsi="Times New Roman" w:cs="Times New Roman"/>
          <w:bCs/>
          <w:sz w:val="24"/>
          <w:szCs w:val="24"/>
        </w:rPr>
        <w:t>read the report carefully and I</w:t>
      </w:r>
      <w:r w:rsidR="00640458" w:rsidRPr="00494E54">
        <w:rPr>
          <w:rFonts w:ascii="Times New Roman" w:hAnsi="Times New Roman" w:cs="Times New Roman"/>
          <w:bCs/>
          <w:sz w:val="24"/>
          <w:szCs w:val="24"/>
        </w:rPr>
        <w:t xml:space="preserve"> will be trying to answer all of the question that y</w:t>
      </w:r>
      <w:r w:rsidR="00EC723F">
        <w:rPr>
          <w:rFonts w:ascii="Times New Roman" w:hAnsi="Times New Roman" w:cs="Times New Roman"/>
          <w:bCs/>
          <w:sz w:val="24"/>
          <w:szCs w:val="24"/>
        </w:rPr>
        <w:t>ou have regarding the report</w:t>
      </w:r>
      <w:r w:rsidR="00640458" w:rsidRPr="00494E54">
        <w:rPr>
          <w:rFonts w:ascii="Times New Roman" w:hAnsi="Times New Roman" w:cs="Times New Roman"/>
          <w:bCs/>
          <w:sz w:val="24"/>
          <w:szCs w:val="24"/>
        </w:rPr>
        <w:t>.</w:t>
      </w:r>
    </w:p>
    <w:p w:rsidR="00640458" w:rsidRDefault="00AC4A0A" w:rsidP="00C4474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 have followed your instructions in writing this report to interpret my views and understanding. </w:t>
      </w:r>
      <w:r w:rsidR="00EC723F">
        <w:rPr>
          <w:rFonts w:ascii="Times New Roman" w:hAnsi="Times New Roman" w:cs="Times New Roman"/>
          <w:bCs/>
          <w:sz w:val="24"/>
          <w:szCs w:val="24"/>
        </w:rPr>
        <w:t>I</w:t>
      </w:r>
      <w:r>
        <w:rPr>
          <w:rFonts w:ascii="Times New Roman" w:hAnsi="Times New Roman" w:cs="Times New Roman"/>
          <w:bCs/>
          <w:sz w:val="24"/>
          <w:szCs w:val="24"/>
        </w:rPr>
        <w:t xml:space="preserve"> have tried my</w:t>
      </w:r>
      <w:r w:rsidR="00640458" w:rsidRPr="00494E54">
        <w:rPr>
          <w:rFonts w:ascii="Times New Roman" w:hAnsi="Times New Roman" w:cs="Times New Roman"/>
          <w:bCs/>
          <w:sz w:val="24"/>
          <w:szCs w:val="24"/>
        </w:rPr>
        <w:t xml:space="preserve"> level </w:t>
      </w:r>
      <w:r w:rsidR="00EC723F">
        <w:rPr>
          <w:rFonts w:ascii="Times New Roman" w:hAnsi="Times New Roman" w:cs="Times New Roman"/>
          <w:bCs/>
          <w:sz w:val="24"/>
          <w:szCs w:val="24"/>
        </w:rPr>
        <w:t>best to complete this report</w:t>
      </w:r>
      <w:r w:rsidR="00640458" w:rsidRPr="00494E54">
        <w:rPr>
          <w:rFonts w:ascii="Times New Roman" w:hAnsi="Times New Roman" w:cs="Times New Roman"/>
          <w:bCs/>
          <w:sz w:val="24"/>
          <w:szCs w:val="24"/>
        </w:rPr>
        <w:t xml:space="preserve"> meaningfully and co</w:t>
      </w:r>
      <w:r w:rsidR="00EC723F">
        <w:rPr>
          <w:rFonts w:ascii="Times New Roman" w:hAnsi="Times New Roman" w:cs="Times New Roman"/>
          <w:bCs/>
          <w:sz w:val="24"/>
          <w:szCs w:val="24"/>
        </w:rPr>
        <w:t xml:space="preserve">rrectly, as much as possible. </w:t>
      </w:r>
    </w:p>
    <w:p w:rsidR="00EC723F" w:rsidRPr="00494E54" w:rsidRDefault="00EC723F" w:rsidP="00C4474B">
      <w:pPr>
        <w:spacing w:line="360" w:lineRule="auto"/>
        <w:jc w:val="both"/>
        <w:rPr>
          <w:rFonts w:ascii="Times New Roman" w:hAnsi="Times New Roman" w:cs="Times New Roman"/>
          <w:bCs/>
          <w:sz w:val="24"/>
          <w:szCs w:val="24"/>
        </w:rPr>
      </w:pPr>
    </w:p>
    <w:p w:rsidR="00640458" w:rsidRPr="00494E54"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Thanking you.</w:t>
      </w:r>
    </w:p>
    <w:p w:rsidR="00640458" w:rsidRDefault="00640458" w:rsidP="00C4474B">
      <w:pPr>
        <w:spacing w:line="360" w:lineRule="auto"/>
        <w:jc w:val="both"/>
        <w:rPr>
          <w:rFonts w:ascii="Times New Roman" w:hAnsi="Times New Roman" w:cs="Times New Roman"/>
          <w:bCs/>
          <w:sz w:val="24"/>
          <w:szCs w:val="24"/>
        </w:rPr>
      </w:pPr>
      <w:r w:rsidRPr="00494E54">
        <w:rPr>
          <w:rFonts w:ascii="Times New Roman" w:hAnsi="Times New Roman" w:cs="Times New Roman"/>
          <w:bCs/>
          <w:sz w:val="24"/>
          <w:szCs w:val="24"/>
        </w:rPr>
        <w:t>Yours obediently,</w:t>
      </w:r>
    </w:p>
    <w:p w:rsidR="00640458" w:rsidRDefault="00640458" w:rsidP="00C4474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Farzana Mostofa Orchi</w:t>
      </w:r>
    </w:p>
    <w:p w:rsidR="00640458" w:rsidRPr="00505B63" w:rsidRDefault="00640458" w:rsidP="00C4474B">
      <w:pPr>
        <w:spacing w:line="360" w:lineRule="auto"/>
        <w:jc w:val="both"/>
        <w:rPr>
          <w:sz w:val="24"/>
          <w:szCs w:val="24"/>
        </w:rPr>
      </w:pPr>
      <w:r>
        <w:rPr>
          <w:sz w:val="24"/>
          <w:szCs w:val="24"/>
        </w:rPr>
        <w:br w:type="page"/>
      </w:r>
    </w:p>
    <w:p w:rsidR="00640458" w:rsidRPr="00D51C4F" w:rsidRDefault="00640458" w:rsidP="00640458">
      <w:pPr>
        <w:pStyle w:val="Heading1"/>
        <w:jc w:val="center"/>
        <w:rPr>
          <w:rFonts w:ascii="Times New Roman" w:hAnsi="Times New Roman" w:cs="Times New Roman"/>
          <w:b/>
          <w:color w:val="8496B0" w:themeColor="text2" w:themeTint="99"/>
          <w:sz w:val="32"/>
          <w:szCs w:val="32"/>
        </w:rPr>
      </w:pPr>
      <w:bookmarkStart w:id="2" w:name="_Toc469962846"/>
      <w:bookmarkStart w:id="3" w:name="_Toc469962996"/>
      <w:bookmarkStart w:id="4" w:name="_Toc9422045"/>
      <w:r w:rsidRPr="00D51C4F">
        <w:rPr>
          <w:rFonts w:ascii="Times New Roman" w:hAnsi="Times New Roman" w:cs="Times New Roman"/>
          <w:b/>
          <w:color w:val="8496B0" w:themeColor="text2" w:themeTint="99"/>
          <w:sz w:val="32"/>
          <w:szCs w:val="32"/>
        </w:rPr>
        <w:lastRenderedPageBreak/>
        <w:t>Acknowledgement</w:t>
      </w:r>
      <w:bookmarkEnd w:id="2"/>
      <w:bookmarkEnd w:id="3"/>
      <w:bookmarkEnd w:id="4"/>
    </w:p>
    <w:p w:rsidR="00640458" w:rsidRDefault="00640458" w:rsidP="00640458">
      <w:pPr>
        <w:rPr>
          <w:rFonts w:ascii="Times New Roman" w:hAnsi="Times New Roman" w:cs="Times New Roman"/>
          <w:sz w:val="24"/>
          <w:szCs w:val="24"/>
        </w:rPr>
      </w:pPr>
    </w:p>
    <w:p w:rsidR="00933A21" w:rsidRDefault="00933A21" w:rsidP="00640458">
      <w:pPr>
        <w:rPr>
          <w:rFonts w:ascii="Times New Roman" w:hAnsi="Times New Roman" w:cs="Times New Roman"/>
          <w:sz w:val="24"/>
          <w:szCs w:val="24"/>
        </w:rPr>
      </w:pPr>
    </w:p>
    <w:p w:rsidR="00933A21" w:rsidRDefault="00933A21" w:rsidP="00640458">
      <w:pPr>
        <w:rPr>
          <w:rFonts w:ascii="Times New Roman" w:hAnsi="Times New Roman" w:cs="Times New Roman"/>
          <w:sz w:val="24"/>
          <w:szCs w:val="24"/>
        </w:rPr>
      </w:pPr>
    </w:p>
    <w:p w:rsidR="00C53685" w:rsidRDefault="00C53685"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First of all, I</w:t>
      </w:r>
      <w:r w:rsidRPr="00C53685">
        <w:rPr>
          <w:rFonts w:ascii="Times New Roman" w:hAnsi="Times New Roman" w:cs="Times New Roman"/>
          <w:sz w:val="24"/>
          <w:szCs w:val="24"/>
        </w:rPr>
        <w:t xml:space="preserve"> would like to remember the almighty Allah for blessing us with the strength, ability and patience to do this task.</w:t>
      </w:r>
    </w:p>
    <w:p w:rsidR="004A070E" w:rsidRDefault="00A54010"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I would like to give thanks to our honorable course instructor</w:t>
      </w:r>
      <w:r w:rsidR="0001425C">
        <w:rPr>
          <w:rFonts w:ascii="Times New Roman" w:hAnsi="Times New Roman" w:cs="Times New Roman"/>
          <w:sz w:val="24"/>
          <w:szCs w:val="24"/>
        </w:rPr>
        <w:t>,</w:t>
      </w:r>
      <w:r w:rsidR="0001425C" w:rsidRPr="0001425C">
        <w:rPr>
          <w:rFonts w:ascii="Times New Roman" w:hAnsi="Times New Roman" w:cs="Times New Roman"/>
          <w:sz w:val="24"/>
          <w:szCs w:val="24"/>
        </w:rPr>
        <w:t xml:space="preserve"> Muhammad Enamul Haque </w:t>
      </w:r>
      <w:r w:rsidRPr="00A54010">
        <w:rPr>
          <w:rFonts w:ascii="Times New Roman" w:hAnsi="Times New Roman" w:cs="Times New Roman"/>
          <w:sz w:val="24"/>
          <w:szCs w:val="24"/>
        </w:rPr>
        <w:t xml:space="preserve">sir, </w:t>
      </w:r>
      <w:r w:rsidR="0001425C">
        <w:rPr>
          <w:rFonts w:ascii="Times New Roman" w:hAnsi="Times New Roman" w:cs="Times New Roman"/>
          <w:sz w:val="24"/>
          <w:szCs w:val="24"/>
        </w:rPr>
        <w:t xml:space="preserve">Assistant Professor, </w:t>
      </w:r>
      <w:r w:rsidRPr="00A54010">
        <w:rPr>
          <w:rFonts w:ascii="Times New Roman" w:hAnsi="Times New Roman" w:cs="Times New Roman"/>
          <w:sz w:val="24"/>
          <w:szCs w:val="24"/>
        </w:rPr>
        <w:t xml:space="preserve">School of Business in </w:t>
      </w:r>
      <w:r>
        <w:rPr>
          <w:rFonts w:ascii="Times New Roman" w:hAnsi="Times New Roman" w:cs="Times New Roman"/>
          <w:sz w:val="24"/>
          <w:szCs w:val="24"/>
        </w:rPr>
        <w:t xml:space="preserve">United International University for the </w:t>
      </w:r>
      <w:r w:rsidRPr="00A54010">
        <w:rPr>
          <w:rFonts w:ascii="Times New Roman" w:hAnsi="Times New Roman" w:cs="Times New Roman"/>
          <w:sz w:val="24"/>
          <w:szCs w:val="24"/>
        </w:rPr>
        <w:t>considerable intellectual and moral support</w:t>
      </w:r>
      <w:r>
        <w:rPr>
          <w:rFonts w:ascii="Times New Roman" w:hAnsi="Times New Roman" w:cs="Times New Roman"/>
          <w:sz w:val="24"/>
          <w:szCs w:val="24"/>
        </w:rPr>
        <w:t xml:space="preserve">. </w:t>
      </w:r>
      <w:r w:rsidR="000B56BE">
        <w:rPr>
          <w:rFonts w:ascii="Times New Roman" w:hAnsi="Times New Roman" w:cs="Times New Roman"/>
          <w:sz w:val="24"/>
          <w:szCs w:val="24"/>
        </w:rPr>
        <w:t>To</w:t>
      </w:r>
      <w:r w:rsidR="00490CB1">
        <w:rPr>
          <w:rFonts w:ascii="Times New Roman" w:hAnsi="Times New Roman" w:cs="Times New Roman"/>
          <w:sz w:val="24"/>
          <w:szCs w:val="24"/>
        </w:rPr>
        <w:t xml:space="preserve"> prepare this</w:t>
      </w:r>
      <w:r w:rsidR="000B56BE" w:rsidRPr="000B56BE">
        <w:rPr>
          <w:rFonts w:ascii="Times New Roman" w:hAnsi="Times New Roman" w:cs="Times New Roman"/>
          <w:sz w:val="24"/>
          <w:szCs w:val="24"/>
        </w:rPr>
        <w:t xml:space="preserve"> report</w:t>
      </w:r>
      <w:r w:rsidR="000B56BE">
        <w:rPr>
          <w:rFonts w:ascii="Times New Roman" w:hAnsi="Times New Roman" w:cs="Times New Roman"/>
          <w:sz w:val="24"/>
          <w:szCs w:val="24"/>
        </w:rPr>
        <w:t xml:space="preserve"> he has given proper </w:t>
      </w:r>
      <w:r w:rsidR="000B56BE" w:rsidRPr="000B56BE">
        <w:rPr>
          <w:rFonts w:ascii="Times New Roman" w:hAnsi="Times New Roman" w:cs="Times New Roman"/>
          <w:sz w:val="24"/>
          <w:szCs w:val="24"/>
        </w:rPr>
        <w:t>guidance</w:t>
      </w:r>
      <w:r w:rsidR="000B56BE">
        <w:rPr>
          <w:rFonts w:ascii="Times New Roman" w:hAnsi="Times New Roman" w:cs="Times New Roman"/>
          <w:sz w:val="24"/>
          <w:szCs w:val="24"/>
        </w:rPr>
        <w:t xml:space="preserve"> and motivated me. </w:t>
      </w:r>
    </w:p>
    <w:p w:rsidR="00933A21" w:rsidRDefault="006212AA"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2639">
        <w:rPr>
          <w:rFonts w:ascii="Times New Roman" w:hAnsi="Times New Roman" w:cs="Times New Roman"/>
          <w:sz w:val="24"/>
          <w:szCs w:val="24"/>
        </w:rPr>
        <w:t>I would like to give a cordial t</w:t>
      </w:r>
      <w:r w:rsidR="00DD051E">
        <w:rPr>
          <w:rFonts w:ascii="Times New Roman" w:hAnsi="Times New Roman" w:cs="Times New Roman"/>
          <w:sz w:val="24"/>
          <w:szCs w:val="24"/>
        </w:rPr>
        <w:t>hanks to my supervisor Anika Ma</w:t>
      </w:r>
      <w:r w:rsidR="006E2639">
        <w:rPr>
          <w:rFonts w:ascii="Times New Roman" w:hAnsi="Times New Roman" w:cs="Times New Roman"/>
          <w:sz w:val="24"/>
          <w:szCs w:val="24"/>
        </w:rPr>
        <w:t xml:space="preserve">fiz, </w:t>
      </w:r>
      <w:r w:rsidR="006B6B71" w:rsidRPr="006B6B71">
        <w:rPr>
          <w:rFonts w:ascii="Times New Roman" w:hAnsi="Times New Roman" w:cs="Times New Roman"/>
          <w:sz w:val="24"/>
          <w:szCs w:val="24"/>
        </w:rPr>
        <w:t>Research Associate</w:t>
      </w:r>
      <w:r w:rsidR="006B6B71">
        <w:rPr>
          <w:rFonts w:ascii="Times New Roman" w:hAnsi="Times New Roman" w:cs="Times New Roman"/>
          <w:sz w:val="24"/>
          <w:szCs w:val="24"/>
        </w:rPr>
        <w:t xml:space="preserve"> </w:t>
      </w:r>
      <w:r w:rsidR="006E2639">
        <w:rPr>
          <w:rFonts w:ascii="Times New Roman" w:hAnsi="Times New Roman" w:cs="Times New Roman"/>
          <w:sz w:val="24"/>
          <w:szCs w:val="24"/>
        </w:rPr>
        <w:t>of UCB Capital Management</w:t>
      </w:r>
      <w:r w:rsidR="009A6FBD">
        <w:rPr>
          <w:rFonts w:ascii="Times New Roman" w:hAnsi="Times New Roman" w:cs="Times New Roman"/>
          <w:sz w:val="24"/>
          <w:szCs w:val="24"/>
        </w:rPr>
        <w:t xml:space="preserve"> Ltd.,</w:t>
      </w:r>
      <w:r w:rsidR="006E2639">
        <w:rPr>
          <w:rFonts w:ascii="Times New Roman" w:hAnsi="Times New Roman" w:cs="Times New Roman"/>
          <w:sz w:val="24"/>
          <w:szCs w:val="24"/>
        </w:rPr>
        <w:t xml:space="preserve"> for helping me to prepare </w:t>
      </w:r>
      <w:r w:rsidR="00555F2D">
        <w:rPr>
          <w:rFonts w:ascii="Times New Roman" w:hAnsi="Times New Roman" w:cs="Times New Roman"/>
          <w:sz w:val="24"/>
          <w:szCs w:val="24"/>
        </w:rPr>
        <w:t xml:space="preserve">the valuation model and also for helping </w:t>
      </w:r>
      <w:r w:rsidR="009A6FBD">
        <w:rPr>
          <w:rFonts w:ascii="Times New Roman" w:hAnsi="Times New Roman" w:cs="Times New Roman"/>
          <w:sz w:val="24"/>
          <w:szCs w:val="24"/>
        </w:rPr>
        <w:t xml:space="preserve">me to learn many things during my internship period. Additionally I would like to give thanks to the whole Research team for their supportive </w:t>
      </w:r>
      <w:r w:rsidR="0001425C">
        <w:rPr>
          <w:rFonts w:ascii="Times New Roman" w:hAnsi="Times New Roman" w:cs="Times New Roman"/>
          <w:sz w:val="24"/>
          <w:szCs w:val="24"/>
        </w:rPr>
        <w:t>guidance</w:t>
      </w:r>
      <w:r w:rsidR="009A6FBD">
        <w:rPr>
          <w:rFonts w:ascii="Times New Roman" w:hAnsi="Times New Roman" w:cs="Times New Roman"/>
          <w:sz w:val="24"/>
          <w:szCs w:val="24"/>
        </w:rPr>
        <w:t xml:space="preserve"> over the three months. </w:t>
      </w:r>
      <w:r w:rsidR="00A9127B">
        <w:rPr>
          <w:rFonts w:ascii="Times New Roman" w:hAnsi="Times New Roman" w:cs="Times New Roman"/>
          <w:sz w:val="24"/>
          <w:szCs w:val="24"/>
        </w:rPr>
        <w:t xml:space="preserve">I have learnt a lot during my internship period and these will help me in the future. </w:t>
      </w:r>
      <w:r w:rsidR="00564BFF">
        <w:rPr>
          <w:rFonts w:ascii="Times New Roman" w:hAnsi="Times New Roman" w:cs="Times New Roman"/>
          <w:sz w:val="24"/>
          <w:szCs w:val="24"/>
        </w:rPr>
        <w:t>The workplace was really amazing, everyone was really co-operative and supportive</w:t>
      </w:r>
      <w:r w:rsidR="004D06D3">
        <w:rPr>
          <w:rFonts w:ascii="Times New Roman" w:hAnsi="Times New Roman" w:cs="Times New Roman"/>
          <w:sz w:val="24"/>
          <w:szCs w:val="24"/>
        </w:rPr>
        <w:t xml:space="preserve">. </w:t>
      </w:r>
      <w:r w:rsidR="004D06D3" w:rsidRPr="004D06D3">
        <w:rPr>
          <w:rFonts w:ascii="Times New Roman" w:hAnsi="Times New Roman" w:cs="Times New Roman"/>
          <w:sz w:val="24"/>
          <w:szCs w:val="24"/>
        </w:rPr>
        <w:t>I consider that this kind of work will assist me to flourish my knowledge and make me more capable as well as adapted to confront practical exposures at the workplace in the today’s world.</w:t>
      </w:r>
      <w:r w:rsidR="004D06D3">
        <w:rPr>
          <w:rFonts w:ascii="Times New Roman" w:hAnsi="Times New Roman" w:cs="Times New Roman"/>
          <w:sz w:val="24"/>
          <w:szCs w:val="24"/>
        </w:rPr>
        <w:t xml:space="preserve"> </w:t>
      </w:r>
    </w:p>
    <w:p w:rsidR="00640458" w:rsidRDefault="005730AE"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E75A49">
        <w:rPr>
          <w:rFonts w:ascii="Times New Roman" w:hAnsi="Times New Roman" w:cs="Times New Roman"/>
          <w:sz w:val="24"/>
          <w:szCs w:val="24"/>
        </w:rPr>
        <w:t>for the</w:t>
      </w:r>
      <w:r w:rsidR="00E75A49" w:rsidRPr="00E75A49">
        <w:rPr>
          <w:rFonts w:ascii="Times New Roman" w:hAnsi="Times New Roman" w:cs="Times New Roman"/>
          <w:sz w:val="24"/>
          <w:szCs w:val="24"/>
        </w:rPr>
        <w:t xml:space="preserve"> support </w:t>
      </w:r>
      <w:r w:rsidR="00E75A49">
        <w:rPr>
          <w:rFonts w:ascii="Times New Roman" w:hAnsi="Times New Roman" w:cs="Times New Roman"/>
          <w:sz w:val="24"/>
          <w:szCs w:val="24"/>
        </w:rPr>
        <w:t>of</w:t>
      </w:r>
      <w:r w:rsidR="00E75A49" w:rsidRPr="00E75A49">
        <w:rPr>
          <w:rFonts w:ascii="Times New Roman" w:hAnsi="Times New Roman" w:cs="Times New Roman"/>
          <w:sz w:val="24"/>
          <w:szCs w:val="24"/>
        </w:rPr>
        <w:t xml:space="preserve"> </w:t>
      </w:r>
      <w:r w:rsidR="00E75A49">
        <w:rPr>
          <w:rFonts w:ascii="Times New Roman" w:hAnsi="Times New Roman" w:cs="Times New Roman"/>
          <w:sz w:val="24"/>
          <w:szCs w:val="24"/>
        </w:rPr>
        <w:t>my family and</w:t>
      </w:r>
      <w:r w:rsidR="00290AD7">
        <w:rPr>
          <w:rFonts w:ascii="Times New Roman" w:hAnsi="Times New Roman" w:cs="Times New Roman"/>
          <w:sz w:val="24"/>
          <w:szCs w:val="24"/>
        </w:rPr>
        <w:t xml:space="preserve"> my colleagues </w:t>
      </w:r>
      <w:r w:rsidR="00E75A49">
        <w:rPr>
          <w:rFonts w:ascii="Times New Roman" w:hAnsi="Times New Roman" w:cs="Times New Roman"/>
          <w:sz w:val="24"/>
          <w:szCs w:val="24"/>
        </w:rPr>
        <w:t>I would also like to give them</w:t>
      </w:r>
      <w:r w:rsidR="00E75A49" w:rsidRPr="00E75A49">
        <w:rPr>
          <w:rFonts w:ascii="Times New Roman" w:hAnsi="Times New Roman" w:cs="Times New Roman"/>
          <w:sz w:val="24"/>
          <w:szCs w:val="24"/>
        </w:rPr>
        <w:t xml:space="preserve"> thanks</w:t>
      </w:r>
      <w:r w:rsidR="00E75A49">
        <w:rPr>
          <w:rFonts w:ascii="Times New Roman" w:hAnsi="Times New Roman" w:cs="Times New Roman"/>
          <w:sz w:val="24"/>
          <w:szCs w:val="24"/>
        </w:rPr>
        <w:t>.</w:t>
      </w:r>
    </w:p>
    <w:p w:rsidR="00640458" w:rsidRPr="00AD2FAE" w:rsidRDefault="00640458"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rsidR="00640458" w:rsidRPr="00BF228C" w:rsidRDefault="00BF228C" w:rsidP="00BF228C">
      <w:pPr>
        <w:spacing w:line="240" w:lineRule="auto"/>
        <w:jc w:val="center"/>
        <w:rPr>
          <w:rFonts w:ascii="Times New Roman" w:hAnsi="Times New Roman" w:cs="Times New Roman"/>
          <w:b/>
          <w:color w:val="8496B0" w:themeColor="text2" w:themeTint="99"/>
          <w:sz w:val="32"/>
          <w:szCs w:val="32"/>
        </w:rPr>
      </w:pPr>
      <w:r>
        <w:rPr>
          <w:rFonts w:ascii="Times New Roman" w:hAnsi="Times New Roman" w:cs="Times New Roman"/>
          <w:b/>
          <w:color w:val="8496B0" w:themeColor="text2" w:themeTint="99"/>
          <w:sz w:val="32"/>
          <w:szCs w:val="32"/>
        </w:rPr>
        <w:lastRenderedPageBreak/>
        <w:t>TABLE OF CONTENT</w:t>
      </w:r>
    </w:p>
    <w:sdt>
      <w:sdtPr>
        <w:rPr>
          <w:rFonts w:ascii="Times New Roman" w:eastAsiaTheme="minorHAnsi" w:hAnsi="Times New Roman" w:cs="Times New Roman"/>
          <w:color w:val="auto"/>
          <w:sz w:val="24"/>
          <w:szCs w:val="24"/>
        </w:rPr>
        <w:id w:val="1219161231"/>
        <w:docPartObj>
          <w:docPartGallery w:val="Table of Contents"/>
          <w:docPartUnique/>
        </w:docPartObj>
      </w:sdtPr>
      <w:sdtEndPr>
        <w:rPr>
          <w:b/>
          <w:bCs/>
          <w:noProof/>
        </w:rPr>
      </w:sdtEndPr>
      <w:sdtContent>
        <w:p w:rsidR="00640458" w:rsidRPr="001040D7" w:rsidRDefault="00640458" w:rsidP="001040D7">
          <w:pPr>
            <w:pStyle w:val="TOCHeading"/>
            <w:spacing w:line="276" w:lineRule="auto"/>
            <w:jc w:val="both"/>
            <w:rPr>
              <w:rFonts w:ascii="Times New Roman" w:hAnsi="Times New Roman" w:cs="Times New Roman"/>
              <w:color w:val="auto"/>
              <w:sz w:val="24"/>
              <w:szCs w:val="24"/>
            </w:rPr>
          </w:pPr>
          <w:r w:rsidRPr="001040D7">
            <w:rPr>
              <w:rFonts w:ascii="Times New Roman" w:hAnsi="Times New Roman" w:cs="Times New Roman"/>
              <w:color w:val="auto"/>
              <w:sz w:val="24"/>
              <w:szCs w:val="24"/>
            </w:rPr>
            <w:t>Table of Contents</w:t>
          </w:r>
        </w:p>
        <w:p w:rsidR="007E0B01" w:rsidRPr="001040D7" w:rsidRDefault="00640458" w:rsidP="001040D7">
          <w:pPr>
            <w:pStyle w:val="TOC1"/>
            <w:spacing w:line="276" w:lineRule="auto"/>
            <w:rPr>
              <w:sz w:val="24"/>
              <w:szCs w:val="24"/>
            </w:rPr>
          </w:pPr>
          <w:r w:rsidRPr="001040D7">
            <w:rPr>
              <w:noProof w:val="0"/>
              <w:sz w:val="24"/>
              <w:szCs w:val="24"/>
            </w:rPr>
            <w:fldChar w:fldCharType="begin"/>
          </w:r>
          <w:r w:rsidRPr="001040D7">
            <w:rPr>
              <w:sz w:val="24"/>
              <w:szCs w:val="24"/>
            </w:rPr>
            <w:instrText xml:space="preserve"> TOC \o "1-3" \h \z \u </w:instrText>
          </w:r>
          <w:r w:rsidRPr="001040D7">
            <w:rPr>
              <w:noProof w:val="0"/>
              <w:sz w:val="24"/>
              <w:szCs w:val="24"/>
            </w:rPr>
            <w:fldChar w:fldCharType="separate"/>
          </w:r>
          <w:hyperlink w:anchor="_Toc9422044" w:history="1">
            <w:r w:rsidR="007E0B01" w:rsidRPr="001040D7">
              <w:rPr>
                <w:rStyle w:val="Hyperlink"/>
                <w:b/>
                <w:sz w:val="24"/>
                <w:szCs w:val="24"/>
              </w:rPr>
              <w:t>Letter of Transmittal</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_Toc9422044 \h </w:instrText>
            </w:r>
            <w:r w:rsidR="007E0B01" w:rsidRPr="001040D7">
              <w:rPr>
                <w:webHidden/>
                <w:sz w:val="24"/>
                <w:szCs w:val="24"/>
              </w:rPr>
            </w:r>
            <w:r w:rsidR="007E0B01" w:rsidRPr="001040D7">
              <w:rPr>
                <w:webHidden/>
                <w:sz w:val="24"/>
                <w:szCs w:val="24"/>
              </w:rPr>
              <w:fldChar w:fldCharType="separate"/>
            </w:r>
            <w:r w:rsidR="007A415E">
              <w:rPr>
                <w:webHidden/>
                <w:sz w:val="24"/>
                <w:szCs w:val="24"/>
              </w:rPr>
              <w:t>3</w:t>
            </w:r>
            <w:r w:rsidR="007E0B01" w:rsidRPr="001040D7">
              <w:rPr>
                <w:webHidden/>
                <w:sz w:val="24"/>
                <w:szCs w:val="24"/>
              </w:rPr>
              <w:fldChar w:fldCharType="end"/>
            </w:r>
          </w:hyperlink>
        </w:p>
        <w:p w:rsidR="007E0B01" w:rsidRPr="001040D7" w:rsidRDefault="00EF3FB4" w:rsidP="001040D7">
          <w:pPr>
            <w:pStyle w:val="TOC1"/>
            <w:spacing w:line="276" w:lineRule="auto"/>
            <w:rPr>
              <w:sz w:val="24"/>
              <w:szCs w:val="24"/>
            </w:rPr>
          </w:pPr>
          <w:hyperlink w:anchor="_Toc9422045" w:history="1">
            <w:r w:rsidR="007E0B01" w:rsidRPr="001040D7">
              <w:rPr>
                <w:rStyle w:val="Hyperlink"/>
                <w:b/>
                <w:sz w:val="24"/>
                <w:szCs w:val="24"/>
              </w:rPr>
              <w:t>Acknowledgement</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_Toc9422045 \h </w:instrText>
            </w:r>
            <w:r w:rsidR="007E0B01" w:rsidRPr="001040D7">
              <w:rPr>
                <w:webHidden/>
                <w:sz w:val="24"/>
                <w:szCs w:val="24"/>
              </w:rPr>
            </w:r>
            <w:r w:rsidR="007E0B01" w:rsidRPr="001040D7">
              <w:rPr>
                <w:webHidden/>
                <w:sz w:val="24"/>
                <w:szCs w:val="24"/>
              </w:rPr>
              <w:fldChar w:fldCharType="separate"/>
            </w:r>
            <w:r w:rsidR="007A415E">
              <w:rPr>
                <w:webHidden/>
                <w:sz w:val="24"/>
                <w:szCs w:val="24"/>
              </w:rPr>
              <w:t>4</w:t>
            </w:r>
            <w:r w:rsidR="007E0B01" w:rsidRPr="001040D7">
              <w:rPr>
                <w:webHidden/>
                <w:sz w:val="24"/>
                <w:szCs w:val="24"/>
              </w:rPr>
              <w:fldChar w:fldCharType="end"/>
            </w:r>
          </w:hyperlink>
        </w:p>
        <w:p w:rsidR="007E0B01" w:rsidRPr="001040D7" w:rsidRDefault="00EF3FB4" w:rsidP="001040D7">
          <w:pPr>
            <w:pStyle w:val="TOC1"/>
            <w:spacing w:line="276" w:lineRule="auto"/>
            <w:rPr>
              <w:sz w:val="24"/>
              <w:szCs w:val="24"/>
            </w:rPr>
          </w:pPr>
          <w:hyperlink w:anchor="_Toc9422046" w:history="1">
            <w:r w:rsidR="007E0B01" w:rsidRPr="001040D7">
              <w:rPr>
                <w:rStyle w:val="Hyperlink"/>
                <w:b/>
                <w:sz w:val="24"/>
                <w:szCs w:val="24"/>
              </w:rPr>
              <w:t>Executive Summary</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_Toc9422046 \h </w:instrText>
            </w:r>
            <w:r w:rsidR="007E0B01" w:rsidRPr="001040D7">
              <w:rPr>
                <w:webHidden/>
                <w:sz w:val="24"/>
                <w:szCs w:val="24"/>
              </w:rPr>
            </w:r>
            <w:r w:rsidR="007E0B01" w:rsidRPr="001040D7">
              <w:rPr>
                <w:webHidden/>
                <w:sz w:val="24"/>
                <w:szCs w:val="24"/>
              </w:rPr>
              <w:fldChar w:fldCharType="separate"/>
            </w:r>
            <w:r w:rsidR="007A415E">
              <w:rPr>
                <w:webHidden/>
                <w:sz w:val="24"/>
                <w:szCs w:val="24"/>
              </w:rPr>
              <w:t>6</w:t>
            </w:r>
            <w:r w:rsidR="007E0B01" w:rsidRPr="001040D7">
              <w:rPr>
                <w:webHidden/>
                <w:sz w:val="24"/>
                <w:szCs w:val="24"/>
              </w:rPr>
              <w:fldChar w:fldCharType="end"/>
            </w:r>
          </w:hyperlink>
        </w:p>
        <w:p w:rsidR="007E0B01" w:rsidRPr="001040D7" w:rsidRDefault="00EF3FB4" w:rsidP="001040D7">
          <w:pPr>
            <w:pStyle w:val="TOC1"/>
            <w:spacing w:line="276" w:lineRule="auto"/>
            <w:rPr>
              <w:sz w:val="24"/>
              <w:szCs w:val="24"/>
            </w:rPr>
          </w:pPr>
          <w:hyperlink w:anchor="_Toc9422047" w:history="1">
            <w:r w:rsidR="007E0B01" w:rsidRPr="001040D7">
              <w:rPr>
                <w:rStyle w:val="Hyperlink"/>
                <w:b/>
                <w:sz w:val="24"/>
                <w:szCs w:val="24"/>
              </w:rPr>
              <w:t>Chapter one</w:t>
            </w:r>
            <w:r w:rsidR="007E0B01" w:rsidRPr="001040D7">
              <w:rPr>
                <w:rStyle w:val="Hyperlink"/>
                <w:sz w:val="24"/>
                <w:szCs w:val="24"/>
              </w:rPr>
              <w:t>:</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_Toc9422047 \h </w:instrText>
            </w:r>
            <w:r w:rsidR="007E0B01" w:rsidRPr="001040D7">
              <w:rPr>
                <w:webHidden/>
                <w:sz w:val="24"/>
                <w:szCs w:val="24"/>
              </w:rPr>
            </w:r>
            <w:r w:rsidR="007E0B01" w:rsidRPr="001040D7">
              <w:rPr>
                <w:webHidden/>
                <w:sz w:val="24"/>
                <w:szCs w:val="24"/>
              </w:rPr>
              <w:fldChar w:fldCharType="separate"/>
            </w:r>
            <w:r w:rsidR="007A415E">
              <w:rPr>
                <w:webHidden/>
                <w:sz w:val="24"/>
                <w:szCs w:val="24"/>
              </w:rPr>
              <w:t>7</w:t>
            </w:r>
            <w:r w:rsidR="007E0B01" w:rsidRPr="001040D7">
              <w:rPr>
                <w:webHidden/>
                <w:sz w:val="24"/>
                <w:szCs w:val="24"/>
              </w:rPr>
              <w:fldChar w:fldCharType="end"/>
            </w:r>
          </w:hyperlink>
        </w:p>
        <w:p w:rsidR="007E0B01" w:rsidRPr="001040D7" w:rsidRDefault="00EF3FB4" w:rsidP="001040D7">
          <w:pPr>
            <w:pStyle w:val="TOC2"/>
            <w:tabs>
              <w:tab w:val="left" w:pos="880"/>
              <w:tab w:val="right" w:leader="dot" w:pos="9350"/>
            </w:tabs>
            <w:spacing w:line="276" w:lineRule="auto"/>
            <w:jc w:val="both"/>
            <w:rPr>
              <w:rFonts w:ascii="Times New Roman" w:hAnsi="Times New Roman" w:cs="Times New Roman"/>
              <w:noProof/>
              <w:sz w:val="24"/>
              <w:szCs w:val="24"/>
            </w:rPr>
          </w:pPr>
          <w:hyperlink w:anchor="_Toc9422048" w:history="1">
            <w:r w:rsidR="007E0B01" w:rsidRPr="001040D7">
              <w:rPr>
                <w:rStyle w:val="Hyperlink"/>
                <w:rFonts w:ascii="Times New Roman" w:hAnsi="Times New Roman" w:cs="Times New Roman"/>
                <w:b/>
                <w:noProof/>
                <w:sz w:val="24"/>
                <w:szCs w:val="24"/>
              </w:rPr>
              <w:t>1.1</w:t>
            </w:r>
            <w:r w:rsidR="007E0B01" w:rsidRPr="001040D7">
              <w:rPr>
                <w:rFonts w:ascii="Times New Roman" w:hAnsi="Times New Roman" w:cs="Times New Roman"/>
                <w:noProof/>
                <w:sz w:val="24"/>
                <w:szCs w:val="24"/>
              </w:rPr>
              <w:tab/>
            </w:r>
            <w:r w:rsidR="007E0B01" w:rsidRPr="001040D7">
              <w:rPr>
                <w:rStyle w:val="Hyperlink"/>
                <w:rFonts w:ascii="Times New Roman" w:hAnsi="Times New Roman" w:cs="Times New Roman"/>
                <w:b/>
                <w:noProof/>
                <w:sz w:val="24"/>
                <w:szCs w:val="24"/>
              </w:rPr>
              <w:t>Introduction to the internship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_Toc9422048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8</w:t>
            </w:r>
            <w:r w:rsidR="007E0B01" w:rsidRPr="001040D7">
              <w:rPr>
                <w:rFonts w:ascii="Times New Roman" w:hAnsi="Times New Roman" w:cs="Times New Roman"/>
                <w:noProof/>
                <w:webHidden/>
                <w:sz w:val="24"/>
                <w:szCs w:val="24"/>
              </w:rPr>
              <w:fldChar w:fldCharType="end"/>
            </w:r>
          </w:hyperlink>
        </w:p>
        <w:p w:rsidR="007E0B01" w:rsidRPr="001040D7" w:rsidRDefault="001040D7" w:rsidP="001040D7">
          <w:pPr>
            <w:pStyle w:val="TOC2"/>
            <w:tabs>
              <w:tab w:val="left" w:pos="880"/>
              <w:tab w:val="right" w:leader="dot" w:pos="9350"/>
            </w:tabs>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hyperlink w:anchor="_Toc9422049" w:history="1">
            <w:r w:rsidR="007E0B01" w:rsidRPr="001040D7">
              <w:rPr>
                <w:rStyle w:val="Hyperlink"/>
                <w:rFonts w:ascii="Times New Roman" w:hAnsi="Times New Roman" w:cs="Times New Roman"/>
                <w:noProof/>
                <w:sz w:val="24"/>
                <w:szCs w:val="24"/>
              </w:rPr>
              <w:t>1.2</w:t>
            </w:r>
            <w:r w:rsidR="007E0B01" w:rsidRPr="001040D7">
              <w:rPr>
                <w:rFonts w:ascii="Times New Roman" w:hAnsi="Times New Roman" w:cs="Times New Roman"/>
                <w:noProof/>
                <w:sz w:val="24"/>
                <w:szCs w:val="24"/>
              </w:rPr>
              <w:t xml:space="preserve"> </w:t>
            </w:r>
            <w:r w:rsidR="007E0B01" w:rsidRPr="001040D7">
              <w:rPr>
                <w:rStyle w:val="Hyperlink"/>
                <w:rFonts w:ascii="Times New Roman" w:hAnsi="Times New Roman" w:cs="Times New Roman"/>
                <w:noProof/>
                <w:sz w:val="24"/>
                <w:szCs w:val="24"/>
              </w:rPr>
              <w:t>Origin of the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_Toc9422049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8</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3"/>
            <w:spacing w:line="276" w:lineRule="auto"/>
            <w:rPr>
              <w:rFonts w:ascii="Times New Roman" w:hAnsi="Times New Roman" w:cs="Times New Roman"/>
              <w:noProof/>
              <w:sz w:val="24"/>
              <w:szCs w:val="24"/>
            </w:rPr>
          </w:pPr>
          <w:hyperlink w:anchor="_Toc9422050" w:history="1">
            <w:r w:rsidR="007E0B01" w:rsidRPr="001040D7">
              <w:rPr>
                <w:rStyle w:val="Hyperlink"/>
                <w:rFonts w:ascii="Times New Roman" w:hAnsi="Times New Roman" w:cs="Times New Roman"/>
                <w:noProof/>
                <w:sz w:val="24"/>
                <w:szCs w:val="24"/>
              </w:rPr>
              <w:t>1.3 Objectives of the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_Toc9422050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8</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3"/>
            <w:spacing w:line="276" w:lineRule="auto"/>
            <w:rPr>
              <w:rFonts w:ascii="Times New Roman" w:hAnsi="Times New Roman" w:cs="Times New Roman"/>
              <w:noProof/>
              <w:sz w:val="24"/>
              <w:szCs w:val="24"/>
            </w:rPr>
          </w:pPr>
          <w:hyperlink w:anchor="_Toc9422051" w:history="1">
            <w:r w:rsidR="007E0B01" w:rsidRPr="001040D7">
              <w:rPr>
                <w:rStyle w:val="Hyperlink"/>
                <w:rFonts w:ascii="Times New Roman" w:hAnsi="Times New Roman" w:cs="Times New Roman"/>
                <w:noProof/>
                <w:sz w:val="24"/>
                <w:szCs w:val="24"/>
              </w:rPr>
              <w:t>1.4 Scope of the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_Toc9422051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9</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3"/>
            <w:spacing w:line="276" w:lineRule="auto"/>
            <w:rPr>
              <w:rFonts w:ascii="Times New Roman" w:hAnsi="Times New Roman" w:cs="Times New Roman"/>
              <w:noProof/>
              <w:sz w:val="24"/>
              <w:szCs w:val="24"/>
            </w:rPr>
          </w:pPr>
          <w:hyperlink w:anchor="_Toc9422052" w:history="1">
            <w:r w:rsidR="007E0B01" w:rsidRPr="001040D7">
              <w:rPr>
                <w:rStyle w:val="Hyperlink"/>
                <w:rFonts w:ascii="Times New Roman" w:hAnsi="Times New Roman" w:cs="Times New Roman"/>
                <w:noProof/>
                <w:sz w:val="24"/>
                <w:szCs w:val="24"/>
              </w:rPr>
              <w:t>1.5 Methodology of the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_Toc9422052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9</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3"/>
            <w:spacing w:line="276" w:lineRule="auto"/>
            <w:rPr>
              <w:rFonts w:ascii="Times New Roman" w:hAnsi="Times New Roman" w:cs="Times New Roman"/>
              <w:noProof/>
              <w:sz w:val="24"/>
              <w:szCs w:val="24"/>
            </w:rPr>
          </w:pPr>
          <w:hyperlink w:anchor="_Toc9422053" w:history="1">
            <w:r w:rsidR="007E0B01" w:rsidRPr="001040D7">
              <w:rPr>
                <w:rStyle w:val="Hyperlink"/>
                <w:rFonts w:ascii="Times New Roman" w:hAnsi="Times New Roman" w:cs="Times New Roman"/>
                <w:noProof/>
                <w:sz w:val="24"/>
                <w:szCs w:val="24"/>
              </w:rPr>
              <w:t>1.6 Sources of Data</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_Toc9422053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10</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3"/>
            <w:spacing w:line="276" w:lineRule="auto"/>
            <w:rPr>
              <w:rFonts w:ascii="Times New Roman" w:hAnsi="Times New Roman" w:cs="Times New Roman"/>
              <w:noProof/>
              <w:sz w:val="24"/>
              <w:szCs w:val="24"/>
            </w:rPr>
          </w:pPr>
          <w:hyperlink w:anchor="_Toc9422054" w:history="1">
            <w:r w:rsidR="007E0B01" w:rsidRPr="001040D7">
              <w:rPr>
                <w:rStyle w:val="Hyperlink"/>
                <w:rFonts w:ascii="Times New Roman" w:hAnsi="Times New Roman" w:cs="Times New Roman"/>
                <w:noProof/>
                <w:sz w:val="24"/>
                <w:szCs w:val="24"/>
              </w:rPr>
              <w:t>1.7 Limitation of the Report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_Toc9422054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10</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1"/>
            <w:spacing w:line="276" w:lineRule="auto"/>
            <w:rPr>
              <w:sz w:val="24"/>
              <w:szCs w:val="24"/>
            </w:rPr>
          </w:pPr>
          <w:hyperlink w:anchor="_Toc9422055" w:history="1">
            <w:r w:rsidR="007E0B01" w:rsidRPr="001040D7">
              <w:rPr>
                <w:rStyle w:val="Hyperlink"/>
                <w:b/>
                <w:sz w:val="24"/>
                <w:szCs w:val="24"/>
              </w:rPr>
              <w:t>Chapter Two:</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_Toc9422055 \h </w:instrText>
            </w:r>
            <w:r w:rsidR="007E0B01" w:rsidRPr="001040D7">
              <w:rPr>
                <w:webHidden/>
                <w:sz w:val="24"/>
                <w:szCs w:val="24"/>
              </w:rPr>
            </w:r>
            <w:r w:rsidR="007E0B01" w:rsidRPr="001040D7">
              <w:rPr>
                <w:webHidden/>
                <w:sz w:val="24"/>
                <w:szCs w:val="24"/>
              </w:rPr>
              <w:fldChar w:fldCharType="separate"/>
            </w:r>
            <w:r w:rsidR="007A415E">
              <w:rPr>
                <w:webHidden/>
                <w:sz w:val="24"/>
                <w:szCs w:val="24"/>
              </w:rPr>
              <w:t>11</w:t>
            </w:r>
            <w:r w:rsidR="007E0B01" w:rsidRPr="001040D7">
              <w:rPr>
                <w:webHidden/>
                <w:sz w:val="24"/>
                <w:szCs w:val="24"/>
              </w:rPr>
              <w:fldChar w:fldCharType="end"/>
            </w:r>
          </w:hyperlink>
        </w:p>
        <w:p w:rsidR="007E0B01" w:rsidRPr="001040D7" w:rsidRDefault="00EF3FB4" w:rsidP="001040D7">
          <w:pPr>
            <w:pStyle w:val="TOC2"/>
            <w:tabs>
              <w:tab w:val="left" w:pos="660"/>
              <w:tab w:val="right" w:leader="dot" w:pos="9350"/>
            </w:tabs>
            <w:spacing w:line="276" w:lineRule="auto"/>
            <w:jc w:val="both"/>
            <w:rPr>
              <w:rFonts w:ascii="Times New Roman" w:hAnsi="Times New Roman" w:cs="Times New Roman"/>
              <w:noProof/>
              <w:sz w:val="24"/>
              <w:szCs w:val="24"/>
            </w:rPr>
          </w:pPr>
          <w:hyperlink w:anchor="_Toc9422056" w:history="1">
            <w:r w:rsidR="007E0B01" w:rsidRPr="001040D7">
              <w:rPr>
                <w:rStyle w:val="Hyperlink"/>
                <w:rFonts w:ascii="Times New Roman" w:hAnsi="Times New Roman" w:cs="Times New Roman"/>
                <w:noProof/>
                <w:sz w:val="24"/>
                <w:szCs w:val="24"/>
              </w:rPr>
              <w:t></w:t>
            </w:r>
            <w:r w:rsidR="007E0B01" w:rsidRPr="001040D7">
              <w:rPr>
                <w:rFonts w:ascii="Times New Roman" w:hAnsi="Times New Roman" w:cs="Times New Roman"/>
                <w:noProof/>
                <w:sz w:val="24"/>
                <w:szCs w:val="24"/>
              </w:rPr>
              <w:tab/>
            </w:r>
            <w:r w:rsidR="007E0B01" w:rsidRPr="001040D7">
              <w:rPr>
                <w:rStyle w:val="Hyperlink"/>
                <w:rFonts w:ascii="Times New Roman" w:hAnsi="Times New Roman" w:cs="Times New Roman"/>
                <w:noProof/>
                <w:sz w:val="24"/>
                <w:szCs w:val="24"/>
              </w:rPr>
              <w:t>Industry</w:t>
            </w:r>
            <w:r w:rsidR="007E0B01" w:rsidRPr="001040D7">
              <w:rPr>
                <w:rStyle w:val="Hyperlink"/>
                <w:rFonts w:ascii="Times New Roman" w:hAnsi="Times New Roman" w:cs="Times New Roman"/>
                <w:b/>
                <w:noProof/>
                <w:sz w:val="24"/>
                <w:szCs w:val="24"/>
              </w:rPr>
              <w:t xml:space="preserve"> </w:t>
            </w:r>
            <w:r w:rsidR="007E0B01" w:rsidRPr="001040D7">
              <w:rPr>
                <w:rStyle w:val="Hyperlink"/>
                <w:rFonts w:ascii="Times New Roman" w:hAnsi="Times New Roman" w:cs="Times New Roman"/>
                <w:noProof/>
                <w:sz w:val="24"/>
                <w:szCs w:val="24"/>
              </w:rPr>
              <w:t>Overview</w:t>
            </w:r>
            <w:r w:rsidR="007E0B01" w:rsidRPr="001040D7">
              <w:rPr>
                <w:rStyle w:val="Hyperlink"/>
                <w:rFonts w:ascii="Times New Roman" w:hAnsi="Times New Roman" w:cs="Times New Roman"/>
                <w:b/>
                <w:noProof/>
                <w:sz w:val="24"/>
                <w:szCs w:val="24"/>
              </w:rPr>
              <w: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_Toc9422056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12</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2"/>
            <w:tabs>
              <w:tab w:val="left" w:pos="660"/>
              <w:tab w:val="right" w:leader="dot" w:pos="9350"/>
            </w:tabs>
            <w:spacing w:line="276" w:lineRule="auto"/>
            <w:jc w:val="both"/>
            <w:rPr>
              <w:rFonts w:ascii="Times New Roman" w:hAnsi="Times New Roman" w:cs="Times New Roman"/>
              <w:noProof/>
              <w:sz w:val="24"/>
              <w:szCs w:val="24"/>
            </w:rPr>
          </w:pPr>
          <w:hyperlink w:anchor="_Toc9422057" w:history="1">
            <w:r w:rsidR="007E0B01" w:rsidRPr="001040D7">
              <w:rPr>
                <w:rStyle w:val="Hyperlink"/>
                <w:rFonts w:ascii="Times New Roman" w:hAnsi="Times New Roman" w:cs="Times New Roman"/>
                <w:noProof/>
                <w:sz w:val="24"/>
                <w:szCs w:val="24"/>
              </w:rPr>
              <w:t></w:t>
            </w:r>
            <w:r w:rsidR="007E0B01" w:rsidRPr="001040D7">
              <w:rPr>
                <w:rFonts w:ascii="Times New Roman" w:hAnsi="Times New Roman" w:cs="Times New Roman"/>
                <w:noProof/>
                <w:sz w:val="24"/>
                <w:szCs w:val="24"/>
              </w:rPr>
              <w:tab/>
            </w:r>
            <w:r w:rsidR="007E0B01" w:rsidRPr="001040D7">
              <w:rPr>
                <w:rStyle w:val="Hyperlink"/>
                <w:rFonts w:ascii="Times New Roman" w:hAnsi="Times New Roman" w:cs="Times New Roman"/>
                <w:noProof/>
                <w:sz w:val="24"/>
                <w:szCs w:val="24"/>
              </w:rPr>
              <w:t>Company Overview:</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_Toc9422057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15</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2"/>
            <w:tabs>
              <w:tab w:val="left" w:pos="660"/>
              <w:tab w:val="right" w:leader="dot" w:pos="9350"/>
            </w:tabs>
            <w:spacing w:line="276" w:lineRule="auto"/>
            <w:jc w:val="both"/>
            <w:rPr>
              <w:rFonts w:ascii="Times New Roman" w:hAnsi="Times New Roman" w:cs="Times New Roman"/>
              <w:noProof/>
              <w:sz w:val="24"/>
              <w:szCs w:val="24"/>
            </w:rPr>
          </w:pPr>
          <w:hyperlink w:anchor="_Toc9422058" w:history="1">
            <w:r w:rsidR="007E0B01" w:rsidRPr="001040D7">
              <w:rPr>
                <w:rStyle w:val="Hyperlink"/>
                <w:rFonts w:ascii="Times New Roman" w:hAnsi="Times New Roman" w:cs="Times New Roman"/>
                <w:noProof/>
                <w:sz w:val="24"/>
                <w:szCs w:val="24"/>
              </w:rPr>
              <w:t></w:t>
            </w:r>
            <w:r w:rsidR="007E0B01" w:rsidRPr="001040D7">
              <w:rPr>
                <w:rFonts w:ascii="Times New Roman" w:hAnsi="Times New Roman" w:cs="Times New Roman"/>
                <w:noProof/>
                <w:sz w:val="24"/>
                <w:szCs w:val="24"/>
              </w:rPr>
              <w:tab/>
            </w:r>
            <w:r w:rsidR="007E0B01" w:rsidRPr="001040D7">
              <w:rPr>
                <w:rStyle w:val="Hyperlink"/>
                <w:rFonts w:ascii="Times New Roman" w:hAnsi="Times New Roman" w:cs="Times New Roman"/>
                <w:noProof/>
                <w:sz w:val="24"/>
                <w:szCs w:val="24"/>
              </w:rPr>
              <w:t>Business</w:t>
            </w:r>
            <w:r w:rsidR="007E0B01" w:rsidRPr="001040D7">
              <w:rPr>
                <w:rStyle w:val="Hyperlink"/>
                <w:rFonts w:ascii="Times New Roman" w:hAnsi="Times New Roman" w:cs="Times New Roman"/>
                <w:b/>
                <w:noProof/>
                <w:sz w:val="24"/>
                <w:szCs w:val="24"/>
              </w:rPr>
              <w:t xml:space="preserve"> </w:t>
            </w:r>
            <w:r w:rsidR="007E0B01" w:rsidRPr="001040D7">
              <w:rPr>
                <w:rStyle w:val="Hyperlink"/>
                <w:rFonts w:ascii="Times New Roman" w:hAnsi="Times New Roman" w:cs="Times New Roman"/>
                <w:noProof/>
                <w:sz w:val="24"/>
                <w:szCs w:val="24"/>
              </w:rPr>
              <w:t>Overview</w:t>
            </w:r>
            <w:r w:rsidR="007E0B01" w:rsidRPr="001040D7">
              <w:rPr>
                <w:rStyle w:val="Hyperlink"/>
                <w:rFonts w:ascii="Times New Roman" w:hAnsi="Times New Roman" w:cs="Times New Roman"/>
                <w:b/>
                <w:noProof/>
                <w:sz w:val="24"/>
                <w:szCs w:val="24"/>
              </w:rPr>
              <w:t>:</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_Toc9422058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15</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1"/>
            <w:spacing w:line="276" w:lineRule="auto"/>
            <w:rPr>
              <w:sz w:val="24"/>
              <w:szCs w:val="24"/>
            </w:rPr>
          </w:pPr>
          <w:hyperlink w:anchor="_Toc9422059" w:history="1">
            <w:r w:rsidR="007E0B01" w:rsidRPr="001040D7">
              <w:rPr>
                <w:rStyle w:val="Hyperlink"/>
                <w:b/>
                <w:sz w:val="24"/>
                <w:szCs w:val="24"/>
              </w:rPr>
              <w:t>Chapter Three:</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_Toc9422059 \h </w:instrText>
            </w:r>
            <w:r w:rsidR="007E0B01" w:rsidRPr="001040D7">
              <w:rPr>
                <w:webHidden/>
                <w:sz w:val="24"/>
                <w:szCs w:val="24"/>
              </w:rPr>
            </w:r>
            <w:r w:rsidR="007E0B01" w:rsidRPr="001040D7">
              <w:rPr>
                <w:webHidden/>
                <w:sz w:val="24"/>
                <w:szCs w:val="24"/>
              </w:rPr>
              <w:fldChar w:fldCharType="separate"/>
            </w:r>
            <w:r w:rsidR="007A415E">
              <w:rPr>
                <w:webHidden/>
                <w:sz w:val="24"/>
                <w:szCs w:val="24"/>
              </w:rPr>
              <w:t>18</w:t>
            </w:r>
            <w:r w:rsidR="007E0B01" w:rsidRPr="001040D7">
              <w:rPr>
                <w:webHidden/>
                <w:sz w:val="24"/>
                <w:szCs w:val="24"/>
              </w:rPr>
              <w:fldChar w:fldCharType="end"/>
            </w:r>
          </w:hyperlink>
        </w:p>
        <w:p w:rsidR="007E0B01" w:rsidRPr="001040D7" w:rsidRDefault="00EF3FB4" w:rsidP="001040D7">
          <w:pPr>
            <w:pStyle w:val="TOC1"/>
            <w:spacing w:line="276" w:lineRule="auto"/>
            <w:rPr>
              <w:sz w:val="24"/>
              <w:szCs w:val="24"/>
            </w:rPr>
          </w:pPr>
          <w:hyperlink w:anchor="_Toc9422060" w:history="1">
            <w:r w:rsidR="007E0B01" w:rsidRPr="001040D7">
              <w:rPr>
                <w:rStyle w:val="Hyperlink"/>
                <w:sz w:val="24"/>
                <w:szCs w:val="24"/>
              </w:rPr>
              <w:t>Valuation &amp; Ratio Analysis of Grameenphone</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_Toc9422060 \h </w:instrText>
            </w:r>
            <w:r w:rsidR="007E0B01" w:rsidRPr="001040D7">
              <w:rPr>
                <w:webHidden/>
                <w:sz w:val="24"/>
                <w:szCs w:val="24"/>
              </w:rPr>
            </w:r>
            <w:r w:rsidR="007E0B01" w:rsidRPr="001040D7">
              <w:rPr>
                <w:webHidden/>
                <w:sz w:val="24"/>
                <w:szCs w:val="24"/>
              </w:rPr>
              <w:fldChar w:fldCharType="separate"/>
            </w:r>
            <w:r w:rsidR="007A415E">
              <w:rPr>
                <w:webHidden/>
                <w:sz w:val="24"/>
                <w:szCs w:val="24"/>
              </w:rPr>
              <w:t>18</w:t>
            </w:r>
            <w:r w:rsidR="007E0B01" w:rsidRPr="001040D7">
              <w:rPr>
                <w:webHidden/>
                <w:sz w:val="24"/>
                <w:szCs w:val="24"/>
              </w:rPr>
              <w:fldChar w:fldCharType="end"/>
            </w:r>
          </w:hyperlink>
        </w:p>
        <w:p w:rsidR="007E0B01" w:rsidRPr="001040D7" w:rsidRDefault="00EF3FB4" w:rsidP="001040D7">
          <w:pPr>
            <w:pStyle w:val="TOC2"/>
            <w:tabs>
              <w:tab w:val="left" w:pos="660"/>
              <w:tab w:val="right" w:leader="dot" w:pos="9350"/>
            </w:tabs>
            <w:spacing w:line="276" w:lineRule="auto"/>
            <w:jc w:val="both"/>
            <w:rPr>
              <w:rFonts w:ascii="Times New Roman" w:hAnsi="Times New Roman" w:cs="Times New Roman"/>
              <w:noProof/>
              <w:sz w:val="24"/>
              <w:szCs w:val="24"/>
            </w:rPr>
          </w:pPr>
          <w:hyperlink w:anchor="_Toc9422061" w:history="1">
            <w:r w:rsidR="007E0B01" w:rsidRPr="001040D7">
              <w:rPr>
                <w:rStyle w:val="Hyperlink"/>
                <w:rFonts w:ascii="Times New Roman" w:hAnsi="Times New Roman" w:cs="Times New Roman"/>
                <w:b/>
                <w:noProof/>
                <w:sz w:val="24"/>
                <w:szCs w:val="24"/>
              </w:rPr>
              <w:t>1.</w:t>
            </w:r>
            <w:r w:rsidR="007E0B01" w:rsidRPr="001040D7">
              <w:rPr>
                <w:rFonts w:ascii="Times New Roman" w:hAnsi="Times New Roman" w:cs="Times New Roman"/>
                <w:noProof/>
                <w:sz w:val="24"/>
                <w:szCs w:val="24"/>
              </w:rPr>
              <w:t xml:space="preserve"> </w:t>
            </w:r>
            <w:r w:rsidR="007E0B01" w:rsidRPr="001040D7">
              <w:rPr>
                <w:rStyle w:val="Hyperlink"/>
                <w:rFonts w:ascii="Times New Roman" w:hAnsi="Times New Roman" w:cs="Times New Roman"/>
                <w:b/>
                <w:noProof/>
                <w:sz w:val="24"/>
                <w:szCs w:val="24"/>
              </w:rPr>
              <w:t>Discounted Cash Flow (DCF) valuation method:</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_Toc9422061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20</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2"/>
            <w:tabs>
              <w:tab w:val="right" w:leader="dot" w:pos="9350"/>
            </w:tabs>
            <w:spacing w:line="276" w:lineRule="auto"/>
            <w:jc w:val="both"/>
            <w:rPr>
              <w:rFonts w:ascii="Times New Roman" w:hAnsi="Times New Roman" w:cs="Times New Roman"/>
              <w:noProof/>
              <w:sz w:val="24"/>
              <w:szCs w:val="24"/>
            </w:rPr>
          </w:pPr>
          <w:hyperlink w:anchor="_Toc9422062" w:history="1">
            <w:r w:rsidR="007E0B01" w:rsidRPr="001040D7">
              <w:rPr>
                <w:rStyle w:val="Hyperlink"/>
                <w:rFonts w:ascii="Times New Roman" w:hAnsi="Times New Roman" w:cs="Times New Roman"/>
                <w:b/>
                <w:noProof/>
                <w:sz w:val="24"/>
                <w:szCs w:val="24"/>
              </w:rPr>
              <w:t>2. P/E multiple Method:</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_Toc9422062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35</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2"/>
            <w:tabs>
              <w:tab w:val="right" w:leader="dot" w:pos="9350"/>
            </w:tabs>
            <w:spacing w:line="276" w:lineRule="auto"/>
            <w:jc w:val="both"/>
            <w:rPr>
              <w:rFonts w:ascii="Times New Roman" w:hAnsi="Times New Roman" w:cs="Times New Roman"/>
              <w:noProof/>
              <w:sz w:val="24"/>
              <w:szCs w:val="24"/>
            </w:rPr>
          </w:pPr>
          <w:hyperlink w:anchor="_Toc9422063" w:history="1">
            <w:r w:rsidR="007E0B01" w:rsidRPr="001040D7">
              <w:rPr>
                <w:rStyle w:val="Hyperlink"/>
                <w:rFonts w:ascii="Times New Roman" w:hAnsi="Times New Roman" w:cs="Times New Roman"/>
                <w:b/>
                <w:noProof/>
                <w:sz w:val="24"/>
                <w:szCs w:val="24"/>
              </w:rPr>
              <w:t>3. EV/ EBITDA Multiple method:</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_Toc9422063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36</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1"/>
            <w:spacing w:line="276" w:lineRule="auto"/>
            <w:rPr>
              <w:sz w:val="24"/>
              <w:szCs w:val="24"/>
            </w:rPr>
          </w:pPr>
          <w:hyperlink w:anchor="_Toc9422064" w:history="1">
            <w:r w:rsidR="007E0B01" w:rsidRPr="001040D7">
              <w:rPr>
                <w:rStyle w:val="Hyperlink"/>
                <w:b/>
                <w:sz w:val="24"/>
                <w:szCs w:val="24"/>
              </w:rPr>
              <w:t>Chapter: Four</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_Toc9422064 \h </w:instrText>
            </w:r>
            <w:r w:rsidR="007E0B01" w:rsidRPr="001040D7">
              <w:rPr>
                <w:webHidden/>
                <w:sz w:val="24"/>
                <w:szCs w:val="24"/>
              </w:rPr>
            </w:r>
            <w:r w:rsidR="007E0B01" w:rsidRPr="001040D7">
              <w:rPr>
                <w:webHidden/>
                <w:sz w:val="24"/>
                <w:szCs w:val="24"/>
              </w:rPr>
              <w:fldChar w:fldCharType="separate"/>
            </w:r>
            <w:r w:rsidR="007A415E">
              <w:rPr>
                <w:webHidden/>
                <w:sz w:val="24"/>
                <w:szCs w:val="24"/>
              </w:rPr>
              <w:t>38</w:t>
            </w:r>
            <w:r w:rsidR="007E0B01" w:rsidRPr="001040D7">
              <w:rPr>
                <w:webHidden/>
                <w:sz w:val="24"/>
                <w:szCs w:val="24"/>
              </w:rPr>
              <w:fldChar w:fldCharType="end"/>
            </w:r>
          </w:hyperlink>
        </w:p>
        <w:p w:rsidR="007E0B01" w:rsidRPr="001040D7" w:rsidRDefault="00EF3FB4" w:rsidP="001040D7">
          <w:pPr>
            <w:pStyle w:val="TOC2"/>
            <w:tabs>
              <w:tab w:val="right" w:leader="dot" w:pos="9350"/>
            </w:tabs>
            <w:spacing w:line="276" w:lineRule="auto"/>
            <w:jc w:val="both"/>
            <w:rPr>
              <w:rFonts w:ascii="Times New Roman" w:hAnsi="Times New Roman" w:cs="Times New Roman"/>
              <w:noProof/>
              <w:sz w:val="24"/>
              <w:szCs w:val="24"/>
            </w:rPr>
          </w:pPr>
          <w:hyperlink w:anchor="_Toc9422065" w:history="1">
            <w:r w:rsidR="007E0B01" w:rsidRPr="001040D7">
              <w:rPr>
                <w:rStyle w:val="Hyperlink"/>
                <w:rFonts w:ascii="Times New Roman" w:hAnsi="Times New Roman" w:cs="Times New Roman"/>
                <w:b/>
                <w:noProof/>
                <w:sz w:val="24"/>
                <w:szCs w:val="24"/>
              </w:rPr>
              <w:t>Conclusion:</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_Toc9422065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39</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2"/>
            <w:tabs>
              <w:tab w:val="right" w:leader="dot" w:pos="9350"/>
            </w:tabs>
            <w:spacing w:line="276" w:lineRule="auto"/>
            <w:jc w:val="both"/>
            <w:rPr>
              <w:rFonts w:ascii="Times New Roman" w:hAnsi="Times New Roman" w:cs="Times New Roman"/>
              <w:noProof/>
              <w:sz w:val="24"/>
              <w:szCs w:val="24"/>
            </w:rPr>
          </w:pPr>
          <w:hyperlink w:anchor="_Toc9422066" w:history="1">
            <w:r w:rsidR="007E0B01" w:rsidRPr="001040D7">
              <w:rPr>
                <w:rStyle w:val="Hyperlink"/>
                <w:rFonts w:ascii="Times New Roman" w:hAnsi="Times New Roman" w:cs="Times New Roman"/>
                <w:b/>
                <w:noProof/>
                <w:sz w:val="24"/>
                <w:szCs w:val="24"/>
              </w:rPr>
              <w:t>References:</w:t>
            </w:r>
            <w:r w:rsidR="007E0B01" w:rsidRPr="001040D7">
              <w:rPr>
                <w:rFonts w:ascii="Times New Roman" w:hAnsi="Times New Roman" w:cs="Times New Roman"/>
                <w:noProof/>
                <w:webHidden/>
                <w:sz w:val="24"/>
                <w:szCs w:val="24"/>
              </w:rPr>
              <w:tab/>
            </w:r>
            <w:r w:rsidR="007E0B01" w:rsidRPr="001040D7">
              <w:rPr>
                <w:rFonts w:ascii="Times New Roman" w:hAnsi="Times New Roman" w:cs="Times New Roman"/>
                <w:noProof/>
                <w:webHidden/>
                <w:sz w:val="24"/>
                <w:szCs w:val="24"/>
              </w:rPr>
              <w:fldChar w:fldCharType="begin"/>
            </w:r>
            <w:r w:rsidR="007E0B01" w:rsidRPr="001040D7">
              <w:rPr>
                <w:rFonts w:ascii="Times New Roman" w:hAnsi="Times New Roman" w:cs="Times New Roman"/>
                <w:noProof/>
                <w:webHidden/>
                <w:sz w:val="24"/>
                <w:szCs w:val="24"/>
              </w:rPr>
              <w:instrText xml:space="preserve"> PAGEREF _Toc9422066 \h </w:instrText>
            </w:r>
            <w:r w:rsidR="007E0B01" w:rsidRPr="001040D7">
              <w:rPr>
                <w:rFonts w:ascii="Times New Roman" w:hAnsi="Times New Roman" w:cs="Times New Roman"/>
                <w:noProof/>
                <w:webHidden/>
                <w:sz w:val="24"/>
                <w:szCs w:val="24"/>
              </w:rPr>
            </w:r>
            <w:r w:rsidR="007E0B01" w:rsidRPr="001040D7">
              <w:rPr>
                <w:rFonts w:ascii="Times New Roman" w:hAnsi="Times New Roman" w:cs="Times New Roman"/>
                <w:noProof/>
                <w:webHidden/>
                <w:sz w:val="24"/>
                <w:szCs w:val="24"/>
              </w:rPr>
              <w:fldChar w:fldCharType="separate"/>
            </w:r>
            <w:r w:rsidR="007A415E">
              <w:rPr>
                <w:rFonts w:ascii="Times New Roman" w:hAnsi="Times New Roman" w:cs="Times New Roman"/>
                <w:noProof/>
                <w:webHidden/>
                <w:sz w:val="24"/>
                <w:szCs w:val="24"/>
              </w:rPr>
              <w:t>40</w:t>
            </w:r>
            <w:r w:rsidR="007E0B01" w:rsidRPr="001040D7">
              <w:rPr>
                <w:rFonts w:ascii="Times New Roman" w:hAnsi="Times New Roman" w:cs="Times New Roman"/>
                <w:noProof/>
                <w:webHidden/>
                <w:sz w:val="24"/>
                <w:szCs w:val="24"/>
              </w:rPr>
              <w:fldChar w:fldCharType="end"/>
            </w:r>
          </w:hyperlink>
        </w:p>
        <w:p w:rsidR="007E0B01" w:rsidRPr="001040D7" w:rsidRDefault="00EF3FB4" w:rsidP="001040D7">
          <w:pPr>
            <w:pStyle w:val="TOC1"/>
            <w:spacing w:line="276" w:lineRule="auto"/>
            <w:rPr>
              <w:sz w:val="24"/>
              <w:szCs w:val="24"/>
            </w:rPr>
          </w:pPr>
          <w:hyperlink w:anchor="_Toc9422067" w:history="1">
            <w:r w:rsidR="007E0B01" w:rsidRPr="001040D7">
              <w:rPr>
                <w:rStyle w:val="Hyperlink"/>
                <w:b/>
                <w:sz w:val="24"/>
                <w:szCs w:val="24"/>
              </w:rPr>
              <w:t>Appendix:</w:t>
            </w:r>
            <w:r w:rsidR="007E0B01" w:rsidRPr="001040D7">
              <w:rPr>
                <w:webHidden/>
                <w:sz w:val="24"/>
                <w:szCs w:val="24"/>
              </w:rPr>
              <w:tab/>
            </w:r>
            <w:r w:rsidR="007E0B01" w:rsidRPr="001040D7">
              <w:rPr>
                <w:webHidden/>
                <w:sz w:val="24"/>
                <w:szCs w:val="24"/>
              </w:rPr>
              <w:fldChar w:fldCharType="begin"/>
            </w:r>
            <w:r w:rsidR="007E0B01" w:rsidRPr="001040D7">
              <w:rPr>
                <w:webHidden/>
                <w:sz w:val="24"/>
                <w:szCs w:val="24"/>
              </w:rPr>
              <w:instrText xml:space="preserve"> PAGEREF _Toc9422067 \h </w:instrText>
            </w:r>
            <w:r w:rsidR="007E0B01" w:rsidRPr="001040D7">
              <w:rPr>
                <w:webHidden/>
                <w:sz w:val="24"/>
                <w:szCs w:val="24"/>
              </w:rPr>
            </w:r>
            <w:r w:rsidR="007E0B01" w:rsidRPr="001040D7">
              <w:rPr>
                <w:webHidden/>
                <w:sz w:val="24"/>
                <w:szCs w:val="24"/>
              </w:rPr>
              <w:fldChar w:fldCharType="separate"/>
            </w:r>
            <w:r w:rsidR="007A415E">
              <w:rPr>
                <w:webHidden/>
                <w:sz w:val="24"/>
                <w:szCs w:val="24"/>
              </w:rPr>
              <w:t>42</w:t>
            </w:r>
            <w:r w:rsidR="007E0B01" w:rsidRPr="001040D7">
              <w:rPr>
                <w:webHidden/>
                <w:sz w:val="24"/>
                <w:szCs w:val="24"/>
              </w:rPr>
              <w:fldChar w:fldCharType="end"/>
            </w:r>
          </w:hyperlink>
        </w:p>
        <w:p w:rsidR="00953D21" w:rsidRDefault="00640458" w:rsidP="001040D7">
          <w:pPr>
            <w:spacing w:line="276" w:lineRule="auto"/>
            <w:jc w:val="both"/>
            <w:rPr>
              <w:b/>
              <w:bCs/>
              <w:noProof/>
            </w:rPr>
          </w:pPr>
          <w:r w:rsidRPr="001040D7">
            <w:rPr>
              <w:rFonts w:ascii="Times New Roman" w:hAnsi="Times New Roman" w:cs="Times New Roman"/>
              <w:b/>
              <w:bCs/>
              <w:noProof/>
              <w:sz w:val="24"/>
              <w:szCs w:val="24"/>
            </w:rPr>
            <w:fldChar w:fldCharType="end"/>
          </w:r>
        </w:p>
      </w:sdtContent>
    </w:sdt>
    <w:bookmarkStart w:id="5" w:name="_Toc469962847" w:displacedByCustomXml="prev"/>
    <w:bookmarkStart w:id="6" w:name="_Toc469962997" w:displacedByCustomXml="prev"/>
    <w:p w:rsidR="00640458" w:rsidRPr="00BA0E67" w:rsidRDefault="00640458" w:rsidP="00953D21">
      <w:pPr>
        <w:spacing w:line="360" w:lineRule="auto"/>
        <w:jc w:val="both"/>
        <w:rPr>
          <w:b/>
          <w:bCs/>
          <w:noProof/>
        </w:rPr>
      </w:pPr>
      <w:r>
        <w:rPr>
          <w:b/>
          <w:bCs/>
          <w:noProof/>
        </w:rPr>
        <w:br w:type="page"/>
      </w:r>
    </w:p>
    <w:p w:rsidR="00640458" w:rsidRDefault="00640458" w:rsidP="002E16B2">
      <w:pPr>
        <w:pStyle w:val="Heading1"/>
        <w:spacing w:line="360" w:lineRule="auto"/>
        <w:jc w:val="center"/>
        <w:rPr>
          <w:rFonts w:ascii="Times New Roman" w:hAnsi="Times New Roman" w:cs="Times New Roman"/>
          <w:b/>
          <w:color w:val="8496B0" w:themeColor="text2" w:themeTint="99"/>
          <w:sz w:val="32"/>
          <w:szCs w:val="32"/>
        </w:rPr>
      </w:pPr>
      <w:bookmarkStart w:id="7" w:name="_Toc9422046"/>
      <w:r w:rsidRPr="00D51C4F">
        <w:rPr>
          <w:rFonts w:ascii="Times New Roman" w:hAnsi="Times New Roman" w:cs="Times New Roman"/>
          <w:b/>
          <w:color w:val="8496B0" w:themeColor="text2" w:themeTint="99"/>
          <w:sz w:val="32"/>
          <w:szCs w:val="32"/>
        </w:rPr>
        <w:lastRenderedPageBreak/>
        <w:t>Executive Summary</w:t>
      </w:r>
      <w:bookmarkEnd w:id="6"/>
      <w:bookmarkEnd w:id="5"/>
      <w:bookmarkEnd w:id="7"/>
    </w:p>
    <w:p w:rsidR="002E16B2" w:rsidRDefault="002E16B2" w:rsidP="002E16B2">
      <w:pPr>
        <w:spacing w:line="360" w:lineRule="auto"/>
      </w:pPr>
    </w:p>
    <w:p w:rsidR="008713CA" w:rsidRDefault="00B90FE5" w:rsidP="002E16B2">
      <w:pPr>
        <w:spacing w:line="360" w:lineRule="auto"/>
        <w:jc w:val="both"/>
        <w:rPr>
          <w:rFonts w:ascii="Times New Roman" w:hAnsi="Times New Roman" w:cs="Times New Roman"/>
          <w:sz w:val="24"/>
        </w:rPr>
      </w:pPr>
      <w:r w:rsidRPr="00B90FE5">
        <w:rPr>
          <w:rFonts w:ascii="Times New Roman" w:hAnsi="Times New Roman" w:cs="Times New Roman"/>
          <w:sz w:val="24"/>
        </w:rPr>
        <w:t>This is an internship report</w:t>
      </w:r>
      <w:r>
        <w:rPr>
          <w:rFonts w:ascii="Times New Roman" w:hAnsi="Times New Roman" w:cs="Times New Roman"/>
          <w:sz w:val="24"/>
        </w:rPr>
        <w:t xml:space="preserve"> which is a result of my three </w:t>
      </w:r>
      <w:r w:rsidR="00402F9B">
        <w:rPr>
          <w:rFonts w:ascii="Times New Roman" w:hAnsi="Times New Roman" w:cs="Times New Roman"/>
          <w:sz w:val="24"/>
        </w:rPr>
        <w:t>months’</w:t>
      </w:r>
      <w:r>
        <w:rPr>
          <w:rFonts w:ascii="Times New Roman" w:hAnsi="Times New Roman" w:cs="Times New Roman"/>
          <w:sz w:val="24"/>
        </w:rPr>
        <w:t xml:space="preserve"> work experience at the research department of UCB Capital Management Ltd. </w:t>
      </w:r>
      <w:r w:rsidRPr="00B90FE5">
        <w:rPr>
          <w:rFonts w:ascii="Times New Roman" w:hAnsi="Times New Roman" w:cs="Times New Roman"/>
          <w:sz w:val="24"/>
        </w:rPr>
        <w:t xml:space="preserve">UCB Capital Management Ltd </w:t>
      </w:r>
      <w:r>
        <w:rPr>
          <w:rFonts w:ascii="Times New Roman" w:hAnsi="Times New Roman" w:cs="Times New Roman"/>
          <w:sz w:val="24"/>
        </w:rPr>
        <w:t xml:space="preserve">is one of the stock broker company in Bangladesh which is a subsidiary of </w:t>
      </w:r>
      <w:r w:rsidRPr="00B90FE5">
        <w:rPr>
          <w:rFonts w:ascii="Times New Roman" w:hAnsi="Times New Roman" w:cs="Times New Roman"/>
          <w:sz w:val="24"/>
        </w:rPr>
        <w:t>United Commercial Bank</w:t>
      </w:r>
      <w:r w:rsidR="000549EE">
        <w:rPr>
          <w:rFonts w:ascii="Times New Roman" w:hAnsi="Times New Roman" w:cs="Times New Roman"/>
          <w:sz w:val="24"/>
        </w:rPr>
        <w:t xml:space="preserve"> (UCB)</w:t>
      </w:r>
      <w:r w:rsidRPr="00B90FE5">
        <w:rPr>
          <w:rFonts w:ascii="Times New Roman" w:hAnsi="Times New Roman" w:cs="Times New Roman"/>
          <w:sz w:val="24"/>
        </w:rPr>
        <w:t xml:space="preserve"> Limited</w:t>
      </w:r>
      <w:r w:rsidR="000549EE">
        <w:rPr>
          <w:rFonts w:ascii="Times New Roman" w:hAnsi="Times New Roman" w:cs="Times New Roman"/>
          <w:sz w:val="24"/>
        </w:rPr>
        <w:t>.</w:t>
      </w:r>
    </w:p>
    <w:p w:rsidR="003A0BCE" w:rsidRDefault="00002996" w:rsidP="00002996">
      <w:pPr>
        <w:spacing w:line="360" w:lineRule="auto"/>
        <w:jc w:val="both"/>
        <w:rPr>
          <w:rFonts w:ascii="Times New Roman" w:hAnsi="Times New Roman" w:cs="Times New Roman"/>
          <w:sz w:val="24"/>
        </w:rPr>
      </w:pPr>
      <w:r>
        <w:rPr>
          <w:rFonts w:ascii="Times New Roman" w:hAnsi="Times New Roman" w:cs="Times New Roman"/>
          <w:sz w:val="24"/>
        </w:rPr>
        <w:t>The report is title as “</w:t>
      </w:r>
      <w:r w:rsidR="003A4387" w:rsidRPr="003A4387">
        <w:rPr>
          <w:rFonts w:ascii="Times New Roman" w:hAnsi="Times New Roman" w:cs="Times New Roman"/>
          <w:sz w:val="24"/>
        </w:rPr>
        <w:t>Determination of Value of a Public Limited Company: A Case Study of Grameenphone</w:t>
      </w:r>
      <w:r w:rsidR="00104F91">
        <w:rPr>
          <w:rFonts w:ascii="Times New Roman" w:hAnsi="Times New Roman" w:cs="Times New Roman"/>
          <w:sz w:val="24"/>
        </w:rPr>
        <w:t xml:space="preserve"> Limited</w:t>
      </w:r>
      <w:r>
        <w:rPr>
          <w:rFonts w:ascii="Times New Roman" w:hAnsi="Times New Roman" w:cs="Times New Roman"/>
          <w:sz w:val="24"/>
        </w:rPr>
        <w:t>”</w:t>
      </w:r>
      <w:r w:rsidR="00601423">
        <w:rPr>
          <w:rFonts w:ascii="Times New Roman" w:hAnsi="Times New Roman" w:cs="Times New Roman"/>
          <w:sz w:val="24"/>
        </w:rPr>
        <w:t xml:space="preserve">. </w:t>
      </w:r>
      <w:r w:rsidR="00F93DD6">
        <w:rPr>
          <w:rFonts w:ascii="Times New Roman" w:hAnsi="Times New Roman" w:cs="Times New Roman"/>
          <w:sz w:val="24"/>
        </w:rPr>
        <w:t>During my internship period I have learnt many things like how to prepare daily and weekly DSE market report</w:t>
      </w:r>
      <w:r w:rsidR="00194236">
        <w:rPr>
          <w:rFonts w:ascii="Times New Roman" w:hAnsi="Times New Roman" w:cs="Times New Roman"/>
          <w:sz w:val="24"/>
        </w:rPr>
        <w:t>, weekly NAV of mutual funds</w:t>
      </w:r>
      <w:r w:rsidR="004C1C91">
        <w:rPr>
          <w:rFonts w:ascii="Times New Roman" w:hAnsi="Times New Roman" w:cs="Times New Roman"/>
          <w:sz w:val="24"/>
        </w:rPr>
        <w:t>, yearly &amp; monthly changes in earning per share and m</w:t>
      </w:r>
      <w:r w:rsidR="00F93DD6">
        <w:rPr>
          <w:rFonts w:ascii="Times New Roman" w:hAnsi="Times New Roman" w:cs="Times New Roman"/>
          <w:sz w:val="24"/>
        </w:rPr>
        <w:t xml:space="preserve">y supervisor helped me developing the valuation model. </w:t>
      </w:r>
    </w:p>
    <w:p w:rsidR="0013474F" w:rsidRDefault="00EA3B5D" w:rsidP="00002996">
      <w:pPr>
        <w:spacing w:line="360" w:lineRule="auto"/>
        <w:jc w:val="both"/>
        <w:rPr>
          <w:rFonts w:ascii="Times New Roman" w:hAnsi="Times New Roman" w:cs="Times New Roman"/>
          <w:sz w:val="24"/>
        </w:rPr>
      </w:pPr>
      <w:r>
        <w:rPr>
          <w:rFonts w:ascii="Times New Roman" w:hAnsi="Times New Roman" w:cs="Times New Roman"/>
          <w:sz w:val="24"/>
        </w:rPr>
        <w:t>This report comprises</w:t>
      </w:r>
      <w:r w:rsidR="00B36314">
        <w:rPr>
          <w:rFonts w:ascii="Times New Roman" w:hAnsi="Times New Roman" w:cs="Times New Roman"/>
          <w:sz w:val="24"/>
        </w:rPr>
        <w:t xml:space="preserve"> four chapters.</w:t>
      </w:r>
      <w:r w:rsidR="001958AA">
        <w:rPr>
          <w:rFonts w:ascii="Times New Roman" w:hAnsi="Times New Roman" w:cs="Times New Roman"/>
          <w:sz w:val="24"/>
        </w:rPr>
        <w:t xml:space="preserve"> The first chapter is an</w:t>
      </w:r>
      <w:r w:rsidR="0013474F" w:rsidRPr="0013474F">
        <w:rPr>
          <w:rFonts w:ascii="Times New Roman" w:hAnsi="Times New Roman" w:cs="Times New Roman"/>
          <w:sz w:val="24"/>
        </w:rPr>
        <w:t xml:space="preserve"> Introduction </w:t>
      </w:r>
      <w:r w:rsidR="001958AA">
        <w:rPr>
          <w:rFonts w:ascii="Times New Roman" w:hAnsi="Times New Roman" w:cs="Times New Roman"/>
          <w:sz w:val="24"/>
        </w:rPr>
        <w:t xml:space="preserve">to the report </w:t>
      </w:r>
      <w:r w:rsidR="0013474F" w:rsidRPr="0013474F">
        <w:rPr>
          <w:rFonts w:ascii="Times New Roman" w:hAnsi="Times New Roman" w:cs="Times New Roman"/>
          <w:sz w:val="24"/>
        </w:rPr>
        <w:t>which consists of Introduction, Origin of the report, Objectives of the report, Scope of the Report, Methodology of the report, Sources of Data, Limitations of the report</w:t>
      </w:r>
      <w:r w:rsidR="0013474F">
        <w:rPr>
          <w:rFonts w:ascii="Times New Roman" w:hAnsi="Times New Roman" w:cs="Times New Roman"/>
          <w:sz w:val="24"/>
        </w:rPr>
        <w:t>.</w:t>
      </w:r>
    </w:p>
    <w:p w:rsidR="00513998" w:rsidRDefault="00513998" w:rsidP="00002996">
      <w:pPr>
        <w:spacing w:line="360" w:lineRule="auto"/>
        <w:jc w:val="both"/>
        <w:rPr>
          <w:rFonts w:ascii="Times New Roman" w:hAnsi="Times New Roman" w:cs="Times New Roman"/>
          <w:sz w:val="24"/>
        </w:rPr>
      </w:pPr>
      <w:r>
        <w:rPr>
          <w:rFonts w:ascii="Times New Roman" w:hAnsi="Times New Roman" w:cs="Times New Roman"/>
          <w:sz w:val="24"/>
        </w:rPr>
        <w:t>Second chapter consists of industry overview, company overview and business overview of GP. The industry overview includes the description of telecom industry which is done through PESTEL analysis. The company overview includes a short description of GP and a short business description of GP is given in the business overview.</w:t>
      </w:r>
    </w:p>
    <w:p w:rsidR="001F1C3F" w:rsidRDefault="007F3FE5" w:rsidP="00002996">
      <w:pPr>
        <w:spacing w:line="360" w:lineRule="auto"/>
        <w:jc w:val="both"/>
        <w:rPr>
          <w:rFonts w:ascii="Times New Roman" w:hAnsi="Times New Roman" w:cs="Times New Roman"/>
          <w:sz w:val="24"/>
        </w:rPr>
      </w:pPr>
      <w:r>
        <w:rPr>
          <w:rFonts w:ascii="Times New Roman" w:hAnsi="Times New Roman" w:cs="Times New Roman"/>
          <w:sz w:val="24"/>
        </w:rPr>
        <w:t>In the third chapter, how valuation of GP is done, is described. Also</w:t>
      </w:r>
      <w:r w:rsidR="00897EFC">
        <w:rPr>
          <w:rFonts w:ascii="Times New Roman" w:hAnsi="Times New Roman" w:cs="Times New Roman"/>
          <w:sz w:val="24"/>
        </w:rPr>
        <w:t xml:space="preserve"> some financial ratio of GP has been analyzed. </w:t>
      </w:r>
      <w:r w:rsidR="003B47EF" w:rsidRPr="003B47EF">
        <w:rPr>
          <w:rFonts w:ascii="Times New Roman" w:hAnsi="Times New Roman" w:cs="Times New Roman"/>
          <w:sz w:val="24"/>
        </w:rPr>
        <w:t>The valuation of GP has been done on the basis of assumption</w:t>
      </w:r>
      <w:r w:rsidR="003B47EF">
        <w:rPr>
          <w:rFonts w:ascii="Times New Roman" w:hAnsi="Times New Roman" w:cs="Times New Roman"/>
          <w:sz w:val="24"/>
        </w:rPr>
        <w:t xml:space="preserve">. Three valuation method has been used: DCF valuation method, P/E multiple method, and </w:t>
      </w:r>
      <w:r w:rsidR="003B47EF" w:rsidRPr="003B47EF">
        <w:rPr>
          <w:rFonts w:ascii="Times New Roman" w:hAnsi="Times New Roman" w:cs="Times New Roman"/>
          <w:sz w:val="24"/>
        </w:rPr>
        <w:t>EV/ EBITDA Multiple method</w:t>
      </w:r>
      <w:r w:rsidR="003B47EF">
        <w:rPr>
          <w:rFonts w:ascii="Times New Roman" w:hAnsi="Times New Roman" w:cs="Times New Roman"/>
          <w:sz w:val="24"/>
        </w:rPr>
        <w:t xml:space="preserve">. More weight given on </w:t>
      </w:r>
      <w:r w:rsidR="003B47EF" w:rsidRPr="003B47EF">
        <w:rPr>
          <w:rFonts w:ascii="Times New Roman" w:hAnsi="Times New Roman" w:cs="Times New Roman"/>
          <w:sz w:val="24"/>
        </w:rPr>
        <w:t>DCF valuation method</w:t>
      </w:r>
      <w:r w:rsidR="003B47EF">
        <w:rPr>
          <w:rFonts w:ascii="Times New Roman" w:hAnsi="Times New Roman" w:cs="Times New Roman"/>
          <w:sz w:val="24"/>
        </w:rPr>
        <w:t>. The ratio analysis has been done taking data from 2013 to 2017 and from the forecasted year’s data 2018E to 2022E.</w:t>
      </w:r>
      <w:r w:rsidR="00B5741D">
        <w:rPr>
          <w:rFonts w:ascii="Times New Roman" w:hAnsi="Times New Roman" w:cs="Times New Roman"/>
          <w:sz w:val="24"/>
        </w:rPr>
        <w:t xml:space="preserve"> After the valuation a target price of GP’s share for December 2019 has been recommended. </w:t>
      </w:r>
      <w:r w:rsidR="00467808">
        <w:rPr>
          <w:rFonts w:ascii="Times New Roman" w:hAnsi="Times New Roman" w:cs="Times New Roman"/>
          <w:sz w:val="24"/>
        </w:rPr>
        <w:t>And the</w:t>
      </w:r>
      <w:r w:rsidR="00467808" w:rsidRPr="00467808">
        <w:rPr>
          <w:rFonts w:ascii="Times New Roman" w:hAnsi="Times New Roman" w:cs="Times New Roman"/>
          <w:sz w:val="24"/>
        </w:rPr>
        <w:t xml:space="preserve"> forecasted share p</w:t>
      </w:r>
      <w:r w:rsidR="00467808">
        <w:rPr>
          <w:rFonts w:ascii="Times New Roman" w:hAnsi="Times New Roman" w:cs="Times New Roman"/>
          <w:sz w:val="24"/>
        </w:rPr>
        <w:t>rice of GP in December 2019 is</w:t>
      </w:r>
      <w:r w:rsidR="00467808" w:rsidRPr="00467808">
        <w:rPr>
          <w:rFonts w:ascii="Times New Roman" w:hAnsi="Times New Roman" w:cs="Times New Roman"/>
          <w:sz w:val="24"/>
        </w:rPr>
        <w:t xml:space="preserve"> BDT 444.75</w:t>
      </w:r>
    </w:p>
    <w:p w:rsidR="002E16B2" w:rsidRPr="00E4583A" w:rsidRDefault="00471CFB" w:rsidP="00E4583A">
      <w:pPr>
        <w:spacing w:line="360" w:lineRule="auto"/>
        <w:jc w:val="both"/>
        <w:rPr>
          <w:rFonts w:ascii="Times New Roman" w:hAnsi="Times New Roman" w:cs="Times New Roman"/>
          <w:sz w:val="24"/>
          <w:szCs w:val="24"/>
        </w:rPr>
      </w:pPr>
      <w:r w:rsidRPr="00E4583A">
        <w:rPr>
          <w:rFonts w:ascii="Times New Roman" w:hAnsi="Times New Roman" w:cs="Times New Roman"/>
          <w:sz w:val="24"/>
          <w:szCs w:val="24"/>
        </w:rPr>
        <w:t>Finally, in</w:t>
      </w:r>
      <w:r w:rsidR="001C19A9" w:rsidRPr="00E4583A">
        <w:rPr>
          <w:rFonts w:ascii="Times New Roman" w:hAnsi="Times New Roman" w:cs="Times New Roman"/>
          <w:sz w:val="24"/>
          <w:szCs w:val="24"/>
        </w:rPr>
        <w:t xml:space="preserve"> the last chapter of the report </w:t>
      </w:r>
      <w:r w:rsidR="005E2DDA" w:rsidRPr="00E4583A">
        <w:rPr>
          <w:rFonts w:ascii="Times New Roman" w:hAnsi="Times New Roman" w:cs="Times New Roman"/>
          <w:sz w:val="24"/>
          <w:szCs w:val="24"/>
        </w:rPr>
        <w:t>some concluding opinion is given through</w:t>
      </w:r>
      <w:r w:rsidR="001C19A9" w:rsidRPr="00E4583A">
        <w:rPr>
          <w:rFonts w:ascii="Times New Roman" w:hAnsi="Times New Roman" w:cs="Times New Roman"/>
          <w:sz w:val="24"/>
          <w:szCs w:val="24"/>
        </w:rPr>
        <w:t xml:space="preserve"> conclusion </w:t>
      </w:r>
      <w:r w:rsidR="005E2DDA" w:rsidRPr="00E4583A">
        <w:rPr>
          <w:rFonts w:ascii="Times New Roman" w:hAnsi="Times New Roman" w:cs="Times New Roman"/>
          <w:sz w:val="24"/>
          <w:szCs w:val="24"/>
        </w:rPr>
        <w:t>and some</w:t>
      </w:r>
      <w:r w:rsidR="001C19A9" w:rsidRPr="00E4583A">
        <w:rPr>
          <w:rFonts w:ascii="Times New Roman" w:hAnsi="Times New Roman" w:cs="Times New Roman"/>
          <w:sz w:val="24"/>
          <w:szCs w:val="24"/>
        </w:rPr>
        <w:t xml:space="preserve"> sources of references </w:t>
      </w:r>
      <w:r w:rsidR="005E2DDA" w:rsidRPr="00E4583A">
        <w:rPr>
          <w:rFonts w:ascii="Times New Roman" w:hAnsi="Times New Roman" w:cs="Times New Roman"/>
          <w:sz w:val="24"/>
          <w:szCs w:val="24"/>
        </w:rPr>
        <w:t xml:space="preserve">are given </w:t>
      </w:r>
      <w:r w:rsidR="001C19A9" w:rsidRPr="00E4583A">
        <w:rPr>
          <w:rFonts w:ascii="Times New Roman" w:hAnsi="Times New Roman" w:cs="Times New Roman"/>
          <w:sz w:val="24"/>
          <w:szCs w:val="24"/>
        </w:rPr>
        <w:t xml:space="preserve">from where I have taken the </w:t>
      </w:r>
      <w:r w:rsidR="005E2DDA" w:rsidRPr="00E4583A">
        <w:rPr>
          <w:rFonts w:ascii="Times New Roman" w:hAnsi="Times New Roman" w:cs="Times New Roman"/>
          <w:sz w:val="24"/>
          <w:szCs w:val="24"/>
        </w:rPr>
        <w:t>information</w:t>
      </w:r>
      <w:r w:rsidR="001C19A9" w:rsidRPr="00E4583A">
        <w:rPr>
          <w:rFonts w:ascii="Times New Roman" w:hAnsi="Times New Roman" w:cs="Times New Roman"/>
          <w:sz w:val="24"/>
          <w:szCs w:val="24"/>
        </w:rPr>
        <w:t>.</w:t>
      </w:r>
      <w:r w:rsidR="00E4583A" w:rsidRPr="00E4583A">
        <w:rPr>
          <w:rFonts w:ascii="Times New Roman" w:hAnsi="Times New Roman" w:cs="Times New Roman"/>
          <w:sz w:val="24"/>
          <w:szCs w:val="24"/>
        </w:rPr>
        <w:t xml:space="preserve">  From my perspective GP is currently undervalued, so I recommend that buying GP’s share now would be </w:t>
      </w:r>
      <w:r w:rsidR="00467808" w:rsidRPr="00E4583A">
        <w:rPr>
          <w:rFonts w:ascii="Times New Roman" w:hAnsi="Times New Roman" w:cs="Times New Roman"/>
          <w:sz w:val="24"/>
          <w:szCs w:val="24"/>
        </w:rPr>
        <w:t>beneficial. I</w:t>
      </w:r>
      <w:r w:rsidR="00E4583A" w:rsidRPr="00E4583A">
        <w:rPr>
          <w:rFonts w:ascii="Times New Roman" w:hAnsi="Times New Roman" w:cs="Times New Roman"/>
          <w:sz w:val="24"/>
          <w:szCs w:val="24"/>
        </w:rPr>
        <w:t xml:space="preserve"> expect that in the future</w:t>
      </w:r>
      <w:r w:rsidR="00A10ED3">
        <w:rPr>
          <w:rFonts w:ascii="Times New Roman" w:hAnsi="Times New Roman" w:cs="Times New Roman"/>
          <w:sz w:val="24"/>
          <w:szCs w:val="24"/>
        </w:rPr>
        <w:t xml:space="preserve"> the share price of GP may rise.</w:t>
      </w:r>
      <w:r w:rsidR="00767BEC" w:rsidRPr="00E4583A">
        <w:rPr>
          <w:rFonts w:ascii="Times New Roman" w:hAnsi="Times New Roman" w:cs="Times New Roman"/>
          <w:sz w:val="24"/>
          <w:szCs w:val="24"/>
        </w:rPr>
        <w:br w:type="page"/>
      </w:r>
    </w:p>
    <w:p w:rsidR="00767BEC" w:rsidRPr="00767BEC" w:rsidRDefault="00767BEC" w:rsidP="00767BEC">
      <w:pPr>
        <w:pStyle w:val="Heading1"/>
        <w:jc w:val="center"/>
      </w:pPr>
    </w:p>
    <w:p w:rsidR="00725DC9" w:rsidRDefault="00767BEC" w:rsidP="00725DC9">
      <w:pPr>
        <w:pStyle w:val="Heading1"/>
        <w:spacing w:line="360" w:lineRule="auto"/>
        <w:jc w:val="center"/>
        <w:rPr>
          <w:sz w:val="200"/>
        </w:rPr>
      </w:pPr>
      <w:bookmarkStart w:id="8" w:name="_Toc9422047"/>
      <w:r w:rsidRPr="00725DC9">
        <w:rPr>
          <w:rFonts w:ascii="Times New Roman" w:hAnsi="Times New Roman" w:cs="Times New Roman"/>
          <w:b/>
          <w:sz w:val="200"/>
        </w:rPr>
        <w:t>Chapter one</w:t>
      </w:r>
      <w:r w:rsidR="00725DC9">
        <w:rPr>
          <w:sz w:val="200"/>
        </w:rPr>
        <w:t>:</w:t>
      </w:r>
      <w:bookmarkEnd w:id="8"/>
    </w:p>
    <w:p w:rsidR="00640458" w:rsidRPr="00725DC9" w:rsidRDefault="00767BEC" w:rsidP="00725DC9">
      <w:pPr>
        <w:spacing w:line="360" w:lineRule="auto"/>
        <w:jc w:val="center"/>
        <w:rPr>
          <w:rFonts w:ascii="Times New Roman" w:hAnsi="Times New Roman" w:cs="Times New Roman"/>
          <w:color w:val="1F3864" w:themeColor="accent5" w:themeShade="80"/>
          <w:sz w:val="460"/>
        </w:rPr>
      </w:pPr>
      <w:r w:rsidRPr="00725DC9">
        <w:rPr>
          <w:rFonts w:ascii="Times New Roman" w:hAnsi="Times New Roman" w:cs="Times New Roman"/>
          <w:color w:val="1F3864" w:themeColor="accent5" w:themeShade="80"/>
          <w:sz w:val="180"/>
        </w:rPr>
        <w:t>Introduction</w:t>
      </w:r>
    </w:p>
    <w:p w:rsidR="00640458" w:rsidRPr="0001662E" w:rsidRDefault="0001662E" w:rsidP="00D62384">
      <w:pPr>
        <w:rPr>
          <w:rFonts w:ascii="Times New Roman" w:hAnsi="Times New Roman" w:cs="Times New Roman"/>
          <w:sz w:val="96"/>
          <w:szCs w:val="24"/>
        </w:rPr>
      </w:pPr>
      <w:r>
        <w:rPr>
          <w:rFonts w:ascii="Times New Roman" w:hAnsi="Times New Roman" w:cs="Times New Roman"/>
          <w:sz w:val="96"/>
          <w:szCs w:val="24"/>
        </w:rPr>
        <w:br w:type="page"/>
      </w:r>
    </w:p>
    <w:p w:rsidR="004762A4" w:rsidRPr="003E46E0" w:rsidRDefault="00640458" w:rsidP="003E46E0">
      <w:pPr>
        <w:pStyle w:val="Heading2"/>
        <w:numPr>
          <w:ilvl w:val="1"/>
          <w:numId w:val="11"/>
        </w:numPr>
        <w:spacing w:line="360" w:lineRule="auto"/>
        <w:jc w:val="both"/>
        <w:rPr>
          <w:rFonts w:ascii="Times New Roman" w:hAnsi="Times New Roman" w:cs="Times New Roman"/>
          <w:b/>
        </w:rPr>
      </w:pPr>
      <w:bookmarkStart w:id="9" w:name="_Toc9422048"/>
      <w:r w:rsidRPr="003E46E0">
        <w:rPr>
          <w:rFonts w:ascii="Times New Roman" w:hAnsi="Times New Roman" w:cs="Times New Roman"/>
          <w:b/>
        </w:rPr>
        <w:lastRenderedPageBreak/>
        <w:t xml:space="preserve">Introduction to the </w:t>
      </w:r>
      <w:r w:rsidR="004762A4" w:rsidRPr="003E46E0">
        <w:rPr>
          <w:rFonts w:ascii="Times New Roman" w:hAnsi="Times New Roman" w:cs="Times New Roman"/>
          <w:b/>
        </w:rPr>
        <w:t>internship report</w:t>
      </w:r>
      <w:bookmarkEnd w:id="9"/>
    </w:p>
    <w:p w:rsidR="00A42537" w:rsidRDefault="00A42537" w:rsidP="003E46E0">
      <w:pPr>
        <w:spacing w:line="360" w:lineRule="auto"/>
        <w:jc w:val="both"/>
        <w:rPr>
          <w:rFonts w:ascii="Times New Roman" w:hAnsi="Times New Roman" w:cs="Times New Roman"/>
          <w:sz w:val="24"/>
          <w:szCs w:val="24"/>
        </w:rPr>
      </w:pPr>
    </w:p>
    <w:p w:rsidR="00FC6124" w:rsidRPr="003E46E0" w:rsidRDefault="004762A4" w:rsidP="003E46E0">
      <w:pPr>
        <w:spacing w:line="360" w:lineRule="auto"/>
        <w:jc w:val="both"/>
        <w:rPr>
          <w:rFonts w:ascii="Times New Roman" w:hAnsi="Times New Roman" w:cs="Times New Roman"/>
          <w:sz w:val="24"/>
          <w:szCs w:val="24"/>
        </w:rPr>
      </w:pPr>
      <w:r w:rsidRPr="003E46E0">
        <w:rPr>
          <w:rFonts w:ascii="Times New Roman" w:hAnsi="Times New Roman" w:cs="Times New Roman"/>
          <w:sz w:val="24"/>
          <w:szCs w:val="24"/>
        </w:rPr>
        <w:t>The internship report</w:t>
      </w:r>
      <w:r w:rsidR="00640458" w:rsidRPr="003E46E0">
        <w:rPr>
          <w:rFonts w:ascii="Times New Roman" w:hAnsi="Times New Roman" w:cs="Times New Roman"/>
          <w:sz w:val="24"/>
          <w:szCs w:val="24"/>
        </w:rPr>
        <w:t xml:space="preserve"> is a requirement of the </w:t>
      </w:r>
      <w:r w:rsidR="00A317E3" w:rsidRPr="003E46E0">
        <w:rPr>
          <w:rFonts w:ascii="Times New Roman" w:hAnsi="Times New Roman" w:cs="Times New Roman"/>
          <w:sz w:val="24"/>
          <w:szCs w:val="24"/>
        </w:rPr>
        <w:t>Bachelor of Business Administration course program</w:t>
      </w:r>
      <w:r w:rsidR="00640458" w:rsidRPr="003E46E0">
        <w:rPr>
          <w:rFonts w:ascii="Times New Roman" w:hAnsi="Times New Roman" w:cs="Times New Roman"/>
          <w:sz w:val="24"/>
          <w:szCs w:val="24"/>
        </w:rPr>
        <w:t xml:space="preserve"> </w:t>
      </w:r>
      <w:r w:rsidR="00A317E3" w:rsidRPr="003E46E0">
        <w:rPr>
          <w:rFonts w:ascii="Times New Roman" w:hAnsi="Times New Roman" w:cs="Times New Roman"/>
          <w:sz w:val="24"/>
          <w:szCs w:val="24"/>
        </w:rPr>
        <w:t>in business School of U</w:t>
      </w:r>
      <w:r w:rsidR="00640458" w:rsidRPr="003E46E0">
        <w:rPr>
          <w:rFonts w:ascii="Times New Roman" w:hAnsi="Times New Roman" w:cs="Times New Roman"/>
          <w:sz w:val="24"/>
          <w:szCs w:val="24"/>
        </w:rPr>
        <w:t xml:space="preserve">nited </w:t>
      </w:r>
      <w:r w:rsidR="00A317E3" w:rsidRPr="003E46E0">
        <w:rPr>
          <w:rFonts w:ascii="Times New Roman" w:hAnsi="Times New Roman" w:cs="Times New Roman"/>
          <w:sz w:val="24"/>
          <w:szCs w:val="24"/>
        </w:rPr>
        <w:t>I</w:t>
      </w:r>
      <w:r w:rsidR="00640458" w:rsidRPr="003E46E0">
        <w:rPr>
          <w:rFonts w:ascii="Times New Roman" w:hAnsi="Times New Roman" w:cs="Times New Roman"/>
          <w:sz w:val="24"/>
          <w:szCs w:val="24"/>
        </w:rPr>
        <w:t>nternational University.</w:t>
      </w:r>
      <w:r w:rsidRPr="003E46E0">
        <w:rPr>
          <w:rFonts w:ascii="Times New Roman" w:hAnsi="Times New Roman" w:cs="Times New Roman"/>
          <w:sz w:val="24"/>
          <w:szCs w:val="24"/>
        </w:rPr>
        <w:t xml:space="preserve"> The primary goal of the report</w:t>
      </w:r>
      <w:r w:rsidR="00640458" w:rsidRPr="003E46E0">
        <w:rPr>
          <w:rFonts w:ascii="Times New Roman" w:hAnsi="Times New Roman" w:cs="Times New Roman"/>
          <w:sz w:val="24"/>
          <w:szCs w:val="24"/>
        </w:rPr>
        <w:t xml:space="preserve"> is to provide the student an on-the-job exposure and an opportunity for translation</w:t>
      </w:r>
      <w:r w:rsidR="00831E1B">
        <w:rPr>
          <w:rFonts w:ascii="Times New Roman" w:hAnsi="Times New Roman" w:cs="Times New Roman"/>
          <w:sz w:val="24"/>
          <w:szCs w:val="24"/>
        </w:rPr>
        <w:t xml:space="preserve"> of theoretical concepts to the real </w:t>
      </w:r>
      <w:r w:rsidR="00640458" w:rsidRPr="003E46E0">
        <w:rPr>
          <w:rFonts w:ascii="Times New Roman" w:hAnsi="Times New Roman" w:cs="Times New Roman"/>
          <w:sz w:val="24"/>
          <w:szCs w:val="24"/>
        </w:rPr>
        <w:t>business situations.</w:t>
      </w:r>
    </w:p>
    <w:p w:rsidR="00F73122" w:rsidRPr="001374C2" w:rsidRDefault="00640458" w:rsidP="00A234CA">
      <w:pPr>
        <w:pStyle w:val="Heading2"/>
        <w:numPr>
          <w:ilvl w:val="1"/>
          <w:numId w:val="11"/>
        </w:numPr>
        <w:spacing w:line="360" w:lineRule="auto"/>
        <w:jc w:val="both"/>
        <w:rPr>
          <w:rFonts w:ascii="Times New Roman" w:hAnsi="Times New Roman" w:cs="Times New Roman"/>
        </w:rPr>
      </w:pPr>
      <w:bookmarkStart w:id="10" w:name="_Toc9422049"/>
      <w:r w:rsidRPr="001374C2">
        <w:rPr>
          <w:rStyle w:val="Heading3Char"/>
          <w:rFonts w:ascii="Times New Roman" w:hAnsi="Times New Roman" w:cs="Times New Roman"/>
        </w:rPr>
        <w:t>Origin of the report</w:t>
      </w:r>
      <w:bookmarkEnd w:id="10"/>
      <w:r w:rsidRPr="001374C2">
        <w:rPr>
          <w:rStyle w:val="Heading3Char"/>
          <w:rFonts w:ascii="Times New Roman" w:hAnsi="Times New Roman" w:cs="Times New Roman"/>
        </w:rPr>
        <w:t xml:space="preserve"> </w:t>
      </w:r>
    </w:p>
    <w:p w:rsidR="00D62384" w:rsidRDefault="003E46E0" w:rsidP="00D62384">
      <w:pPr>
        <w:spacing w:line="360" w:lineRule="auto"/>
        <w:jc w:val="both"/>
        <w:rPr>
          <w:rFonts w:ascii="Times New Roman" w:hAnsi="Times New Roman" w:cs="Times New Roman"/>
          <w:sz w:val="24"/>
          <w:szCs w:val="24"/>
        </w:rPr>
      </w:pPr>
      <w:r w:rsidRPr="003E46E0">
        <w:rPr>
          <w:rFonts w:ascii="Times New Roman" w:hAnsi="Times New Roman" w:cs="Times New Roman"/>
          <w:sz w:val="24"/>
          <w:szCs w:val="24"/>
        </w:rPr>
        <w:t>The report is made after completing the 3 months internship and the experienced that I gathered from the research department of UCB Capital Management Ltd. During my internshi</w:t>
      </w:r>
      <w:r w:rsidR="00F93AA2">
        <w:rPr>
          <w:rFonts w:ascii="Times New Roman" w:hAnsi="Times New Roman" w:cs="Times New Roman"/>
          <w:sz w:val="24"/>
          <w:szCs w:val="24"/>
        </w:rPr>
        <w:t>p period my supervisor Anika Ma</w:t>
      </w:r>
      <w:r w:rsidRPr="003E46E0">
        <w:rPr>
          <w:rFonts w:ascii="Times New Roman" w:hAnsi="Times New Roman" w:cs="Times New Roman"/>
          <w:sz w:val="24"/>
          <w:szCs w:val="24"/>
        </w:rPr>
        <w:t>fiz, helped me to prepare the valuation model of Grameenphone and helped me to prepare the report which was assigned by Muhammad Enamul Haque sir, Assistant Professor of United International University.</w:t>
      </w:r>
      <w:r w:rsidR="00D0511C">
        <w:rPr>
          <w:rFonts w:ascii="Times New Roman" w:hAnsi="Times New Roman" w:cs="Times New Roman"/>
          <w:sz w:val="24"/>
          <w:szCs w:val="24"/>
        </w:rPr>
        <w:t xml:space="preserve"> </w:t>
      </w:r>
    </w:p>
    <w:p w:rsidR="00D62384" w:rsidRPr="00D62384" w:rsidRDefault="00D62384" w:rsidP="00D62384">
      <w:pPr>
        <w:spacing w:line="360" w:lineRule="auto"/>
        <w:jc w:val="both"/>
        <w:rPr>
          <w:rStyle w:val="Heading2Char"/>
          <w:rFonts w:ascii="Times New Roman" w:eastAsiaTheme="minorHAnsi" w:hAnsi="Times New Roman" w:cs="Times New Roman"/>
          <w:color w:val="auto"/>
          <w:sz w:val="24"/>
          <w:szCs w:val="24"/>
        </w:rPr>
      </w:pPr>
    </w:p>
    <w:p w:rsidR="00640458" w:rsidRPr="003E46E0" w:rsidRDefault="00640458" w:rsidP="00D62384">
      <w:pPr>
        <w:pStyle w:val="Heading3"/>
        <w:spacing w:line="360" w:lineRule="auto"/>
        <w:jc w:val="both"/>
        <w:rPr>
          <w:rFonts w:ascii="Times New Roman" w:hAnsi="Times New Roman" w:cs="Times New Roman"/>
        </w:rPr>
      </w:pPr>
      <w:bookmarkStart w:id="11" w:name="_Toc9422050"/>
      <w:r w:rsidRPr="003E46E0">
        <w:rPr>
          <w:rStyle w:val="Heading2Char"/>
          <w:rFonts w:ascii="Times New Roman" w:hAnsi="Times New Roman" w:cs="Times New Roman"/>
        </w:rPr>
        <w:t>1.3</w:t>
      </w:r>
      <w:r w:rsidRPr="003E46E0">
        <w:rPr>
          <w:rFonts w:ascii="Times New Roman" w:hAnsi="Times New Roman" w:cs="Times New Roman"/>
        </w:rPr>
        <w:t xml:space="preserve"> Objectives of the report:</w:t>
      </w:r>
      <w:bookmarkEnd w:id="11"/>
      <w:r w:rsidR="00936474" w:rsidRPr="003E46E0">
        <w:rPr>
          <w:rFonts w:ascii="Times New Roman" w:hAnsi="Times New Roman" w:cs="Times New Roman"/>
        </w:rPr>
        <w:t xml:space="preserve"> </w:t>
      </w:r>
    </w:p>
    <w:p w:rsidR="00A73C11" w:rsidRDefault="00640458" w:rsidP="00A73C11">
      <w:pPr>
        <w:spacing w:line="360" w:lineRule="auto"/>
        <w:jc w:val="both"/>
        <w:rPr>
          <w:rFonts w:ascii="Times New Roman" w:hAnsi="Times New Roman" w:cs="Times New Roman"/>
          <w:sz w:val="24"/>
          <w:szCs w:val="24"/>
        </w:rPr>
      </w:pPr>
      <w:r w:rsidRPr="00A42537">
        <w:rPr>
          <w:rFonts w:ascii="Times New Roman" w:hAnsi="Times New Roman" w:cs="Times New Roman"/>
          <w:b/>
          <w:sz w:val="24"/>
          <w:szCs w:val="24"/>
        </w:rPr>
        <w:t>Main objective</w:t>
      </w:r>
      <w:r w:rsidR="00A73C11">
        <w:rPr>
          <w:rFonts w:ascii="Times New Roman" w:hAnsi="Times New Roman" w:cs="Times New Roman"/>
          <w:sz w:val="24"/>
          <w:szCs w:val="24"/>
        </w:rPr>
        <w:t xml:space="preserve">: The main objective of the report is to obtain experience from the </w:t>
      </w:r>
      <w:r w:rsidR="006816A1">
        <w:rPr>
          <w:rFonts w:ascii="Times New Roman" w:hAnsi="Times New Roman" w:cs="Times New Roman"/>
          <w:sz w:val="24"/>
          <w:szCs w:val="24"/>
        </w:rPr>
        <w:t>research team and how they work. To prepare a valuation report,</w:t>
      </w:r>
      <w:r w:rsidR="00534A97">
        <w:rPr>
          <w:rFonts w:ascii="Times New Roman" w:hAnsi="Times New Roman" w:cs="Times New Roman"/>
          <w:sz w:val="24"/>
          <w:szCs w:val="24"/>
        </w:rPr>
        <w:t xml:space="preserve"> </w:t>
      </w:r>
      <w:r w:rsidR="006816A1">
        <w:rPr>
          <w:rFonts w:ascii="Times New Roman" w:hAnsi="Times New Roman" w:cs="Times New Roman"/>
          <w:sz w:val="24"/>
          <w:szCs w:val="24"/>
        </w:rPr>
        <w:t>as</w:t>
      </w:r>
      <w:r w:rsidR="00534A97">
        <w:rPr>
          <w:rFonts w:ascii="Times New Roman" w:hAnsi="Times New Roman" w:cs="Times New Roman"/>
          <w:sz w:val="24"/>
          <w:szCs w:val="24"/>
        </w:rPr>
        <w:t xml:space="preserve"> the research team also make the equity reports for their clients.</w:t>
      </w:r>
    </w:p>
    <w:p w:rsidR="00BF7CA8" w:rsidRPr="00BF7CA8" w:rsidRDefault="00BF7CA8" w:rsidP="00A73C11">
      <w:pPr>
        <w:spacing w:line="360" w:lineRule="auto"/>
        <w:jc w:val="both"/>
        <w:rPr>
          <w:rFonts w:ascii="Times New Roman" w:hAnsi="Times New Roman" w:cs="Times New Roman"/>
          <w:sz w:val="24"/>
          <w:szCs w:val="24"/>
        </w:rPr>
      </w:pPr>
    </w:p>
    <w:p w:rsidR="00640458" w:rsidRPr="00A73C11" w:rsidRDefault="00640458" w:rsidP="00A73C11">
      <w:pPr>
        <w:spacing w:line="360" w:lineRule="auto"/>
        <w:jc w:val="both"/>
        <w:rPr>
          <w:rFonts w:ascii="Times New Roman" w:hAnsi="Times New Roman" w:cs="Times New Roman"/>
          <w:b/>
          <w:sz w:val="24"/>
          <w:szCs w:val="24"/>
        </w:rPr>
      </w:pPr>
      <w:r w:rsidRPr="00A42537">
        <w:rPr>
          <w:rFonts w:ascii="Times New Roman" w:hAnsi="Times New Roman" w:cs="Times New Roman"/>
          <w:b/>
          <w:sz w:val="24"/>
          <w:szCs w:val="24"/>
        </w:rPr>
        <w:t xml:space="preserve">Specific objectives: </w:t>
      </w:r>
    </w:p>
    <w:p w:rsidR="00640458" w:rsidRPr="003E46E0" w:rsidRDefault="00997363" w:rsidP="00997363">
      <w:pPr>
        <w:pStyle w:val="Default"/>
        <w:numPr>
          <w:ilvl w:val="0"/>
          <w:numId w:val="12"/>
        </w:numPr>
        <w:spacing w:after="68" w:line="360" w:lineRule="auto"/>
        <w:jc w:val="both"/>
      </w:pPr>
      <w:r w:rsidRPr="003E46E0">
        <w:rPr>
          <w:noProof/>
        </w:rPr>
        <w:drawing>
          <wp:anchor distT="0" distB="0" distL="114300" distR="114300" simplePos="0" relativeHeight="251660288" behindDoc="1" locked="0" layoutInCell="1" allowOverlap="1" wp14:anchorId="4CFB0608" wp14:editId="552334E6">
            <wp:simplePos x="0" y="0"/>
            <wp:positionH relativeFrom="leftMargin">
              <wp:posOffset>1129827</wp:posOffset>
            </wp:positionH>
            <wp:positionV relativeFrom="paragraph">
              <wp:posOffset>2688</wp:posOffset>
            </wp:positionV>
            <wp:extent cx="161192" cy="15240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jpg"/>
                    <pic:cNvPicPr/>
                  </pic:nvPicPr>
                  <pic:blipFill>
                    <a:blip r:embed="rId10">
                      <a:extLst>
                        <a:ext uri="{28A0092B-C50C-407E-A947-70E740481C1C}">
                          <a14:useLocalDpi xmlns:a14="http://schemas.microsoft.com/office/drawing/2010/main" val="0"/>
                        </a:ext>
                      </a:extLst>
                    </a:blip>
                    <a:stretch>
                      <a:fillRect/>
                    </a:stretch>
                  </pic:blipFill>
                  <pic:spPr>
                    <a:xfrm>
                      <a:off x="0" y="0"/>
                      <a:ext cx="161192" cy="152400"/>
                    </a:xfrm>
                    <a:prstGeom prst="rect">
                      <a:avLst/>
                    </a:prstGeom>
                  </pic:spPr>
                </pic:pic>
              </a:graphicData>
            </a:graphic>
          </wp:anchor>
        </w:drawing>
      </w:r>
      <w:r w:rsidR="00640458" w:rsidRPr="003E46E0">
        <w:t>To</w:t>
      </w:r>
      <w:r w:rsidR="00A73C11">
        <w:t xml:space="preserve"> study the overview of the telecom industry</w:t>
      </w:r>
      <w:r w:rsidR="00640458" w:rsidRPr="003E46E0">
        <w:t>.</w:t>
      </w:r>
    </w:p>
    <w:p w:rsidR="00A73C11" w:rsidRDefault="00997363" w:rsidP="00997363">
      <w:pPr>
        <w:pStyle w:val="Default"/>
        <w:numPr>
          <w:ilvl w:val="0"/>
          <w:numId w:val="12"/>
        </w:numPr>
        <w:spacing w:after="68" w:line="360" w:lineRule="auto"/>
        <w:jc w:val="both"/>
      </w:pPr>
      <w:r w:rsidRPr="003E46E0">
        <w:rPr>
          <w:noProof/>
        </w:rPr>
        <w:drawing>
          <wp:anchor distT="0" distB="0" distL="114300" distR="114300" simplePos="0" relativeHeight="251661312" behindDoc="1" locked="0" layoutInCell="1" allowOverlap="1" wp14:anchorId="2AB87C28" wp14:editId="027FD696">
            <wp:simplePos x="0" y="0"/>
            <wp:positionH relativeFrom="margin">
              <wp:posOffset>229708</wp:posOffset>
            </wp:positionH>
            <wp:positionV relativeFrom="paragraph">
              <wp:posOffset>7930</wp:posOffset>
            </wp:positionV>
            <wp:extent cx="161192" cy="15240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jpg"/>
                    <pic:cNvPicPr/>
                  </pic:nvPicPr>
                  <pic:blipFill>
                    <a:blip r:embed="rId10">
                      <a:extLst>
                        <a:ext uri="{28A0092B-C50C-407E-A947-70E740481C1C}">
                          <a14:useLocalDpi xmlns:a14="http://schemas.microsoft.com/office/drawing/2010/main" val="0"/>
                        </a:ext>
                      </a:extLst>
                    </a:blip>
                    <a:stretch>
                      <a:fillRect/>
                    </a:stretch>
                  </pic:blipFill>
                  <pic:spPr>
                    <a:xfrm>
                      <a:off x="0" y="0"/>
                      <a:ext cx="161192" cy="152400"/>
                    </a:xfrm>
                    <a:prstGeom prst="rect">
                      <a:avLst/>
                    </a:prstGeom>
                  </pic:spPr>
                </pic:pic>
              </a:graphicData>
            </a:graphic>
          </wp:anchor>
        </w:drawing>
      </w:r>
      <w:r w:rsidR="00A73C11">
        <w:t>To find out the</w:t>
      </w:r>
      <w:r w:rsidR="00640458" w:rsidRPr="003E46E0">
        <w:t xml:space="preserve"> strate</w:t>
      </w:r>
      <w:r w:rsidR="00A73C11">
        <w:t>gy in terms of valuation model</w:t>
      </w:r>
    </w:p>
    <w:p w:rsidR="00640458" w:rsidRPr="00583AF7" w:rsidRDefault="00997363" w:rsidP="00997363">
      <w:pPr>
        <w:pStyle w:val="Default"/>
        <w:numPr>
          <w:ilvl w:val="0"/>
          <w:numId w:val="12"/>
        </w:numPr>
        <w:spacing w:after="68" w:line="360" w:lineRule="auto"/>
        <w:jc w:val="both"/>
      </w:pPr>
      <w:r w:rsidRPr="003E46E0">
        <w:rPr>
          <w:noProof/>
        </w:rPr>
        <w:drawing>
          <wp:anchor distT="0" distB="0" distL="114300" distR="114300" simplePos="0" relativeHeight="251662336" behindDoc="1" locked="0" layoutInCell="1" allowOverlap="1" wp14:anchorId="1C8A5B27" wp14:editId="02D7A5AA">
            <wp:simplePos x="0" y="0"/>
            <wp:positionH relativeFrom="margin">
              <wp:posOffset>209712</wp:posOffset>
            </wp:positionH>
            <wp:positionV relativeFrom="paragraph">
              <wp:posOffset>7458</wp:posOffset>
            </wp:positionV>
            <wp:extent cx="160655" cy="1524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jpg"/>
                    <pic:cNvPicPr/>
                  </pic:nvPicPr>
                  <pic:blipFill>
                    <a:blip r:embed="rId10">
                      <a:extLst>
                        <a:ext uri="{28A0092B-C50C-407E-A947-70E740481C1C}">
                          <a14:useLocalDpi xmlns:a14="http://schemas.microsoft.com/office/drawing/2010/main" val="0"/>
                        </a:ext>
                      </a:extLst>
                    </a:blip>
                    <a:stretch>
                      <a:fillRect/>
                    </a:stretch>
                  </pic:blipFill>
                  <pic:spPr>
                    <a:xfrm>
                      <a:off x="0" y="0"/>
                      <a:ext cx="160655" cy="152400"/>
                    </a:xfrm>
                    <a:prstGeom prst="rect">
                      <a:avLst/>
                    </a:prstGeom>
                  </pic:spPr>
                </pic:pic>
              </a:graphicData>
            </a:graphic>
          </wp:anchor>
        </w:drawing>
      </w:r>
      <w:r w:rsidR="00A73C11">
        <w:t>To</w:t>
      </w:r>
      <w:r w:rsidR="00A73C11" w:rsidRPr="00A73C11">
        <w:t xml:space="preserve"> find out the strategy in terms of</w:t>
      </w:r>
      <w:r w:rsidR="00A73C11">
        <w:t xml:space="preserve"> Liquidity</w:t>
      </w:r>
      <w:r w:rsidR="00640458" w:rsidRPr="003E46E0">
        <w:t>, Risk, profit, Asset managem</w:t>
      </w:r>
      <w:r w:rsidR="00A73C11">
        <w:t>ent of GP</w:t>
      </w:r>
    </w:p>
    <w:p w:rsidR="00640458" w:rsidRPr="00583AF7" w:rsidRDefault="00997363" w:rsidP="00997363">
      <w:pPr>
        <w:pStyle w:val="Default"/>
        <w:numPr>
          <w:ilvl w:val="0"/>
          <w:numId w:val="12"/>
        </w:numPr>
        <w:spacing w:after="68" w:line="360" w:lineRule="auto"/>
        <w:jc w:val="both"/>
      </w:pPr>
      <w:r w:rsidRPr="00583AF7">
        <w:rPr>
          <w:noProof/>
        </w:rPr>
        <w:drawing>
          <wp:anchor distT="0" distB="0" distL="114300" distR="114300" simplePos="0" relativeHeight="251664384" behindDoc="1" locked="0" layoutInCell="1" allowOverlap="1" wp14:anchorId="35D0B20D" wp14:editId="224B6D7F">
            <wp:simplePos x="0" y="0"/>
            <wp:positionH relativeFrom="margin">
              <wp:posOffset>208752</wp:posOffset>
            </wp:positionH>
            <wp:positionV relativeFrom="paragraph">
              <wp:posOffset>13808</wp:posOffset>
            </wp:positionV>
            <wp:extent cx="160655" cy="152400"/>
            <wp:effectExtent l="0" t="0" r="0" b="0"/>
            <wp:wrapNone/>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jpg"/>
                    <pic:cNvPicPr/>
                  </pic:nvPicPr>
                  <pic:blipFill>
                    <a:blip r:embed="rId10">
                      <a:extLst>
                        <a:ext uri="{28A0092B-C50C-407E-A947-70E740481C1C}">
                          <a14:useLocalDpi xmlns:a14="http://schemas.microsoft.com/office/drawing/2010/main" val="0"/>
                        </a:ext>
                      </a:extLst>
                    </a:blip>
                    <a:stretch>
                      <a:fillRect/>
                    </a:stretch>
                  </pic:blipFill>
                  <pic:spPr>
                    <a:xfrm>
                      <a:off x="0" y="0"/>
                      <a:ext cx="160655" cy="152400"/>
                    </a:xfrm>
                    <a:prstGeom prst="rect">
                      <a:avLst/>
                    </a:prstGeom>
                  </pic:spPr>
                </pic:pic>
              </a:graphicData>
            </a:graphic>
          </wp:anchor>
        </w:drawing>
      </w:r>
      <w:r w:rsidR="00640458" w:rsidRPr="00583AF7">
        <w:rPr>
          <w:noProof/>
        </w:rPr>
        <w:drawing>
          <wp:anchor distT="0" distB="0" distL="114300" distR="114300" simplePos="0" relativeHeight="251665408" behindDoc="1" locked="0" layoutInCell="1" allowOverlap="1" wp14:anchorId="14F3C661" wp14:editId="670E24F1">
            <wp:simplePos x="0" y="0"/>
            <wp:positionH relativeFrom="margin">
              <wp:posOffset>187650</wp:posOffset>
            </wp:positionH>
            <wp:positionV relativeFrom="paragraph">
              <wp:posOffset>325593</wp:posOffset>
            </wp:positionV>
            <wp:extent cx="160655" cy="152400"/>
            <wp:effectExtent l="0" t="0" r="0" b="0"/>
            <wp:wrapNone/>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jpg"/>
                    <pic:cNvPicPr/>
                  </pic:nvPicPr>
                  <pic:blipFill>
                    <a:blip r:embed="rId11">
                      <a:extLst>
                        <a:ext uri="{28A0092B-C50C-407E-A947-70E740481C1C}">
                          <a14:useLocalDpi xmlns:a14="http://schemas.microsoft.com/office/drawing/2010/main" val="0"/>
                        </a:ext>
                      </a:extLst>
                    </a:blip>
                    <a:stretch>
                      <a:fillRect/>
                    </a:stretch>
                  </pic:blipFill>
                  <pic:spPr>
                    <a:xfrm>
                      <a:off x="0" y="0"/>
                      <a:ext cx="160655" cy="152400"/>
                    </a:xfrm>
                    <a:prstGeom prst="rect">
                      <a:avLst/>
                    </a:prstGeom>
                  </pic:spPr>
                </pic:pic>
              </a:graphicData>
            </a:graphic>
          </wp:anchor>
        </w:drawing>
      </w:r>
      <w:r w:rsidR="00A73C11">
        <w:t>To</w:t>
      </w:r>
      <w:r w:rsidR="00534A97">
        <w:t xml:space="preserve"> analyze the model and recommend a target price of GP</w:t>
      </w:r>
      <w:r w:rsidR="00640458" w:rsidRPr="00583AF7">
        <w:t xml:space="preserve"> </w:t>
      </w:r>
    </w:p>
    <w:p w:rsidR="00640458" w:rsidRPr="00583AF7" w:rsidRDefault="00534A97" w:rsidP="00997363">
      <w:pPr>
        <w:pStyle w:val="Default"/>
        <w:numPr>
          <w:ilvl w:val="0"/>
          <w:numId w:val="12"/>
        </w:numPr>
        <w:spacing w:line="360" w:lineRule="auto"/>
        <w:jc w:val="both"/>
      </w:pPr>
      <w:r>
        <w:t>To measure the</w:t>
      </w:r>
      <w:r w:rsidR="00640458" w:rsidRPr="00583AF7">
        <w:t xml:space="preserve"> financial performance</w:t>
      </w:r>
      <w:r>
        <w:t xml:space="preserve"> of GP</w:t>
      </w:r>
      <w:r w:rsidR="00640458" w:rsidRPr="00583AF7">
        <w:t xml:space="preserve"> by ratio analysis </w:t>
      </w:r>
    </w:p>
    <w:p w:rsidR="00640458" w:rsidRPr="00583AF7" w:rsidRDefault="00640458" w:rsidP="00C4474B">
      <w:pPr>
        <w:spacing w:line="360" w:lineRule="auto"/>
        <w:jc w:val="both"/>
        <w:rPr>
          <w:rFonts w:ascii="Times New Roman" w:hAnsi="Times New Roman" w:cs="Times New Roman"/>
          <w:sz w:val="24"/>
          <w:szCs w:val="24"/>
        </w:rPr>
      </w:pPr>
    </w:p>
    <w:p w:rsidR="00640458" w:rsidRDefault="00640458" w:rsidP="00C4474B">
      <w:pPr>
        <w:pStyle w:val="Heading3"/>
        <w:spacing w:line="360" w:lineRule="auto"/>
        <w:jc w:val="both"/>
        <w:rPr>
          <w:rFonts w:ascii="Times New Roman" w:hAnsi="Times New Roman" w:cs="Times New Roman"/>
        </w:rPr>
      </w:pPr>
      <w:bookmarkStart w:id="12" w:name="_Toc9422051"/>
      <w:r w:rsidRPr="00AF2AEC">
        <w:rPr>
          <w:rStyle w:val="Heading2Char"/>
          <w:rFonts w:ascii="Times New Roman" w:hAnsi="Times New Roman" w:cs="Times New Roman"/>
        </w:rPr>
        <w:lastRenderedPageBreak/>
        <w:t>1.4</w:t>
      </w:r>
      <w:r w:rsidRPr="00AF2AEC">
        <w:rPr>
          <w:rFonts w:ascii="Times New Roman" w:hAnsi="Times New Roman" w:cs="Times New Roman"/>
        </w:rPr>
        <w:t xml:space="preserve"> Scope of the Report</w:t>
      </w:r>
      <w:bookmarkEnd w:id="12"/>
      <w:r w:rsidRPr="00AF2AEC">
        <w:rPr>
          <w:rFonts w:ascii="Times New Roman" w:hAnsi="Times New Roman" w:cs="Times New Roman"/>
        </w:rPr>
        <w:t xml:space="preserve"> </w:t>
      </w:r>
    </w:p>
    <w:p w:rsidR="00640458" w:rsidRPr="00583AF7" w:rsidRDefault="001D32FE"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has been</w:t>
      </w:r>
      <w:r w:rsidR="00640458" w:rsidRPr="00583AF7">
        <w:rPr>
          <w:rFonts w:ascii="Times New Roman" w:hAnsi="Times New Roman" w:cs="Times New Roman"/>
          <w:sz w:val="24"/>
          <w:szCs w:val="24"/>
        </w:rPr>
        <w:t xml:space="preserve"> condu</w:t>
      </w:r>
      <w:r w:rsidR="00C12AC7">
        <w:rPr>
          <w:rFonts w:ascii="Times New Roman" w:hAnsi="Times New Roman" w:cs="Times New Roman"/>
          <w:sz w:val="24"/>
          <w:szCs w:val="24"/>
        </w:rPr>
        <w:t>cted to know how to make a valuation model</w:t>
      </w:r>
      <w:r w:rsidR="001F36E3">
        <w:rPr>
          <w:rFonts w:ascii="Times New Roman" w:hAnsi="Times New Roman" w:cs="Times New Roman"/>
          <w:sz w:val="24"/>
          <w:szCs w:val="24"/>
        </w:rPr>
        <w:t xml:space="preserve"> of a company concerning all the</w:t>
      </w:r>
      <w:r w:rsidR="00640458" w:rsidRPr="00583AF7">
        <w:rPr>
          <w:rFonts w:ascii="Times New Roman" w:hAnsi="Times New Roman" w:cs="Times New Roman"/>
          <w:sz w:val="24"/>
          <w:szCs w:val="24"/>
        </w:rPr>
        <w:t xml:space="preserve"> finance</w:t>
      </w:r>
      <w:r w:rsidR="001F36E3">
        <w:rPr>
          <w:rFonts w:ascii="Times New Roman" w:hAnsi="Times New Roman" w:cs="Times New Roman"/>
          <w:sz w:val="24"/>
          <w:szCs w:val="24"/>
        </w:rPr>
        <w:t xml:space="preserve"> performance</w:t>
      </w:r>
      <w:r w:rsidR="00640458" w:rsidRPr="00583AF7">
        <w:rPr>
          <w:rFonts w:ascii="Times New Roman" w:hAnsi="Times New Roman" w:cs="Times New Roman"/>
          <w:sz w:val="24"/>
          <w:szCs w:val="24"/>
        </w:rPr>
        <w:t xml:space="preserve"> and financial conditions from di</w:t>
      </w:r>
      <w:r w:rsidR="006F535A">
        <w:rPr>
          <w:rFonts w:ascii="Times New Roman" w:hAnsi="Times New Roman" w:cs="Times New Roman"/>
          <w:sz w:val="24"/>
          <w:szCs w:val="24"/>
        </w:rPr>
        <w:t>fferent point of view. But, as Grameenphone is a large Organization</w:t>
      </w:r>
      <w:r w:rsidR="00E54772">
        <w:rPr>
          <w:rFonts w:ascii="Times New Roman" w:hAnsi="Times New Roman" w:cs="Times New Roman"/>
          <w:sz w:val="24"/>
          <w:szCs w:val="24"/>
        </w:rPr>
        <w:t>. So, it was</w:t>
      </w:r>
      <w:r w:rsidR="00640458" w:rsidRPr="00583AF7">
        <w:rPr>
          <w:rFonts w:ascii="Times New Roman" w:hAnsi="Times New Roman" w:cs="Times New Roman"/>
          <w:sz w:val="24"/>
          <w:szCs w:val="24"/>
        </w:rPr>
        <w:t xml:space="preserve"> unattainable to work on the whole financial condi</w:t>
      </w:r>
      <w:r w:rsidR="006F535A">
        <w:rPr>
          <w:rFonts w:ascii="Times New Roman" w:hAnsi="Times New Roman" w:cs="Times New Roman"/>
          <w:sz w:val="24"/>
          <w:szCs w:val="24"/>
        </w:rPr>
        <w:t>tion from the beginning of the</w:t>
      </w:r>
      <w:r w:rsidR="00640458" w:rsidRPr="00583AF7">
        <w:rPr>
          <w:rFonts w:ascii="Times New Roman" w:hAnsi="Times New Roman" w:cs="Times New Roman"/>
          <w:sz w:val="24"/>
          <w:szCs w:val="24"/>
        </w:rPr>
        <w:t xml:space="preserve"> organization at a time. A</w:t>
      </w:r>
      <w:r w:rsidR="006F535A">
        <w:rPr>
          <w:rFonts w:ascii="Times New Roman" w:hAnsi="Times New Roman" w:cs="Times New Roman"/>
          <w:sz w:val="24"/>
          <w:szCs w:val="24"/>
        </w:rPr>
        <w:t>s a result, I have chosen only 2013</w:t>
      </w:r>
      <w:r w:rsidR="00640458" w:rsidRPr="00583AF7">
        <w:rPr>
          <w:rFonts w:ascii="Times New Roman" w:hAnsi="Times New Roman" w:cs="Times New Roman"/>
          <w:sz w:val="24"/>
          <w:szCs w:val="24"/>
        </w:rPr>
        <w:t xml:space="preserve"> to 201</w:t>
      </w:r>
      <w:r w:rsidR="006F535A">
        <w:rPr>
          <w:rFonts w:ascii="Times New Roman" w:hAnsi="Times New Roman" w:cs="Times New Roman"/>
          <w:sz w:val="24"/>
          <w:szCs w:val="24"/>
        </w:rPr>
        <w:t>7</w:t>
      </w:r>
      <w:r w:rsidR="00640458" w:rsidRPr="00583AF7">
        <w:rPr>
          <w:rFonts w:ascii="Times New Roman" w:hAnsi="Times New Roman" w:cs="Times New Roman"/>
          <w:sz w:val="24"/>
          <w:szCs w:val="24"/>
        </w:rPr>
        <w:t xml:space="preserve"> annual reports to do this analysis</w:t>
      </w:r>
      <w:r w:rsidR="003854AB">
        <w:rPr>
          <w:rFonts w:ascii="Times New Roman" w:hAnsi="Times New Roman" w:cs="Times New Roman"/>
          <w:sz w:val="24"/>
          <w:szCs w:val="24"/>
        </w:rPr>
        <w:t xml:space="preserve"> and prepare the model on the basis of some assumptions.</w:t>
      </w:r>
    </w:p>
    <w:p w:rsidR="00640458" w:rsidRPr="00583AF7" w:rsidRDefault="00640458" w:rsidP="00812A9B">
      <w:pPr>
        <w:rPr>
          <w:rFonts w:ascii="Times New Roman" w:hAnsi="Times New Roman" w:cs="Times New Roman"/>
          <w:sz w:val="24"/>
          <w:szCs w:val="24"/>
        </w:rPr>
      </w:pPr>
    </w:p>
    <w:p w:rsidR="00640458" w:rsidRPr="00AF2AEC" w:rsidRDefault="00640458" w:rsidP="00C4474B">
      <w:pPr>
        <w:pStyle w:val="Heading3"/>
        <w:spacing w:line="360" w:lineRule="auto"/>
        <w:jc w:val="both"/>
        <w:rPr>
          <w:rFonts w:ascii="Times New Roman" w:hAnsi="Times New Roman" w:cs="Times New Roman"/>
        </w:rPr>
      </w:pPr>
      <w:bookmarkStart w:id="13" w:name="_Toc9422052"/>
      <w:r w:rsidRPr="00AF2AEC">
        <w:rPr>
          <w:rStyle w:val="Heading2Char"/>
          <w:rFonts w:ascii="Times New Roman" w:hAnsi="Times New Roman" w:cs="Times New Roman"/>
        </w:rPr>
        <w:t>1.5</w:t>
      </w:r>
      <w:r w:rsidRPr="00AF2AEC">
        <w:rPr>
          <w:rFonts w:ascii="Times New Roman" w:hAnsi="Times New Roman" w:cs="Times New Roman"/>
        </w:rPr>
        <w:t xml:space="preserve"> Methodology of the report</w:t>
      </w:r>
      <w:bookmarkEnd w:id="13"/>
    </w:p>
    <w:p w:rsidR="006675CE" w:rsidRDefault="006675CE"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8B0B27">
        <w:rPr>
          <w:rFonts w:ascii="Times New Roman" w:hAnsi="Times New Roman" w:cs="Times New Roman"/>
          <w:sz w:val="24"/>
          <w:szCs w:val="24"/>
        </w:rPr>
        <w:t>prepare</w:t>
      </w:r>
      <w:r>
        <w:rPr>
          <w:rFonts w:ascii="Times New Roman" w:hAnsi="Times New Roman" w:cs="Times New Roman"/>
          <w:sz w:val="24"/>
          <w:szCs w:val="24"/>
        </w:rPr>
        <w:t xml:space="preserve"> the report f</w:t>
      </w:r>
      <w:r w:rsidR="00E54772">
        <w:rPr>
          <w:rFonts w:ascii="Times New Roman" w:hAnsi="Times New Roman" w:cs="Times New Roman"/>
          <w:sz w:val="24"/>
          <w:szCs w:val="24"/>
        </w:rPr>
        <w:t>irst of all an in-depth study has</w:t>
      </w:r>
      <w:r w:rsidR="00571D7E">
        <w:rPr>
          <w:rFonts w:ascii="Times New Roman" w:hAnsi="Times New Roman" w:cs="Times New Roman"/>
          <w:sz w:val="24"/>
          <w:szCs w:val="24"/>
        </w:rPr>
        <w:t xml:space="preserve"> been</w:t>
      </w:r>
      <w:r>
        <w:rPr>
          <w:rFonts w:ascii="Times New Roman" w:hAnsi="Times New Roman" w:cs="Times New Roman"/>
          <w:sz w:val="24"/>
          <w:szCs w:val="24"/>
        </w:rPr>
        <w:t xml:space="preserve"> done on the telecom industry of Bangladesh, then also on the economy of Bangladesh</w:t>
      </w:r>
      <w:r w:rsidR="00E54772">
        <w:rPr>
          <w:rFonts w:ascii="Times New Roman" w:hAnsi="Times New Roman" w:cs="Times New Roman"/>
          <w:sz w:val="24"/>
          <w:szCs w:val="24"/>
        </w:rPr>
        <w:t>. A study has</w:t>
      </w:r>
      <w:r w:rsidR="00494026">
        <w:rPr>
          <w:rFonts w:ascii="Times New Roman" w:hAnsi="Times New Roman" w:cs="Times New Roman"/>
          <w:sz w:val="24"/>
          <w:szCs w:val="24"/>
        </w:rPr>
        <w:t xml:space="preserve"> also </w:t>
      </w:r>
      <w:r w:rsidR="00571D7E">
        <w:rPr>
          <w:rFonts w:ascii="Times New Roman" w:hAnsi="Times New Roman" w:cs="Times New Roman"/>
          <w:sz w:val="24"/>
          <w:szCs w:val="24"/>
        </w:rPr>
        <w:t xml:space="preserve">been </w:t>
      </w:r>
      <w:r w:rsidR="00494026">
        <w:rPr>
          <w:rFonts w:ascii="Times New Roman" w:hAnsi="Times New Roman" w:cs="Times New Roman"/>
          <w:sz w:val="24"/>
          <w:szCs w:val="24"/>
        </w:rPr>
        <w:t>done on the business model of Grammeenphone. All the information regarding Grameenphone and telecom industry is collected as much as possible upto March 2019. Based on the collected information and past five years (2013-2017) annual reports data a valuation model of Grameenphone is developed.  Finally on basis of th</w:t>
      </w:r>
      <w:r w:rsidR="00014B54">
        <w:rPr>
          <w:rFonts w:ascii="Times New Roman" w:hAnsi="Times New Roman" w:cs="Times New Roman"/>
          <w:sz w:val="24"/>
          <w:szCs w:val="24"/>
        </w:rPr>
        <w:t>e valuation model this report has been</w:t>
      </w:r>
      <w:r w:rsidR="00494026">
        <w:rPr>
          <w:rFonts w:ascii="Times New Roman" w:hAnsi="Times New Roman" w:cs="Times New Roman"/>
          <w:sz w:val="24"/>
          <w:szCs w:val="24"/>
        </w:rPr>
        <w:t xml:space="preserve"> prepared.</w:t>
      </w:r>
    </w:p>
    <w:p w:rsidR="00640458" w:rsidRPr="00583AF7" w:rsidRDefault="009F7761" w:rsidP="00C4474B">
      <w:pPr>
        <w:spacing w:line="360" w:lineRule="auto"/>
        <w:jc w:val="both"/>
        <w:rPr>
          <w:rFonts w:ascii="Times New Roman" w:hAnsi="Times New Roman" w:cs="Times New Roman"/>
          <w:sz w:val="24"/>
          <w:szCs w:val="24"/>
        </w:rPr>
      </w:pPr>
      <w:r>
        <w:rPr>
          <w:rFonts w:ascii="Times New Roman" w:hAnsi="Times New Roman" w:cs="Times New Roman"/>
          <w:sz w:val="24"/>
          <w:szCs w:val="24"/>
        </w:rPr>
        <w:t>The below sources are</w:t>
      </w:r>
      <w:r w:rsidR="00640458" w:rsidRPr="00583AF7">
        <w:rPr>
          <w:rFonts w:ascii="Times New Roman" w:hAnsi="Times New Roman" w:cs="Times New Roman"/>
          <w:sz w:val="24"/>
          <w:szCs w:val="24"/>
        </w:rPr>
        <w:t xml:space="preserve"> used to collect the data for </w:t>
      </w:r>
      <w:r w:rsidR="00613A3A">
        <w:rPr>
          <w:rFonts w:ascii="Times New Roman" w:hAnsi="Times New Roman" w:cs="Times New Roman"/>
          <w:sz w:val="24"/>
          <w:szCs w:val="24"/>
        </w:rPr>
        <w:t>preparing the report</w:t>
      </w:r>
      <w:r w:rsidR="00640458" w:rsidRPr="00583AF7">
        <w:rPr>
          <w:rFonts w:ascii="Times New Roman" w:hAnsi="Times New Roman" w:cs="Times New Roman"/>
          <w:sz w:val="24"/>
          <w:szCs w:val="24"/>
        </w:rPr>
        <w:t>:</w:t>
      </w:r>
    </w:p>
    <w:p w:rsidR="00640458" w:rsidRDefault="00640458" w:rsidP="00C4474B">
      <w:pPr>
        <w:pStyle w:val="ListParagraph"/>
        <w:numPr>
          <w:ilvl w:val="0"/>
          <w:numId w:val="1"/>
        </w:numPr>
        <w:spacing w:line="360" w:lineRule="auto"/>
        <w:jc w:val="both"/>
        <w:rPr>
          <w:rFonts w:ascii="Times New Roman" w:hAnsi="Times New Roman" w:cs="Times New Roman"/>
          <w:sz w:val="24"/>
          <w:szCs w:val="24"/>
        </w:rPr>
      </w:pPr>
      <w:r w:rsidRPr="00583AF7">
        <w:rPr>
          <w:rFonts w:ascii="Times New Roman" w:hAnsi="Times New Roman" w:cs="Times New Roman"/>
          <w:sz w:val="24"/>
          <w:szCs w:val="24"/>
        </w:rPr>
        <w:t>Internet.</w:t>
      </w:r>
    </w:p>
    <w:p w:rsidR="00545A05" w:rsidRDefault="00613A3A" w:rsidP="00545A0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Newspapers</w:t>
      </w:r>
    </w:p>
    <w:p w:rsidR="00A47CE2" w:rsidRPr="00545A05" w:rsidRDefault="00545A05" w:rsidP="00545A0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Equity</w:t>
      </w:r>
      <w:r w:rsidR="00A47CE2" w:rsidRPr="00545A05">
        <w:rPr>
          <w:rFonts w:ascii="Times New Roman" w:hAnsi="Times New Roman" w:cs="Times New Roman"/>
          <w:sz w:val="24"/>
          <w:szCs w:val="24"/>
        </w:rPr>
        <w:t xml:space="preserve"> Report</w:t>
      </w:r>
    </w:p>
    <w:p w:rsidR="00640458" w:rsidRPr="00583AF7" w:rsidRDefault="00640458" w:rsidP="00C4474B">
      <w:pPr>
        <w:pStyle w:val="ListParagraph"/>
        <w:numPr>
          <w:ilvl w:val="0"/>
          <w:numId w:val="1"/>
        </w:numPr>
        <w:spacing w:line="360" w:lineRule="auto"/>
        <w:jc w:val="both"/>
        <w:rPr>
          <w:rFonts w:ascii="Times New Roman" w:hAnsi="Times New Roman" w:cs="Times New Roman"/>
          <w:sz w:val="24"/>
          <w:szCs w:val="24"/>
        </w:rPr>
      </w:pPr>
      <w:r w:rsidRPr="00583AF7">
        <w:rPr>
          <w:rFonts w:ascii="Times New Roman" w:hAnsi="Times New Roman" w:cs="Times New Roman"/>
          <w:sz w:val="24"/>
          <w:szCs w:val="24"/>
        </w:rPr>
        <w:t>Text Books</w:t>
      </w:r>
    </w:p>
    <w:p w:rsidR="00640458" w:rsidRPr="00583AF7" w:rsidRDefault="00640458" w:rsidP="00C4474B">
      <w:pPr>
        <w:pStyle w:val="ListParagraph"/>
        <w:numPr>
          <w:ilvl w:val="0"/>
          <w:numId w:val="1"/>
        </w:numPr>
        <w:spacing w:line="360" w:lineRule="auto"/>
        <w:jc w:val="both"/>
        <w:rPr>
          <w:rFonts w:ascii="Times New Roman" w:hAnsi="Times New Roman" w:cs="Times New Roman"/>
          <w:sz w:val="24"/>
          <w:szCs w:val="24"/>
        </w:rPr>
      </w:pPr>
      <w:r w:rsidRPr="00583AF7">
        <w:rPr>
          <w:rFonts w:ascii="Times New Roman" w:hAnsi="Times New Roman" w:cs="Times New Roman"/>
          <w:sz w:val="24"/>
          <w:szCs w:val="24"/>
        </w:rPr>
        <w:t>Lecture Sheets and Slides</w:t>
      </w:r>
    </w:p>
    <w:p w:rsidR="00A47CE2" w:rsidRPr="00A47CE2" w:rsidRDefault="00640458" w:rsidP="00A47CE2">
      <w:pPr>
        <w:pStyle w:val="ListParagraph"/>
        <w:numPr>
          <w:ilvl w:val="0"/>
          <w:numId w:val="1"/>
        </w:numPr>
        <w:spacing w:line="360" w:lineRule="auto"/>
        <w:jc w:val="both"/>
        <w:rPr>
          <w:rFonts w:ascii="Times New Roman" w:hAnsi="Times New Roman" w:cs="Times New Roman"/>
          <w:sz w:val="24"/>
          <w:szCs w:val="24"/>
        </w:rPr>
      </w:pPr>
      <w:r w:rsidRPr="00583AF7">
        <w:rPr>
          <w:rFonts w:ascii="Times New Roman" w:hAnsi="Times New Roman" w:cs="Times New Roman"/>
          <w:sz w:val="24"/>
          <w:szCs w:val="24"/>
        </w:rPr>
        <w:t xml:space="preserve">Annual Report of </w:t>
      </w:r>
      <w:r w:rsidR="00DE386A">
        <w:rPr>
          <w:rFonts w:ascii="Times New Roman" w:hAnsi="Times New Roman" w:cs="Times New Roman"/>
          <w:sz w:val="24"/>
          <w:szCs w:val="24"/>
        </w:rPr>
        <w:t>GP</w:t>
      </w:r>
    </w:p>
    <w:p w:rsidR="00640458" w:rsidRDefault="00F82F3E" w:rsidP="00C4474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Microsoft Excel</w:t>
      </w:r>
    </w:p>
    <w:p w:rsidR="00DE386A" w:rsidRDefault="00DE386A" w:rsidP="00C4474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Microsoft Word</w:t>
      </w:r>
    </w:p>
    <w:p w:rsidR="00640458" w:rsidRPr="00583AF7" w:rsidRDefault="00D62384" w:rsidP="00D62384">
      <w:pPr>
        <w:rPr>
          <w:rFonts w:ascii="Times New Roman" w:hAnsi="Times New Roman" w:cs="Times New Roman"/>
          <w:sz w:val="24"/>
          <w:szCs w:val="24"/>
        </w:rPr>
      </w:pPr>
      <w:r>
        <w:rPr>
          <w:rFonts w:ascii="Times New Roman" w:hAnsi="Times New Roman" w:cs="Times New Roman"/>
          <w:sz w:val="24"/>
          <w:szCs w:val="24"/>
        </w:rPr>
        <w:br w:type="page"/>
      </w:r>
    </w:p>
    <w:p w:rsidR="00640458" w:rsidRPr="00AF2AEC" w:rsidRDefault="00640458" w:rsidP="00C4474B">
      <w:pPr>
        <w:pStyle w:val="Heading3"/>
        <w:spacing w:line="360" w:lineRule="auto"/>
        <w:jc w:val="both"/>
        <w:rPr>
          <w:rFonts w:ascii="Times New Roman" w:hAnsi="Times New Roman" w:cs="Times New Roman"/>
        </w:rPr>
      </w:pPr>
      <w:bookmarkStart w:id="14" w:name="_Toc9422053"/>
      <w:r w:rsidRPr="00AF2AEC">
        <w:rPr>
          <w:rStyle w:val="Heading2Char"/>
          <w:rFonts w:ascii="Times New Roman" w:hAnsi="Times New Roman" w:cs="Times New Roman"/>
        </w:rPr>
        <w:lastRenderedPageBreak/>
        <w:t>1.6</w:t>
      </w:r>
      <w:r w:rsidRPr="00AF2AEC">
        <w:rPr>
          <w:rFonts w:ascii="Times New Roman" w:hAnsi="Times New Roman" w:cs="Times New Roman"/>
        </w:rPr>
        <w:t xml:space="preserve"> Sources of Data</w:t>
      </w:r>
      <w:bookmarkEnd w:id="14"/>
    </w:p>
    <w:p w:rsidR="00640458" w:rsidRDefault="00687BB5" w:rsidP="000A1355">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has been prepared</w:t>
      </w:r>
      <w:r w:rsidR="00640458" w:rsidRPr="00583AF7">
        <w:rPr>
          <w:rFonts w:ascii="Times New Roman" w:hAnsi="Times New Roman" w:cs="Times New Roman"/>
          <w:sz w:val="24"/>
          <w:szCs w:val="24"/>
        </w:rPr>
        <w:t xml:space="preserve"> by </w:t>
      </w:r>
      <w:r>
        <w:rPr>
          <w:rFonts w:ascii="Times New Roman" w:hAnsi="Times New Roman" w:cs="Times New Roman"/>
          <w:sz w:val="24"/>
          <w:szCs w:val="24"/>
        </w:rPr>
        <w:t>collecting</w:t>
      </w:r>
      <w:r w:rsidR="00640458" w:rsidRPr="00583AF7">
        <w:rPr>
          <w:rFonts w:ascii="Times New Roman" w:hAnsi="Times New Roman" w:cs="Times New Roman"/>
          <w:sz w:val="24"/>
          <w:szCs w:val="24"/>
        </w:rPr>
        <w:t xml:space="preserve"> information from </w:t>
      </w:r>
      <w:r>
        <w:rPr>
          <w:rFonts w:ascii="Times New Roman" w:hAnsi="Times New Roman" w:cs="Times New Roman"/>
          <w:sz w:val="24"/>
          <w:szCs w:val="24"/>
        </w:rPr>
        <w:t>various applicable sources</w:t>
      </w:r>
      <w:r w:rsidR="00640458" w:rsidRPr="00583AF7">
        <w:rPr>
          <w:rFonts w:ascii="Times New Roman" w:hAnsi="Times New Roman" w:cs="Times New Roman"/>
          <w:sz w:val="24"/>
          <w:szCs w:val="24"/>
        </w:rPr>
        <w:t xml:space="preserve">. </w:t>
      </w:r>
      <w:r w:rsidR="00335194">
        <w:rPr>
          <w:rFonts w:ascii="Times New Roman" w:hAnsi="Times New Roman" w:cs="Times New Roman"/>
          <w:sz w:val="24"/>
          <w:szCs w:val="24"/>
        </w:rPr>
        <w:t>As it was not possible to visit the corporate office of Grameenphone in person so,</w:t>
      </w:r>
      <w:r w:rsidR="00D358AD" w:rsidRPr="00D358AD">
        <w:t xml:space="preserve"> </w:t>
      </w:r>
      <w:r w:rsidR="00D358AD" w:rsidRPr="00D358AD">
        <w:rPr>
          <w:rFonts w:ascii="Times New Roman" w:hAnsi="Times New Roman" w:cs="Times New Roman"/>
          <w:sz w:val="24"/>
          <w:szCs w:val="24"/>
        </w:rPr>
        <w:t>from secondary sources</w:t>
      </w:r>
      <w:r w:rsidR="00335194">
        <w:rPr>
          <w:rFonts w:ascii="Times New Roman" w:hAnsi="Times New Roman" w:cs="Times New Roman"/>
          <w:sz w:val="24"/>
          <w:szCs w:val="24"/>
        </w:rPr>
        <w:t xml:space="preserve"> </w:t>
      </w:r>
      <w:r w:rsidR="00335194" w:rsidRPr="00583AF7">
        <w:rPr>
          <w:rFonts w:ascii="Times New Roman" w:hAnsi="Times New Roman" w:cs="Times New Roman"/>
          <w:sz w:val="24"/>
          <w:szCs w:val="24"/>
        </w:rPr>
        <w:t>the</w:t>
      </w:r>
      <w:r w:rsidR="00640458" w:rsidRPr="00583AF7">
        <w:rPr>
          <w:rFonts w:ascii="Times New Roman" w:hAnsi="Times New Roman" w:cs="Times New Roman"/>
          <w:sz w:val="24"/>
          <w:szCs w:val="24"/>
        </w:rPr>
        <w:t xml:space="preserve"> actual information </w:t>
      </w:r>
      <w:r w:rsidR="00D358AD">
        <w:rPr>
          <w:rFonts w:ascii="Times New Roman" w:hAnsi="Times New Roman" w:cs="Times New Roman"/>
          <w:sz w:val="24"/>
          <w:szCs w:val="24"/>
        </w:rPr>
        <w:t>which are</w:t>
      </w:r>
      <w:r w:rsidR="00061BC1">
        <w:rPr>
          <w:rFonts w:ascii="Times New Roman" w:hAnsi="Times New Roman" w:cs="Times New Roman"/>
          <w:sz w:val="24"/>
          <w:szCs w:val="24"/>
        </w:rPr>
        <w:t xml:space="preserve"> </w:t>
      </w:r>
      <w:r w:rsidR="00640458" w:rsidRPr="00583AF7">
        <w:rPr>
          <w:rFonts w:ascii="Times New Roman" w:hAnsi="Times New Roman" w:cs="Times New Roman"/>
          <w:sz w:val="24"/>
          <w:szCs w:val="24"/>
        </w:rPr>
        <w:t>provided</w:t>
      </w:r>
      <w:r w:rsidR="00D358AD">
        <w:rPr>
          <w:rFonts w:ascii="Times New Roman" w:hAnsi="Times New Roman" w:cs="Times New Roman"/>
          <w:sz w:val="24"/>
          <w:szCs w:val="24"/>
        </w:rPr>
        <w:t xml:space="preserve"> and used</w:t>
      </w:r>
      <w:r w:rsidR="00640458" w:rsidRPr="00583AF7">
        <w:rPr>
          <w:rFonts w:ascii="Times New Roman" w:hAnsi="Times New Roman" w:cs="Times New Roman"/>
          <w:sz w:val="24"/>
          <w:szCs w:val="24"/>
        </w:rPr>
        <w:t xml:space="preserve"> in this report was collected</w:t>
      </w:r>
      <w:r w:rsidR="00D358AD">
        <w:rPr>
          <w:rFonts w:ascii="Times New Roman" w:hAnsi="Times New Roman" w:cs="Times New Roman"/>
          <w:sz w:val="24"/>
          <w:szCs w:val="24"/>
        </w:rPr>
        <w:t xml:space="preserve"> </w:t>
      </w:r>
      <w:r w:rsidR="00D358AD" w:rsidRPr="00D358AD">
        <w:rPr>
          <w:rFonts w:ascii="Times New Roman" w:hAnsi="Times New Roman" w:cs="Times New Roman"/>
          <w:sz w:val="24"/>
          <w:szCs w:val="24"/>
        </w:rPr>
        <w:t>as much as possible</w:t>
      </w:r>
      <w:r w:rsidR="00640458" w:rsidRPr="00583AF7">
        <w:rPr>
          <w:rFonts w:ascii="Times New Roman" w:hAnsi="Times New Roman" w:cs="Times New Roman"/>
          <w:sz w:val="24"/>
          <w:szCs w:val="24"/>
        </w:rPr>
        <w:t xml:space="preserve">. Secondary data </w:t>
      </w:r>
      <w:r w:rsidR="005752FB">
        <w:rPr>
          <w:rFonts w:ascii="Times New Roman" w:hAnsi="Times New Roman" w:cs="Times New Roman"/>
          <w:sz w:val="24"/>
          <w:szCs w:val="24"/>
        </w:rPr>
        <w:t>has been collected from</w:t>
      </w:r>
      <w:r w:rsidR="00640458" w:rsidRPr="00583AF7">
        <w:rPr>
          <w:rFonts w:ascii="Times New Roman" w:hAnsi="Times New Roman" w:cs="Times New Roman"/>
          <w:sz w:val="24"/>
          <w:szCs w:val="24"/>
        </w:rPr>
        <w:t xml:space="preserve"> annual a</w:t>
      </w:r>
      <w:r w:rsidR="006927CD">
        <w:rPr>
          <w:rFonts w:ascii="Times New Roman" w:hAnsi="Times New Roman" w:cs="Times New Roman"/>
          <w:sz w:val="24"/>
          <w:szCs w:val="24"/>
        </w:rPr>
        <w:t>nd audited financial rep</w:t>
      </w:r>
      <w:r w:rsidR="008334B8">
        <w:rPr>
          <w:rFonts w:ascii="Times New Roman" w:hAnsi="Times New Roman" w:cs="Times New Roman"/>
          <w:sz w:val="24"/>
          <w:szCs w:val="24"/>
        </w:rPr>
        <w:t xml:space="preserve">orts of </w:t>
      </w:r>
      <w:r w:rsidR="009B54A3">
        <w:rPr>
          <w:rFonts w:ascii="Times New Roman" w:hAnsi="Times New Roman" w:cs="Times New Roman"/>
          <w:sz w:val="24"/>
          <w:szCs w:val="24"/>
        </w:rPr>
        <w:t>2013 to 2017, newspapers,</w:t>
      </w:r>
      <w:r w:rsidR="00202F32">
        <w:rPr>
          <w:rFonts w:ascii="Times New Roman" w:hAnsi="Times New Roman" w:cs="Times New Roman"/>
          <w:sz w:val="24"/>
          <w:szCs w:val="24"/>
        </w:rPr>
        <w:t xml:space="preserve"> journals, equity</w:t>
      </w:r>
      <w:r w:rsidR="009B54A3">
        <w:rPr>
          <w:rFonts w:ascii="Times New Roman" w:hAnsi="Times New Roman" w:cs="Times New Roman"/>
          <w:sz w:val="24"/>
          <w:szCs w:val="24"/>
        </w:rPr>
        <w:t xml:space="preserve"> reports and research papers.</w:t>
      </w:r>
    </w:p>
    <w:p w:rsidR="001C04C2" w:rsidRPr="006A00FE" w:rsidRDefault="001C04C2" w:rsidP="000A1355">
      <w:pPr>
        <w:spacing w:line="360" w:lineRule="auto"/>
        <w:jc w:val="both"/>
        <w:rPr>
          <w:rFonts w:ascii="Times New Roman" w:hAnsi="Times New Roman" w:cs="Times New Roman"/>
          <w:sz w:val="24"/>
          <w:szCs w:val="24"/>
        </w:rPr>
      </w:pPr>
    </w:p>
    <w:p w:rsidR="00640458" w:rsidRPr="00AF2AEC" w:rsidRDefault="00640458" w:rsidP="00C4474B">
      <w:pPr>
        <w:pStyle w:val="Heading3"/>
        <w:spacing w:line="360" w:lineRule="auto"/>
        <w:jc w:val="both"/>
        <w:rPr>
          <w:rFonts w:ascii="Times New Roman" w:hAnsi="Times New Roman" w:cs="Times New Roman"/>
        </w:rPr>
      </w:pPr>
      <w:bookmarkStart w:id="15" w:name="_Toc9422054"/>
      <w:r w:rsidRPr="00AF2AEC">
        <w:rPr>
          <w:rStyle w:val="Heading2Char"/>
          <w:rFonts w:ascii="Times New Roman" w:hAnsi="Times New Roman" w:cs="Times New Roman"/>
        </w:rPr>
        <w:t>1.7</w:t>
      </w:r>
      <w:r w:rsidRPr="00AF2AEC">
        <w:rPr>
          <w:rFonts w:ascii="Times New Roman" w:hAnsi="Times New Roman" w:cs="Times New Roman"/>
        </w:rPr>
        <w:t xml:space="preserve"> Limitation of the Report</w:t>
      </w:r>
      <w:bookmarkEnd w:id="15"/>
    </w:p>
    <w:p w:rsidR="00640458" w:rsidRPr="006A00FE" w:rsidRDefault="00640458" w:rsidP="00C4474B">
      <w:pPr>
        <w:autoSpaceDE w:val="0"/>
        <w:autoSpaceDN w:val="0"/>
        <w:adjustRightInd w:val="0"/>
        <w:spacing w:after="0" w:line="360" w:lineRule="auto"/>
        <w:jc w:val="both"/>
        <w:rPr>
          <w:rFonts w:ascii="Times New Roman" w:hAnsi="Times New Roman" w:cs="Times New Roman"/>
          <w:color w:val="000000"/>
          <w:sz w:val="24"/>
          <w:szCs w:val="24"/>
        </w:rPr>
      </w:pPr>
    </w:p>
    <w:p w:rsidR="00640458" w:rsidRPr="006A00FE" w:rsidRDefault="00640458" w:rsidP="00C4474B">
      <w:pPr>
        <w:autoSpaceDE w:val="0"/>
        <w:autoSpaceDN w:val="0"/>
        <w:adjustRightInd w:val="0"/>
        <w:spacing w:after="0" w:line="360" w:lineRule="auto"/>
        <w:jc w:val="both"/>
        <w:rPr>
          <w:rFonts w:ascii="Times New Roman" w:hAnsi="Times New Roman" w:cs="Times New Roman"/>
          <w:color w:val="000000"/>
          <w:sz w:val="24"/>
          <w:szCs w:val="24"/>
        </w:rPr>
      </w:pPr>
      <w:r w:rsidRPr="006A00FE">
        <w:rPr>
          <w:rFonts w:ascii="Times New Roman" w:hAnsi="Times New Roman" w:cs="Times New Roman"/>
          <w:color w:val="000000"/>
          <w:sz w:val="24"/>
          <w:szCs w:val="24"/>
        </w:rPr>
        <w:t xml:space="preserve">While conducting this study following limitations are encountered: </w:t>
      </w:r>
    </w:p>
    <w:p w:rsidR="00640458" w:rsidRPr="006A00FE" w:rsidRDefault="00640458" w:rsidP="00C4474B">
      <w:pPr>
        <w:autoSpaceDE w:val="0"/>
        <w:autoSpaceDN w:val="0"/>
        <w:adjustRightInd w:val="0"/>
        <w:spacing w:after="0" w:line="360" w:lineRule="auto"/>
        <w:jc w:val="both"/>
        <w:rPr>
          <w:rFonts w:ascii="Times New Roman" w:hAnsi="Times New Roman" w:cs="Times New Roman"/>
          <w:color w:val="000000"/>
          <w:sz w:val="24"/>
          <w:szCs w:val="24"/>
        </w:rPr>
      </w:pPr>
    </w:p>
    <w:p w:rsidR="00640458" w:rsidRPr="006A00FE" w:rsidRDefault="00410C14" w:rsidP="00C4474B">
      <w:pPr>
        <w:pStyle w:val="ListParagraph"/>
        <w:numPr>
          <w:ilvl w:val="0"/>
          <w:numId w:val="2"/>
        </w:num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Data</w:t>
      </w:r>
      <w:r w:rsidR="00B54384">
        <w:rPr>
          <w:rFonts w:ascii="Times New Roman" w:hAnsi="Times New Roman" w:cs="Times New Roman"/>
          <w:bCs/>
          <w:color w:val="000000"/>
          <w:sz w:val="24"/>
          <w:szCs w:val="24"/>
        </w:rPr>
        <w:t xml:space="preserve"> were</w:t>
      </w:r>
      <w:r w:rsidR="00640458" w:rsidRPr="006A00FE">
        <w:rPr>
          <w:rFonts w:ascii="Times New Roman" w:hAnsi="Times New Roman" w:cs="Times New Roman"/>
          <w:bCs/>
          <w:color w:val="000000"/>
          <w:sz w:val="24"/>
          <w:szCs w:val="24"/>
        </w:rPr>
        <w:t xml:space="preserve"> not fully available</w:t>
      </w:r>
    </w:p>
    <w:p w:rsidR="00640458" w:rsidRPr="006A00FE" w:rsidRDefault="00640458" w:rsidP="00C4474B">
      <w:pPr>
        <w:pStyle w:val="ListParagraph"/>
        <w:numPr>
          <w:ilvl w:val="0"/>
          <w:numId w:val="2"/>
        </w:numPr>
        <w:spacing w:line="360" w:lineRule="auto"/>
        <w:jc w:val="both"/>
        <w:rPr>
          <w:rFonts w:ascii="Times New Roman" w:hAnsi="Times New Roman" w:cs="Times New Roman"/>
          <w:bCs/>
          <w:color w:val="000000"/>
          <w:sz w:val="24"/>
          <w:szCs w:val="24"/>
        </w:rPr>
      </w:pPr>
      <w:r w:rsidRPr="006A00FE">
        <w:rPr>
          <w:rFonts w:ascii="Times New Roman" w:hAnsi="Times New Roman" w:cs="Times New Roman"/>
          <w:bCs/>
          <w:color w:val="000000"/>
          <w:sz w:val="24"/>
          <w:szCs w:val="24"/>
        </w:rPr>
        <w:t>Difficult to ensure the a</w:t>
      </w:r>
      <w:r w:rsidR="00C45F4F">
        <w:rPr>
          <w:rFonts w:ascii="Times New Roman" w:hAnsi="Times New Roman" w:cs="Times New Roman"/>
          <w:bCs/>
          <w:color w:val="000000"/>
          <w:sz w:val="24"/>
          <w:szCs w:val="24"/>
        </w:rPr>
        <w:t>ccuracy of the entire report</w:t>
      </w:r>
      <w:r w:rsidRPr="006A00FE">
        <w:rPr>
          <w:rFonts w:ascii="Times New Roman" w:hAnsi="Times New Roman" w:cs="Times New Roman"/>
          <w:bCs/>
          <w:color w:val="000000"/>
          <w:sz w:val="24"/>
          <w:szCs w:val="24"/>
        </w:rPr>
        <w:t>.</w:t>
      </w:r>
    </w:p>
    <w:p w:rsidR="00640458" w:rsidRDefault="00640458" w:rsidP="00C4474B">
      <w:pPr>
        <w:pStyle w:val="ListParagraph"/>
        <w:numPr>
          <w:ilvl w:val="0"/>
          <w:numId w:val="2"/>
        </w:numPr>
        <w:spacing w:line="360" w:lineRule="auto"/>
        <w:jc w:val="both"/>
        <w:rPr>
          <w:rFonts w:ascii="Times New Roman" w:hAnsi="Times New Roman" w:cs="Times New Roman"/>
          <w:bCs/>
          <w:color w:val="000000"/>
          <w:sz w:val="24"/>
          <w:szCs w:val="24"/>
        </w:rPr>
      </w:pPr>
      <w:r w:rsidRPr="006A00FE">
        <w:rPr>
          <w:rFonts w:ascii="Times New Roman" w:hAnsi="Times New Roman" w:cs="Times New Roman"/>
          <w:bCs/>
          <w:color w:val="000000"/>
          <w:sz w:val="24"/>
          <w:szCs w:val="24"/>
        </w:rPr>
        <w:t>It was hard to identify the exact reason of the variations.</w:t>
      </w:r>
    </w:p>
    <w:p w:rsidR="00DB367D" w:rsidRPr="006A00FE" w:rsidRDefault="00DB367D" w:rsidP="00C4474B">
      <w:pPr>
        <w:pStyle w:val="ListParagraph"/>
        <w:numPr>
          <w:ilvl w:val="0"/>
          <w:numId w:val="2"/>
        </w:num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Confront difficulties because of </w:t>
      </w:r>
      <w:r w:rsidR="00572B0F">
        <w:rPr>
          <w:rFonts w:ascii="Times New Roman" w:hAnsi="Times New Roman" w:cs="Times New Roman"/>
          <w:bCs/>
          <w:color w:val="000000"/>
          <w:sz w:val="24"/>
          <w:szCs w:val="24"/>
        </w:rPr>
        <w:t xml:space="preserve">the </w:t>
      </w:r>
      <w:r>
        <w:rPr>
          <w:rFonts w:ascii="Times New Roman" w:hAnsi="Times New Roman" w:cs="Times New Roman"/>
          <w:bCs/>
          <w:color w:val="000000"/>
          <w:sz w:val="24"/>
          <w:szCs w:val="24"/>
        </w:rPr>
        <w:t xml:space="preserve">sudden changes in Telecom industry of </w:t>
      </w:r>
      <w:r w:rsidR="00A80D3D">
        <w:rPr>
          <w:rFonts w:ascii="Times New Roman" w:hAnsi="Times New Roman" w:cs="Times New Roman"/>
          <w:bCs/>
          <w:color w:val="000000"/>
          <w:sz w:val="24"/>
          <w:szCs w:val="24"/>
        </w:rPr>
        <w:t>Bangladesh</w:t>
      </w:r>
      <w:r>
        <w:rPr>
          <w:rFonts w:ascii="Times New Roman" w:hAnsi="Times New Roman" w:cs="Times New Roman"/>
          <w:bCs/>
          <w:color w:val="000000"/>
          <w:sz w:val="24"/>
          <w:szCs w:val="24"/>
        </w:rPr>
        <w:t>.</w:t>
      </w:r>
    </w:p>
    <w:p w:rsidR="004F59E4" w:rsidRDefault="004F59E4">
      <w:pPr>
        <w:rPr>
          <w:rFonts w:ascii="Times New Roman" w:hAnsi="Times New Roman" w:cs="Times New Roman"/>
          <w:sz w:val="24"/>
          <w:szCs w:val="24"/>
        </w:rPr>
      </w:pPr>
      <w:r>
        <w:rPr>
          <w:rFonts w:ascii="Times New Roman" w:hAnsi="Times New Roman" w:cs="Times New Roman"/>
          <w:sz w:val="24"/>
          <w:szCs w:val="24"/>
        </w:rPr>
        <w:br w:type="page"/>
      </w:r>
    </w:p>
    <w:p w:rsidR="00AB414D" w:rsidRDefault="004F59E4" w:rsidP="00975562">
      <w:pPr>
        <w:pStyle w:val="Heading1"/>
        <w:spacing w:line="276" w:lineRule="auto"/>
        <w:jc w:val="center"/>
        <w:rPr>
          <w:rFonts w:ascii="Times New Roman" w:hAnsi="Times New Roman" w:cs="Times New Roman"/>
          <w:b/>
          <w:sz w:val="200"/>
        </w:rPr>
      </w:pPr>
      <w:bookmarkStart w:id="16" w:name="_Toc9422055"/>
      <w:r w:rsidRPr="00725DC9">
        <w:rPr>
          <w:rFonts w:ascii="Times New Roman" w:hAnsi="Times New Roman" w:cs="Times New Roman"/>
          <w:b/>
          <w:sz w:val="200"/>
        </w:rPr>
        <w:lastRenderedPageBreak/>
        <w:t>Chapter Two</w:t>
      </w:r>
      <w:r w:rsidR="00DB6DB2" w:rsidRPr="00725DC9">
        <w:rPr>
          <w:rFonts w:ascii="Times New Roman" w:hAnsi="Times New Roman" w:cs="Times New Roman"/>
          <w:b/>
          <w:sz w:val="200"/>
        </w:rPr>
        <w:t>:</w:t>
      </w:r>
      <w:bookmarkEnd w:id="16"/>
    </w:p>
    <w:p w:rsidR="00C62F36" w:rsidRDefault="00C62F36" w:rsidP="00C62F36"/>
    <w:p w:rsidR="00C62F36" w:rsidRDefault="00C62F36" w:rsidP="00C62F36"/>
    <w:p w:rsidR="00C62F36" w:rsidRPr="00C62F36" w:rsidRDefault="00C62F36" w:rsidP="00C62F36"/>
    <w:p w:rsidR="00BC2E68" w:rsidRPr="00C62F36" w:rsidRDefault="00975562" w:rsidP="00C62F36">
      <w:pPr>
        <w:pStyle w:val="ListParagraph"/>
        <w:numPr>
          <w:ilvl w:val="0"/>
          <w:numId w:val="19"/>
        </w:numPr>
        <w:spacing w:line="360" w:lineRule="auto"/>
        <w:jc w:val="center"/>
        <w:rPr>
          <w:rFonts w:ascii="Times New Roman" w:hAnsi="Times New Roman" w:cs="Times New Roman"/>
          <w:sz w:val="72"/>
        </w:rPr>
      </w:pPr>
      <w:r w:rsidRPr="00C62F36">
        <w:rPr>
          <w:rFonts w:ascii="Times New Roman" w:hAnsi="Times New Roman" w:cs="Times New Roman"/>
          <w:sz w:val="72"/>
        </w:rPr>
        <w:t>Telecommunication Industry Overview</w:t>
      </w:r>
    </w:p>
    <w:p w:rsidR="00975562" w:rsidRPr="00C62F36" w:rsidRDefault="00975562" w:rsidP="00C62F36">
      <w:pPr>
        <w:pStyle w:val="ListParagraph"/>
        <w:numPr>
          <w:ilvl w:val="0"/>
          <w:numId w:val="19"/>
        </w:numPr>
        <w:spacing w:line="360" w:lineRule="auto"/>
        <w:jc w:val="center"/>
        <w:rPr>
          <w:rFonts w:ascii="Times New Roman" w:hAnsi="Times New Roman" w:cs="Times New Roman"/>
          <w:sz w:val="72"/>
        </w:rPr>
      </w:pPr>
      <w:r w:rsidRPr="00C62F36">
        <w:rPr>
          <w:rFonts w:ascii="Times New Roman" w:hAnsi="Times New Roman" w:cs="Times New Roman"/>
          <w:sz w:val="72"/>
        </w:rPr>
        <w:t>Company Overview</w:t>
      </w:r>
    </w:p>
    <w:p w:rsidR="00C62F36" w:rsidRDefault="00975562" w:rsidP="00C62F36">
      <w:pPr>
        <w:pStyle w:val="ListParagraph"/>
        <w:numPr>
          <w:ilvl w:val="0"/>
          <w:numId w:val="19"/>
        </w:numPr>
        <w:spacing w:line="360" w:lineRule="auto"/>
        <w:jc w:val="center"/>
        <w:rPr>
          <w:rFonts w:ascii="Times New Roman" w:hAnsi="Times New Roman" w:cs="Times New Roman"/>
          <w:sz w:val="72"/>
        </w:rPr>
      </w:pPr>
      <w:r w:rsidRPr="00C62F36">
        <w:rPr>
          <w:rFonts w:ascii="Times New Roman" w:hAnsi="Times New Roman" w:cs="Times New Roman"/>
          <w:sz w:val="72"/>
        </w:rPr>
        <w:t>Business Overview</w:t>
      </w:r>
    </w:p>
    <w:p w:rsidR="00F51A0D" w:rsidRPr="00C62F36" w:rsidRDefault="00C62F36" w:rsidP="00C62F36">
      <w:pPr>
        <w:spacing w:line="360" w:lineRule="auto"/>
        <w:rPr>
          <w:rFonts w:ascii="Times New Roman" w:eastAsiaTheme="minorEastAsia" w:hAnsi="Times New Roman" w:cs="Times New Roman"/>
          <w:sz w:val="72"/>
        </w:rPr>
      </w:pPr>
      <w:r>
        <w:rPr>
          <w:rFonts w:ascii="Times New Roman" w:hAnsi="Times New Roman" w:cs="Times New Roman"/>
          <w:sz w:val="72"/>
        </w:rPr>
        <w:br w:type="page"/>
      </w:r>
    </w:p>
    <w:p w:rsidR="002629F6" w:rsidRDefault="00AC597D" w:rsidP="00F51A0D">
      <w:pPr>
        <w:spacing w:line="360" w:lineRule="auto"/>
        <w:jc w:val="both"/>
        <w:rPr>
          <w:rFonts w:ascii="Times New Roman" w:hAnsi="Times New Roman" w:cs="Times New Roman"/>
          <w:sz w:val="24"/>
          <w:szCs w:val="24"/>
        </w:rPr>
      </w:pPr>
      <w:r w:rsidRPr="00AC597D">
        <w:rPr>
          <w:rFonts w:ascii="Times New Roman" w:hAnsi="Times New Roman" w:cs="Times New Roman"/>
          <w:sz w:val="24"/>
          <w:szCs w:val="24"/>
        </w:rPr>
        <w:lastRenderedPageBreak/>
        <w:t>Grameenphone</w:t>
      </w:r>
      <w:r>
        <w:rPr>
          <w:rFonts w:ascii="Times New Roman" w:hAnsi="Times New Roman" w:cs="Times New Roman"/>
          <w:sz w:val="24"/>
          <w:szCs w:val="24"/>
        </w:rPr>
        <w:t xml:space="preserve"> the market Leader of Telecom Industry of Bangladesh is the subsidiary of </w:t>
      </w:r>
      <w:r w:rsidRPr="00AC597D">
        <w:rPr>
          <w:rFonts w:ascii="Times New Roman" w:hAnsi="Times New Roman" w:cs="Times New Roman"/>
          <w:sz w:val="24"/>
          <w:szCs w:val="24"/>
        </w:rPr>
        <w:t>Telenor Mobile Communications AS</w:t>
      </w:r>
      <w:r w:rsidR="000949BF">
        <w:rPr>
          <w:rFonts w:ascii="Times New Roman" w:hAnsi="Times New Roman" w:cs="Times New Roman"/>
          <w:sz w:val="24"/>
          <w:szCs w:val="24"/>
        </w:rPr>
        <w:t xml:space="preserve"> and the </w:t>
      </w:r>
      <w:r w:rsidR="000949BF" w:rsidRPr="000949BF">
        <w:rPr>
          <w:rFonts w:ascii="Times New Roman" w:hAnsi="Times New Roman" w:cs="Times New Roman"/>
          <w:sz w:val="24"/>
          <w:szCs w:val="24"/>
        </w:rPr>
        <w:t>eventual</w:t>
      </w:r>
      <w:r w:rsidR="000949BF">
        <w:rPr>
          <w:rFonts w:ascii="Times New Roman" w:hAnsi="Times New Roman" w:cs="Times New Roman"/>
          <w:sz w:val="24"/>
          <w:szCs w:val="24"/>
        </w:rPr>
        <w:t xml:space="preserve"> </w:t>
      </w:r>
      <w:r w:rsidR="000949BF" w:rsidRPr="000949BF">
        <w:rPr>
          <w:rFonts w:ascii="Times New Roman" w:hAnsi="Times New Roman" w:cs="Times New Roman"/>
          <w:sz w:val="24"/>
          <w:szCs w:val="24"/>
        </w:rPr>
        <w:t>parent is Telenor ASA</w:t>
      </w:r>
      <w:r>
        <w:rPr>
          <w:rFonts w:ascii="Times New Roman" w:hAnsi="Times New Roman" w:cs="Times New Roman"/>
          <w:sz w:val="24"/>
          <w:szCs w:val="24"/>
        </w:rPr>
        <w:t xml:space="preserve">, Norway. GP is currently </w:t>
      </w:r>
      <w:r w:rsidR="00703E1A" w:rsidRPr="00703E1A">
        <w:rPr>
          <w:rFonts w:ascii="Times New Roman" w:hAnsi="Times New Roman" w:cs="Times New Roman"/>
          <w:sz w:val="24"/>
          <w:szCs w:val="24"/>
        </w:rPr>
        <w:t>assert</w:t>
      </w:r>
      <w:r w:rsidR="00703E1A">
        <w:rPr>
          <w:rFonts w:ascii="Times New Roman" w:hAnsi="Times New Roman" w:cs="Times New Roman"/>
          <w:sz w:val="24"/>
          <w:szCs w:val="24"/>
        </w:rPr>
        <w:t xml:space="preserve">ed </w:t>
      </w:r>
      <w:r w:rsidR="000949BF">
        <w:rPr>
          <w:rFonts w:ascii="Times New Roman" w:hAnsi="Times New Roman" w:cs="Times New Roman"/>
          <w:sz w:val="24"/>
          <w:szCs w:val="24"/>
        </w:rPr>
        <w:t xml:space="preserve">as </w:t>
      </w:r>
      <w:r w:rsidR="00703E1A">
        <w:rPr>
          <w:rFonts w:ascii="Times New Roman" w:hAnsi="Times New Roman" w:cs="Times New Roman"/>
          <w:sz w:val="24"/>
          <w:szCs w:val="24"/>
        </w:rPr>
        <w:t>operator with Significant Market Power.</w:t>
      </w:r>
      <w:r w:rsidR="00687DFC">
        <w:rPr>
          <w:rFonts w:ascii="Times New Roman" w:hAnsi="Times New Roman" w:cs="Times New Roman"/>
          <w:sz w:val="24"/>
          <w:szCs w:val="24"/>
        </w:rPr>
        <w:t xml:space="preserve"> </w:t>
      </w:r>
      <w:r w:rsidR="0006261B">
        <w:rPr>
          <w:rFonts w:ascii="Times New Roman" w:hAnsi="Times New Roman" w:cs="Times New Roman"/>
          <w:sz w:val="24"/>
          <w:szCs w:val="24"/>
        </w:rPr>
        <w:t xml:space="preserve">A large portion of revenue will come the Data </w:t>
      </w:r>
      <w:r w:rsidR="00716ACB">
        <w:rPr>
          <w:rFonts w:ascii="Times New Roman" w:hAnsi="Times New Roman" w:cs="Times New Roman"/>
          <w:sz w:val="24"/>
          <w:szCs w:val="24"/>
        </w:rPr>
        <w:t xml:space="preserve">because of the 4G connection.  </w:t>
      </w:r>
    </w:p>
    <w:p w:rsidR="00032420" w:rsidRPr="004F51ED" w:rsidRDefault="00687DFC" w:rsidP="00167397">
      <w:pPr>
        <w:pStyle w:val="Heading2"/>
        <w:numPr>
          <w:ilvl w:val="0"/>
          <w:numId w:val="20"/>
        </w:numPr>
        <w:spacing w:line="360" w:lineRule="auto"/>
        <w:jc w:val="both"/>
        <w:rPr>
          <w:rFonts w:ascii="Times New Roman" w:hAnsi="Times New Roman" w:cs="Times New Roman"/>
          <w:b/>
          <w:sz w:val="24"/>
          <w:szCs w:val="24"/>
        </w:rPr>
      </w:pPr>
      <w:bookmarkStart w:id="17" w:name="_Toc9422056"/>
      <w:r w:rsidRPr="00167397">
        <w:rPr>
          <w:rFonts w:ascii="Times New Roman" w:hAnsi="Times New Roman" w:cs="Times New Roman"/>
          <w:color w:val="44546A" w:themeColor="text2"/>
        </w:rPr>
        <w:t>Industry</w:t>
      </w:r>
      <w:r w:rsidRPr="004F51ED">
        <w:rPr>
          <w:rFonts w:ascii="Times New Roman" w:hAnsi="Times New Roman" w:cs="Times New Roman"/>
          <w:b/>
          <w:sz w:val="24"/>
          <w:szCs w:val="24"/>
        </w:rPr>
        <w:t xml:space="preserve"> </w:t>
      </w:r>
      <w:r w:rsidRPr="00167397">
        <w:rPr>
          <w:rFonts w:ascii="Times New Roman" w:hAnsi="Times New Roman" w:cs="Times New Roman"/>
          <w:color w:val="44546A" w:themeColor="text2"/>
        </w:rPr>
        <w:t>Overview</w:t>
      </w:r>
      <w:r w:rsidR="00032420" w:rsidRPr="004F51ED">
        <w:rPr>
          <w:rFonts w:ascii="Times New Roman" w:hAnsi="Times New Roman" w:cs="Times New Roman"/>
          <w:b/>
          <w:sz w:val="24"/>
          <w:szCs w:val="24"/>
        </w:rPr>
        <w:t>:</w:t>
      </w:r>
      <w:bookmarkEnd w:id="17"/>
    </w:p>
    <w:p w:rsidR="0059012C" w:rsidRDefault="008515BF" w:rsidP="00AB414D">
      <w:pPr>
        <w:spacing w:line="360" w:lineRule="auto"/>
        <w:jc w:val="both"/>
        <w:rPr>
          <w:rFonts w:ascii="Times New Roman" w:hAnsi="Times New Roman" w:cs="Times New Roman"/>
          <w:sz w:val="24"/>
          <w:szCs w:val="24"/>
        </w:rPr>
      </w:pPr>
      <w:r w:rsidRPr="00075743">
        <w:rPr>
          <w:rFonts w:ascii="Times New Roman" w:hAnsi="Times New Roman" w:cs="Times New Roman"/>
          <w:b/>
          <w:sz w:val="24"/>
          <w:szCs w:val="24"/>
        </w:rPr>
        <w:t>Political factors</w:t>
      </w:r>
      <w:r>
        <w:rPr>
          <w:rFonts w:ascii="Times New Roman" w:hAnsi="Times New Roman" w:cs="Times New Roman"/>
          <w:sz w:val="24"/>
          <w:szCs w:val="24"/>
        </w:rPr>
        <w:t>:</w:t>
      </w:r>
      <w:r w:rsidR="00716ACB">
        <w:rPr>
          <w:rFonts w:ascii="Times New Roman" w:hAnsi="Times New Roman" w:cs="Times New Roman"/>
          <w:sz w:val="24"/>
          <w:szCs w:val="24"/>
        </w:rPr>
        <w:t xml:space="preserve"> </w:t>
      </w:r>
      <w:r w:rsidR="003203B6">
        <w:rPr>
          <w:rFonts w:ascii="Times New Roman" w:hAnsi="Times New Roman" w:cs="Times New Roman"/>
          <w:sz w:val="24"/>
          <w:szCs w:val="24"/>
        </w:rPr>
        <w:t xml:space="preserve">Political unrest may affect to conduct business in a proper way. The political </w:t>
      </w:r>
      <w:r w:rsidR="008D545B">
        <w:rPr>
          <w:rFonts w:ascii="Times New Roman" w:hAnsi="Times New Roman" w:cs="Times New Roman"/>
          <w:sz w:val="24"/>
          <w:szCs w:val="24"/>
        </w:rPr>
        <w:t>intervention also</w:t>
      </w:r>
      <w:r w:rsidR="003203B6">
        <w:rPr>
          <w:rFonts w:ascii="Times New Roman" w:hAnsi="Times New Roman" w:cs="Times New Roman"/>
          <w:sz w:val="24"/>
          <w:szCs w:val="24"/>
        </w:rPr>
        <w:t xml:space="preserve"> affect the telecommunication industry.</w:t>
      </w:r>
      <w:r w:rsidR="003555A4">
        <w:rPr>
          <w:rFonts w:ascii="Times New Roman" w:hAnsi="Times New Roman" w:cs="Times New Roman"/>
          <w:sz w:val="24"/>
          <w:szCs w:val="24"/>
        </w:rPr>
        <w:t xml:space="preserve"> Because of the </w:t>
      </w:r>
      <w:r w:rsidR="00315930">
        <w:rPr>
          <w:rFonts w:ascii="Times New Roman" w:hAnsi="Times New Roman" w:cs="Times New Roman"/>
          <w:sz w:val="24"/>
          <w:szCs w:val="24"/>
        </w:rPr>
        <w:t>11</w:t>
      </w:r>
      <w:r w:rsidR="00315930" w:rsidRPr="00315930">
        <w:rPr>
          <w:rFonts w:ascii="Times New Roman" w:hAnsi="Times New Roman" w:cs="Times New Roman"/>
          <w:sz w:val="24"/>
          <w:szCs w:val="24"/>
          <w:vertAlign w:val="superscript"/>
        </w:rPr>
        <w:t>th</w:t>
      </w:r>
      <w:r w:rsidR="00315930">
        <w:rPr>
          <w:rFonts w:ascii="Times New Roman" w:hAnsi="Times New Roman" w:cs="Times New Roman"/>
          <w:sz w:val="24"/>
          <w:szCs w:val="24"/>
        </w:rPr>
        <w:t xml:space="preserve"> general </w:t>
      </w:r>
      <w:r w:rsidR="003555A4">
        <w:rPr>
          <w:rFonts w:ascii="Times New Roman" w:hAnsi="Times New Roman" w:cs="Times New Roman"/>
          <w:sz w:val="24"/>
          <w:szCs w:val="24"/>
        </w:rPr>
        <w:t xml:space="preserve">election </w:t>
      </w:r>
      <w:r w:rsidR="00315930">
        <w:rPr>
          <w:rFonts w:ascii="Times New Roman" w:hAnsi="Times New Roman" w:cs="Times New Roman"/>
          <w:sz w:val="24"/>
          <w:szCs w:val="24"/>
        </w:rPr>
        <w:t xml:space="preserve">of </w:t>
      </w:r>
      <w:r w:rsidR="003555A4">
        <w:rPr>
          <w:rFonts w:ascii="Times New Roman" w:hAnsi="Times New Roman" w:cs="Times New Roman"/>
          <w:sz w:val="24"/>
          <w:szCs w:val="24"/>
        </w:rPr>
        <w:t xml:space="preserve">all the telecom operators have to block 3G and 4G </w:t>
      </w:r>
      <w:r w:rsidR="00315930">
        <w:rPr>
          <w:rFonts w:ascii="Times New Roman" w:hAnsi="Times New Roman" w:cs="Times New Roman"/>
          <w:sz w:val="24"/>
          <w:szCs w:val="24"/>
        </w:rPr>
        <w:t xml:space="preserve">data </w:t>
      </w:r>
      <w:r w:rsidR="003555A4">
        <w:rPr>
          <w:rFonts w:ascii="Times New Roman" w:hAnsi="Times New Roman" w:cs="Times New Roman"/>
          <w:sz w:val="24"/>
          <w:szCs w:val="24"/>
        </w:rPr>
        <w:t>services across the country as BTRC ordered them to do so.</w:t>
      </w:r>
      <w:r w:rsidR="00315930">
        <w:rPr>
          <w:rFonts w:ascii="Times New Roman" w:hAnsi="Times New Roman" w:cs="Times New Roman"/>
          <w:sz w:val="24"/>
          <w:szCs w:val="24"/>
        </w:rPr>
        <w:t xml:space="preserve"> </w:t>
      </w:r>
      <w:r w:rsidR="006F640A">
        <w:rPr>
          <w:rFonts w:ascii="Times New Roman" w:hAnsi="Times New Roman" w:cs="Times New Roman"/>
          <w:sz w:val="24"/>
          <w:szCs w:val="24"/>
        </w:rPr>
        <w:t>In December, 2018 the digital services saw a drop in their businesses</w:t>
      </w:r>
      <w:r w:rsidR="000E378D">
        <w:rPr>
          <w:rFonts w:ascii="Times New Roman" w:hAnsi="Times New Roman" w:cs="Times New Roman"/>
          <w:sz w:val="24"/>
          <w:szCs w:val="24"/>
        </w:rPr>
        <w:t>. Both the data and voice usage dropped. Facebook usage dropped by 30 percent</w:t>
      </w:r>
      <w:r w:rsidR="00FF0A7A">
        <w:rPr>
          <w:rFonts w:ascii="Times New Roman" w:hAnsi="Times New Roman" w:cs="Times New Roman"/>
          <w:sz w:val="24"/>
          <w:szCs w:val="24"/>
        </w:rPr>
        <w:t xml:space="preserve">, all the telecom operator’s revenue decreased by 5-7 % and the selling of handsets decreased </w:t>
      </w:r>
      <w:r w:rsidR="00E53F34">
        <w:rPr>
          <w:rFonts w:ascii="Times New Roman" w:hAnsi="Times New Roman" w:cs="Times New Roman"/>
          <w:sz w:val="24"/>
          <w:szCs w:val="24"/>
        </w:rPr>
        <w:t>by 30 to 40 percent in December</w:t>
      </w:r>
      <w:r w:rsidR="00707510">
        <w:rPr>
          <w:rFonts w:ascii="Times New Roman" w:hAnsi="Times New Roman" w:cs="Times New Roman"/>
          <w:sz w:val="24"/>
          <w:szCs w:val="24"/>
        </w:rPr>
        <w:t>, 2018</w:t>
      </w:r>
      <w:r w:rsidR="00E53F34">
        <w:rPr>
          <w:rFonts w:ascii="Times New Roman" w:hAnsi="Times New Roman" w:cs="Times New Roman"/>
          <w:sz w:val="24"/>
          <w:szCs w:val="24"/>
        </w:rPr>
        <w:t xml:space="preserve">. </w:t>
      </w:r>
    </w:p>
    <w:p w:rsidR="00C20EB9" w:rsidRPr="004F51ED" w:rsidRDefault="009F1D93" w:rsidP="004F51ED">
      <w:pPr>
        <w:spacing w:line="360" w:lineRule="auto"/>
        <w:jc w:val="both"/>
        <w:rPr>
          <w:rFonts w:ascii="Times New Roman" w:hAnsi="Times New Roman" w:cs="Times New Roman"/>
          <w:sz w:val="24"/>
          <w:szCs w:val="24"/>
        </w:rPr>
      </w:pPr>
      <w:r w:rsidRPr="004F51ED">
        <w:rPr>
          <w:rFonts w:ascii="Times New Roman" w:hAnsi="Times New Roman" w:cs="Times New Roman"/>
          <w:b/>
          <w:sz w:val="24"/>
          <w:szCs w:val="24"/>
        </w:rPr>
        <w:lastRenderedPageBreak/>
        <w:t>Economic</w:t>
      </w:r>
      <w:r w:rsidR="007810B0" w:rsidRPr="004F51ED">
        <w:rPr>
          <w:rFonts w:ascii="Times New Roman" w:hAnsi="Times New Roman" w:cs="Times New Roman"/>
          <w:b/>
          <w:sz w:val="24"/>
          <w:szCs w:val="24"/>
        </w:rPr>
        <w:t xml:space="preserve"> factors:</w:t>
      </w:r>
      <w:r w:rsidR="00F205B1" w:rsidRPr="004F51ED">
        <w:rPr>
          <w:rFonts w:ascii="Times New Roman" w:hAnsi="Times New Roman" w:cs="Times New Roman"/>
          <w:b/>
          <w:sz w:val="24"/>
          <w:szCs w:val="24"/>
        </w:rPr>
        <w:t xml:space="preserve"> </w:t>
      </w:r>
      <w:r w:rsidR="0030789F" w:rsidRPr="004F51ED">
        <w:rPr>
          <w:rFonts w:ascii="Times New Roman" w:hAnsi="Times New Roman" w:cs="Times New Roman"/>
          <w:b/>
          <w:sz w:val="24"/>
          <w:szCs w:val="24"/>
        </w:rPr>
        <w:t xml:space="preserve"> </w:t>
      </w:r>
      <w:r w:rsidR="00BE7ED6" w:rsidRPr="004F51ED">
        <w:rPr>
          <w:rFonts w:ascii="Times New Roman" w:hAnsi="Times New Roman" w:cs="Times New Roman"/>
          <w:sz w:val="24"/>
          <w:szCs w:val="24"/>
        </w:rPr>
        <w:t>Bangladesh stands</w:t>
      </w:r>
      <w:r w:rsidR="0030789F" w:rsidRPr="004F51ED">
        <w:rPr>
          <w:rFonts w:ascii="Times New Roman" w:hAnsi="Times New Roman" w:cs="Times New Roman"/>
          <w:sz w:val="24"/>
          <w:szCs w:val="24"/>
        </w:rPr>
        <w:t xml:space="preserve"> fifth in Asia</w:t>
      </w:r>
      <w:r w:rsidR="00E548D0" w:rsidRPr="004F51ED">
        <w:rPr>
          <w:rFonts w:ascii="Times New Roman" w:hAnsi="Times New Roman" w:cs="Times New Roman"/>
          <w:sz w:val="24"/>
          <w:szCs w:val="24"/>
        </w:rPr>
        <w:t xml:space="preserve"> and ninth in globe largest</w:t>
      </w:r>
      <w:r w:rsidR="0030789F" w:rsidRPr="004F51ED">
        <w:rPr>
          <w:rFonts w:ascii="Times New Roman" w:hAnsi="Times New Roman" w:cs="Times New Roman"/>
          <w:sz w:val="24"/>
          <w:szCs w:val="24"/>
        </w:rPr>
        <w:t xml:space="preserve"> in mobile market</w:t>
      </w:r>
      <w:r w:rsidR="00E548D0" w:rsidRPr="004F51ED">
        <w:rPr>
          <w:rFonts w:ascii="Times New Roman" w:hAnsi="Times New Roman" w:cs="Times New Roman"/>
          <w:sz w:val="24"/>
          <w:szCs w:val="24"/>
        </w:rPr>
        <w:t xml:space="preserve"> </w:t>
      </w:r>
      <w:r w:rsidR="00F5194E" w:rsidRPr="000F50FC">
        <w:rPr>
          <w:noProof/>
        </w:rPr>
        <w:drawing>
          <wp:anchor distT="0" distB="0" distL="114300" distR="114300" simplePos="0" relativeHeight="251670528" behindDoc="0" locked="1" layoutInCell="1" allowOverlap="1" wp14:anchorId="221A3B87" wp14:editId="636A7D70">
            <wp:simplePos x="0" y="0"/>
            <wp:positionH relativeFrom="margin">
              <wp:posOffset>3049905</wp:posOffset>
            </wp:positionH>
            <wp:positionV relativeFrom="margin">
              <wp:align>bottom</wp:align>
            </wp:positionV>
            <wp:extent cx="2898140" cy="2593975"/>
            <wp:effectExtent l="0" t="0" r="16510" b="1587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548D0" w:rsidRPr="004F51ED">
        <w:rPr>
          <w:rFonts w:ascii="Times New Roman" w:hAnsi="Times New Roman" w:cs="Times New Roman"/>
          <w:sz w:val="24"/>
          <w:szCs w:val="24"/>
        </w:rPr>
        <w:t>because of the rapid growth of Bangladesh’s mobile industry</w:t>
      </w:r>
      <w:r w:rsidR="00802581" w:rsidRPr="004F51ED">
        <w:rPr>
          <w:rFonts w:ascii="Times New Roman" w:hAnsi="Times New Roman" w:cs="Times New Roman"/>
          <w:sz w:val="24"/>
          <w:szCs w:val="24"/>
        </w:rPr>
        <w:t xml:space="preserve"> according to GSMA</w:t>
      </w:r>
      <w:r w:rsidR="005B222F" w:rsidRPr="004F51ED">
        <w:rPr>
          <w:rFonts w:ascii="Times New Roman" w:hAnsi="Times New Roman" w:cs="Times New Roman"/>
          <w:sz w:val="24"/>
          <w:szCs w:val="24"/>
        </w:rPr>
        <w:t>.</w:t>
      </w:r>
      <w:r w:rsidR="00E548D0" w:rsidRPr="004F51ED">
        <w:rPr>
          <w:rFonts w:ascii="Times New Roman" w:hAnsi="Times New Roman" w:cs="Times New Roman"/>
          <w:sz w:val="24"/>
          <w:szCs w:val="24"/>
        </w:rPr>
        <w:t xml:space="preserve"> </w:t>
      </w:r>
      <w:r w:rsidR="00253530" w:rsidRPr="004F51ED">
        <w:rPr>
          <w:rFonts w:ascii="Times New Roman" w:hAnsi="Times New Roman" w:cs="Times New Roman"/>
          <w:sz w:val="24"/>
          <w:szCs w:val="24"/>
        </w:rPr>
        <w:t>The number of Smart phone Penetr</w:t>
      </w:r>
      <w:r w:rsidR="000B1AEF" w:rsidRPr="004F51ED">
        <w:rPr>
          <w:rFonts w:ascii="Times New Roman" w:hAnsi="Times New Roman" w:cs="Times New Roman"/>
          <w:sz w:val="24"/>
          <w:szCs w:val="24"/>
        </w:rPr>
        <w:t>ation are increasing day by day</w:t>
      </w:r>
      <w:r w:rsidR="008C3CF0" w:rsidRPr="004F51ED">
        <w:rPr>
          <w:rFonts w:ascii="Times New Roman" w:hAnsi="Times New Roman" w:cs="Times New Roman"/>
          <w:sz w:val="24"/>
          <w:szCs w:val="24"/>
        </w:rPr>
        <w:t>.</w:t>
      </w:r>
      <w:r w:rsidR="00CA438F" w:rsidRPr="004F51ED">
        <w:rPr>
          <w:rFonts w:ascii="Times New Roman" w:hAnsi="Times New Roman" w:cs="Times New Roman"/>
          <w:sz w:val="24"/>
          <w:szCs w:val="24"/>
        </w:rPr>
        <w:t xml:space="preserve"> </w:t>
      </w:r>
      <w:r w:rsidR="00513558" w:rsidRPr="004F51ED">
        <w:rPr>
          <w:rFonts w:ascii="Times New Roman" w:hAnsi="Times New Roman" w:cs="Times New Roman"/>
          <w:sz w:val="24"/>
          <w:szCs w:val="24"/>
        </w:rPr>
        <w:t xml:space="preserve">The increasing number of Mobile Phone subscription </w:t>
      </w:r>
      <w:r w:rsidR="00E51F85" w:rsidRPr="004F51ED">
        <w:rPr>
          <w:rFonts w:ascii="Times New Roman" w:hAnsi="Times New Roman" w:cs="Times New Roman"/>
          <w:sz w:val="24"/>
          <w:szCs w:val="24"/>
        </w:rPr>
        <w:t>is also a</w:t>
      </w:r>
      <w:r w:rsidR="00BE1133" w:rsidRPr="004F51ED">
        <w:rPr>
          <w:rFonts w:ascii="Times New Roman" w:hAnsi="Times New Roman" w:cs="Times New Roman"/>
          <w:sz w:val="24"/>
          <w:szCs w:val="24"/>
        </w:rPr>
        <w:t xml:space="preserve"> positive indicator of the economic growth.</w:t>
      </w:r>
      <w:r w:rsidR="008C3CF0" w:rsidRPr="004F51ED">
        <w:rPr>
          <w:rFonts w:ascii="Times New Roman" w:hAnsi="Times New Roman" w:cs="Times New Roman"/>
          <w:sz w:val="24"/>
          <w:szCs w:val="24"/>
        </w:rPr>
        <w:t xml:space="preserve"> </w:t>
      </w:r>
      <w:r w:rsidR="00D13E9E" w:rsidRPr="004F51ED">
        <w:rPr>
          <w:rFonts w:ascii="Times New Roman" w:hAnsi="Times New Roman" w:cs="Times New Roman"/>
          <w:sz w:val="24"/>
          <w:szCs w:val="24"/>
        </w:rPr>
        <w:t>In 2016 the number of subscribe dropped because of the bio-metric</w:t>
      </w:r>
      <w:r w:rsidR="00EE1259" w:rsidRPr="004F51ED">
        <w:rPr>
          <w:rFonts w:ascii="Times New Roman" w:hAnsi="Times New Roman" w:cs="Times New Roman"/>
          <w:sz w:val="24"/>
          <w:szCs w:val="24"/>
        </w:rPr>
        <w:t xml:space="preserve"> </w:t>
      </w:r>
      <w:r w:rsidR="00D13E9E" w:rsidRPr="004F51ED">
        <w:rPr>
          <w:rFonts w:ascii="Times New Roman" w:hAnsi="Times New Roman" w:cs="Times New Roman"/>
          <w:sz w:val="24"/>
          <w:szCs w:val="24"/>
        </w:rPr>
        <w:t xml:space="preserve">registration of SIMs, a </w:t>
      </w:r>
      <w:r w:rsidR="00351AB2" w:rsidRPr="004F51ED">
        <w:rPr>
          <w:rFonts w:ascii="Times New Roman" w:hAnsi="Times New Roman" w:cs="Times New Roman"/>
          <w:sz w:val="24"/>
          <w:szCs w:val="24"/>
        </w:rPr>
        <w:t xml:space="preserve">process which is a </w:t>
      </w:r>
      <w:r w:rsidR="00D13E9E" w:rsidRPr="004F51ED">
        <w:rPr>
          <w:rFonts w:ascii="Times New Roman" w:hAnsi="Times New Roman" w:cs="Times New Roman"/>
          <w:sz w:val="24"/>
          <w:szCs w:val="24"/>
        </w:rPr>
        <w:t>leading expansion of telecom industry in Bangladesh</w:t>
      </w:r>
      <w:r w:rsidR="00351AB2" w:rsidRPr="004F51ED">
        <w:rPr>
          <w:rFonts w:ascii="Times New Roman" w:hAnsi="Times New Roman" w:cs="Times New Roman"/>
          <w:sz w:val="24"/>
          <w:szCs w:val="24"/>
        </w:rPr>
        <w:t>. Grameenphone performed better than other operator because 97 percent of its subscriber re-register through this process.</w:t>
      </w:r>
      <w:r w:rsidR="00524F8D" w:rsidRPr="004F51ED">
        <w:rPr>
          <w:rFonts w:ascii="Times New Roman" w:hAnsi="Times New Roman" w:cs="Times New Roman"/>
          <w:sz w:val="24"/>
          <w:szCs w:val="24"/>
        </w:rPr>
        <w:t xml:space="preserve"> According to GSMA there will be 190 million mobile phone subscriber</w:t>
      </w:r>
      <w:r w:rsidR="0088762A" w:rsidRPr="004F51ED">
        <w:rPr>
          <w:rFonts w:ascii="Times New Roman" w:hAnsi="Times New Roman" w:cs="Times New Roman"/>
          <w:sz w:val="24"/>
          <w:szCs w:val="24"/>
        </w:rPr>
        <w:t xml:space="preserve"> in Bangladesh</w:t>
      </w:r>
      <w:r w:rsidR="00524F8D" w:rsidRPr="004F51ED">
        <w:rPr>
          <w:rFonts w:ascii="Times New Roman" w:hAnsi="Times New Roman" w:cs="Times New Roman"/>
          <w:sz w:val="24"/>
          <w:szCs w:val="24"/>
        </w:rPr>
        <w:t xml:space="preserve"> by 2025</w:t>
      </w:r>
      <w:r w:rsidR="0046234C" w:rsidRPr="004F51ED">
        <w:rPr>
          <w:rFonts w:ascii="Times New Roman" w:hAnsi="Times New Roman" w:cs="Times New Roman"/>
          <w:sz w:val="24"/>
          <w:szCs w:val="24"/>
        </w:rPr>
        <w:t>.</w:t>
      </w:r>
      <w:r w:rsidR="00BF012B" w:rsidRPr="004F51ED">
        <w:rPr>
          <w:rFonts w:ascii="Times New Roman" w:hAnsi="Times New Roman" w:cs="Times New Roman"/>
          <w:sz w:val="24"/>
          <w:szCs w:val="24"/>
        </w:rPr>
        <w:t xml:space="preserve"> The number of the mobile phone subscription is growing along with the population growth. In 2017, the mobile phone subscriber was 88 percent and internet subscriber was 46 percent of the total population.</w:t>
      </w:r>
      <w:r w:rsidR="00DF4C4E" w:rsidRPr="004F51ED">
        <w:rPr>
          <w:rFonts w:ascii="Times New Roman" w:hAnsi="Times New Roman" w:cs="Times New Roman"/>
          <w:sz w:val="24"/>
          <w:szCs w:val="24"/>
        </w:rPr>
        <w:t xml:space="preserve"> </w:t>
      </w:r>
      <w:r w:rsidR="000F50FC" w:rsidRPr="004F51ED">
        <w:rPr>
          <w:rFonts w:ascii="Times New Roman" w:hAnsi="Times New Roman" w:cs="Times New Roman"/>
          <w:sz w:val="24"/>
          <w:szCs w:val="24"/>
        </w:rPr>
        <w:t>Among the operators Grameenphone is capturing a huge number of subscriber</w:t>
      </w:r>
      <w:r w:rsidR="0044386E" w:rsidRPr="004F51ED">
        <w:rPr>
          <w:rFonts w:ascii="Times New Roman" w:hAnsi="Times New Roman" w:cs="Times New Roman"/>
          <w:sz w:val="24"/>
          <w:szCs w:val="24"/>
        </w:rPr>
        <w:t xml:space="preserve"> almost 45 percent of total market share</w:t>
      </w:r>
      <w:r w:rsidR="000F50FC" w:rsidRPr="004F51ED">
        <w:rPr>
          <w:rFonts w:ascii="Times New Roman" w:hAnsi="Times New Roman" w:cs="Times New Roman"/>
          <w:sz w:val="24"/>
          <w:szCs w:val="24"/>
        </w:rPr>
        <w:t xml:space="preserve">. </w:t>
      </w:r>
      <w:r w:rsidR="007C11AD" w:rsidRPr="004F51ED">
        <w:rPr>
          <w:rFonts w:ascii="Times New Roman" w:hAnsi="Times New Roman" w:cs="Times New Roman"/>
          <w:sz w:val="24"/>
          <w:szCs w:val="24"/>
        </w:rPr>
        <w:t>Fulfilling the last seven years demand of all the trade bodies of digital</w:t>
      </w:r>
      <w:r w:rsidR="00FD765A" w:rsidRPr="004F51ED">
        <w:rPr>
          <w:rFonts w:ascii="Times New Roman" w:hAnsi="Times New Roman" w:cs="Times New Roman"/>
          <w:sz w:val="24"/>
          <w:szCs w:val="24"/>
        </w:rPr>
        <w:t xml:space="preserve"> service the government has reduced</w:t>
      </w:r>
      <w:r w:rsidR="007C11AD" w:rsidRPr="004F51ED">
        <w:rPr>
          <w:rFonts w:ascii="Times New Roman" w:hAnsi="Times New Roman" w:cs="Times New Roman"/>
          <w:sz w:val="24"/>
          <w:szCs w:val="24"/>
        </w:rPr>
        <w:t xml:space="preserve"> the value added tax from 15 percent to 5 </w:t>
      </w:r>
      <w:r w:rsidR="00BC7D15" w:rsidRPr="004F51ED">
        <w:rPr>
          <w:rFonts w:ascii="Times New Roman" w:hAnsi="Times New Roman" w:cs="Times New Roman"/>
          <w:sz w:val="24"/>
          <w:szCs w:val="24"/>
        </w:rPr>
        <w:t xml:space="preserve">percent </w:t>
      </w:r>
      <w:r w:rsidR="007C11AD" w:rsidRPr="004F51ED">
        <w:rPr>
          <w:rFonts w:ascii="Times New Roman" w:hAnsi="Times New Roman" w:cs="Times New Roman"/>
          <w:sz w:val="24"/>
          <w:szCs w:val="24"/>
        </w:rPr>
        <w:t xml:space="preserve">in June 2018. And the </w:t>
      </w:r>
      <w:r w:rsidR="00B35327" w:rsidRPr="000F50FC">
        <w:rPr>
          <w:noProof/>
        </w:rPr>
        <w:drawing>
          <wp:anchor distT="0" distB="0" distL="114300" distR="114300" simplePos="0" relativeHeight="251666432" behindDoc="0" locked="0" layoutInCell="1" allowOverlap="1" wp14:anchorId="7E76759A" wp14:editId="218A9886">
            <wp:simplePos x="0" y="0"/>
            <wp:positionH relativeFrom="margin">
              <wp:align>right</wp:align>
            </wp:positionH>
            <wp:positionV relativeFrom="margin">
              <wp:posOffset>159385</wp:posOffset>
            </wp:positionV>
            <wp:extent cx="3072130" cy="2838450"/>
            <wp:effectExtent l="0" t="0" r="1397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C11AD" w:rsidRPr="004F51ED">
        <w:rPr>
          <w:rFonts w:ascii="Times New Roman" w:hAnsi="Times New Roman" w:cs="Times New Roman"/>
          <w:sz w:val="24"/>
          <w:szCs w:val="24"/>
        </w:rPr>
        <w:t>internet usage will be higher and less costly as value added tax (vat)</w:t>
      </w:r>
      <w:r w:rsidR="009040E7" w:rsidRPr="004F51ED">
        <w:rPr>
          <w:rFonts w:ascii="Times New Roman" w:hAnsi="Times New Roman" w:cs="Times New Roman"/>
          <w:sz w:val="24"/>
          <w:szCs w:val="24"/>
        </w:rPr>
        <w:t xml:space="preserve"> decreased.</w:t>
      </w:r>
      <w:r w:rsidR="0053438B" w:rsidRPr="004F51ED">
        <w:rPr>
          <w:rFonts w:ascii="Times New Roman" w:hAnsi="Times New Roman" w:cs="Times New Roman"/>
          <w:sz w:val="24"/>
          <w:szCs w:val="24"/>
        </w:rPr>
        <w:t xml:space="preserve"> </w:t>
      </w:r>
      <w:r w:rsidR="00AE3EC4" w:rsidRPr="004F51ED">
        <w:rPr>
          <w:rFonts w:ascii="Times New Roman" w:hAnsi="Times New Roman" w:cs="Times New Roman"/>
          <w:sz w:val="24"/>
          <w:szCs w:val="24"/>
        </w:rPr>
        <w:t>The positive growth in foreign direct investment will boost telecom industry of Bangl</w:t>
      </w:r>
      <w:r w:rsidR="00E4426B" w:rsidRPr="004F51ED">
        <w:rPr>
          <w:rFonts w:ascii="Times New Roman" w:hAnsi="Times New Roman" w:cs="Times New Roman"/>
          <w:sz w:val="24"/>
          <w:szCs w:val="24"/>
        </w:rPr>
        <w:t>adesh. The net inflows of FDI in</w:t>
      </w:r>
      <w:r w:rsidR="00AE3EC4" w:rsidRPr="004F51ED">
        <w:rPr>
          <w:rFonts w:ascii="Times New Roman" w:hAnsi="Times New Roman" w:cs="Times New Roman"/>
          <w:sz w:val="24"/>
          <w:szCs w:val="24"/>
        </w:rPr>
        <w:t xml:space="preserve"> Bangladesh </w:t>
      </w:r>
      <w:r w:rsidR="00E4426B" w:rsidRPr="004F51ED">
        <w:rPr>
          <w:rFonts w:ascii="Times New Roman" w:hAnsi="Times New Roman" w:cs="Times New Roman"/>
          <w:sz w:val="24"/>
          <w:szCs w:val="24"/>
        </w:rPr>
        <w:t>in fiscal years 2015, 2016, 2017, 2018 were respectively 1.83, 2, 2.45, 2.58 billion dollars.</w:t>
      </w:r>
      <w:r w:rsidR="00320CBD" w:rsidRPr="004F51ED">
        <w:rPr>
          <w:rFonts w:ascii="Times New Roman" w:hAnsi="Times New Roman" w:cs="Times New Roman"/>
          <w:sz w:val="24"/>
          <w:szCs w:val="24"/>
        </w:rPr>
        <w:t xml:space="preserve"> In </w:t>
      </w:r>
      <w:r w:rsidR="00365CA3" w:rsidRPr="004F51ED">
        <w:rPr>
          <w:rFonts w:ascii="Times New Roman" w:hAnsi="Times New Roman" w:cs="Times New Roman"/>
          <w:sz w:val="24"/>
          <w:szCs w:val="24"/>
        </w:rPr>
        <w:t>2017, the telecommunication industry received the maximum foreign direct investment among the other sectors which was about 594 million dollars.</w:t>
      </w:r>
    </w:p>
    <w:p w:rsidR="00FB6717" w:rsidRDefault="00F51A0D" w:rsidP="00AB414D">
      <w:pPr>
        <w:spacing w:line="360" w:lineRule="auto"/>
        <w:jc w:val="both"/>
        <w:rPr>
          <w:rFonts w:ascii="Times New Roman" w:hAnsi="Times New Roman" w:cs="Times New Roman"/>
          <w:sz w:val="24"/>
          <w:szCs w:val="24"/>
        </w:rPr>
      </w:pPr>
      <w:r w:rsidRPr="002248D1">
        <w:rPr>
          <w:b/>
          <w:noProof/>
        </w:rPr>
        <w:lastRenderedPageBreak/>
        <w:drawing>
          <wp:anchor distT="0" distB="0" distL="114300" distR="114300" simplePos="0" relativeHeight="251668480" behindDoc="0" locked="0" layoutInCell="1" allowOverlap="1" wp14:anchorId="0827FB43" wp14:editId="00DEDE22">
            <wp:simplePos x="0" y="0"/>
            <wp:positionH relativeFrom="margin">
              <wp:align>right</wp:align>
            </wp:positionH>
            <wp:positionV relativeFrom="margin">
              <wp:posOffset>3356093</wp:posOffset>
            </wp:positionV>
            <wp:extent cx="3072130" cy="2753360"/>
            <wp:effectExtent l="0" t="0" r="13970" b="889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00502F" w:rsidRPr="00623247">
        <w:rPr>
          <w:rFonts w:ascii="Times New Roman" w:hAnsi="Times New Roman" w:cs="Times New Roman"/>
          <w:b/>
          <w:sz w:val="24"/>
          <w:szCs w:val="24"/>
        </w:rPr>
        <w:t>Social factor</w:t>
      </w:r>
      <w:r w:rsidR="00623247">
        <w:rPr>
          <w:rFonts w:ascii="Times New Roman" w:hAnsi="Times New Roman" w:cs="Times New Roman"/>
          <w:b/>
          <w:sz w:val="24"/>
          <w:szCs w:val="24"/>
        </w:rPr>
        <w:t>s</w:t>
      </w:r>
      <w:r w:rsidR="0000502F" w:rsidRPr="0000502F">
        <w:rPr>
          <w:rFonts w:ascii="Times New Roman" w:hAnsi="Times New Roman" w:cs="Times New Roman"/>
          <w:sz w:val="24"/>
          <w:szCs w:val="24"/>
        </w:rPr>
        <w:t>: The percentage of young</w:t>
      </w:r>
      <w:r w:rsidR="00BE22E0">
        <w:rPr>
          <w:rFonts w:ascii="Times New Roman" w:hAnsi="Times New Roman" w:cs="Times New Roman"/>
          <w:sz w:val="24"/>
          <w:szCs w:val="24"/>
        </w:rPr>
        <w:t xml:space="preserve"> (19.36%)</w:t>
      </w:r>
      <w:r w:rsidR="0000502F" w:rsidRPr="0000502F">
        <w:rPr>
          <w:rFonts w:ascii="Times New Roman" w:hAnsi="Times New Roman" w:cs="Times New Roman"/>
          <w:sz w:val="24"/>
          <w:szCs w:val="24"/>
        </w:rPr>
        <w:t xml:space="preserve"> and middle age (39.73%) people is high in Bangladesh, which shows that the usage of internet and mobile phone is also higher.</w:t>
      </w:r>
      <w:r w:rsidR="005B23A6">
        <w:rPr>
          <w:rFonts w:ascii="Times New Roman" w:hAnsi="Times New Roman" w:cs="Times New Roman"/>
          <w:sz w:val="24"/>
          <w:szCs w:val="24"/>
        </w:rPr>
        <w:t xml:space="preserve"> In 2018,</w:t>
      </w:r>
      <w:r w:rsidR="00A31E28">
        <w:rPr>
          <w:rFonts w:ascii="Times New Roman" w:hAnsi="Times New Roman" w:cs="Times New Roman"/>
          <w:sz w:val="24"/>
          <w:szCs w:val="24"/>
        </w:rPr>
        <w:t xml:space="preserve"> the urban people was</w:t>
      </w:r>
      <w:r w:rsidR="005B23A6">
        <w:rPr>
          <w:rFonts w:ascii="Times New Roman" w:hAnsi="Times New Roman" w:cs="Times New Roman"/>
          <w:sz w:val="24"/>
          <w:szCs w:val="24"/>
        </w:rPr>
        <w:t xml:space="preserve"> 36.5 percent </w:t>
      </w:r>
      <w:r w:rsidR="00A31E28">
        <w:rPr>
          <w:rFonts w:ascii="Times New Roman" w:hAnsi="Times New Roman" w:cs="Times New Roman"/>
          <w:sz w:val="24"/>
          <w:szCs w:val="24"/>
        </w:rPr>
        <w:t>of the total population of Bangladesh</w:t>
      </w:r>
      <w:r w:rsidR="009B7418">
        <w:rPr>
          <w:rFonts w:ascii="Times New Roman" w:hAnsi="Times New Roman" w:cs="Times New Roman"/>
          <w:sz w:val="24"/>
          <w:szCs w:val="24"/>
        </w:rPr>
        <w:t xml:space="preserve"> with a growth of 2.24 percent from the previous year. </w:t>
      </w:r>
      <w:r w:rsidR="00375880">
        <w:rPr>
          <w:rFonts w:ascii="Times New Roman" w:hAnsi="Times New Roman" w:cs="Times New Roman"/>
          <w:sz w:val="24"/>
          <w:szCs w:val="24"/>
        </w:rPr>
        <w:t>This shows an escalation in urbanization and digitalization.</w:t>
      </w:r>
      <w:r w:rsidR="00A31E28">
        <w:rPr>
          <w:rFonts w:ascii="Times New Roman" w:hAnsi="Times New Roman" w:cs="Times New Roman"/>
          <w:sz w:val="24"/>
          <w:szCs w:val="24"/>
        </w:rPr>
        <w:t xml:space="preserve"> </w:t>
      </w:r>
      <w:r w:rsidR="00A304F7">
        <w:rPr>
          <w:rFonts w:ascii="Times New Roman" w:hAnsi="Times New Roman" w:cs="Times New Roman"/>
          <w:sz w:val="24"/>
          <w:szCs w:val="24"/>
        </w:rPr>
        <w:t>Grameenphone’s 34.2 percent shareholder</w:t>
      </w:r>
      <w:r w:rsidR="001A1A27">
        <w:rPr>
          <w:rFonts w:ascii="Times New Roman" w:hAnsi="Times New Roman" w:cs="Times New Roman"/>
          <w:sz w:val="24"/>
          <w:szCs w:val="24"/>
        </w:rPr>
        <w:t>,</w:t>
      </w:r>
      <w:r w:rsidR="00A304F7">
        <w:rPr>
          <w:rFonts w:ascii="Times New Roman" w:hAnsi="Times New Roman" w:cs="Times New Roman"/>
          <w:sz w:val="24"/>
          <w:szCs w:val="24"/>
        </w:rPr>
        <w:t xml:space="preserve"> Grameen Telecom edict that rural p</w:t>
      </w:r>
      <w:r w:rsidR="009040B6">
        <w:rPr>
          <w:rFonts w:ascii="Times New Roman" w:hAnsi="Times New Roman" w:cs="Times New Roman"/>
          <w:sz w:val="24"/>
          <w:szCs w:val="24"/>
        </w:rPr>
        <w:t>eople should have easy access to</w:t>
      </w:r>
      <w:r w:rsidR="00A304F7">
        <w:rPr>
          <w:rFonts w:ascii="Times New Roman" w:hAnsi="Times New Roman" w:cs="Times New Roman"/>
          <w:sz w:val="24"/>
          <w:szCs w:val="24"/>
        </w:rPr>
        <w:t xml:space="preserve"> GSM cellular </w:t>
      </w:r>
      <w:r w:rsidR="009040B6">
        <w:rPr>
          <w:rFonts w:ascii="Times New Roman" w:hAnsi="Times New Roman" w:cs="Times New Roman"/>
          <w:sz w:val="24"/>
          <w:szCs w:val="24"/>
        </w:rPr>
        <w:t>services. Which is also increasing the use of mobile phone</w:t>
      </w:r>
      <w:r w:rsidR="001A1A27">
        <w:rPr>
          <w:rFonts w:ascii="Times New Roman" w:hAnsi="Times New Roman" w:cs="Times New Roman"/>
          <w:sz w:val="24"/>
          <w:szCs w:val="24"/>
        </w:rPr>
        <w:t>s</w:t>
      </w:r>
      <w:r w:rsidR="009040B6">
        <w:rPr>
          <w:rFonts w:ascii="Times New Roman" w:hAnsi="Times New Roman" w:cs="Times New Roman"/>
          <w:sz w:val="24"/>
          <w:szCs w:val="24"/>
        </w:rPr>
        <w:t xml:space="preserve"> in rural area. </w:t>
      </w:r>
    </w:p>
    <w:p w:rsidR="00F45C4D" w:rsidRDefault="002248D1" w:rsidP="00AB414D">
      <w:pPr>
        <w:spacing w:line="360" w:lineRule="auto"/>
        <w:jc w:val="both"/>
        <w:rPr>
          <w:rFonts w:ascii="Times New Roman" w:hAnsi="Times New Roman" w:cs="Times New Roman"/>
          <w:sz w:val="24"/>
          <w:szCs w:val="24"/>
        </w:rPr>
      </w:pPr>
      <w:r w:rsidRPr="002248D1">
        <w:rPr>
          <w:rFonts w:ascii="Times New Roman" w:hAnsi="Times New Roman" w:cs="Times New Roman"/>
          <w:b/>
          <w:sz w:val="24"/>
          <w:szCs w:val="24"/>
        </w:rPr>
        <w:t>Technological factors</w:t>
      </w:r>
      <w:r>
        <w:rPr>
          <w:rFonts w:ascii="Times New Roman" w:hAnsi="Times New Roman" w:cs="Times New Roman"/>
          <w:sz w:val="24"/>
          <w:szCs w:val="24"/>
        </w:rPr>
        <w:t xml:space="preserve">: </w:t>
      </w:r>
      <w:r w:rsidR="002C05D8">
        <w:rPr>
          <w:rFonts w:ascii="Times New Roman" w:hAnsi="Times New Roman" w:cs="Times New Roman"/>
          <w:sz w:val="24"/>
          <w:szCs w:val="24"/>
        </w:rPr>
        <w:t>In 2013</w:t>
      </w:r>
      <w:r w:rsidR="001C7D7E">
        <w:rPr>
          <w:rFonts w:ascii="Times New Roman" w:hAnsi="Times New Roman" w:cs="Times New Roman"/>
          <w:sz w:val="24"/>
          <w:szCs w:val="24"/>
        </w:rPr>
        <w:t>, the telecom operators got the 3G licenses, which increa</w:t>
      </w:r>
      <w:r w:rsidR="00786ABC">
        <w:rPr>
          <w:rFonts w:ascii="Times New Roman" w:hAnsi="Times New Roman" w:cs="Times New Roman"/>
          <w:sz w:val="24"/>
          <w:szCs w:val="24"/>
        </w:rPr>
        <w:t xml:space="preserve">ses the speed of data services. And in 2018, the operators got the 4G/LTE licenses which will accelerate the growth in telecom industry. </w:t>
      </w:r>
      <w:r w:rsidR="00C265CF">
        <w:rPr>
          <w:rFonts w:ascii="Times New Roman" w:hAnsi="Times New Roman" w:cs="Times New Roman"/>
          <w:sz w:val="24"/>
          <w:szCs w:val="24"/>
        </w:rPr>
        <w:t xml:space="preserve"> The number of the 4G customers are growing slowly because of the high prices of the 4G devices. After launching 4G/LTE services, on its eight month Grameenphone successfully able to earn 5 million</w:t>
      </w:r>
      <w:r w:rsidR="008E695E">
        <w:rPr>
          <w:rFonts w:ascii="Times New Roman" w:hAnsi="Times New Roman" w:cs="Times New Roman"/>
          <w:sz w:val="24"/>
          <w:szCs w:val="24"/>
        </w:rPr>
        <w:t xml:space="preserve"> 4G subscribers and become the first among the other operator</w:t>
      </w:r>
      <w:r w:rsidR="00DB0FC4">
        <w:rPr>
          <w:rFonts w:ascii="Times New Roman" w:hAnsi="Times New Roman" w:cs="Times New Roman"/>
          <w:sz w:val="24"/>
          <w:szCs w:val="24"/>
        </w:rPr>
        <w:t xml:space="preserve"> on gaining 4G subscribers</w:t>
      </w:r>
      <w:r w:rsidR="008E695E">
        <w:rPr>
          <w:rFonts w:ascii="Times New Roman" w:hAnsi="Times New Roman" w:cs="Times New Roman"/>
          <w:sz w:val="24"/>
          <w:szCs w:val="24"/>
        </w:rPr>
        <w:t>.</w:t>
      </w:r>
      <w:r w:rsidR="00402128">
        <w:rPr>
          <w:rFonts w:ascii="Times New Roman" w:hAnsi="Times New Roman" w:cs="Times New Roman"/>
          <w:sz w:val="24"/>
          <w:szCs w:val="24"/>
        </w:rPr>
        <w:t xml:space="preserve"> By participating on the 4G auction the two operator Grameenphone obtained 5 MHz in 1800 band and Banglalink obtained 5</w:t>
      </w:r>
      <w:r w:rsidR="00D41453">
        <w:rPr>
          <w:rFonts w:ascii="Times New Roman" w:hAnsi="Times New Roman" w:cs="Times New Roman"/>
          <w:sz w:val="24"/>
          <w:szCs w:val="24"/>
        </w:rPr>
        <w:t xml:space="preserve"> MHz in 2100 band and </w:t>
      </w:r>
      <w:r w:rsidR="00B35327" w:rsidRPr="006000BB">
        <w:rPr>
          <w:noProof/>
        </w:rPr>
        <w:drawing>
          <wp:anchor distT="0" distB="0" distL="114300" distR="114300" simplePos="0" relativeHeight="251671552" behindDoc="0" locked="0" layoutInCell="1" allowOverlap="1" wp14:anchorId="2CFDD925" wp14:editId="218038C9">
            <wp:simplePos x="0" y="0"/>
            <wp:positionH relativeFrom="margin">
              <wp:posOffset>2466975</wp:posOffset>
            </wp:positionH>
            <wp:positionV relativeFrom="margin">
              <wp:posOffset>83052</wp:posOffset>
            </wp:positionV>
            <wp:extent cx="3529330" cy="13398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9330" cy="1339850"/>
                    </a:xfrm>
                    <a:prstGeom prst="rect">
                      <a:avLst/>
                    </a:prstGeom>
                    <a:noFill/>
                    <a:ln>
                      <a:noFill/>
                    </a:ln>
                  </pic:spPr>
                </pic:pic>
              </a:graphicData>
            </a:graphic>
            <wp14:sizeRelH relativeFrom="margin">
              <wp14:pctWidth>0</wp14:pctWidth>
            </wp14:sizeRelH>
          </wp:anchor>
        </w:drawing>
      </w:r>
      <w:r w:rsidR="00D41453">
        <w:rPr>
          <w:rFonts w:ascii="Times New Roman" w:hAnsi="Times New Roman" w:cs="Times New Roman"/>
          <w:sz w:val="24"/>
          <w:szCs w:val="24"/>
        </w:rPr>
        <w:t>5.6 MHz in 1800 band.</w:t>
      </w:r>
      <w:r w:rsidR="00E33F2A">
        <w:rPr>
          <w:rFonts w:ascii="Times New Roman" w:hAnsi="Times New Roman" w:cs="Times New Roman"/>
          <w:sz w:val="24"/>
          <w:szCs w:val="24"/>
        </w:rPr>
        <w:t xml:space="preserve"> After acquiring MHz, Grameenphone has now 37 MHz of which 7.4</w:t>
      </w:r>
      <w:r w:rsidR="00A06FD9">
        <w:rPr>
          <w:rFonts w:ascii="Times New Roman" w:hAnsi="Times New Roman" w:cs="Times New Roman"/>
          <w:sz w:val="24"/>
          <w:szCs w:val="24"/>
        </w:rPr>
        <w:t xml:space="preserve"> </w:t>
      </w:r>
      <w:r w:rsidR="00E33F2A">
        <w:rPr>
          <w:rFonts w:ascii="Times New Roman" w:hAnsi="Times New Roman" w:cs="Times New Roman"/>
          <w:sz w:val="24"/>
          <w:szCs w:val="24"/>
        </w:rPr>
        <w:t>MHz in 900 band, 19.6 MHz in 1800 band and 10 MHz in 2100 band.</w:t>
      </w:r>
      <w:r w:rsidR="00E52EEB">
        <w:rPr>
          <w:rFonts w:ascii="Times New Roman" w:hAnsi="Times New Roman" w:cs="Times New Roman"/>
          <w:sz w:val="24"/>
          <w:szCs w:val="24"/>
        </w:rPr>
        <w:t xml:space="preserve"> Because of the </w:t>
      </w:r>
      <w:r w:rsidR="008006B3">
        <w:rPr>
          <w:rFonts w:ascii="Times New Roman" w:hAnsi="Times New Roman" w:cs="Times New Roman"/>
          <w:sz w:val="24"/>
          <w:szCs w:val="24"/>
        </w:rPr>
        <w:t>G</w:t>
      </w:r>
      <w:r w:rsidR="00E52EEB">
        <w:rPr>
          <w:rFonts w:ascii="Times New Roman" w:hAnsi="Times New Roman" w:cs="Times New Roman"/>
          <w:sz w:val="24"/>
          <w:szCs w:val="24"/>
        </w:rPr>
        <w:t>overnment vision of</w:t>
      </w:r>
      <w:r w:rsidR="008006B3">
        <w:rPr>
          <w:rFonts w:ascii="Times New Roman" w:hAnsi="Times New Roman" w:cs="Times New Roman"/>
          <w:sz w:val="24"/>
          <w:szCs w:val="24"/>
        </w:rPr>
        <w:t xml:space="preserve"> making</w:t>
      </w:r>
      <w:r w:rsidR="00E52EEB">
        <w:rPr>
          <w:rFonts w:ascii="Times New Roman" w:hAnsi="Times New Roman" w:cs="Times New Roman"/>
          <w:sz w:val="24"/>
          <w:szCs w:val="24"/>
        </w:rPr>
        <w:t xml:space="preserve"> Digital Bangladesh</w:t>
      </w:r>
      <w:r w:rsidR="00AA4259">
        <w:rPr>
          <w:rFonts w:ascii="Times New Roman" w:hAnsi="Times New Roman" w:cs="Times New Roman"/>
          <w:sz w:val="24"/>
          <w:szCs w:val="24"/>
        </w:rPr>
        <w:t xml:space="preserve"> in</w:t>
      </w:r>
      <w:r w:rsidR="00E52EEB">
        <w:rPr>
          <w:rFonts w:ascii="Times New Roman" w:hAnsi="Times New Roman" w:cs="Times New Roman"/>
          <w:sz w:val="24"/>
          <w:szCs w:val="24"/>
        </w:rPr>
        <w:t xml:space="preserve"> 2021</w:t>
      </w:r>
      <w:r w:rsidR="008006B3">
        <w:rPr>
          <w:rFonts w:ascii="Times New Roman" w:hAnsi="Times New Roman" w:cs="Times New Roman"/>
          <w:sz w:val="24"/>
          <w:szCs w:val="24"/>
        </w:rPr>
        <w:t>, telecommunication industry will thrive rapidly.</w:t>
      </w:r>
      <w:r w:rsidR="00C718D1">
        <w:rPr>
          <w:rFonts w:ascii="Times New Roman" w:hAnsi="Times New Roman" w:cs="Times New Roman"/>
          <w:sz w:val="24"/>
          <w:szCs w:val="24"/>
        </w:rPr>
        <w:t xml:space="preserve"> Government now thinking of to bring 5G</w:t>
      </w:r>
      <w:r w:rsidR="001C3EF5">
        <w:rPr>
          <w:rFonts w:ascii="Times New Roman" w:hAnsi="Times New Roman" w:cs="Times New Roman"/>
          <w:sz w:val="24"/>
          <w:szCs w:val="24"/>
        </w:rPr>
        <w:t xml:space="preserve"> between 2020 and</w:t>
      </w:r>
      <w:r w:rsidR="00C718D1">
        <w:rPr>
          <w:rFonts w:ascii="Times New Roman" w:hAnsi="Times New Roman" w:cs="Times New Roman"/>
          <w:sz w:val="24"/>
          <w:szCs w:val="24"/>
        </w:rPr>
        <w:t xml:space="preserve"> 2030.</w:t>
      </w:r>
      <w:r w:rsidR="000136CE">
        <w:rPr>
          <w:rFonts w:ascii="Times New Roman" w:hAnsi="Times New Roman" w:cs="Times New Roman"/>
          <w:sz w:val="24"/>
          <w:szCs w:val="24"/>
        </w:rPr>
        <w:t xml:space="preserve"> And it will robustly increase the speed of the data services.</w:t>
      </w:r>
      <w:r w:rsidR="002C4F84">
        <w:rPr>
          <w:rFonts w:ascii="Times New Roman" w:hAnsi="Times New Roman" w:cs="Times New Roman"/>
          <w:sz w:val="24"/>
          <w:szCs w:val="24"/>
        </w:rPr>
        <w:t xml:space="preserve"> Grameenphone may have to increase its spectrum if 5G come because Grameenphone’s customers cu</w:t>
      </w:r>
      <w:r w:rsidR="00386582">
        <w:rPr>
          <w:rFonts w:ascii="Times New Roman" w:hAnsi="Times New Roman" w:cs="Times New Roman"/>
          <w:sz w:val="24"/>
          <w:szCs w:val="24"/>
        </w:rPr>
        <w:t>rrently facing huge call drops from 2018.</w:t>
      </w:r>
    </w:p>
    <w:p w:rsidR="00F13645" w:rsidRDefault="00F13645" w:rsidP="00AB414D">
      <w:pPr>
        <w:spacing w:line="360" w:lineRule="auto"/>
        <w:jc w:val="both"/>
        <w:rPr>
          <w:rFonts w:ascii="Times New Roman" w:hAnsi="Times New Roman" w:cs="Times New Roman"/>
          <w:sz w:val="24"/>
          <w:szCs w:val="24"/>
        </w:rPr>
      </w:pPr>
      <w:r w:rsidRPr="00F13645">
        <w:rPr>
          <w:rFonts w:ascii="Times New Roman" w:hAnsi="Times New Roman" w:cs="Times New Roman"/>
          <w:b/>
          <w:sz w:val="24"/>
          <w:szCs w:val="24"/>
        </w:rPr>
        <w:lastRenderedPageBreak/>
        <w:t>Environmental factors</w:t>
      </w:r>
      <w:r>
        <w:rPr>
          <w:rFonts w:ascii="Times New Roman" w:hAnsi="Times New Roman" w:cs="Times New Roman"/>
          <w:sz w:val="24"/>
          <w:szCs w:val="24"/>
        </w:rPr>
        <w:t xml:space="preserve">: </w:t>
      </w:r>
      <w:r w:rsidR="0036238B">
        <w:rPr>
          <w:rFonts w:ascii="Times New Roman" w:hAnsi="Times New Roman" w:cs="Times New Roman"/>
          <w:sz w:val="24"/>
          <w:szCs w:val="24"/>
        </w:rPr>
        <w:t>For providing uninterrupted voice and data services to</w:t>
      </w:r>
      <w:r w:rsidR="00916B2E">
        <w:rPr>
          <w:rFonts w:ascii="Times New Roman" w:hAnsi="Times New Roman" w:cs="Times New Roman"/>
          <w:sz w:val="24"/>
          <w:szCs w:val="24"/>
        </w:rPr>
        <w:t xml:space="preserve"> its</w:t>
      </w:r>
      <w:r w:rsidR="0036238B">
        <w:rPr>
          <w:rFonts w:ascii="Times New Roman" w:hAnsi="Times New Roman" w:cs="Times New Roman"/>
          <w:sz w:val="24"/>
          <w:szCs w:val="24"/>
        </w:rPr>
        <w:t xml:space="preserve"> customers, </w:t>
      </w:r>
      <w:r w:rsidR="00203E8A">
        <w:rPr>
          <w:rFonts w:ascii="Times New Roman" w:hAnsi="Times New Roman" w:cs="Times New Roman"/>
          <w:sz w:val="24"/>
          <w:szCs w:val="24"/>
        </w:rPr>
        <w:t xml:space="preserve">Grameenphone inaugurated </w:t>
      </w:r>
      <w:r w:rsidR="0036238B">
        <w:rPr>
          <w:rFonts w:ascii="Times New Roman" w:hAnsi="Times New Roman" w:cs="Times New Roman"/>
          <w:sz w:val="24"/>
          <w:szCs w:val="24"/>
        </w:rPr>
        <w:t xml:space="preserve">the renewable power project in 2007 </w:t>
      </w:r>
      <w:r w:rsidR="00C93A31">
        <w:rPr>
          <w:rFonts w:ascii="Times New Roman" w:hAnsi="Times New Roman" w:cs="Times New Roman"/>
          <w:sz w:val="24"/>
          <w:szCs w:val="24"/>
        </w:rPr>
        <w:t>thus accord with</w:t>
      </w:r>
      <w:r w:rsidR="00271A50">
        <w:rPr>
          <w:rFonts w:ascii="Times New Roman" w:hAnsi="Times New Roman" w:cs="Times New Roman"/>
          <w:sz w:val="24"/>
          <w:szCs w:val="24"/>
        </w:rPr>
        <w:t xml:space="preserve"> the power crisis in Bangladesh. Now </w:t>
      </w:r>
      <w:r w:rsidR="00271A50" w:rsidRPr="00271A50">
        <w:rPr>
          <w:rFonts w:ascii="Times New Roman" w:hAnsi="Times New Roman" w:cs="Times New Roman"/>
          <w:sz w:val="24"/>
          <w:szCs w:val="24"/>
        </w:rPr>
        <w:t>1200 base station sites</w:t>
      </w:r>
      <w:r w:rsidR="00271A50">
        <w:rPr>
          <w:rFonts w:ascii="Times New Roman" w:hAnsi="Times New Roman" w:cs="Times New Roman"/>
          <w:sz w:val="24"/>
          <w:szCs w:val="24"/>
        </w:rPr>
        <w:t xml:space="preserve"> of Grameenphone are running on solar power.</w:t>
      </w:r>
    </w:p>
    <w:p w:rsidR="00916B2E" w:rsidRPr="00EE1259" w:rsidRDefault="00916B2E" w:rsidP="00AB414D">
      <w:pPr>
        <w:spacing w:line="360" w:lineRule="auto"/>
        <w:jc w:val="both"/>
        <w:rPr>
          <w:rFonts w:ascii="Times New Roman" w:hAnsi="Times New Roman" w:cs="Times New Roman"/>
          <w:sz w:val="24"/>
          <w:szCs w:val="24"/>
        </w:rPr>
      </w:pPr>
      <w:r w:rsidRPr="00916B2E">
        <w:rPr>
          <w:rFonts w:ascii="Times New Roman" w:hAnsi="Times New Roman" w:cs="Times New Roman"/>
          <w:b/>
          <w:sz w:val="24"/>
          <w:szCs w:val="24"/>
        </w:rPr>
        <w:t xml:space="preserve">Legal Factors: </w:t>
      </w:r>
      <w:r w:rsidR="00EE1259" w:rsidRPr="00EE1259">
        <w:rPr>
          <w:rFonts w:ascii="Times New Roman" w:hAnsi="Times New Roman" w:cs="Times New Roman"/>
          <w:sz w:val="24"/>
          <w:szCs w:val="24"/>
        </w:rPr>
        <w:t>Grameenphone is declared as an SMP (capturing more than 40 percent of the market share) operator, this will restrict GP from availing any unique deal with goods and service providers.</w:t>
      </w:r>
      <w:r w:rsidR="00282714">
        <w:rPr>
          <w:rFonts w:ascii="Times New Roman" w:hAnsi="Times New Roman" w:cs="Times New Roman"/>
          <w:sz w:val="24"/>
          <w:szCs w:val="24"/>
        </w:rPr>
        <w:t xml:space="preserve"> Government </w:t>
      </w:r>
      <w:r w:rsidR="00DC74B6">
        <w:rPr>
          <w:rFonts w:ascii="Times New Roman" w:hAnsi="Times New Roman" w:cs="Times New Roman"/>
          <w:sz w:val="24"/>
          <w:szCs w:val="24"/>
        </w:rPr>
        <w:t>takes 50 percent of the telecom sector’s revenue as tax from the telecommunication industry.</w:t>
      </w:r>
      <w:r w:rsidR="00440271">
        <w:rPr>
          <w:rFonts w:ascii="Times New Roman" w:hAnsi="Times New Roman" w:cs="Times New Roman"/>
          <w:sz w:val="24"/>
          <w:szCs w:val="24"/>
        </w:rPr>
        <w:t xml:space="preserve"> </w:t>
      </w:r>
      <w:r w:rsidR="00440271" w:rsidRPr="00440271">
        <w:rPr>
          <w:rFonts w:ascii="Times New Roman" w:hAnsi="Times New Roman" w:cs="Times New Roman"/>
          <w:sz w:val="24"/>
          <w:szCs w:val="24"/>
        </w:rPr>
        <w:t>Bangladesh Telecommunication Regulatory Commission has formed a new rule that mobile operators have to offer voice and data packages with 3 days validity. This may hamper a little in the revenue which would come from the offer with less than 3 days. Because of the MNP (Mobile Phone Portability), a service through which customer can change their mobile operator without changing their mobile number, GP may lose its current customers and may get new customers. From a news (Feb 14, 2019, The Daily Star), GP has lost 62,317 customer and received only 12,346 customers from its competitor using MNP service. Government also make the MNP service tax free. Now people don’t have to pay taxes for the new SIM connections, only have to pay a service charge of TK 57. BTRC also introduced a new uniform call rate TK 0.45 per minute which has been effective from 15 August 2018. Which means the on-net (same operator-same operator) and off-net (other operator-other operator) call rate will be same. GP’s 90 percent of the revenue come from the on-net calls which was TK .42 per minute previously, so this new call rate will increase GP’s revenue.</w:t>
      </w:r>
    </w:p>
    <w:p w:rsidR="00E65D78" w:rsidRPr="00167397" w:rsidRDefault="008576BA" w:rsidP="00E65637">
      <w:pPr>
        <w:pStyle w:val="Heading2"/>
        <w:numPr>
          <w:ilvl w:val="0"/>
          <w:numId w:val="20"/>
        </w:numPr>
        <w:spacing w:line="360" w:lineRule="auto"/>
        <w:jc w:val="both"/>
        <w:rPr>
          <w:rFonts w:ascii="Times New Roman" w:hAnsi="Times New Roman" w:cs="Times New Roman"/>
          <w:color w:val="44546A" w:themeColor="text2"/>
        </w:rPr>
      </w:pPr>
      <w:bookmarkStart w:id="18" w:name="_Toc9422057"/>
      <w:r w:rsidRPr="00167397">
        <w:rPr>
          <w:rFonts w:ascii="Times New Roman" w:hAnsi="Times New Roman" w:cs="Times New Roman"/>
          <w:color w:val="44546A" w:themeColor="text2"/>
        </w:rPr>
        <w:t xml:space="preserve">Company </w:t>
      </w:r>
      <w:r w:rsidR="004F59E4" w:rsidRPr="00167397">
        <w:rPr>
          <w:rFonts w:ascii="Times New Roman" w:hAnsi="Times New Roman" w:cs="Times New Roman"/>
          <w:color w:val="44546A" w:themeColor="text2"/>
        </w:rPr>
        <w:t>Overview</w:t>
      </w:r>
      <w:r w:rsidRPr="00167397">
        <w:rPr>
          <w:rFonts w:ascii="Times New Roman" w:hAnsi="Times New Roman" w:cs="Times New Roman"/>
          <w:color w:val="44546A" w:themeColor="text2"/>
        </w:rPr>
        <w:t>:</w:t>
      </w:r>
      <w:bookmarkEnd w:id="18"/>
    </w:p>
    <w:p w:rsidR="00E52EEB" w:rsidRDefault="00480291" w:rsidP="00327D46">
      <w:pPr>
        <w:spacing w:line="360" w:lineRule="auto"/>
        <w:jc w:val="both"/>
        <w:rPr>
          <w:rFonts w:ascii="Times New Roman" w:hAnsi="Times New Roman" w:cs="Times New Roman"/>
          <w:sz w:val="24"/>
          <w:szCs w:val="24"/>
        </w:rPr>
      </w:pPr>
      <w:r>
        <w:rPr>
          <w:rFonts w:ascii="Times New Roman" w:hAnsi="Times New Roman" w:cs="Times New Roman"/>
          <w:sz w:val="24"/>
          <w:szCs w:val="24"/>
        </w:rPr>
        <w:t>Grameenphone, a public limited company is the prominent telecommunication service provider in Bangladesh.</w:t>
      </w:r>
      <w:r w:rsidR="001622CE">
        <w:rPr>
          <w:rFonts w:ascii="Times New Roman" w:hAnsi="Times New Roman" w:cs="Times New Roman"/>
          <w:sz w:val="24"/>
          <w:szCs w:val="24"/>
        </w:rPr>
        <w:t xml:space="preserve"> </w:t>
      </w:r>
      <w:r w:rsidR="00EB2284">
        <w:rPr>
          <w:rFonts w:ascii="Times New Roman" w:hAnsi="Times New Roman" w:cs="Times New Roman"/>
          <w:sz w:val="24"/>
          <w:szCs w:val="24"/>
        </w:rPr>
        <w:t xml:space="preserve">Grameenphone started its journey as a private </w:t>
      </w:r>
      <w:r w:rsidR="00F22199">
        <w:rPr>
          <w:rFonts w:ascii="Times New Roman" w:hAnsi="Times New Roman" w:cs="Times New Roman"/>
          <w:sz w:val="24"/>
          <w:szCs w:val="24"/>
        </w:rPr>
        <w:t>limited company and</w:t>
      </w:r>
      <w:r w:rsidR="00EB2284">
        <w:rPr>
          <w:rFonts w:ascii="Times New Roman" w:hAnsi="Times New Roman" w:cs="Times New Roman"/>
          <w:sz w:val="24"/>
          <w:szCs w:val="24"/>
        </w:rPr>
        <w:t xml:space="preserve"> on 25</w:t>
      </w:r>
      <w:r w:rsidR="00EB2284" w:rsidRPr="00EB2284">
        <w:rPr>
          <w:rFonts w:ascii="Times New Roman" w:hAnsi="Times New Roman" w:cs="Times New Roman"/>
          <w:sz w:val="24"/>
          <w:szCs w:val="24"/>
          <w:vertAlign w:val="superscript"/>
        </w:rPr>
        <w:t>th</w:t>
      </w:r>
      <w:r w:rsidR="00EB2284">
        <w:rPr>
          <w:rFonts w:ascii="Times New Roman" w:hAnsi="Times New Roman" w:cs="Times New Roman"/>
          <w:sz w:val="24"/>
          <w:szCs w:val="24"/>
        </w:rPr>
        <w:t xml:space="preserve"> June, 2007 it converted to a public limited </w:t>
      </w:r>
      <w:r w:rsidR="008D5FDE">
        <w:rPr>
          <w:rFonts w:ascii="Times New Roman" w:hAnsi="Times New Roman" w:cs="Times New Roman"/>
          <w:sz w:val="24"/>
          <w:szCs w:val="24"/>
        </w:rPr>
        <w:t>company. On 11</w:t>
      </w:r>
      <w:r w:rsidR="008D5FDE" w:rsidRPr="008D5FDE">
        <w:rPr>
          <w:rFonts w:ascii="Times New Roman" w:hAnsi="Times New Roman" w:cs="Times New Roman"/>
          <w:sz w:val="24"/>
          <w:szCs w:val="24"/>
          <w:vertAlign w:val="superscript"/>
        </w:rPr>
        <w:t>th</w:t>
      </w:r>
      <w:r w:rsidR="008D5FDE">
        <w:rPr>
          <w:rFonts w:ascii="Times New Roman" w:hAnsi="Times New Roman" w:cs="Times New Roman"/>
          <w:sz w:val="24"/>
          <w:szCs w:val="24"/>
        </w:rPr>
        <w:t xml:space="preserve"> November, 2009 it listed on Dhaka and Chittagong Stock Exchange</w:t>
      </w:r>
      <w:r w:rsidR="00926390">
        <w:rPr>
          <w:rFonts w:ascii="Times New Roman" w:hAnsi="Times New Roman" w:cs="Times New Roman"/>
          <w:sz w:val="24"/>
          <w:szCs w:val="24"/>
        </w:rPr>
        <w:t>s</w:t>
      </w:r>
      <w:r w:rsidR="008D5FDE">
        <w:rPr>
          <w:rFonts w:ascii="Times New Roman" w:hAnsi="Times New Roman" w:cs="Times New Roman"/>
          <w:sz w:val="24"/>
          <w:szCs w:val="24"/>
        </w:rPr>
        <w:t>.</w:t>
      </w:r>
      <w:r w:rsidR="00EB2284">
        <w:rPr>
          <w:rFonts w:ascii="Times New Roman" w:hAnsi="Times New Roman" w:cs="Times New Roman"/>
          <w:sz w:val="24"/>
          <w:szCs w:val="24"/>
        </w:rPr>
        <w:t xml:space="preserve"> It</w:t>
      </w:r>
      <w:r w:rsidR="00BE4618">
        <w:rPr>
          <w:rFonts w:ascii="Times New Roman" w:hAnsi="Times New Roman" w:cs="Times New Roman"/>
          <w:sz w:val="24"/>
          <w:szCs w:val="24"/>
        </w:rPr>
        <w:t xml:space="preserve"> is dominating the telecommunication industry by capturing 45 percent (2017) of the market share. </w:t>
      </w:r>
      <w:r w:rsidR="00D61AFF">
        <w:rPr>
          <w:rFonts w:ascii="Times New Roman" w:hAnsi="Times New Roman" w:cs="Times New Roman"/>
          <w:sz w:val="24"/>
          <w:szCs w:val="24"/>
        </w:rPr>
        <w:t>In 1997, Grameenphone started its operation in Bangladesh.</w:t>
      </w:r>
      <w:r w:rsidR="000F122E">
        <w:rPr>
          <w:rFonts w:ascii="Times New Roman" w:hAnsi="Times New Roman" w:cs="Times New Roman"/>
          <w:sz w:val="24"/>
          <w:szCs w:val="24"/>
        </w:rPr>
        <w:t xml:space="preserve"> </w:t>
      </w:r>
      <w:r w:rsidR="00D10AE5" w:rsidRPr="00D10AE5">
        <w:rPr>
          <w:rFonts w:ascii="Times New Roman" w:hAnsi="Times New Roman" w:cs="Times New Roman"/>
          <w:sz w:val="24"/>
          <w:szCs w:val="24"/>
        </w:rPr>
        <w:t>Grameenphone</w:t>
      </w:r>
      <w:r w:rsidR="00D10AE5">
        <w:rPr>
          <w:rFonts w:ascii="Times New Roman" w:hAnsi="Times New Roman" w:cs="Times New Roman"/>
          <w:sz w:val="24"/>
          <w:szCs w:val="24"/>
        </w:rPr>
        <w:t xml:space="preserve"> </w:t>
      </w:r>
      <w:r w:rsidR="00D10AE5" w:rsidRPr="00D10AE5">
        <w:rPr>
          <w:rFonts w:ascii="Times New Roman" w:hAnsi="Times New Roman" w:cs="Times New Roman"/>
          <w:sz w:val="24"/>
          <w:szCs w:val="24"/>
        </w:rPr>
        <w:t>is the subsidiary of Telenor Mobile Communications AS and the eventual parent is Telenor ASA, Norway</w:t>
      </w:r>
      <w:r w:rsidR="00D10AE5">
        <w:rPr>
          <w:rFonts w:ascii="Times New Roman" w:hAnsi="Times New Roman" w:cs="Times New Roman"/>
          <w:sz w:val="24"/>
          <w:szCs w:val="24"/>
        </w:rPr>
        <w:t>.</w:t>
      </w:r>
      <w:r w:rsidR="00290A95">
        <w:rPr>
          <w:rFonts w:ascii="Times New Roman" w:hAnsi="Times New Roman" w:cs="Times New Roman"/>
          <w:sz w:val="24"/>
          <w:szCs w:val="24"/>
        </w:rPr>
        <w:t xml:space="preserve"> In Bangladesh GSM technology was first originated by Grameenphone</w:t>
      </w:r>
      <w:r w:rsidR="005E7B45">
        <w:rPr>
          <w:rFonts w:ascii="Times New Roman" w:hAnsi="Times New Roman" w:cs="Times New Roman"/>
          <w:sz w:val="24"/>
          <w:szCs w:val="24"/>
        </w:rPr>
        <w:t xml:space="preserve"> and for the coverage of 99 percent of Bangladesh, it created the first cellular network.</w:t>
      </w:r>
    </w:p>
    <w:p w:rsidR="003B7E0C" w:rsidRPr="003B7E0C" w:rsidRDefault="00ED6826" w:rsidP="003B7E0C">
      <w:pPr>
        <w:pStyle w:val="ListParagraph"/>
        <w:numPr>
          <w:ilvl w:val="0"/>
          <w:numId w:val="5"/>
        </w:numPr>
        <w:spacing w:line="360" w:lineRule="auto"/>
        <w:jc w:val="both"/>
        <w:rPr>
          <w:rFonts w:ascii="Times New Roman" w:hAnsi="Times New Roman" w:cs="Times New Roman"/>
          <w:b/>
          <w:sz w:val="24"/>
          <w:szCs w:val="24"/>
        </w:rPr>
      </w:pPr>
      <w:r w:rsidRPr="00ED6826">
        <w:rPr>
          <w:rFonts w:ascii="Times New Roman" w:hAnsi="Times New Roman" w:cs="Times New Roman"/>
          <w:b/>
          <w:sz w:val="24"/>
          <w:szCs w:val="24"/>
        </w:rPr>
        <w:t>Petter Boerre Furberg</w:t>
      </w:r>
      <w:r>
        <w:rPr>
          <w:rFonts w:ascii="Times New Roman" w:hAnsi="Times New Roman" w:cs="Times New Roman"/>
          <w:b/>
          <w:sz w:val="24"/>
          <w:szCs w:val="24"/>
        </w:rPr>
        <w:t xml:space="preserve"> </w:t>
      </w:r>
      <w:r w:rsidRPr="00ED6826">
        <w:rPr>
          <w:rFonts w:ascii="Times New Roman" w:hAnsi="Times New Roman" w:cs="Times New Roman"/>
          <w:sz w:val="24"/>
          <w:szCs w:val="24"/>
        </w:rPr>
        <w:t>is the</w:t>
      </w:r>
      <w:r>
        <w:rPr>
          <w:rFonts w:ascii="Times New Roman" w:hAnsi="Times New Roman" w:cs="Times New Roman"/>
          <w:b/>
          <w:sz w:val="24"/>
          <w:szCs w:val="24"/>
        </w:rPr>
        <w:t xml:space="preserve"> </w:t>
      </w:r>
      <w:r>
        <w:rPr>
          <w:rFonts w:ascii="Times New Roman" w:hAnsi="Times New Roman" w:cs="Times New Roman"/>
          <w:sz w:val="24"/>
          <w:szCs w:val="24"/>
        </w:rPr>
        <w:t>Chairman of Grameenphone.</w:t>
      </w:r>
    </w:p>
    <w:p w:rsidR="00ED6826" w:rsidRPr="003B7E0C" w:rsidRDefault="003B7E0C" w:rsidP="003B7E0C">
      <w:pPr>
        <w:pStyle w:val="ListParagraph"/>
        <w:numPr>
          <w:ilvl w:val="0"/>
          <w:numId w:val="5"/>
        </w:numPr>
        <w:spacing w:line="360" w:lineRule="auto"/>
        <w:jc w:val="both"/>
        <w:rPr>
          <w:rFonts w:ascii="Times New Roman" w:hAnsi="Times New Roman" w:cs="Times New Roman"/>
          <w:b/>
          <w:sz w:val="24"/>
          <w:szCs w:val="24"/>
        </w:rPr>
      </w:pPr>
      <w:r w:rsidRPr="003B7E0C">
        <w:rPr>
          <w:rFonts w:ascii="Times New Roman" w:hAnsi="Times New Roman" w:cs="Times New Roman"/>
          <w:b/>
          <w:sz w:val="24"/>
          <w:szCs w:val="24"/>
        </w:rPr>
        <w:t xml:space="preserve">Michael Patrick Foley </w:t>
      </w:r>
      <w:r w:rsidR="00ED6826" w:rsidRPr="003B7E0C">
        <w:rPr>
          <w:rFonts w:ascii="Times New Roman" w:hAnsi="Times New Roman" w:cs="Times New Roman"/>
          <w:sz w:val="24"/>
          <w:szCs w:val="24"/>
        </w:rPr>
        <w:t>is the Chief Executive Officer of Grameenphone.</w:t>
      </w:r>
    </w:p>
    <w:p w:rsidR="00ED6826" w:rsidRPr="003B7E0C" w:rsidRDefault="003B7E0C" w:rsidP="003B7E0C">
      <w:pPr>
        <w:pStyle w:val="ListParagraph"/>
        <w:numPr>
          <w:ilvl w:val="0"/>
          <w:numId w:val="5"/>
        </w:numPr>
        <w:spacing w:line="360" w:lineRule="auto"/>
        <w:jc w:val="both"/>
        <w:rPr>
          <w:rFonts w:ascii="Times New Roman" w:hAnsi="Times New Roman" w:cs="Times New Roman"/>
          <w:b/>
          <w:sz w:val="24"/>
          <w:szCs w:val="24"/>
        </w:rPr>
      </w:pPr>
      <w:r w:rsidRPr="003B7E0C">
        <w:rPr>
          <w:rFonts w:ascii="Times New Roman" w:hAnsi="Times New Roman" w:cs="Times New Roman"/>
          <w:b/>
          <w:sz w:val="24"/>
          <w:szCs w:val="24"/>
        </w:rPr>
        <w:lastRenderedPageBreak/>
        <w:t>Yasir Azman</w:t>
      </w:r>
      <w:r>
        <w:rPr>
          <w:rFonts w:ascii="Times New Roman" w:hAnsi="Times New Roman" w:cs="Times New Roman"/>
          <w:b/>
          <w:sz w:val="24"/>
          <w:szCs w:val="24"/>
        </w:rPr>
        <w:t xml:space="preserve"> </w:t>
      </w:r>
      <w:r>
        <w:rPr>
          <w:rFonts w:ascii="Times New Roman" w:hAnsi="Times New Roman" w:cs="Times New Roman"/>
          <w:sz w:val="24"/>
          <w:szCs w:val="24"/>
        </w:rPr>
        <w:t xml:space="preserve">is the </w:t>
      </w:r>
      <w:r w:rsidRPr="003B7E0C">
        <w:rPr>
          <w:rFonts w:ascii="Times New Roman" w:hAnsi="Times New Roman" w:cs="Times New Roman"/>
          <w:sz w:val="24"/>
          <w:szCs w:val="24"/>
        </w:rPr>
        <w:t>Deputy CEO &amp; Chief Marketing Officer</w:t>
      </w:r>
      <w:r>
        <w:rPr>
          <w:rFonts w:ascii="Times New Roman" w:hAnsi="Times New Roman" w:cs="Times New Roman"/>
          <w:sz w:val="24"/>
          <w:szCs w:val="24"/>
        </w:rPr>
        <w:t xml:space="preserve"> of Grameenphone.</w:t>
      </w:r>
    </w:p>
    <w:p w:rsidR="003B7E0C" w:rsidRPr="00B32D42" w:rsidRDefault="003B7E0C" w:rsidP="003B7E0C">
      <w:pPr>
        <w:pStyle w:val="ListParagraph"/>
        <w:numPr>
          <w:ilvl w:val="0"/>
          <w:numId w:val="5"/>
        </w:numPr>
        <w:spacing w:line="360" w:lineRule="auto"/>
        <w:jc w:val="both"/>
        <w:rPr>
          <w:rFonts w:ascii="Times New Roman" w:hAnsi="Times New Roman" w:cs="Times New Roman"/>
          <w:b/>
          <w:sz w:val="24"/>
          <w:szCs w:val="24"/>
        </w:rPr>
      </w:pPr>
      <w:r w:rsidRPr="003B7E0C">
        <w:rPr>
          <w:rFonts w:ascii="Times New Roman" w:hAnsi="Times New Roman" w:cs="Times New Roman"/>
          <w:b/>
          <w:sz w:val="24"/>
          <w:szCs w:val="24"/>
        </w:rPr>
        <w:t>Karl Erik Broten</w:t>
      </w:r>
      <w:r>
        <w:rPr>
          <w:rFonts w:ascii="Times New Roman" w:hAnsi="Times New Roman" w:cs="Times New Roman"/>
          <w:b/>
          <w:sz w:val="24"/>
          <w:szCs w:val="24"/>
        </w:rPr>
        <w:t xml:space="preserve"> </w:t>
      </w:r>
      <w:r>
        <w:rPr>
          <w:rFonts w:ascii="Times New Roman" w:hAnsi="Times New Roman" w:cs="Times New Roman"/>
          <w:sz w:val="24"/>
          <w:szCs w:val="24"/>
        </w:rPr>
        <w:t xml:space="preserve">is the </w:t>
      </w:r>
      <w:r w:rsidRPr="003B7E0C">
        <w:rPr>
          <w:rFonts w:ascii="Times New Roman" w:hAnsi="Times New Roman" w:cs="Times New Roman"/>
          <w:sz w:val="24"/>
          <w:szCs w:val="24"/>
        </w:rPr>
        <w:t>Chief Financial Officer</w:t>
      </w:r>
      <w:r>
        <w:rPr>
          <w:rFonts w:ascii="Times New Roman" w:hAnsi="Times New Roman" w:cs="Times New Roman"/>
          <w:sz w:val="24"/>
          <w:szCs w:val="24"/>
        </w:rPr>
        <w:t xml:space="preserve"> of</w:t>
      </w:r>
      <w:r w:rsidRPr="003B7E0C">
        <w:t xml:space="preserve"> </w:t>
      </w:r>
      <w:r w:rsidRPr="003B7E0C">
        <w:rPr>
          <w:rFonts w:ascii="Times New Roman" w:hAnsi="Times New Roman" w:cs="Times New Roman"/>
          <w:sz w:val="24"/>
          <w:szCs w:val="24"/>
        </w:rPr>
        <w:t>Grameenphone</w:t>
      </w:r>
      <w:r>
        <w:rPr>
          <w:rFonts w:ascii="Times New Roman" w:hAnsi="Times New Roman" w:cs="Times New Roman"/>
          <w:sz w:val="24"/>
          <w:szCs w:val="24"/>
        </w:rPr>
        <w:t>.</w:t>
      </w:r>
    </w:p>
    <w:p w:rsidR="00B32D42" w:rsidRPr="00F41D1F" w:rsidRDefault="00256234" w:rsidP="00B32D42">
      <w:pPr>
        <w:spacing w:line="360" w:lineRule="auto"/>
        <w:jc w:val="both"/>
        <w:rPr>
          <w:rFonts w:ascii="Times New Roman" w:hAnsi="Times New Roman" w:cs="Times New Roman"/>
          <w:sz w:val="24"/>
          <w:szCs w:val="24"/>
        </w:rPr>
      </w:pPr>
      <w:r w:rsidRPr="00256234">
        <w:rPr>
          <w:rFonts w:ascii="Times New Roman" w:hAnsi="Times New Roman" w:cs="Times New Roman"/>
          <w:sz w:val="24"/>
          <w:szCs w:val="24"/>
        </w:rPr>
        <w:t>Telenor Mobile Communications AS</w:t>
      </w:r>
      <w:r>
        <w:rPr>
          <w:rFonts w:ascii="Times New Roman" w:hAnsi="Times New Roman" w:cs="Times New Roman"/>
          <w:sz w:val="24"/>
          <w:szCs w:val="24"/>
        </w:rPr>
        <w:t>, incorporated in Norway holds 55.80 percent of Grameenphone’s share. Grameen Telecom holds 34.20 percent of Grameenphone’s share and public holds 10 percent of Grameenphone’s share.</w:t>
      </w:r>
      <w:r w:rsidR="002F7698">
        <w:rPr>
          <w:rFonts w:ascii="Times New Roman" w:hAnsi="Times New Roman" w:cs="Times New Roman"/>
          <w:sz w:val="24"/>
          <w:szCs w:val="24"/>
        </w:rPr>
        <w:t xml:space="preserve"> </w:t>
      </w:r>
      <w:r w:rsidR="008C0CBB">
        <w:rPr>
          <w:rFonts w:ascii="Times New Roman" w:hAnsi="Times New Roman" w:cs="Times New Roman"/>
          <w:sz w:val="24"/>
          <w:szCs w:val="24"/>
        </w:rPr>
        <w:t>The shareholding percentage</w:t>
      </w:r>
      <w:r w:rsidR="004D3FC3">
        <w:rPr>
          <w:rFonts w:ascii="Times New Roman" w:hAnsi="Times New Roman" w:cs="Times New Roman"/>
          <w:sz w:val="24"/>
          <w:szCs w:val="24"/>
        </w:rPr>
        <w:t xml:space="preserve"> of Grameenphone’s shares</w:t>
      </w:r>
      <w:r w:rsidR="008C0CBB">
        <w:rPr>
          <w:rFonts w:ascii="Times New Roman" w:hAnsi="Times New Roman" w:cs="Times New Roman"/>
          <w:sz w:val="24"/>
          <w:szCs w:val="24"/>
        </w:rPr>
        <w:t xml:space="preserve"> on December, 2017: Sponsor/Director: 90%, Government: 0%, Institutions: 4.55%, Foreign: 3.42% and Public: 2.03%.</w:t>
      </w:r>
    </w:p>
    <w:p w:rsidR="00167397" w:rsidRPr="00167397" w:rsidRDefault="004F59E4" w:rsidP="00167397">
      <w:pPr>
        <w:pStyle w:val="Heading2"/>
        <w:numPr>
          <w:ilvl w:val="0"/>
          <w:numId w:val="20"/>
        </w:numPr>
        <w:spacing w:line="360" w:lineRule="auto"/>
        <w:jc w:val="both"/>
        <w:rPr>
          <w:rFonts w:ascii="Times New Roman" w:hAnsi="Times New Roman" w:cs="Times New Roman"/>
          <w:sz w:val="24"/>
          <w:szCs w:val="24"/>
        </w:rPr>
      </w:pPr>
      <w:bookmarkStart w:id="19" w:name="_Toc9422058"/>
      <w:r w:rsidRPr="00167397">
        <w:rPr>
          <w:rFonts w:ascii="Times New Roman" w:hAnsi="Times New Roman" w:cs="Times New Roman"/>
          <w:color w:val="44546A" w:themeColor="text2"/>
        </w:rPr>
        <w:t>Business</w:t>
      </w:r>
      <w:r w:rsidRPr="004F51ED">
        <w:rPr>
          <w:rFonts w:ascii="Times New Roman" w:hAnsi="Times New Roman" w:cs="Times New Roman"/>
          <w:b/>
          <w:sz w:val="24"/>
          <w:szCs w:val="24"/>
        </w:rPr>
        <w:t xml:space="preserve"> </w:t>
      </w:r>
      <w:r w:rsidRPr="00167397">
        <w:rPr>
          <w:rFonts w:ascii="Times New Roman" w:hAnsi="Times New Roman" w:cs="Times New Roman"/>
          <w:color w:val="44546A" w:themeColor="text2"/>
        </w:rPr>
        <w:t>Overview</w:t>
      </w:r>
      <w:r w:rsidR="00A14150" w:rsidRPr="004F51ED">
        <w:rPr>
          <w:rFonts w:ascii="Times New Roman" w:hAnsi="Times New Roman" w:cs="Times New Roman"/>
          <w:b/>
          <w:sz w:val="24"/>
          <w:szCs w:val="24"/>
        </w:rPr>
        <w:t>:</w:t>
      </w:r>
      <w:bookmarkEnd w:id="19"/>
      <w:r w:rsidR="00A14150" w:rsidRPr="004F51ED">
        <w:rPr>
          <w:rFonts w:ascii="Times New Roman" w:hAnsi="Times New Roman" w:cs="Times New Roman"/>
          <w:b/>
          <w:sz w:val="24"/>
          <w:szCs w:val="24"/>
        </w:rPr>
        <w:t xml:space="preserve"> </w:t>
      </w:r>
    </w:p>
    <w:p w:rsidR="008C3CF0" w:rsidRPr="00167397" w:rsidRDefault="00907FC7" w:rsidP="00167397">
      <w:pPr>
        <w:spacing w:line="360" w:lineRule="auto"/>
        <w:jc w:val="both"/>
        <w:rPr>
          <w:rFonts w:ascii="Times New Roman" w:hAnsi="Times New Roman" w:cs="Times New Roman"/>
          <w:sz w:val="24"/>
          <w:szCs w:val="24"/>
        </w:rPr>
      </w:pPr>
      <w:r w:rsidRPr="00167397">
        <w:rPr>
          <w:rFonts w:ascii="Times New Roman" w:hAnsi="Times New Roman" w:cs="Times New Roman"/>
          <w:sz w:val="24"/>
          <w:szCs w:val="24"/>
        </w:rPr>
        <w:t xml:space="preserve">Grameenphone </w:t>
      </w:r>
      <w:r w:rsidR="009163CE" w:rsidRPr="00167397">
        <w:rPr>
          <w:rFonts w:ascii="Times New Roman" w:hAnsi="Times New Roman" w:cs="Times New Roman"/>
          <w:sz w:val="24"/>
          <w:szCs w:val="24"/>
        </w:rPr>
        <w:t>functions as a digital communication operator having 7.4 MHz in 900 band, 19.6 MHz in 1800 band and 10 MHz in 2100 band.</w:t>
      </w:r>
      <w:r w:rsidR="00E06C72" w:rsidRPr="00167397">
        <w:rPr>
          <w:rFonts w:ascii="Times New Roman" w:hAnsi="Times New Roman" w:cs="Times New Roman"/>
          <w:sz w:val="24"/>
          <w:szCs w:val="24"/>
        </w:rPr>
        <w:t xml:space="preserve"> Grameenphone’s network has now reached 99.5 percent of this country’s population</w:t>
      </w:r>
      <w:r w:rsidR="00256F4C" w:rsidRPr="00167397">
        <w:rPr>
          <w:rFonts w:ascii="Times New Roman" w:hAnsi="Times New Roman" w:cs="Times New Roman"/>
          <w:sz w:val="24"/>
          <w:szCs w:val="24"/>
        </w:rPr>
        <w:t xml:space="preserve"> and 92.6 percent of 3G population.</w:t>
      </w:r>
      <w:r w:rsidR="002A5573" w:rsidRPr="00167397">
        <w:rPr>
          <w:rFonts w:ascii="Times New Roman" w:hAnsi="Times New Roman" w:cs="Times New Roman"/>
          <w:sz w:val="24"/>
          <w:szCs w:val="24"/>
        </w:rPr>
        <w:t xml:space="preserve"> </w:t>
      </w:r>
      <w:r w:rsidR="00FB5577" w:rsidRPr="00167397">
        <w:rPr>
          <w:rFonts w:ascii="Times New Roman" w:hAnsi="Times New Roman" w:cs="Times New Roman"/>
          <w:sz w:val="24"/>
          <w:szCs w:val="24"/>
        </w:rPr>
        <w:t xml:space="preserve">From the beginning it has invested </w:t>
      </w:r>
      <w:r w:rsidR="00D50968" w:rsidRPr="00167397">
        <w:rPr>
          <w:rFonts w:ascii="Times New Roman" w:hAnsi="Times New Roman" w:cs="Times New Roman"/>
          <w:sz w:val="24"/>
          <w:szCs w:val="24"/>
        </w:rPr>
        <w:t xml:space="preserve">more than </w:t>
      </w:r>
      <w:r w:rsidR="00FB5577" w:rsidRPr="00167397">
        <w:rPr>
          <w:rFonts w:ascii="Times New Roman" w:hAnsi="Times New Roman" w:cs="Times New Roman"/>
          <w:sz w:val="24"/>
          <w:szCs w:val="24"/>
        </w:rPr>
        <w:t xml:space="preserve">313 billion </w:t>
      </w:r>
      <w:r w:rsidR="002A5573" w:rsidRPr="00167397">
        <w:rPr>
          <w:rFonts w:ascii="Times New Roman" w:hAnsi="Times New Roman" w:cs="Times New Roman"/>
          <w:sz w:val="24"/>
          <w:szCs w:val="24"/>
        </w:rPr>
        <w:t>taka to constitute the network infrastructure.</w:t>
      </w:r>
      <w:r w:rsidR="00F52AED" w:rsidRPr="00167397">
        <w:rPr>
          <w:rFonts w:ascii="Times New Roman" w:hAnsi="Times New Roman" w:cs="Times New Roman"/>
          <w:sz w:val="24"/>
          <w:szCs w:val="24"/>
        </w:rPr>
        <w:t xml:space="preserve"> Both the rural and urban customer receives its service.</w:t>
      </w:r>
      <w:r w:rsidR="00B43690" w:rsidRPr="00167397">
        <w:rPr>
          <w:rFonts w:ascii="Times New Roman" w:hAnsi="Times New Roman" w:cs="Times New Roman"/>
          <w:sz w:val="24"/>
          <w:szCs w:val="24"/>
        </w:rPr>
        <w:t xml:space="preserve"> GP offers </w:t>
      </w:r>
      <w:r w:rsidR="005E1C39" w:rsidRPr="00167397">
        <w:rPr>
          <w:rFonts w:ascii="Times New Roman" w:hAnsi="Times New Roman" w:cs="Times New Roman"/>
          <w:sz w:val="24"/>
          <w:szCs w:val="24"/>
        </w:rPr>
        <w:t>different types of products and digital services to its customers through its voice, data, value added services and roaming services.</w:t>
      </w:r>
    </w:p>
    <w:p w:rsidR="0096526C" w:rsidRDefault="00F51A0D" w:rsidP="00111373">
      <w:pPr>
        <w:spacing w:line="360" w:lineRule="auto"/>
        <w:jc w:val="both"/>
        <w:rPr>
          <w:rFonts w:ascii="Times New Roman" w:hAnsi="Times New Roman" w:cs="Times New Roman"/>
          <w:sz w:val="24"/>
          <w:szCs w:val="24"/>
        </w:rPr>
      </w:pPr>
      <w:r>
        <w:rPr>
          <w:noProof/>
        </w:rPr>
        <w:drawing>
          <wp:anchor distT="0" distB="0" distL="114300" distR="114300" simplePos="0" relativeHeight="251672576" behindDoc="0" locked="0" layoutInCell="1" allowOverlap="1" wp14:anchorId="79EF2881" wp14:editId="66F1C48B">
            <wp:simplePos x="0" y="0"/>
            <wp:positionH relativeFrom="margin">
              <wp:posOffset>2412365</wp:posOffset>
            </wp:positionH>
            <wp:positionV relativeFrom="margin">
              <wp:posOffset>593932</wp:posOffset>
            </wp:positionV>
            <wp:extent cx="3524250" cy="2721610"/>
            <wp:effectExtent l="0" t="0" r="0" b="254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96526C">
        <w:rPr>
          <w:rFonts w:ascii="Times New Roman" w:hAnsi="Times New Roman" w:cs="Times New Roman"/>
          <w:b/>
          <w:sz w:val="24"/>
          <w:szCs w:val="24"/>
        </w:rPr>
        <w:t>Increasing number of subscriber</w:t>
      </w:r>
      <w:r w:rsidR="00032D09">
        <w:rPr>
          <w:rFonts w:ascii="Times New Roman" w:hAnsi="Times New Roman" w:cs="Times New Roman"/>
          <w:b/>
          <w:sz w:val="24"/>
          <w:szCs w:val="24"/>
        </w:rPr>
        <w:t>s</w:t>
      </w:r>
      <w:r w:rsidR="0096526C">
        <w:rPr>
          <w:rFonts w:ascii="Times New Roman" w:hAnsi="Times New Roman" w:cs="Times New Roman"/>
          <w:b/>
          <w:sz w:val="24"/>
          <w:szCs w:val="24"/>
        </w:rPr>
        <w:t xml:space="preserve">: </w:t>
      </w:r>
      <w:r w:rsidR="0096526C">
        <w:rPr>
          <w:rFonts w:ascii="Times New Roman" w:hAnsi="Times New Roman" w:cs="Times New Roman"/>
          <w:sz w:val="24"/>
          <w:szCs w:val="24"/>
        </w:rPr>
        <w:t xml:space="preserve">The </w:t>
      </w:r>
      <w:r w:rsidR="00C552BA">
        <w:rPr>
          <w:rFonts w:ascii="Times New Roman" w:hAnsi="Times New Roman" w:cs="Times New Roman"/>
          <w:sz w:val="24"/>
          <w:szCs w:val="24"/>
        </w:rPr>
        <w:t>growing number of subscription</w:t>
      </w:r>
      <w:r w:rsidR="00471D6F">
        <w:rPr>
          <w:rFonts w:ascii="Times New Roman" w:hAnsi="Times New Roman" w:cs="Times New Roman"/>
          <w:sz w:val="24"/>
          <w:szCs w:val="24"/>
        </w:rPr>
        <w:t xml:space="preserve"> to GP</w:t>
      </w:r>
      <w:r w:rsidR="00C552BA">
        <w:rPr>
          <w:rFonts w:ascii="Times New Roman" w:hAnsi="Times New Roman" w:cs="Times New Roman"/>
          <w:sz w:val="24"/>
          <w:szCs w:val="24"/>
        </w:rPr>
        <w:t xml:space="preserve">’s network, </w:t>
      </w:r>
      <w:r w:rsidR="0096526C">
        <w:rPr>
          <w:rFonts w:ascii="Times New Roman" w:hAnsi="Times New Roman" w:cs="Times New Roman"/>
          <w:sz w:val="24"/>
          <w:szCs w:val="24"/>
        </w:rPr>
        <w:t>accelerating the growth of GP’s revenue.</w:t>
      </w:r>
      <w:r w:rsidR="00471D6F">
        <w:rPr>
          <w:rFonts w:ascii="Times New Roman" w:hAnsi="Times New Roman" w:cs="Times New Roman"/>
          <w:sz w:val="24"/>
          <w:szCs w:val="24"/>
        </w:rPr>
        <w:t xml:space="preserve"> Among the operators GP</w:t>
      </w:r>
      <w:r w:rsidR="00004C4D">
        <w:rPr>
          <w:rFonts w:ascii="Times New Roman" w:hAnsi="Times New Roman" w:cs="Times New Roman"/>
          <w:sz w:val="24"/>
          <w:szCs w:val="24"/>
        </w:rPr>
        <w:t xml:space="preserve"> has the largest number of subscriber. In 2017, the number of GP’s subscriber was 65.327 million which </w:t>
      </w:r>
      <w:r w:rsidR="004A4950">
        <w:rPr>
          <w:rFonts w:ascii="Times New Roman" w:hAnsi="Times New Roman" w:cs="Times New Roman"/>
          <w:sz w:val="24"/>
          <w:szCs w:val="24"/>
        </w:rPr>
        <w:t>45 percent of the market share was</w:t>
      </w:r>
      <w:r w:rsidR="00004C4D">
        <w:rPr>
          <w:rFonts w:ascii="Times New Roman" w:hAnsi="Times New Roman" w:cs="Times New Roman"/>
          <w:sz w:val="24"/>
          <w:szCs w:val="24"/>
        </w:rPr>
        <w:t xml:space="preserve">. </w:t>
      </w:r>
      <w:r w:rsidR="007D3380">
        <w:rPr>
          <w:rFonts w:ascii="Times New Roman" w:hAnsi="Times New Roman" w:cs="Times New Roman"/>
          <w:sz w:val="24"/>
          <w:szCs w:val="24"/>
        </w:rPr>
        <w:t>In 2016, the number of GP’s subscriber was 57.954 million</w:t>
      </w:r>
      <w:r w:rsidR="005E013D">
        <w:rPr>
          <w:rFonts w:ascii="Times New Roman" w:hAnsi="Times New Roman" w:cs="Times New Roman"/>
          <w:sz w:val="24"/>
          <w:szCs w:val="24"/>
        </w:rPr>
        <w:t>.</w:t>
      </w:r>
      <w:r w:rsidR="002B24B5">
        <w:rPr>
          <w:rFonts w:ascii="Times New Roman" w:hAnsi="Times New Roman" w:cs="Times New Roman"/>
          <w:sz w:val="24"/>
          <w:szCs w:val="24"/>
        </w:rPr>
        <w:t xml:space="preserve"> GP</w:t>
      </w:r>
      <w:r w:rsidR="006F0329">
        <w:rPr>
          <w:rFonts w:ascii="Times New Roman" w:hAnsi="Times New Roman" w:cs="Times New Roman"/>
          <w:sz w:val="24"/>
          <w:szCs w:val="24"/>
        </w:rPr>
        <w:t xml:space="preserve"> is the market leader in the telecom industry in term of subscribers and in term of revenue from voice and data.</w:t>
      </w:r>
      <w:r w:rsidR="00CB6599">
        <w:rPr>
          <w:rFonts w:ascii="Times New Roman" w:hAnsi="Times New Roman" w:cs="Times New Roman"/>
          <w:sz w:val="24"/>
          <w:szCs w:val="24"/>
        </w:rPr>
        <w:t xml:space="preserve"> After the merger of Robi and Airtel in 2016, Robi become the second largest telecom operator in telecom </w:t>
      </w:r>
      <w:r w:rsidR="00290346">
        <w:rPr>
          <w:rFonts w:ascii="Times New Roman" w:hAnsi="Times New Roman" w:cs="Times New Roman"/>
          <w:sz w:val="24"/>
          <w:szCs w:val="24"/>
        </w:rPr>
        <w:t xml:space="preserve">industry. From 65.327 million subscriber, the data subscriber of Grameenphone was 31.2 </w:t>
      </w:r>
      <w:r w:rsidR="005C29D8">
        <w:rPr>
          <w:rFonts w:ascii="Times New Roman" w:hAnsi="Times New Roman" w:cs="Times New Roman"/>
          <w:sz w:val="24"/>
          <w:szCs w:val="24"/>
        </w:rPr>
        <w:t>million in 2017 which was 24.5 million in 2016.</w:t>
      </w:r>
    </w:p>
    <w:p w:rsidR="007233E7" w:rsidRDefault="00F51A0D" w:rsidP="00111373">
      <w:pPr>
        <w:spacing w:line="360" w:lineRule="auto"/>
        <w:jc w:val="both"/>
        <w:rPr>
          <w:rFonts w:ascii="Times New Roman" w:hAnsi="Times New Roman" w:cs="Times New Roman"/>
          <w:sz w:val="24"/>
          <w:szCs w:val="24"/>
        </w:rPr>
      </w:pPr>
      <w:r w:rsidRPr="001B291B">
        <w:rPr>
          <w:noProof/>
        </w:rPr>
        <w:lastRenderedPageBreak/>
        <w:drawing>
          <wp:anchor distT="0" distB="0" distL="114300" distR="114300" simplePos="0" relativeHeight="251673600" behindDoc="0" locked="0" layoutInCell="1" allowOverlap="1" wp14:anchorId="2D77C0E8" wp14:editId="66304624">
            <wp:simplePos x="0" y="0"/>
            <wp:positionH relativeFrom="margin">
              <wp:align>right</wp:align>
            </wp:positionH>
            <wp:positionV relativeFrom="margin">
              <wp:posOffset>4070970</wp:posOffset>
            </wp:positionV>
            <wp:extent cx="3517265" cy="2667635"/>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7265" cy="2667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3E7" w:rsidRPr="009759AE">
        <w:rPr>
          <w:rFonts w:ascii="Times New Roman" w:hAnsi="Times New Roman" w:cs="Times New Roman"/>
          <w:b/>
          <w:sz w:val="24"/>
          <w:szCs w:val="24"/>
        </w:rPr>
        <w:t>Increasing number of 2G and 3G site</w:t>
      </w:r>
      <w:r w:rsidR="00E12DFE" w:rsidRPr="009759AE">
        <w:rPr>
          <w:rFonts w:ascii="Times New Roman" w:hAnsi="Times New Roman" w:cs="Times New Roman"/>
          <w:b/>
          <w:sz w:val="24"/>
          <w:szCs w:val="24"/>
        </w:rPr>
        <w:t>s</w:t>
      </w:r>
      <w:r w:rsidR="007233E7" w:rsidRPr="009759AE">
        <w:rPr>
          <w:rFonts w:ascii="Times New Roman" w:hAnsi="Times New Roman" w:cs="Times New Roman"/>
          <w:b/>
          <w:sz w:val="24"/>
          <w:szCs w:val="24"/>
        </w:rPr>
        <w:t xml:space="preserve"> </w:t>
      </w:r>
      <w:r w:rsidR="007233E7">
        <w:rPr>
          <w:rFonts w:ascii="Times New Roman" w:hAnsi="Times New Roman" w:cs="Times New Roman"/>
          <w:sz w:val="24"/>
          <w:szCs w:val="24"/>
        </w:rPr>
        <w:t>also improving the network coverage thus increasing the revenue. In 2017, GP has 12,994 2G sites and 12,332 3G sites.</w:t>
      </w:r>
      <w:r w:rsidR="00E33DEA">
        <w:rPr>
          <w:rFonts w:ascii="Times New Roman" w:hAnsi="Times New Roman" w:cs="Times New Roman"/>
          <w:sz w:val="24"/>
          <w:szCs w:val="24"/>
        </w:rPr>
        <w:t xml:space="preserve"> Acquisition of 4G license and spectrum will also increases the revenue. If 5G come in Bangladesh between 2020 &amp; 2030 and if GP acquire 5G license and increase spectrum then the revenue of GP will also increase rapidly.</w:t>
      </w:r>
    </w:p>
    <w:p w:rsidR="00DC587B" w:rsidRDefault="00DC587B" w:rsidP="00111373">
      <w:pPr>
        <w:spacing w:line="360" w:lineRule="auto"/>
        <w:jc w:val="both"/>
        <w:rPr>
          <w:rFonts w:ascii="Times New Roman" w:hAnsi="Times New Roman" w:cs="Times New Roman"/>
          <w:sz w:val="24"/>
          <w:szCs w:val="24"/>
        </w:rPr>
      </w:pPr>
      <w:r w:rsidRPr="009759AE">
        <w:rPr>
          <w:rFonts w:ascii="Times New Roman" w:hAnsi="Times New Roman" w:cs="Times New Roman"/>
          <w:b/>
          <w:sz w:val="24"/>
          <w:szCs w:val="24"/>
        </w:rPr>
        <w:t xml:space="preserve">Different types of product and service offerings </w:t>
      </w:r>
      <w:r>
        <w:rPr>
          <w:rFonts w:ascii="Times New Roman" w:hAnsi="Times New Roman" w:cs="Times New Roman"/>
          <w:sz w:val="24"/>
          <w:szCs w:val="24"/>
        </w:rPr>
        <w:t>also a reason for higher revenue</w:t>
      </w:r>
      <w:r w:rsidR="00BE74DB">
        <w:rPr>
          <w:rFonts w:ascii="Times New Roman" w:hAnsi="Times New Roman" w:cs="Times New Roman"/>
          <w:sz w:val="24"/>
          <w:szCs w:val="24"/>
        </w:rPr>
        <w:t xml:space="preserve"> of GP</w:t>
      </w:r>
      <w:r>
        <w:rPr>
          <w:rFonts w:ascii="Times New Roman" w:hAnsi="Times New Roman" w:cs="Times New Roman"/>
          <w:sz w:val="24"/>
          <w:szCs w:val="24"/>
        </w:rPr>
        <w:t>.</w:t>
      </w:r>
      <w:r w:rsidR="0099203B">
        <w:rPr>
          <w:rFonts w:ascii="Times New Roman" w:hAnsi="Times New Roman" w:cs="Times New Roman"/>
          <w:sz w:val="24"/>
          <w:szCs w:val="24"/>
        </w:rPr>
        <w:t xml:space="preserve"> </w:t>
      </w:r>
    </w:p>
    <w:p w:rsidR="003D74F5" w:rsidRDefault="003D74F5">
      <w:pPr>
        <w:rPr>
          <w:rFonts w:ascii="Times New Roman" w:hAnsi="Times New Roman" w:cs="Times New Roman"/>
          <w:b/>
          <w:sz w:val="24"/>
          <w:szCs w:val="24"/>
        </w:rPr>
      </w:pPr>
      <w:r>
        <w:rPr>
          <w:rFonts w:ascii="Times New Roman" w:hAnsi="Times New Roman" w:cs="Times New Roman"/>
          <w:b/>
          <w:sz w:val="24"/>
          <w:szCs w:val="24"/>
        </w:rPr>
        <w:br w:type="page"/>
      </w:r>
    </w:p>
    <w:p w:rsidR="0099203B" w:rsidRDefault="0099203B" w:rsidP="00111373">
      <w:pPr>
        <w:spacing w:line="360" w:lineRule="auto"/>
        <w:jc w:val="both"/>
        <w:rPr>
          <w:rFonts w:ascii="Times New Roman" w:hAnsi="Times New Roman" w:cs="Times New Roman"/>
          <w:sz w:val="24"/>
          <w:szCs w:val="24"/>
        </w:rPr>
      </w:pPr>
      <w:r w:rsidRPr="0099203B">
        <w:rPr>
          <w:rFonts w:ascii="Times New Roman" w:hAnsi="Times New Roman" w:cs="Times New Roman"/>
          <w:b/>
          <w:sz w:val="24"/>
          <w:szCs w:val="24"/>
        </w:rPr>
        <w:lastRenderedPageBreak/>
        <w:t>SWOT analysis of Grameenphone</w:t>
      </w:r>
      <w:r>
        <w:rPr>
          <w:rFonts w:ascii="Times New Roman" w:hAnsi="Times New Roman" w:cs="Times New Roman"/>
          <w:sz w:val="24"/>
          <w:szCs w:val="24"/>
        </w:rPr>
        <w:t>:</w:t>
      </w:r>
    </w:p>
    <w:p w:rsidR="0099203B" w:rsidRDefault="0099203B" w:rsidP="0099203B">
      <w:pPr>
        <w:spacing w:line="360" w:lineRule="auto"/>
        <w:jc w:val="both"/>
        <w:rPr>
          <w:rFonts w:ascii="Times New Roman" w:hAnsi="Times New Roman" w:cs="Times New Roman"/>
          <w:sz w:val="24"/>
          <w:szCs w:val="24"/>
        </w:rPr>
      </w:pPr>
      <w:r w:rsidRPr="0099203B">
        <w:rPr>
          <w:rFonts w:ascii="Times New Roman" w:hAnsi="Times New Roman" w:cs="Times New Roman"/>
          <w:b/>
          <w:sz w:val="24"/>
          <w:szCs w:val="24"/>
        </w:rPr>
        <w:t>Strength</w:t>
      </w:r>
      <w:r w:rsidRPr="0099203B">
        <w:rPr>
          <w:rFonts w:ascii="Times New Roman" w:hAnsi="Times New Roman" w:cs="Times New Roman"/>
          <w:sz w:val="24"/>
          <w:szCs w:val="24"/>
        </w:rPr>
        <w:t xml:space="preserve">: </w:t>
      </w:r>
    </w:p>
    <w:p w:rsidR="0099203B" w:rsidRDefault="003D74F5" w:rsidP="00FB3E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Highest market share </w:t>
      </w:r>
      <w:r w:rsidR="0099203B">
        <w:rPr>
          <w:rFonts w:ascii="Times New Roman" w:hAnsi="Times New Roman" w:cs="Times New Roman"/>
          <w:sz w:val="24"/>
          <w:szCs w:val="24"/>
        </w:rPr>
        <w:t xml:space="preserve"> </w:t>
      </w:r>
    </w:p>
    <w:p w:rsidR="0099203B" w:rsidRDefault="0099203B" w:rsidP="00FB3E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High network coverage</w:t>
      </w:r>
    </w:p>
    <w:p w:rsidR="004574EF" w:rsidRDefault="004574EF" w:rsidP="00FB3E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High dividend payout ratio</w:t>
      </w:r>
    </w:p>
    <w:p w:rsidR="003D74F5" w:rsidRDefault="00BB6484" w:rsidP="00FB3E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Only operator which has maximum coverage in rural area</w:t>
      </w:r>
    </w:p>
    <w:p w:rsidR="00D453D4" w:rsidRDefault="00D453D4" w:rsidP="00FB3EC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Only operator which has international roaming service</w:t>
      </w:r>
    </w:p>
    <w:p w:rsidR="004574EF" w:rsidRDefault="00270932" w:rsidP="00FB3ECA">
      <w:pPr>
        <w:pStyle w:val="ListParagraph"/>
        <w:numPr>
          <w:ilvl w:val="0"/>
          <w:numId w:val="7"/>
        </w:numPr>
        <w:spacing w:line="360" w:lineRule="auto"/>
        <w:jc w:val="both"/>
        <w:rPr>
          <w:rFonts w:ascii="Times New Roman" w:hAnsi="Times New Roman" w:cs="Times New Roman"/>
          <w:sz w:val="24"/>
          <w:szCs w:val="24"/>
        </w:rPr>
      </w:pPr>
      <w:r w:rsidRPr="00270932">
        <w:rPr>
          <w:rFonts w:ascii="Times New Roman" w:hAnsi="Times New Roman" w:cs="Times New Roman"/>
          <w:sz w:val="24"/>
          <w:szCs w:val="24"/>
        </w:rPr>
        <w:t>Attractive product &amp; service offerings</w:t>
      </w:r>
    </w:p>
    <w:p w:rsidR="00196C90" w:rsidRPr="00EA60D6" w:rsidRDefault="00196C90" w:rsidP="0069395A">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Benefitted from unique call rate</w:t>
      </w:r>
    </w:p>
    <w:p w:rsidR="00D453D4" w:rsidRDefault="007300F4" w:rsidP="00FB3ECA">
      <w:pPr>
        <w:spacing w:line="360" w:lineRule="auto"/>
        <w:jc w:val="both"/>
        <w:rPr>
          <w:rFonts w:ascii="Times New Roman" w:hAnsi="Times New Roman" w:cs="Times New Roman"/>
          <w:b/>
          <w:sz w:val="24"/>
          <w:szCs w:val="24"/>
        </w:rPr>
      </w:pPr>
      <w:r w:rsidRPr="00242978">
        <w:rPr>
          <w:rFonts w:ascii="Times New Roman" w:hAnsi="Times New Roman" w:cs="Times New Roman"/>
          <w:b/>
          <w:sz w:val="24"/>
          <w:szCs w:val="24"/>
        </w:rPr>
        <w:t>Weakness</w:t>
      </w:r>
      <w:r w:rsidR="00DA0235">
        <w:rPr>
          <w:rFonts w:ascii="Times New Roman" w:hAnsi="Times New Roman" w:cs="Times New Roman"/>
          <w:b/>
          <w:sz w:val="24"/>
          <w:szCs w:val="24"/>
        </w:rPr>
        <w:t>:</w:t>
      </w:r>
    </w:p>
    <w:p w:rsidR="00242978" w:rsidRPr="00F2624B" w:rsidRDefault="00F2624B" w:rsidP="00FB3ECA">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Because of the SMP declaration may face many restrictions</w:t>
      </w:r>
    </w:p>
    <w:p w:rsidR="006E5286" w:rsidRPr="00EA6FE8" w:rsidRDefault="00F2624B" w:rsidP="00FB3ECA">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Increasing number of call drops</w:t>
      </w:r>
    </w:p>
    <w:p w:rsidR="00EA6FE8" w:rsidRPr="006E5286" w:rsidRDefault="00EA6FE8" w:rsidP="00FB3ECA">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sz w:val="24"/>
          <w:szCs w:val="24"/>
        </w:rPr>
        <w:t>High tax burden</w:t>
      </w:r>
    </w:p>
    <w:p w:rsidR="00F2624B" w:rsidRDefault="00B41173" w:rsidP="00FB3ECA">
      <w:pPr>
        <w:spacing w:line="360" w:lineRule="auto"/>
        <w:jc w:val="both"/>
        <w:rPr>
          <w:rFonts w:ascii="Times New Roman" w:hAnsi="Times New Roman" w:cs="Times New Roman"/>
          <w:sz w:val="24"/>
          <w:szCs w:val="24"/>
        </w:rPr>
      </w:pPr>
      <w:r>
        <w:rPr>
          <w:rFonts w:ascii="Times New Roman" w:hAnsi="Times New Roman" w:cs="Times New Roman"/>
          <w:b/>
          <w:sz w:val="24"/>
          <w:szCs w:val="24"/>
        </w:rPr>
        <w:t>Opportunities</w:t>
      </w:r>
      <w:r w:rsidR="00DA0235">
        <w:rPr>
          <w:rFonts w:ascii="Times New Roman" w:hAnsi="Times New Roman" w:cs="Times New Roman"/>
          <w:b/>
          <w:sz w:val="24"/>
          <w:szCs w:val="24"/>
        </w:rPr>
        <w:t>:</w:t>
      </w:r>
    </w:p>
    <w:p w:rsidR="00F06C1A" w:rsidRDefault="001A6A87" w:rsidP="00FB3EC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Increasing growth of the economy</w:t>
      </w:r>
    </w:p>
    <w:p w:rsidR="001A6A87" w:rsidRDefault="001A6A87" w:rsidP="00FB3EC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7677">
        <w:rPr>
          <w:rFonts w:ascii="Times New Roman" w:hAnsi="Times New Roman" w:cs="Times New Roman"/>
          <w:sz w:val="24"/>
          <w:szCs w:val="24"/>
        </w:rPr>
        <w:t>Increasing number</w:t>
      </w:r>
      <w:r>
        <w:rPr>
          <w:rFonts w:ascii="Times New Roman" w:hAnsi="Times New Roman" w:cs="Times New Roman"/>
          <w:sz w:val="24"/>
          <w:szCs w:val="24"/>
        </w:rPr>
        <w:t xml:space="preserve"> of subscriber</w:t>
      </w:r>
    </w:p>
    <w:p w:rsidR="001A6A87" w:rsidRDefault="001A6A87" w:rsidP="00FB3EC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Rapid growth </w:t>
      </w:r>
      <w:r w:rsidR="00717677">
        <w:rPr>
          <w:rFonts w:ascii="Times New Roman" w:hAnsi="Times New Roman" w:cs="Times New Roman"/>
          <w:sz w:val="24"/>
          <w:szCs w:val="24"/>
        </w:rPr>
        <w:t>of</w:t>
      </w:r>
      <w:r>
        <w:rPr>
          <w:rFonts w:ascii="Times New Roman" w:hAnsi="Times New Roman" w:cs="Times New Roman"/>
          <w:sz w:val="24"/>
          <w:szCs w:val="24"/>
        </w:rPr>
        <w:t xml:space="preserve"> telecom industry</w:t>
      </w:r>
    </w:p>
    <w:p w:rsidR="005E4988" w:rsidRDefault="005E4988" w:rsidP="00FB3EC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Advancement of IT and technology of Bangladesh and vision of 2021</w:t>
      </w:r>
    </w:p>
    <w:p w:rsidR="008761B2" w:rsidRDefault="00E01E07" w:rsidP="00FB3ECA">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Adaption of 5G in 2020 will increase revenue</w:t>
      </w:r>
    </w:p>
    <w:p w:rsidR="00EA6FE8" w:rsidRDefault="00EA6FE8" w:rsidP="00EA6FE8">
      <w:pPr>
        <w:spacing w:line="360" w:lineRule="auto"/>
        <w:jc w:val="both"/>
        <w:rPr>
          <w:rFonts w:ascii="Times New Roman" w:hAnsi="Times New Roman" w:cs="Times New Roman"/>
          <w:b/>
          <w:sz w:val="24"/>
          <w:szCs w:val="24"/>
        </w:rPr>
      </w:pPr>
      <w:r w:rsidRPr="00EA6FE8">
        <w:rPr>
          <w:rFonts w:ascii="Times New Roman" w:hAnsi="Times New Roman" w:cs="Times New Roman"/>
          <w:b/>
          <w:sz w:val="24"/>
          <w:szCs w:val="24"/>
        </w:rPr>
        <w:t>Threat</w:t>
      </w:r>
      <w:r w:rsidR="002451F1">
        <w:rPr>
          <w:rFonts w:ascii="Times New Roman" w:hAnsi="Times New Roman" w:cs="Times New Roman"/>
          <w:b/>
          <w:sz w:val="24"/>
          <w:szCs w:val="24"/>
        </w:rPr>
        <w:t>s</w:t>
      </w:r>
      <w:r w:rsidRPr="00EA6FE8">
        <w:rPr>
          <w:rFonts w:ascii="Times New Roman" w:hAnsi="Times New Roman" w:cs="Times New Roman"/>
          <w:b/>
          <w:sz w:val="24"/>
          <w:szCs w:val="24"/>
        </w:rPr>
        <w:t>:</w:t>
      </w:r>
    </w:p>
    <w:p w:rsidR="001168D5" w:rsidRPr="00636BE2" w:rsidRDefault="00595163" w:rsidP="001168D5">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sz w:val="24"/>
          <w:szCs w:val="24"/>
        </w:rPr>
        <w:t>Because of the MNP service customers can easily switch to another operator</w:t>
      </w:r>
    </w:p>
    <w:p w:rsidR="00636BE2" w:rsidRDefault="00046858" w:rsidP="001168D5">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Restriction of government</w:t>
      </w:r>
    </w:p>
    <w:p w:rsidR="00046858" w:rsidRDefault="00881D59" w:rsidP="001168D5">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Volatility of forei</w:t>
      </w:r>
      <w:r w:rsidR="00A16C43">
        <w:rPr>
          <w:rFonts w:ascii="Times New Roman" w:hAnsi="Times New Roman" w:cs="Times New Roman"/>
          <w:sz w:val="24"/>
          <w:szCs w:val="24"/>
        </w:rPr>
        <w:t>gn currency and increase of LIBOR</w:t>
      </w:r>
      <w:r>
        <w:rPr>
          <w:rFonts w:ascii="Times New Roman" w:hAnsi="Times New Roman" w:cs="Times New Roman"/>
          <w:sz w:val="24"/>
          <w:szCs w:val="24"/>
        </w:rPr>
        <w:t xml:space="preserve"> rate</w:t>
      </w:r>
      <w:r w:rsidR="00D53A3C">
        <w:rPr>
          <w:rFonts w:ascii="Times New Roman" w:hAnsi="Times New Roman" w:cs="Times New Roman"/>
          <w:sz w:val="24"/>
          <w:szCs w:val="24"/>
        </w:rPr>
        <w:t>.</w:t>
      </w:r>
    </w:p>
    <w:p w:rsidR="00D53A3C" w:rsidRDefault="00D53A3C" w:rsidP="009450C6">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Merger of Robi-Airtel</w:t>
      </w:r>
    </w:p>
    <w:p w:rsidR="00975562" w:rsidRDefault="009450C6" w:rsidP="001F5665">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Possibility of the second largest spectrum holder Robi</w:t>
      </w:r>
      <w:r w:rsidR="00064E19">
        <w:rPr>
          <w:rFonts w:ascii="Times New Roman" w:hAnsi="Times New Roman" w:cs="Times New Roman"/>
          <w:sz w:val="24"/>
          <w:szCs w:val="24"/>
        </w:rPr>
        <w:t xml:space="preserve"> to be</w:t>
      </w:r>
      <w:r>
        <w:rPr>
          <w:rFonts w:ascii="Times New Roman" w:hAnsi="Times New Roman" w:cs="Times New Roman"/>
          <w:sz w:val="24"/>
          <w:szCs w:val="24"/>
        </w:rPr>
        <w:t xml:space="preserve"> enlisted in dse</w:t>
      </w:r>
    </w:p>
    <w:p w:rsidR="00975562" w:rsidRDefault="00975562">
      <w:pPr>
        <w:rPr>
          <w:rFonts w:ascii="Times New Roman" w:eastAsiaTheme="minorEastAsia" w:hAnsi="Times New Roman" w:cs="Times New Roman"/>
          <w:sz w:val="24"/>
          <w:szCs w:val="24"/>
        </w:rPr>
      </w:pPr>
      <w:r>
        <w:rPr>
          <w:rFonts w:ascii="Times New Roman" w:hAnsi="Times New Roman" w:cs="Times New Roman"/>
          <w:sz w:val="24"/>
          <w:szCs w:val="24"/>
        </w:rPr>
        <w:br w:type="page"/>
      </w:r>
    </w:p>
    <w:p w:rsidR="009A2F1C" w:rsidRDefault="003C72F1" w:rsidP="00250315">
      <w:pPr>
        <w:pStyle w:val="Heading1"/>
        <w:spacing w:line="276" w:lineRule="auto"/>
        <w:jc w:val="center"/>
        <w:rPr>
          <w:rFonts w:ascii="Times New Roman" w:hAnsi="Times New Roman" w:cs="Times New Roman"/>
          <w:sz w:val="160"/>
        </w:rPr>
      </w:pPr>
      <w:bookmarkStart w:id="20" w:name="_Toc9422059"/>
      <w:r w:rsidRPr="00725DC9">
        <w:rPr>
          <w:rFonts w:ascii="Times New Roman" w:hAnsi="Times New Roman" w:cs="Times New Roman"/>
          <w:b/>
          <w:sz w:val="160"/>
        </w:rPr>
        <w:lastRenderedPageBreak/>
        <w:t>Chapter Three</w:t>
      </w:r>
      <w:r w:rsidR="00794903" w:rsidRPr="00725DC9">
        <w:rPr>
          <w:rFonts w:ascii="Times New Roman" w:hAnsi="Times New Roman" w:cs="Times New Roman"/>
          <w:b/>
          <w:sz w:val="160"/>
        </w:rPr>
        <w:t>:</w:t>
      </w:r>
      <w:bookmarkEnd w:id="20"/>
      <w:r w:rsidR="00250315">
        <w:rPr>
          <w:rFonts w:ascii="Times New Roman" w:hAnsi="Times New Roman" w:cs="Times New Roman"/>
          <w:sz w:val="160"/>
        </w:rPr>
        <w:t xml:space="preserve"> </w:t>
      </w:r>
    </w:p>
    <w:p w:rsidR="001F5665" w:rsidRPr="009A2F1C" w:rsidRDefault="00882F43" w:rsidP="009A2F1C">
      <w:pPr>
        <w:pStyle w:val="Heading1"/>
        <w:spacing w:line="276" w:lineRule="auto"/>
        <w:jc w:val="center"/>
        <w:rPr>
          <w:rFonts w:ascii="Times New Roman" w:hAnsi="Times New Roman" w:cs="Times New Roman"/>
          <w:color w:val="2E74B5" w:themeColor="accent1" w:themeShade="BF"/>
          <w:sz w:val="144"/>
          <w:szCs w:val="32"/>
        </w:rPr>
      </w:pPr>
      <w:bookmarkStart w:id="21" w:name="_Toc9422060"/>
      <w:r w:rsidRPr="001E39A0">
        <w:rPr>
          <w:rStyle w:val="Heading2Char"/>
          <w:rFonts w:ascii="Times New Roman" w:hAnsi="Times New Roman" w:cs="Times New Roman"/>
          <w:color w:val="auto"/>
          <w:sz w:val="144"/>
        </w:rPr>
        <w:t>Valuation</w:t>
      </w:r>
      <w:r w:rsidR="003365ED" w:rsidRPr="001E39A0">
        <w:rPr>
          <w:rStyle w:val="Heading2Char"/>
          <w:rFonts w:ascii="Times New Roman" w:hAnsi="Times New Roman" w:cs="Times New Roman"/>
          <w:color w:val="auto"/>
          <w:sz w:val="144"/>
        </w:rPr>
        <w:t xml:space="preserve"> &amp;</w:t>
      </w:r>
      <w:r w:rsidRPr="001E39A0">
        <w:rPr>
          <w:rStyle w:val="Heading2Char"/>
          <w:rFonts w:ascii="Times New Roman" w:hAnsi="Times New Roman" w:cs="Times New Roman"/>
          <w:color w:val="auto"/>
          <w:sz w:val="144"/>
        </w:rPr>
        <w:t xml:space="preserve"> </w:t>
      </w:r>
      <w:r w:rsidR="003365ED" w:rsidRPr="001E39A0">
        <w:rPr>
          <w:rStyle w:val="Heading2Char"/>
          <w:rFonts w:ascii="Times New Roman" w:hAnsi="Times New Roman" w:cs="Times New Roman"/>
          <w:color w:val="auto"/>
          <w:sz w:val="144"/>
        </w:rPr>
        <w:t xml:space="preserve">Ratio Analysis of </w:t>
      </w:r>
      <w:r w:rsidRPr="001E39A0">
        <w:rPr>
          <w:rStyle w:val="Heading2Char"/>
          <w:rFonts w:ascii="Times New Roman" w:hAnsi="Times New Roman" w:cs="Times New Roman"/>
          <w:color w:val="auto"/>
          <w:sz w:val="144"/>
        </w:rPr>
        <w:t>Grameenphone</w:t>
      </w:r>
      <w:bookmarkEnd w:id="21"/>
      <w:r w:rsidRPr="00794903">
        <w:rPr>
          <w:rFonts w:ascii="Times New Roman" w:hAnsi="Times New Roman" w:cs="Times New Roman"/>
          <w:sz w:val="152"/>
          <w:szCs w:val="152"/>
        </w:rPr>
        <w:br w:type="page"/>
      </w:r>
    </w:p>
    <w:p w:rsidR="00BD2BD3" w:rsidRDefault="00BD2BD3" w:rsidP="00E150B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For valuation three Valuation methods are used:</w:t>
      </w:r>
    </w:p>
    <w:p w:rsidR="00BD2BD3" w:rsidRDefault="008D6EA5" w:rsidP="00701EB3">
      <w:pPr>
        <w:pStyle w:val="ListParagraph"/>
        <w:numPr>
          <w:ilvl w:val="0"/>
          <w:numId w:val="14"/>
        </w:numPr>
        <w:spacing w:line="360" w:lineRule="auto"/>
        <w:jc w:val="both"/>
        <w:rPr>
          <w:rFonts w:ascii="Times New Roman" w:hAnsi="Times New Roman" w:cs="Times New Roman"/>
          <w:sz w:val="24"/>
          <w:szCs w:val="24"/>
        </w:rPr>
      </w:pPr>
      <w:r w:rsidRPr="008D6EA5">
        <w:rPr>
          <w:rFonts w:ascii="Times New Roman" w:hAnsi="Times New Roman" w:cs="Times New Roman"/>
          <w:b/>
          <w:sz w:val="24"/>
          <w:szCs w:val="24"/>
        </w:rPr>
        <w:t>D</w:t>
      </w:r>
      <w:r>
        <w:rPr>
          <w:rFonts w:ascii="Times New Roman" w:hAnsi="Times New Roman" w:cs="Times New Roman"/>
          <w:b/>
          <w:sz w:val="24"/>
          <w:szCs w:val="24"/>
        </w:rPr>
        <w:t>iscounted Cash Flow</w:t>
      </w:r>
      <w:r w:rsidRPr="008D6EA5">
        <w:rPr>
          <w:rFonts w:ascii="Times New Roman" w:hAnsi="Times New Roman" w:cs="Times New Roman"/>
          <w:b/>
          <w:sz w:val="24"/>
          <w:szCs w:val="24"/>
        </w:rPr>
        <w:t xml:space="preserve"> valuation</w:t>
      </w:r>
      <w:r>
        <w:rPr>
          <w:rFonts w:ascii="Times New Roman" w:hAnsi="Times New Roman" w:cs="Times New Roman"/>
          <w:b/>
          <w:sz w:val="24"/>
          <w:szCs w:val="24"/>
        </w:rPr>
        <w:t xml:space="preserve"> method:</w:t>
      </w:r>
      <w:r w:rsidRPr="008D6EA5">
        <w:rPr>
          <w:rFonts w:ascii="Times New Roman" w:hAnsi="Times New Roman" w:cs="Times New Roman"/>
          <w:sz w:val="24"/>
          <w:szCs w:val="24"/>
        </w:rPr>
        <w:t xml:space="preserve"> </w:t>
      </w:r>
      <w:r w:rsidR="00C07DE2">
        <w:rPr>
          <w:rFonts w:ascii="Times New Roman" w:hAnsi="Times New Roman" w:cs="Times New Roman"/>
          <w:sz w:val="24"/>
          <w:szCs w:val="24"/>
        </w:rPr>
        <w:t>F</w:t>
      </w:r>
      <w:r w:rsidR="00FA29A7">
        <w:rPr>
          <w:rFonts w:ascii="Times New Roman" w:hAnsi="Times New Roman" w:cs="Times New Roman"/>
          <w:sz w:val="24"/>
          <w:szCs w:val="24"/>
        </w:rPr>
        <w:t xml:space="preserve">or this method I </w:t>
      </w:r>
      <w:r w:rsidR="00C07DE2">
        <w:rPr>
          <w:rFonts w:ascii="Times New Roman" w:hAnsi="Times New Roman" w:cs="Times New Roman"/>
          <w:sz w:val="24"/>
          <w:szCs w:val="24"/>
        </w:rPr>
        <w:t xml:space="preserve">first forecasted the revenue of GP, secondly the operating expenses, thirdly </w:t>
      </w:r>
      <w:r w:rsidR="00EA2A8A" w:rsidRPr="00EA2A8A">
        <w:rPr>
          <w:rFonts w:ascii="Times New Roman" w:hAnsi="Times New Roman" w:cs="Times New Roman"/>
          <w:sz w:val="24"/>
          <w:szCs w:val="24"/>
        </w:rPr>
        <w:t>Loans &amp; Borrowings and Financial Leases</w:t>
      </w:r>
      <w:r w:rsidR="00EA2A8A">
        <w:rPr>
          <w:rFonts w:ascii="Times New Roman" w:hAnsi="Times New Roman" w:cs="Times New Roman"/>
          <w:sz w:val="24"/>
          <w:szCs w:val="24"/>
        </w:rPr>
        <w:t xml:space="preserve"> and</w:t>
      </w:r>
      <w:r w:rsidR="00C07DE2">
        <w:rPr>
          <w:rFonts w:ascii="Times New Roman" w:hAnsi="Times New Roman" w:cs="Times New Roman"/>
          <w:sz w:val="24"/>
          <w:szCs w:val="24"/>
        </w:rPr>
        <w:t xml:space="preserve"> </w:t>
      </w:r>
      <w:r w:rsidR="00EA2A8A">
        <w:rPr>
          <w:rFonts w:ascii="Times New Roman" w:hAnsi="Times New Roman" w:cs="Times New Roman"/>
          <w:sz w:val="24"/>
          <w:szCs w:val="24"/>
        </w:rPr>
        <w:t xml:space="preserve">fourthly Capital Expenditures, Depreciation &amp; amortization of GP for 2018 to 2022. And then finally Beta </w:t>
      </w:r>
      <w:r w:rsidR="00701EB3">
        <w:rPr>
          <w:rFonts w:ascii="Times New Roman" w:hAnsi="Times New Roman" w:cs="Times New Roman"/>
          <w:sz w:val="24"/>
          <w:szCs w:val="24"/>
        </w:rPr>
        <w:t xml:space="preserve">and </w:t>
      </w:r>
      <w:r w:rsidR="00701EB3" w:rsidRPr="00701EB3">
        <w:rPr>
          <w:rFonts w:ascii="Times New Roman" w:hAnsi="Times New Roman" w:cs="Times New Roman"/>
          <w:sz w:val="24"/>
          <w:szCs w:val="24"/>
        </w:rPr>
        <w:t xml:space="preserve">the WACC </w:t>
      </w:r>
      <w:r w:rsidR="00701EB3">
        <w:rPr>
          <w:rFonts w:ascii="Times New Roman" w:hAnsi="Times New Roman" w:cs="Times New Roman"/>
          <w:sz w:val="24"/>
          <w:szCs w:val="24"/>
        </w:rPr>
        <w:t>for</w:t>
      </w:r>
      <w:r w:rsidR="00EA2A8A">
        <w:rPr>
          <w:rFonts w:ascii="Times New Roman" w:hAnsi="Times New Roman" w:cs="Times New Roman"/>
          <w:sz w:val="24"/>
          <w:szCs w:val="24"/>
        </w:rPr>
        <w:t xml:space="preserve"> GP has been calculated.</w:t>
      </w:r>
      <w:r>
        <w:rPr>
          <w:rFonts w:ascii="Times New Roman" w:hAnsi="Times New Roman" w:cs="Times New Roman"/>
          <w:sz w:val="24"/>
          <w:szCs w:val="24"/>
        </w:rPr>
        <w:t xml:space="preserve"> </w:t>
      </w:r>
      <w:r w:rsidRPr="008D6EA5">
        <w:rPr>
          <w:rFonts w:ascii="Times New Roman" w:hAnsi="Times New Roman" w:cs="Times New Roman"/>
          <w:sz w:val="24"/>
          <w:szCs w:val="24"/>
        </w:rPr>
        <w:t>Free cash</w:t>
      </w:r>
      <w:r w:rsidR="003834D0">
        <w:rPr>
          <w:rFonts w:ascii="Times New Roman" w:hAnsi="Times New Roman" w:cs="Times New Roman"/>
          <w:sz w:val="24"/>
          <w:szCs w:val="24"/>
        </w:rPr>
        <w:t xml:space="preserve"> Flow to the Firm (FCFF) has been </w:t>
      </w:r>
      <w:r w:rsidR="005C003C">
        <w:rPr>
          <w:rFonts w:ascii="Times New Roman" w:hAnsi="Times New Roman" w:cs="Times New Roman"/>
          <w:sz w:val="24"/>
          <w:szCs w:val="24"/>
        </w:rPr>
        <w:t>forecasted by using this method:</w:t>
      </w:r>
    </w:p>
    <w:p w:rsidR="004E00F5" w:rsidRPr="004E00F5" w:rsidRDefault="004E00F5" w:rsidP="00E150B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FCFF = </w:t>
      </w:r>
      <w:r w:rsidRPr="004E00F5">
        <w:rPr>
          <w:rFonts w:ascii="Times New Roman" w:hAnsi="Times New Roman" w:cs="Times New Roman"/>
          <w:sz w:val="24"/>
          <w:szCs w:val="24"/>
        </w:rPr>
        <w:t>E</w:t>
      </w:r>
      <w:r>
        <w:rPr>
          <w:rFonts w:ascii="Times New Roman" w:hAnsi="Times New Roman" w:cs="Times New Roman"/>
          <w:sz w:val="24"/>
          <w:szCs w:val="24"/>
        </w:rPr>
        <w:t>arnings before interest &amp; tax*</w:t>
      </w:r>
      <w:r w:rsidRPr="004E00F5">
        <w:rPr>
          <w:rFonts w:ascii="Times New Roman" w:hAnsi="Times New Roman" w:cs="Times New Roman"/>
          <w:sz w:val="24"/>
          <w:szCs w:val="24"/>
        </w:rPr>
        <w:t>(1-tax rate)</w:t>
      </w:r>
      <w:r>
        <w:rPr>
          <w:rFonts w:ascii="Times New Roman" w:hAnsi="Times New Roman" w:cs="Times New Roman"/>
          <w:sz w:val="24"/>
          <w:szCs w:val="24"/>
        </w:rPr>
        <w:t xml:space="preserve"> + </w:t>
      </w:r>
      <w:r w:rsidRPr="004E00F5">
        <w:rPr>
          <w:rFonts w:ascii="Times New Roman" w:hAnsi="Times New Roman" w:cs="Times New Roman"/>
          <w:sz w:val="24"/>
          <w:szCs w:val="24"/>
        </w:rPr>
        <w:t>Depreciation &amp; Amortization</w:t>
      </w:r>
      <w:r>
        <w:rPr>
          <w:rFonts w:ascii="Times New Roman" w:hAnsi="Times New Roman" w:cs="Times New Roman"/>
          <w:sz w:val="24"/>
          <w:szCs w:val="24"/>
        </w:rPr>
        <w:t xml:space="preserve"> - </w:t>
      </w:r>
      <w:r w:rsidRPr="004E00F5">
        <w:rPr>
          <w:rFonts w:ascii="Times New Roman" w:hAnsi="Times New Roman" w:cs="Times New Roman"/>
          <w:sz w:val="24"/>
          <w:szCs w:val="24"/>
        </w:rPr>
        <w:t>Capital expenditure</w:t>
      </w:r>
      <w:r>
        <w:rPr>
          <w:rFonts w:ascii="Times New Roman" w:hAnsi="Times New Roman" w:cs="Times New Roman"/>
          <w:sz w:val="24"/>
          <w:szCs w:val="24"/>
        </w:rPr>
        <w:t xml:space="preserve"> - Change in Net working Capital</w:t>
      </w:r>
    </w:p>
    <w:p w:rsidR="00703393" w:rsidRPr="00703393" w:rsidRDefault="00703393" w:rsidP="00E150BA">
      <w:pPr>
        <w:spacing w:line="360" w:lineRule="auto"/>
        <w:jc w:val="both"/>
        <w:rPr>
          <w:rFonts w:ascii="Times New Roman" w:hAnsi="Times New Roman" w:cs="Times New Roman"/>
          <w:sz w:val="24"/>
          <w:szCs w:val="24"/>
        </w:rPr>
      </w:pPr>
    </w:p>
    <w:p w:rsidR="00BD2BD3" w:rsidRPr="007B6866" w:rsidRDefault="00BD2BD3" w:rsidP="00E150BA">
      <w:pPr>
        <w:pStyle w:val="ListParagraph"/>
        <w:numPr>
          <w:ilvl w:val="0"/>
          <w:numId w:val="14"/>
        </w:numPr>
        <w:spacing w:line="360" w:lineRule="auto"/>
        <w:jc w:val="both"/>
        <w:rPr>
          <w:rFonts w:ascii="Times New Roman" w:hAnsi="Times New Roman" w:cs="Times New Roman"/>
          <w:b/>
          <w:sz w:val="24"/>
          <w:szCs w:val="24"/>
        </w:rPr>
      </w:pPr>
      <w:r w:rsidRPr="008D6EA5">
        <w:rPr>
          <w:rFonts w:ascii="Times New Roman" w:hAnsi="Times New Roman" w:cs="Times New Roman"/>
          <w:b/>
          <w:sz w:val="24"/>
          <w:szCs w:val="24"/>
        </w:rPr>
        <w:t>P/E Multiple method</w:t>
      </w:r>
      <w:r w:rsidR="00E150BA">
        <w:rPr>
          <w:rFonts w:ascii="Times New Roman" w:hAnsi="Times New Roman" w:cs="Times New Roman"/>
          <w:b/>
          <w:sz w:val="24"/>
          <w:szCs w:val="24"/>
        </w:rPr>
        <w:t xml:space="preserve">: </w:t>
      </w:r>
      <w:r w:rsidR="007B6866" w:rsidRPr="007B6866">
        <w:rPr>
          <w:rFonts w:ascii="Times New Roman" w:hAnsi="Times New Roman" w:cs="Times New Roman"/>
          <w:sz w:val="24"/>
          <w:szCs w:val="24"/>
        </w:rPr>
        <w:t>For this method</w:t>
      </w:r>
      <w:r w:rsidR="00041E98">
        <w:rPr>
          <w:rFonts w:ascii="Times New Roman" w:hAnsi="Times New Roman" w:cs="Times New Roman"/>
          <w:sz w:val="24"/>
          <w:szCs w:val="24"/>
        </w:rPr>
        <w:t>,</w:t>
      </w:r>
      <w:r w:rsidR="007B6866" w:rsidRPr="007B6866">
        <w:rPr>
          <w:rFonts w:ascii="Times New Roman" w:hAnsi="Times New Roman" w:cs="Times New Roman"/>
          <w:sz w:val="24"/>
          <w:szCs w:val="24"/>
        </w:rPr>
        <w:t xml:space="preserve"> P/E multiple of some company </w:t>
      </w:r>
      <w:r w:rsidR="00041E98">
        <w:rPr>
          <w:rFonts w:ascii="Times New Roman" w:hAnsi="Times New Roman" w:cs="Times New Roman"/>
          <w:sz w:val="24"/>
          <w:szCs w:val="24"/>
        </w:rPr>
        <w:t>has to take then the median P/E multiple of all the company is assumed to be the P/E multiple indicator for the valuation of a company.</w:t>
      </w:r>
      <w:r w:rsidR="007B6866">
        <w:rPr>
          <w:rFonts w:ascii="Times New Roman" w:hAnsi="Times New Roman" w:cs="Times New Roman"/>
          <w:sz w:val="24"/>
          <w:szCs w:val="24"/>
        </w:rPr>
        <w:t xml:space="preserve"> </w:t>
      </w:r>
    </w:p>
    <w:p w:rsidR="007B6866" w:rsidRPr="008D6EA5" w:rsidRDefault="007B6866" w:rsidP="007B6866">
      <w:pPr>
        <w:pStyle w:val="ListParagraph"/>
        <w:spacing w:line="360" w:lineRule="auto"/>
        <w:ind w:left="810"/>
        <w:jc w:val="both"/>
        <w:rPr>
          <w:rFonts w:ascii="Times New Roman" w:hAnsi="Times New Roman" w:cs="Times New Roman"/>
          <w:b/>
          <w:sz w:val="24"/>
          <w:szCs w:val="24"/>
        </w:rPr>
      </w:pPr>
    </w:p>
    <w:p w:rsidR="007B6866" w:rsidRPr="007B6866" w:rsidRDefault="005B081F" w:rsidP="00041E98">
      <w:pPr>
        <w:pStyle w:val="ListParagraph"/>
        <w:numPr>
          <w:ilvl w:val="0"/>
          <w:numId w:val="14"/>
        </w:numPr>
        <w:spacing w:line="360" w:lineRule="auto"/>
        <w:jc w:val="both"/>
        <w:rPr>
          <w:rFonts w:ascii="Times New Roman" w:hAnsi="Times New Roman" w:cs="Times New Roman"/>
          <w:sz w:val="24"/>
          <w:szCs w:val="24"/>
        </w:rPr>
      </w:pPr>
      <w:r w:rsidRPr="008D6EA5">
        <w:rPr>
          <w:rFonts w:ascii="Times New Roman" w:hAnsi="Times New Roman" w:cs="Times New Roman"/>
          <w:b/>
          <w:sz w:val="24"/>
          <w:szCs w:val="24"/>
        </w:rPr>
        <w:t>EV/EB</w:t>
      </w:r>
      <w:r w:rsidR="00BD2BD3" w:rsidRPr="008D6EA5">
        <w:rPr>
          <w:rFonts w:ascii="Times New Roman" w:hAnsi="Times New Roman" w:cs="Times New Roman"/>
          <w:b/>
          <w:sz w:val="24"/>
          <w:szCs w:val="24"/>
        </w:rPr>
        <w:t>ITDA method</w:t>
      </w:r>
      <w:r w:rsidR="00E150BA">
        <w:rPr>
          <w:rFonts w:ascii="Times New Roman" w:hAnsi="Times New Roman" w:cs="Times New Roman"/>
          <w:b/>
          <w:sz w:val="24"/>
          <w:szCs w:val="24"/>
        </w:rPr>
        <w:t>:</w:t>
      </w:r>
      <w:r w:rsidR="00041E98">
        <w:rPr>
          <w:rFonts w:ascii="Times New Roman" w:hAnsi="Times New Roman" w:cs="Times New Roman"/>
          <w:sz w:val="24"/>
          <w:szCs w:val="24"/>
        </w:rPr>
        <w:t xml:space="preserve"> For this method, </w:t>
      </w:r>
      <w:r w:rsidR="00041E98" w:rsidRPr="00041E98">
        <w:rPr>
          <w:rFonts w:ascii="Times New Roman" w:hAnsi="Times New Roman" w:cs="Times New Roman"/>
          <w:sz w:val="24"/>
          <w:szCs w:val="24"/>
        </w:rPr>
        <w:t xml:space="preserve">EV/EBITDA multiple of some company has to take then the median EV/EBITDA multiple of all the company is assumed to be the </w:t>
      </w:r>
      <w:r w:rsidR="00041E98">
        <w:rPr>
          <w:rFonts w:ascii="Times New Roman" w:hAnsi="Times New Roman" w:cs="Times New Roman"/>
          <w:sz w:val="24"/>
          <w:szCs w:val="24"/>
        </w:rPr>
        <w:t xml:space="preserve">EV/EBITDA </w:t>
      </w:r>
      <w:r w:rsidR="00041E98" w:rsidRPr="00041E98">
        <w:rPr>
          <w:rFonts w:ascii="Times New Roman" w:hAnsi="Times New Roman" w:cs="Times New Roman"/>
          <w:sz w:val="24"/>
          <w:szCs w:val="24"/>
        </w:rPr>
        <w:t>multiple indicator for the valuation of a company.</w:t>
      </w:r>
    </w:p>
    <w:p w:rsidR="000A4285" w:rsidRPr="008D6EA5" w:rsidRDefault="000A4285" w:rsidP="007B6866">
      <w:pPr>
        <w:pStyle w:val="ListParagraph"/>
        <w:spacing w:line="360" w:lineRule="auto"/>
        <w:ind w:left="810"/>
        <w:jc w:val="both"/>
        <w:rPr>
          <w:rFonts w:ascii="Times New Roman" w:hAnsi="Times New Roman" w:cs="Times New Roman"/>
          <w:b/>
          <w:sz w:val="24"/>
          <w:szCs w:val="24"/>
        </w:rPr>
      </w:pPr>
    </w:p>
    <w:p w:rsidR="000A4285" w:rsidRDefault="000A4285" w:rsidP="00E150BA">
      <w:pPr>
        <w:spacing w:line="360" w:lineRule="auto"/>
        <w:rPr>
          <w:rFonts w:ascii="Times New Roman" w:eastAsiaTheme="minorEastAsia" w:hAnsi="Times New Roman" w:cs="Times New Roman"/>
          <w:b/>
          <w:sz w:val="24"/>
          <w:szCs w:val="24"/>
        </w:rPr>
      </w:pPr>
      <w:r>
        <w:rPr>
          <w:rFonts w:ascii="Times New Roman" w:hAnsi="Times New Roman" w:cs="Times New Roman"/>
          <w:b/>
          <w:sz w:val="24"/>
          <w:szCs w:val="24"/>
        </w:rPr>
        <w:br w:type="page"/>
      </w:r>
    </w:p>
    <w:p w:rsidR="00F339E9" w:rsidRPr="001E39A0" w:rsidRDefault="00C31EA3" w:rsidP="00C31EA3">
      <w:pPr>
        <w:pStyle w:val="Heading2"/>
        <w:numPr>
          <w:ilvl w:val="0"/>
          <w:numId w:val="23"/>
        </w:numPr>
        <w:spacing w:line="360" w:lineRule="auto"/>
        <w:rPr>
          <w:rFonts w:ascii="Times New Roman" w:hAnsi="Times New Roman" w:cs="Times New Roman"/>
          <w:b/>
          <w:color w:val="auto"/>
          <w:sz w:val="28"/>
        </w:rPr>
      </w:pPr>
      <w:bookmarkStart w:id="22" w:name="_Toc9422061"/>
      <w:r w:rsidRPr="00C31EA3">
        <w:rPr>
          <w:rFonts w:ascii="Times New Roman" w:hAnsi="Times New Roman" w:cs="Times New Roman"/>
          <w:b/>
          <w:color w:val="auto"/>
          <w:sz w:val="28"/>
        </w:rPr>
        <w:lastRenderedPageBreak/>
        <w:t xml:space="preserve">Discounted Cash Flow </w:t>
      </w:r>
      <w:r>
        <w:rPr>
          <w:rFonts w:ascii="Times New Roman" w:hAnsi="Times New Roman" w:cs="Times New Roman"/>
          <w:b/>
          <w:color w:val="auto"/>
          <w:sz w:val="28"/>
        </w:rPr>
        <w:t>(DCF</w:t>
      </w:r>
      <w:r w:rsidR="000A4285" w:rsidRPr="001E39A0">
        <w:rPr>
          <w:rFonts w:ascii="Times New Roman" w:hAnsi="Times New Roman" w:cs="Times New Roman"/>
          <w:b/>
          <w:color w:val="auto"/>
          <w:sz w:val="28"/>
        </w:rPr>
        <w:t>) v</w:t>
      </w:r>
      <w:r w:rsidR="00F339E9" w:rsidRPr="001E39A0">
        <w:rPr>
          <w:rFonts w:ascii="Times New Roman" w:hAnsi="Times New Roman" w:cs="Times New Roman"/>
          <w:b/>
          <w:color w:val="auto"/>
          <w:sz w:val="28"/>
        </w:rPr>
        <w:t>aluation</w:t>
      </w:r>
      <w:r w:rsidR="000A4285" w:rsidRPr="001E39A0">
        <w:rPr>
          <w:rFonts w:ascii="Times New Roman" w:hAnsi="Times New Roman" w:cs="Times New Roman"/>
          <w:b/>
          <w:color w:val="auto"/>
          <w:sz w:val="28"/>
        </w:rPr>
        <w:t xml:space="preserve"> method</w:t>
      </w:r>
      <w:r w:rsidR="00F339E9" w:rsidRPr="001E39A0">
        <w:rPr>
          <w:rFonts w:ascii="Times New Roman" w:hAnsi="Times New Roman" w:cs="Times New Roman"/>
          <w:b/>
          <w:color w:val="auto"/>
          <w:sz w:val="28"/>
        </w:rPr>
        <w:t>:</w:t>
      </w:r>
      <w:bookmarkEnd w:id="22"/>
    </w:p>
    <w:p w:rsidR="003430FD" w:rsidRPr="003430FD" w:rsidRDefault="00F339E9" w:rsidP="001E39A0">
      <w:pPr>
        <w:pStyle w:val="ListParagraph"/>
        <w:numPr>
          <w:ilvl w:val="0"/>
          <w:numId w:val="16"/>
        </w:numPr>
        <w:spacing w:line="360" w:lineRule="auto"/>
        <w:jc w:val="both"/>
        <w:rPr>
          <w:rFonts w:ascii="Times New Roman" w:hAnsi="Times New Roman" w:cs="Times New Roman"/>
          <w:bCs/>
          <w:sz w:val="24"/>
          <w:szCs w:val="24"/>
        </w:rPr>
      </w:pPr>
      <w:r w:rsidRPr="006D3A92">
        <w:rPr>
          <w:rFonts w:ascii="Times New Roman" w:hAnsi="Times New Roman" w:cs="Times New Roman"/>
          <w:b/>
          <w:sz w:val="24"/>
          <w:szCs w:val="24"/>
        </w:rPr>
        <w:t>Revenue</w:t>
      </w:r>
      <w:r w:rsidR="002451F1" w:rsidRPr="006D3A92">
        <w:rPr>
          <w:rFonts w:ascii="Times New Roman" w:hAnsi="Times New Roman" w:cs="Times New Roman"/>
          <w:b/>
          <w:sz w:val="24"/>
          <w:szCs w:val="24"/>
        </w:rPr>
        <w:t>:</w:t>
      </w:r>
    </w:p>
    <w:p w:rsidR="002C7CF6" w:rsidRPr="003430FD" w:rsidRDefault="003430FD" w:rsidP="001E39A0">
      <w:pPr>
        <w:spacing w:line="360" w:lineRule="auto"/>
        <w:jc w:val="both"/>
        <w:rPr>
          <w:rFonts w:ascii="Times New Roman" w:hAnsi="Times New Roman" w:cs="Times New Roman"/>
          <w:bCs/>
          <w:sz w:val="24"/>
          <w:szCs w:val="24"/>
        </w:rPr>
      </w:pPr>
      <w:r w:rsidRPr="00CB77C4">
        <w:rPr>
          <w:noProof/>
        </w:rPr>
        <w:drawing>
          <wp:anchor distT="0" distB="0" distL="114300" distR="114300" simplePos="0" relativeHeight="251674624" behindDoc="0" locked="0" layoutInCell="1" allowOverlap="1" wp14:anchorId="3708BD4A" wp14:editId="65528ABC">
            <wp:simplePos x="0" y="0"/>
            <wp:positionH relativeFrom="margin">
              <wp:align>left</wp:align>
            </wp:positionH>
            <wp:positionV relativeFrom="margin">
              <wp:posOffset>1427288</wp:posOffset>
            </wp:positionV>
            <wp:extent cx="3221355" cy="2402840"/>
            <wp:effectExtent l="0" t="0" r="17145" b="1651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810188" w:rsidRPr="003430FD">
        <w:rPr>
          <w:rFonts w:ascii="Times New Roman" w:hAnsi="Times New Roman" w:cs="Times New Roman"/>
          <w:sz w:val="24"/>
          <w:szCs w:val="24"/>
        </w:rPr>
        <w:t xml:space="preserve">Grameenphone’s revenue comes from </w:t>
      </w:r>
      <w:r w:rsidR="0010501B" w:rsidRPr="003430FD">
        <w:rPr>
          <w:rFonts w:ascii="Times New Roman" w:hAnsi="Times New Roman" w:cs="Times New Roman"/>
          <w:sz w:val="24"/>
          <w:szCs w:val="24"/>
        </w:rPr>
        <w:t xml:space="preserve">Mobile Communication: </w:t>
      </w:r>
      <w:r w:rsidR="00810188" w:rsidRPr="003430FD">
        <w:rPr>
          <w:rFonts w:ascii="Times New Roman" w:hAnsi="Times New Roman" w:cs="Times New Roman"/>
          <w:sz w:val="24"/>
          <w:szCs w:val="24"/>
        </w:rPr>
        <w:t>Voice Traffic,</w:t>
      </w:r>
      <w:r w:rsidR="0010501B" w:rsidRPr="003430FD">
        <w:rPr>
          <w:rFonts w:ascii="Times New Roman" w:hAnsi="Times New Roman" w:cs="Times New Roman"/>
          <w:sz w:val="24"/>
          <w:szCs w:val="24"/>
        </w:rPr>
        <w:t xml:space="preserve"> Data &amp; VAS, Interconnection;</w:t>
      </w:r>
      <w:r w:rsidR="00810188" w:rsidRPr="003430FD">
        <w:rPr>
          <w:rFonts w:ascii="Times New Roman" w:hAnsi="Times New Roman" w:cs="Times New Roman"/>
          <w:sz w:val="24"/>
          <w:szCs w:val="24"/>
        </w:rPr>
        <w:t xml:space="preserve"> Customer </w:t>
      </w:r>
      <w:r w:rsidR="00B82A1B" w:rsidRPr="003430FD">
        <w:rPr>
          <w:rFonts w:ascii="Times New Roman" w:hAnsi="Times New Roman" w:cs="Times New Roman"/>
          <w:sz w:val="24"/>
          <w:szCs w:val="24"/>
        </w:rPr>
        <w:t>Equipment;</w:t>
      </w:r>
      <w:r w:rsidR="00810188" w:rsidRPr="003430FD">
        <w:rPr>
          <w:rFonts w:ascii="Times New Roman" w:hAnsi="Times New Roman" w:cs="Times New Roman"/>
          <w:sz w:val="24"/>
          <w:szCs w:val="24"/>
        </w:rPr>
        <w:t xml:space="preserve"> and Other revenue.</w:t>
      </w:r>
      <w:r w:rsidR="00B82A1B" w:rsidRPr="003430FD">
        <w:rPr>
          <w:rFonts w:ascii="Times New Roman" w:hAnsi="Times New Roman" w:cs="Times New Roman"/>
          <w:sz w:val="24"/>
          <w:szCs w:val="24"/>
        </w:rPr>
        <w:t xml:space="preserve"> Huge number of revenue comes from the voice and data.</w:t>
      </w:r>
      <w:r w:rsidR="005F7953" w:rsidRPr="003430FD">
        <w:rPr>
          <w:rFonts w:ascii="Times New Roman" w:hAnsi="Times New Roman" w:cs="Times New Roman"/>
          <w:sz w:val="24"/>
          <w:szCs w:val="24"/>
        </w:rPr>
        <w:t xml:space="preserve"> In 2017 the growth in its revenue was 11.8 percent.</w:t>
      </w:r>
      <w:r w:rsidR="0018236F" w:rsidRPr="003430FD">
        <w:rPr>
          <w:rFonts w:ascii="Times New Roman" w:hAnsi="Times New Roman" w:cs="Times New Roman"/>
          <w:sz w:val="24"/>
          <w:szCs w:val="24"/>
        </w:rPr>
        <w:t xml:space="preserve"> </w:t>
      </w:r>
      <w:r w:rsidR="00946CC5" w:rsidRPr="003430FD">
        <w:rPr>
          <w:rFonts w:ascii="Times New Roman" w:hAnsi="Times New Roman" w:cs="Times New Roman"/>
          <w:sz w:val="24"/>
          <w:szCs w:val="24"/>
        </w:rPr>
        <w:t xml:space="preserve">After adaption of 3G, revenue from the data segment is increasing. </w:t>
      </w:r>
      <w:r w:rsidR="007C7B46" w:rsidRPr="003430FD">
        <w:rPr>
          <w:rFonts w:ascii="Times New Roman" w:hAnsi="Times New Roman" w:cs="Times New Roman"/>
          <w:sz w:val="24"/>
          <w:szCs w:val="24"/>
        </w:rPr>
        <w:t>Revenues from VAS, interconnection and customer equipment are decreasing. Revenue from interconnection is decreasing because of the lower international incoming minutes.</w:t>
      </w:r>
      <w:r w:rsidR="0042292A" w:rsidRPr="003430FD">
        <w:rPr>
          <w:rFonts w:ascii="Times New Roman" w:hAnsi="Times New Roman" w:cs="Times New Roman"/>
          <w:sz w:val="24"/>
          <w:szCs w:val="24"/>
        </w:rPr>
        <w:t xml:space="preserve"> Revenue from voice is also decreasing and in the future revenue from the</w:t>
      </w:r>
      <w:r w:rsidR="003950B5" w:rsidRPr="003430FD">
        <w:rPr>
          <w:rFonts w:ascii="Times New Roman" w:hAnsi="Times New Roman" w:cs="Times New Roman"/>
          <w:sz w:val="24"/>
          <w:szCs w:val="24"/>
        </w:rPr>
        <w:t xml:space="preserve"> voice segment may decrease and revenue from</w:t>
      </w:r>
      <w:r w:rsidR="0042292A" w:rsidRPr="003430FD">
        <w:rPr>
          <w:rFonts w:ascii="Times New Roman" w:hAnsi="Times New Roman" w:cs="Times New Roman"/>
          <w:sz w:val="24"/>
          <w:szCs w:val="24"/>
        </w:rPr>
        <w:t xml:space="preserve"> data segment </w:t>
      </w:r>
      <w:r w:rsidR="002D4D50" w:rsidRPr="003430FD">
        <w:rPr>
          <w:rFonts w:ascii="Times New Roman" w:hAnsi="Times New Roman" w:cs="Times New Roman"/>
          <w:sz w:val="24"/>
          <w:szCs w:val="24"/>
        </w:rPr>
        <w:t>may increase</w:t>
      </w:r>
      <w:r w:rsidR="0042292A" w:rsidRPr="003430FD">
        <w:rPr>
          <w:rFonts w:ascii="Times New Roman" w:hAnsi="Times New Roman" w:cs="Times New Roman"/>
          <w:sz w:val="24"/>
          <w:szCs w:val="24"/>
        </w:rPr>
        <w:t>. A large portion of the revenue may come from the data segment.</w:t>
      </w:r>
      <w:r w:rsidR="00332247" w:rsidRPr="003430FD">
        <w:rPr>
          <w:rFonts w:ascii="Times New Roman" w:hAnsi="Times New Roman" w:cs="Times New Roman"/>
          <w:sz w:val="24"/>
          <w:szCs w:val="24"/>
        </w:rPr>
        <w:t xml:space="preserve"> </w:t>
      </w:r>
      <w:r w:rsidR="005E6BEA" w:rsidRPr="003430FD">
        <w:rPr>
          <w:rFonts w:ascii="Times New Roman" w:hAnsi="Times New Roman" w:cs="Times New Roman"/>
          <w:bCs/>
          <w:sz w:val="24"/>
          <w:szCs w:val="24"/>
        </w:rPr>
        <w:t>I assume that the</w:t>
      </w:r>
      <w:r w:rsidR="00DE73D6" w:rsidRPr="003430FD">
        <w:rPr>
          <w:rFonts w:ascii="Times New Roman" w:hAnsi="Times New Roman" w:cs="Times New Roman"/>
          <w:bCs/>
          <w:sz w:val="24"/>
          <w:szCs w:val="24"/>
        </w:rPr>
        <w:t xml:space="preserve"> total</w:t>
      </w:r>
      <w:r w:rsidR="005E6BEA" w:rsidRPr="003430FD">
        <w:rPr>
          <w:rFonts w:ascii="Times New Roman" w:hAnsi="Times New Roman" w:cs="Times New Roman"/>
          <w:bCs/>
          <w:sz w:val="24"/>
          <w:szCs w:val="24"/>
        </w:rPr>
        <w:t xml:space="preserve"> voice subscriber</w:t>
      </w:r>
      <w:r w:rsidR="00DE73D6" w:rsidRPr="003430FD">
        <w:rPr>
          <w:rFonts w:ascii="Times New Roman" w:hAnsi="Times New Roman" w:cs="Times New Roman"/>
          <w:bCs/>
          <w:sz w:val="24"/>
          <w:szCs w:val="24"/>
        </w:rPr>
        <w:t xml:space="preserve"> CARG of Bangladesh</w:t>
      </w:r>
      <w:r w:rsidR="005E6BEA" w:rsidRPr="003430FD">
        <w:rPr>
          <w:rFonts w:ascii="Times New Roman" w:hAnsi="Times New Roman" w:cs="Times New Roman"/>
          <w:bCs/>
          <w:sz w:val="24"/>
          <w:szCs w:val="24"/>
        </w:rPr>
        <w:t xml:space="preserve"> will be 3 percent</w:t>
      </w:r>
      <w:r w:rsidR="00F13001" w:rsidRPr="003430FD">
        <w:rPr>
          <w:rFonts w:ascii="Times New Roman" w:hAnsi="Times New Roman" w:cs="Times New Roman"/>
          <w:bCs/>
          <w:sz w:val="24"/>
          <w:szCs w:val="24"/>
        </w:rPr>
        <w:t xml:space="preserve"> from 2018 to 2022</w:t>
      </w:r>
      <w:r w:rsidR="005E6BEA" w:rsidRPr="003430FD">
        <w:rPr>
          <w:rFonts w:ascii="Times New Roman" w:hAnsi="Times New Roman" w:cs="Times New Roman"/>
          <w:bCs/>
          <w:sz w:val="24"/>
          <w:szCs w:val="24"/>
        </w:rPr>
        <w:t xml:space="preserve"> on the basis of GSMA’s report.</w:t>
      </w:r>
      <w:r w:rsidR="00101BF2" w:rsidRPr="003430FD">
        <w:rPr>
          <w:rFonts w:ascii="Times New Roman" w:hAnsi="Times New Roman" w:cs="Times New Roman"/>
          <w:bCs/>
          <w:sz w:val="24"/>
          <w:szCs w:val="24"/>
        </w:rPr>
        <w:t xml:space="preserve"> </w:t>
      </w:r>
    </w:p>
    <w:p w:rsidR="009E6F92" w:rsidRDefault="009E6F92" w:rsidP="00073C2E">
      <w:pPr>
        <w:spacing w:line="360" w:lineRule="auto"/>
        <w:jc w:val="both"/>
        <w:rPr>
          <w:rFonts w:ascii="Times New Roman" w:hAnsi="Times New Roman" w:cs="Times New Roman"/>
          <w:sz w:val="24"/>
          <w:szCs w:val="24"/>
        </w:rPr>
      </w:pPr>
      <w:r>
        <w:rPr>
          <w:noProof/>
        </w:rPr>
        <w:drawing>
          <wp:inline distT="0" distB="0" distL="0" distR="0" wp14:anchorId="03137BB4" wp14:editId="51C6A402">
            <wp:extent cx="5901055" cy="2200939"/>
            <wp:effectExtent l="0" t="0" r="4445" b="889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52A05" w:rsidRDefault="00C52A05" w:rsidP="00073C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determining the Revenue, first of all the population growth of Bangladesh has been forecasted based on the historical data. It is assumed that population growth for the next five years will be </w:t>
      </w:r>
      <w:r w:rsidRPr="00C52A05">
        <w:rPr>
          <w:rFonts w:ascii="Times New Roman" w:hAnsi="Times New Roman" w:cs="Times New Roman"/>
          <w:sz w:val="24"/>
          <w:szCs w:val="24"/>
        </w:rPr>
        <w:t>1.03%</w:t>
      </w:r>
      <w:r>
        <w:rPr>
          <w:rFonts w:ascii="Times New Roman" w:hAnsi="Times New Roman" w:cs="Times New Roman"/>
          <w:sz w:val="24"/>
          <w:szCs w:val="24"/>
        </w:rPr>
        <w:t>, 1.02%, 1.00%, .99% and .98% respectively.</w:t>
      </w:r>
      <w:r w:rsidR="0077003D">
        <w:rPr>
          <w:rFonts w:ascii="Times New Roman" w:hAnsi="Times New Roman" w:cs="Times New Roman"/>
          <w:sz w:val="24"/>
          <w:szCs w:val="24"/>
        </w:rPr>
        <w:t xml:space="preserve"> In 2017 the </w:t>
      </w:r>
      <w:r w:rsidR="0077003D" w:rsidRPr="0077003D">
        <w:rPr>
          <w:rFonts w:ascii="Times New Roman" w:hAnsi="Times New Roman" w:cs="Times New Roman"/>
          <w:sz w:val="24"/>
          <w:szCs w:val="24"/>
        </w:rPr>
        <w:t>Voice Penetration</w:t>
      </w:r>
      <w:r w:rsidR="0077003D">
        <w:rPr>
          <w:rFonts w:ascii="Times New Roman" w:hAnsi="Times New Roman" w:cs="Times New Roman"/>
          <w:sz w:val="24"/>
          <w:szCs w:val="24"/>
        </w:rPr>
        <w:t xml:space="preserve"> </w:t>
      </w:r>
      <w:r w:rsidR="0077003D">
        <w:rPr>
          <w:rFonts w:ascii="Times New Roman" w:hAnsi="Times New Roman" w:cs="Times New Roman"/>
          <w:sz w:val="24"/>
          <w:szCs w:val="24"/>
        </w:rPr>
        <w:lastRenderedPageBreak/>
        <w:t xml:space="preserve">of Bangladesh was 88.04% which is calculated by dividing the total voice subscriber </w:t>
      </w:r>
      <w:r w:rsidR="002E7C3B">
        <w:rPr>
          <w:rFonts w:ascii="Times New Roman" w:hAnsi="Times New Roman" w:cs="Times New Roman"/>
          <w:sz w:val="24"/>
          <w:szCs w:val="24"/>
        </w:rPr>
        <w:t xml:space="preserve">145 million </w:t>
      </w:r>
      <w:r w:rsidR="0077003D">
        <w:rPr>
          <w:rFonts w:ascii="Times New Roman" w:hAnsi="Times New Roman" w:cs="Times New Roman"/>
          <w:sz w:val="24"/>
          <w:szCs w:val="24"/>
        </w:rPr>
        <w:t>with the total population</w:t>
      </w:r>
      <w:r w:rsidR="002E7C3B" w:rsidRPr="002E7C3B">
        <w:t xml:space="preserve"> </w:t>
      </w:r>
      <w:r w:rsidR="002E7C3B" w:rsidRPr="002E7C3B">
        <w:rPr>
          <w:rFonts w:ascii="Times New Roman" w:hAnsi="Times New Roman" w:cs="Times New Roman"/>
          <w:sz w:val="24"/>
          <w:szCs w:val="24"/>
        </w:rPr>
        <w:t>164.70</w:t>
      </w:r>
      <w:r w:rsidR="002E7C3B">
        <w:rPr>
          <w:rFonts w:ascii="Times New Roman" w:hAnsi="Times New Roman" w:cs="Times New Roman"/>
          <w:sz w:val="24"/>
          <w:szCs w:val="24"/>
        </w:rPr>
        <w:t xml:space="preserve"> million</w:t>
      </w:r>
      <w:r w:rsidR="0077003D">
        <w:rPr>
          <w:rFonts w:ascii="Times New Roman" w:hAnsi="Times New Roman" w:cs="Times New Roman"/>
          <w:sz w:val="24"/>
          <w:szCs w:val="24"/>
        </w:rPr>
        <w:t xml:space="preserve">. This </w:t>
      </w:r>
      <w:r w:rsidR="0077003D" w:rsidRPr="0077003D">
        <w:rPr>
          <w:rFonts w:ascii="Times New Roman" w:hAnsi="Times New Roman" w:cs="Times New Roman"/>
          <w:sz w:val="24"/>
          <w:szCs w:val="24"/>
        </w:rPr>
        <w:t>Voice Penetration</w:t>
      </w:r>
      <w:r w:rsidR="0077003D">
        <w:rPr>
          <w:rFonts w:ascii="Times New Roman" w:hAnsi="Times New Roman" w:cs="Times New Roman"/>
          <w:sz w:val="24"/>
          <w:szCs w:val="24"/>
        </w:rPr>
        <w:t xml:space="preserve"> CARG is 3% from 2018 to 2022 as per assumption.</w:t>
      </w:r>
      <w:r w:rsidR="00DA059B">
        <w:rPr>
          <w:rFonts w:ascii="Times New Roman" w:hAnsi="Times New Roman" w:cs="Times New Roman"/>
          <w:sz w:val="24"/>
          <w:szCs w:val="24"/>
        </w:rPr>
        <w:t xml:space="preserve"> Of the total voice subscriber GP hold 45 percent subscriber and because of the SMP restriction GP’s market share may not increase more. I assumed that </w:t>
      </w:r>
      <w:r w:rsidR="00410A54">
        <w:rPr>
          <w:rFonts w:ascii="Times New Roman" w:hAnsi="Times New Roman" w:cs="Times New Roman"/>
          <w:sz w:val="24"/>
          <w:szCs w:val="24"/>
        </w:rPr>
        <w:t>the voice subscriber</w:t>
      </w:r>
      <w:r w:rsidR="00DA059B">
        <w:rPr>
          <w:rFonts w:ascii="Times New Roman" w:hAnsi="Times New Roman" w:cs="Times New Roman"/>
          <w:sz w:val="24"/>
          <w:szCs w:val="24"/>
        </w:rPr>
        <w:t xml:space="preserve"> of GP will be 46% in 2018 &amp; 2019 and 47% in 2020</w:t>
      </w:r>
      <w:r w:rsidR="00410A54">
        <w:rPr>
          <w:rFonts w:ascii="Times New Roman" w:hAnsi="Times New Roman" w:cs="Times New Roman"/>
          <w:sz w:val="24"/>
          <w:szCs w:val="24"/>
        </w:rPr>
        <w:t>, 2021, 2022 of the total voice subscriber</w:t>
      </w:r>
      <w:r w:rsidR="00DA059B">
        <w:rPr>
          <w:rFonts w:ascii="Times New Roman" w:hAnsi="Times New Roman" w:cs="Times New Roman"/>
          <w:sz w:val="24"/>
          <w:szCs w:val="24"/>
        </w:rPr>
        <w:t>.</w:t>
      </w:r>
      <w:r w:rsidR="00C5565C">
        <w:rPr>
          <w:rFonts w:ascii="Times New Roman" w:hAnsi="Times New Roman" w:cs="Times New Roman"/>
          <w:sz w:val="24"/>
          <w:szCs w:val="24"/>
        </w:rPr>
        <w:t xml:space="preserve"> In 2017 the data subscriber of GP was 31.20 million of the voice subscriber of GP. I assume that the data subscriber growth from 2018 to 2022 will be 16.70%, 20%, 15%, 19% and 12% respectively. </w:t>
      </w:r>
      <w:r w:rsidR="009D01E0">
        <w:rPr>
          <w:rFonts w:ascii="Times New Roman" w:hAnsi="Times New Roman" w:cs="Times New Roman"/>
          <w:sz w:val="24"/>
          <w:szCs w:val="24"/>
        </w:rPr>
        <w:t>In 2019 and 2021 data subscriber growth may increase because of the 4G and</w:t>
      </w:r>
      <w:r w:rsidR="0034644A">
        <w:rPr>
          <w:rFonts w:ascii="Times New Roman" w:hAnsi="Times New Roman" w:cs="Times New Roman"/>
          <w:sz w:val="24"/>
          <w:szCs w:val="24"/>
        </w:rPr>
        <w:t xml:space="preserve"> if GP adapt 5G in 2020.</w:t>
      </w:r>
    </w:p>
    <w:tbl>
      <w:tblPr>
        <w:tblW w:w="5044" w:type="pct"/>
        <w:tblLayout w:type="fixed"/>
        <w:tblLook w:val="04A0" w:firstRow="1" w:lastRow="0" w:firstColumn="1" w:lastColumn="0" w:noHBand="0" w:noVBand="1"/>
      </w:tblPr>
      <w:tblGrid>
        <w:gridCol w:w="1666"/>
        <w:gridCol w:w="745"/>
        <w:gridCol w:w="744"/>
        <w:gridCol w:w="744"/>
        <w:gridCol w:w="873"/>
        <w:gridCol w:w="813"/>
        <w:gridCol w:w="813"/>
        <w:gridCol w:w="813"/>
        <w:gridCol w:w="813"/>
        <w:gridCol w:w="813"/>
        <w:gridCol w:w="811"/>
        <w:gridCol w:w="12"/>
      </w:tblGrid>
      <w:tr w:rsidR="001E5B62" w:rsidRPr="001E5B62" w:rsidTr="00244A2C">
        <w:trPr>
          <w:trHeight w:val="157"/>
        </w:trPr>
        <w:tc>
          <w:tcPr>
            <w:tcW w:w="5000" w:type="pct"/>
            <w:gridSpan w:val="12"/>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E5B62" w:rsidRPr="001E5B62" w:rsidRDefault="001E5B62" w:rsidP="001E5B62">
            <w:pPr>
              <w:spacing w:after="0" w:line="240" w:lineRule="auto"/>
              <w:jc w:val="center"/>
              <w:rPr>
                <w:rFonts w:ascii="Calibri" w:eastAsia="Times New Roman" w:hAnsi="Calibri" w:cs="Calibri"/>
                <w:b/>
                <w:bCs/>
                <w:color w:val="000000"/>
              </w:rPr>
            </w:pPr>
            <w:r w:rsidRPr="001E5B62">
              <w:rPr>
                <w:rFonts w:ascii="Calibri" w:eastAsia="Times New Roman" w:hAnsi="Calibri" w:cs="Calibri"/>
                <w:b/>
                <w:bCs/>
                <w:color w:val="000000"/>
              </w:rPr>
              <w:t>Revenue Contribution</w:t>
            </w:r>
          </w:p>
        </w:tc>
      </w:tr>
      <w:tr w:rsidR="00244A2C" w:rsidRPr="001E5B62" w:rsidTr="00244A2C">
        <w:trPr>
          <w:gridAfter w:val="1"/>
          <w:wAfter w:w="7" w:type="pct"/>
          <w:trHeight w:val="157"/>
        </w:trPr>
        <w:tc>
          <w:tcPr>
            <w:tcW w:w="862" w:type="pct"/>
            <w:tcBorders>
              <w:top w:val="nil"/>
              <w:left w:val="single" w:sz="8" w:space="0" w:color="auto"/>
              <w:bottom w:val="single" w:sz="8" w:space="0" w:color="auto"/>
              <w:right w:val="single" w:sz="8" w:space="0" w:color="auto"/>
            </w:tcBorders>
            <w:shd w:val="clear" w:color="000000" w:fill="FFFFFF"/>
            <w:noWrap/>
            <w:vAlign w:val="center"/>
            <w:hideMark/>
          </w:tcPr>
          <w:p w:rsidR="001E5B62" w:rsidRPr="001E5B62" w:rsidRDefault="001E5B62" w:rsidP="001E5B62">
            <w:pPr>
              <w:spacing w:after="0" w:line="240" w:lineRule="auto"/>
              <w:jc w:val="center"/>
              <w:rPr>
                <w:rFonts w:ascii="Calibri" w:eastAsia="Times New Roman" w:hAnsi="Calibri" w:cs="Calibri"/>
                <w:b/>
                <w:bCs/>
                <w:color w:val="000000"/>
              </w:rPr>
            </w:pPr>
            <w:r w:rsidRPr="001E5B62">
              <w:rPr>
                <w:rFonts w:ascii="Calibri" w:eastAsia="Times New Roman" w:hAnsi="Calibri" w:cs="Calibri"/>
                <w:b/>
                <w:bCs/>
                <w:color w:val="000000"/>
              </w:rPr>
              <w:t> </w:t>
            </w:r>
          </w:p>
        </w:tc>
        <w:tc>
          <w:tcPr>
            <w:tcW w:w="385" w:type="pct"/>
            <w:tcBorders>
              <w:top w:val="nil"/>
              <w:left w:val="single" w:sz="4" w:space="0" w:color="B2B2B2"/>
              <w:bottom w:val="single" w:sz="8" w:space="0" w:color="auto"/>
              <w:right w:val="single" w:sz="4" w:space="0" w:color="B2B2B2"/>
            </w:tcBorders>
            <w:shd w:val="clear" w:color="000000" w:fill="FFFFCC"/>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2013</w:t>
            </w:r>
          </w:p>
        </w:tc>
        <w:tc>
          <w:tcPr>
            <w:tcW w:w="385" w:type="pct"/>
            <w:tcBorders>
              <w:top w:val="nil"/>
              <w:left w:val="nil"/>
              <w:bottom w:val="single" w:sz="8" w:space="0" w:color="auto"/>
              <w:right w:val="single" w:sz="4" w:space="0" w:color="B2B2B2"/>
            </w:tcBorders>
            <w:shd w:val="clear" w:color="000000" w:fill="FFFFCC"/>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2014</w:t>
            </w:r>
          </w:p>
        </w:tc>
        <w:tc>
          <w:tcPr>
            <w:tcW w:w="385" w:type="pct"/>
            <w:tcBorders>
              <w:top w:val="nil"/>
              <w:left w:val="nil"/>
              <w:bottom w:val="single" w:sz="8" w:space="0" w:color="auto"/>
              <w:right w:val="single" w:sz="4" w:space="0" w:color="B2B2B2"/>
            </w:tcBorders>
            <w:shd w:val="clear" w:color="000000" w:fill="FFFFCC"/>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2015</w:t>
            </w:r>
          </w:p>
        </w:tc>
        <w:tc>
          <w:tcPr>
            <w:tcW w:w="452" w:type="pct"/>
            <w:tcBorders>
              <w:top w:val="nil"/>
              <w:left w:val="nil"/>
              <w:bottom w:val="single" w:sz="8" w:space="0" w:color="auto"/>
              <w:right w:val="single" w:sz="4" w:space="0" w:color="B2B2B2"/>
            </w:tcBorders>
            <w:shd w:val="clear" w:color="000000" w:fill="FFFFCC"/>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2016</w:t>
            </w:r>
          </w:p>
        </w:tc>
        <w:tc>
          <w:tcPr>
            <w:tcW w:w="421" w:type="pct"/>
            <w:tcBorders>
              <w:top w:val="nil"/>
              <w:left w:val="nil"/>
              <w:bottom w:val="single" w:sz="8" w:space="0" w:color="auto"/>
              <w:right w:val="single" w:sz="8" w:space="0" w:color="auto"/>
            </w:tcBorders>
            <w:shd w:val="clear" w:color="000000" w:fill="FFFFCC"/>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2017</w:t>
            </w:r>
          </w:p>
        </w:tc>
        <w:tc>
          <w:tcPr>
            <w:tcW w:w="421" w:type="pct"/>
            <w:tcBorders>
              <w:top w:val="nil"/>
              <w:left w:val="nil"/>
              <w:bottom w:val="single" w:sz="8" w:space="0" w:color="auto"/>
              <w:right w:val="single" w:sz="4" w:space="0" w:color="7F7F7F"/>
            </w:tcBorders>
            <w:shd w:val="clear" w:color="000000" w:fill="F2F2F2"/>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2018E</w:t>
            </w:r>
          </w:p>
        </w:tc>
        <w:tc>
          <w:tcPr>
            <w:tcW w:w="421" w:type="pct"/>
            <w:tcBorders>
              <w:top w:val="nil"/>
              <w:left w:val="nil"/>
              <w:bottom w:val="single" w:sz="8" w:space="0" w:color="auto"/>
              <w:right w:val="single" w:sz="4" w:space="0" w:color="7F7F7F"/>
            </w:tcBorders>
            <w:shd w:val="clear" w:color="000000" w:fill="F2F2F2"/>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2019E</w:t>
            </w:r>
          </w:p>
        </w:tc>
        <w:tc>
          <w:tcPr>
            <w:tcW w:w="421" w:type="pct"/>
            <w:tcBorders>
              <w:top w:val="nil"/>
              <w:left w:val="nil"/>
              <w:bottom w:val="single" w:sz="8" w:space="0" w:color="auto"/>
              <w:right w:val="single" w:sz="4" w:space="0" w:color="7F7F7F"/>
            </w:tcBorders>
            <w:shd w:val="clear" w:color="000000" w:fill="F2F2F2"/>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2020E</w:t>
            </w:r>
          </w:p>
        </w:tc>
        <w:tc>
          <w:tcPr>
            <w:tcW w:w="421" w:type="pct"/>
            <w:tcBorders>
              <w:top w:val="nil"/>
              <w:left w:val="nil"/>
              <w:bottom w:val="single" w:sz="8" w:space="0" w:color="auto"/>
              <w:right w:val="single" w:sz="4" w:space="0" w:color="7F7F7F"/>
            </w:tcBorders>
            <w:shd w:val="clear" w:color="000000" w:fill="F2F2F2"/>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2021E</w:t>
            </w:r>
          </w:p>
        </w:tc>
        <w:tc>
          <w:tcPr>
            <w:tcW w:w="420" w:type="pct"/>
            <w:tcBorders>
              <w:top w:val="nil"/>
              <w:left w:val="nil"/>
              <w:bottom w:val="single" w:sz="8" w:space="0" w:color="auto"/>
              <w:right w:val="single" w:sz="8" w:space="0" w:color="auto"/>
            </w:tcBorders>
            <w:shd w:val="clear" w:color="000000" w:fill="F2F2F2"/>
            <w:noWrap/>
            <w:vAlign w:val="center"/>
            <w:hideMark/>
          </w:tcPr>
          <w:p w:rsidR="001E5B62" w:rsidRPr="001E5B62" w:rsidRDefault="001E5B62" w:rsidP="001E5B62">
            <w:pPr>
              <w:spacing w:after="0" w:line="240" w:lineRule="auto"/>
              <w:jc w:val="center"/>
              <w:rPr>
                <w:rFonts w:ascii="Calibri" w:eastAsia="Times New Roman" w:hAnsi="Calibri" w:cs="Calibri"/>
                <w:b/>
                <w:bCs/>
                <w:color w:val="FA7D00"/>
              </w:rPr>
            </w:pPr>
            <w:r w:rsidRPr="001E5B62">
              <w:rPr>
                <w:rFonts w:ascii="Calibri" w:eastAsia="Times New Roman" w:hAnsi="Calibri" w:cs="Calibri"/>
                <w:b/>
                <w:bCs/>
                <w:color w:val="FA7D00"/>
              </w:rPr>
              <w:t>2022E</w:t>
            </w:r>
          </w:p>
        </w:tc>
      </w:tr>
      <w:tr w:rsidR="00244A2C" w:rsidRPr="001E5B62" w:rsidTr="00244A2C">
        <w:trPr>
          <w:gridAfter w:val="1"/>
          <w:wAfter w:w="7" w:type="pct"/>
          <w:trHeight w:val="150"/>
        </w:trPr>
        <w:tc>
          <w:tcPr>
            <w:tcW w:w="862" w:type="pct"/>
            <w:tcBorders>
              <w:top w:val="nil"/>
              <w:left w:val="single" w:sz="8" w:space="0" w:color="auto"/>
              <w:bottom w:val="nil"/>
              <w:right w:val="nil"/>
            </w:tcBorders>
            <w:shd w:val="clear" w:color="000000" w:fill="FFFFFF"/>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Voice Traffic</w:t>
            </w:r>
          </w:p>
        </w:tc>
        <w:tc>
          <w:tcPr>
            <w:tcW w:w="385" w:type="pct"/>
            <w:tcBorders>
              <w:top w:val="single" w:sz="4" w:space="0" w:color="auto"/>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80.70%</w:t>
            </w:r>
          </w:p>
        </w:tc>
        <w:tc>
          <w:tcPr>
            <w:tcW w:w="385" w:type="pct"/>
            <w:tcBorders>
              <w:top w:val="single" w:sz="4" w:space="0" w:color="auto"/>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77.80%</w:t>
            </w:r>
          </w:p>
        </w:tc>
        <w:tc>
          <w:tcPr>
            <w:tcW w:w="385" w:type="pct"/>
            <w:tcBorders>
              <w:top w:val="single" w:sz="4" w:space="0" w:color="auto"/>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73.30%</w:t>
            </w:r>
          </w:p>
        </w:tc>
        <w:tc>
          <w:tcPr>
            <w:tcW w:w="452" w:type="pct"/>
            <w:tcBorders>
              <w:top w:val="single" w:sz="4" w:space="0" w:color="auto"/>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70.50%</w:t>
            </w:r>
          </w:p>
        </w:tc>
        <w:tc>
          <w:tcPr>
            <w:tcW w:w="421" w:type="pct"/>
            <w:tcBorders>
              <w:top w:val="single" w:sz="4" w:space="0" w:color="auto"/>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68.40%</w:t>
            </w:r>
          </w:p>
        </w:tc>
        <w:tc>
          <w:tcPr>
            <w:tcW w:w="421" w:type="pct"/>
            <w:tcBorders>
              <w:top w:val="single" w:sz="4" w:space="0" w:color="auto"/>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68.24%</w:t>
            </w:r>
          </w:p>
        </w:tc>
        <w:tc>
          <w:tcPr>
            <w:tcW w:w="421" w:type="pct"/>
            <w:tcBorders>
              <w:top w:val="single" w:sz="4" w:space="0" w:color="auto"/>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67.59%</w:t>
            </w:r>
          </w:p>
        </w:tc>
        <w:tc>
          <w:tcPr>
            <w:tcW w:w="421" w:type="pct"/>
            <w:tcBorders>
              <w:top w:val="single" w:sz="4" w:space="0" w:color="auto"/>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66.62%</w:t>
            </w:r>
          </w:p>
        </w:tc>
        <w:tc>
          <w:tcPr>
            <w:tcW w:w="421" w:type="pct"/>
            <w:tcBorders>
              <w:top w:val="single" w:sz="4" w:space="0" w:color="auto"/>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64.65%</w:t>
            </w:r>
          </w:p>
        </w:tc>
        <w:tc>
          <w:tcPr>
            <w:tcW w:w="420" w:type="pct"/>
            <w:tcBorders>
              <w:top w:val="single" w:sz="4" w:space="0" w:color="auto"/>
              <w:left w:val="nil"/>
              <w:bottom w:val="nil"/>
              <w:right w:val="single" w:sz="8" w:space="0" w:color="auto"/>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63.89%</w:t>
            </w:r>
          </w:p>
        </w:tc>
      </w:tr>
      <w:tr w:rsidR="00244A2C" w:rsidRPr="001E5B62" w:rsidTr="00244A2C">
        <w:trPr>
          <w:gridAfter w:val="1"/>
          <w:wAfter w:w="7" w:type="pct"/>
          <w:trHeight w:val="300"/>
        </w:trPr>
        <w:tc>
          <w:tcPr>
            <w:tcW w:w="862" w:type="pct"/>
            <w:tcBorders>
              <w:top w:val="nil"/>
              <w:left w:val="single" w:sz="8" w:space="0" w:color="auto"/>
              <w:bottom w:val="nil"/>
              <w:right w:val="nil"/>
            </w:tcBorders>
            <w:shd w:val="clear" w:color="000000" w:fill="FFFFFF"/>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Interconnection</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10.80%</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10.80%</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10.60%</w:t>
            </w:r>
          </w:p>
        </w:tc>
        <w:tc>
          <w:tcPr>
            <w:tcW w:w="452"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8.40%</w:t>
            </w:r>
          </w:p>
        </w:tc>
        <w:tc>
          <w:tcPr>
            <w:tcW w:w="421"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7.00%</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6.00%</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5.00%</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4.50%</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4.00%</w:t>
            </w:r>
          </w:p>
        </w:tc>
        <w:tc>
          <w:tcPr>
            <w:tcW w:w="420" w:type="pct"/>
            <w:tcBorders>
              <w:top w:val="nil"/>
              <w:left w:val="nil"/>
              <w:bottom w:val="nil"/>
              <w:right w:val="single" w:sz="8" w:space="0" w:color="auto"/>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3.00%</w:t>
            </w:r>
          </w:p>
        </w:tc>
      </w:tr>
      <w:tr w:rsidR="00244A2C" w:rsidRPr="001E5B62" w:rsidTr="00244A2C">
        <w:trPr>
          <w:gridAfter w:val="1"/>
          <w:wAfter w:w="7" w:type="pct"/>
          <w:trHeight w:val="150"/>
        </w:trPr>
        <w:tc>
          <w:tcPr>
            <w:tcW w:w="862" w:type="pct"/>
            <w:tcBorders>
              <w:top w:val="nil"/>
              <w:left w:val="single" w:sz="8" w:space="0" w:color="auto"/>
              <w:bottom w:val="nil"/>
              <w:right w:val="nil"/>
            </w:tcBorders>
            <w:shd w:val="clear" w:color="000000" w:fill="FFFFFF"/>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Data and VAS</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8.50%</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11.40%</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16.20%</w:t>
            </w:r>
          </w:p>
        </w:tc>
        <w:tc>
          <w:tcPr>
            <w:tcW w:w="452"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21.10%</w:t>
            </w:r>
          </w:p>
        </w:tc>
        <w:tc>
          <w:tcPr>
            <w:tcW w:w="421"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24.60%</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25.76%</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27.41%</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28.88%</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31.35%</w:t>
            </w:r>
          </w:p>
        </w:tc>
        <w:tc>
          <w:tcPr>
            <w:tcW w:w="420" w:type="pct"/>
            <w:tcBorders>
              <w:top w:val="nil"/>
              <w:left w:val="nil"/>
              <w:bottom w:val="nil"/>
              <w:right w:val="single" w:sz="8" w:space="0" w:color="auto"/>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33.11%</w:t>
            </w:r>
          </w:p>
        </w:tc>
      </w:tr>
      <w:tr w:rsidR="00244A2C" w:rsidRPr="001E5B62" w:rsidTr="00244A2C">
        <w:trPr>
          <w:gridAfter w:val="1"/>
          <w:wAfter w:w="7" w:type="pct"/>
          <w:trHeight w:val="351"/>
        </w:trPr>
        <w:tc>
          <w:tcPr>
            <w:tcW w:w="862" w:type="pct"/>
            <w:tcBorders>
              <w:top w:val="nil"/>
              <w:left w:val="single" w:sz="8" w:space="0" w:color="auto"/>
              <w:bottom w:val="nil"/>
              <w:right w:val="nil"/>
            </w:tcBorders>
            <w:shd w:val="clear" w:color="000000" w:fill="FFFFFF"/>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Customer Equipment</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1.94%</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2.04%</w:t>
            </w:r>
          </w:p>
        </w:tc>
        <w:tc>
          <w:tcPr>
            <w:tcW w:w="385"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1.96%</w:t>
            </w:r>
          </w:p>
        </w:tc>
        <w:tc>
          <w:tcPr>
            <w:tcW w:w="452"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2.40%</w:t>
            </w:r>
          </w:p>
        </w:tc>
        <w:tc>
          <w:tcPr>
            <w:tcW w:w="421" w:type="pct"/>
            <w:tcBorders>
              <w:top w:val="nil"/>
              <w:left w:val="nil"/>
              <w:bottom w:val="nil"/>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1.93%</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0.02%</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0.02%</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0.02%</w:t>
            </w:r>
          </w:p>
        </w:tc>
        <w:tc>
          <w:tcPr>
            <w:tcW w:w="421" w:type="pct"/>
            <w:tcBorders>
              <w:top w:val="nil"/>
              <w:left w:val="nil"/>
              <w:bottom w:val="nil"/>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0.02%</w:t>
            </w:r>
          </w:p>
        </w:tc>
        <w:tc>
          <w:tcPr>
            <w:tcW w:w="420" w:type="pct"/>
            <w:tcBorders>
              <w:top w:val="nil"/>
              <w:left w:val="nil"/>
              <w:bottom w:val="nil"/>
              <w:right w:val="single" w:sz="8" w:space="0" w:color="auto"/>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0.02%</w:t>
            </w:r>
          </w:p>
        </w:tc>
      </w:tr>
      <w:tr w:rsidR="00244A2C" w:rsidRPr="001E5B62" w:rsidTr="00244A2C">
        <w:trPr>
          <w:gridAfter w:val="1"/>
          <w:wAfter w:w="7" w:type="pct"/>
          <w:trHeight w:val="157"/>
        </w:trPr>
        <w:tc>
          <w:tcPr>
            <w:tcW w:w="862" w:type="pct"/>
            <w:tcBorders>
              <w:top w:val="nil"/>
              <w:left w:val="single" w:sz="8" w:space="0" w:color="auto"/>
              <w:bottom w:val="single" w:sz="8" w:space="0" w:color="auto"/>
              <w:right w:val="nil"/>
            </w:tcBorders>
            <w:shd w:val="clear" w:color="000000" w:fill="FFFFFF"/>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Other Revenue</w:t>
            </w:r>
          </w:p>
        </w:tc>
        <w:tc>
          <w:tcPr>
            <w:tcW w:w="385" w:type="pct"/>
            <w:tcBorders>
              <w:top w:val="nil"/>
              <w:left w:val="nil"/>
              <w:bottom w:val="single" w:sz="8" w:space="0" w:color="auto"/>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1.87%</w:t>
            </w:r>
          </w:p>
        </w:tc>
        <w:tc>
          <w:tcPr>
            <w:tcW w:w="385" w:type="pct"/>
            <w:tcBorders>
              <w:top w:val="nil"/>
              <w:left w:val="nil"/>
              <w:bottom w:val="single" w:sz="8" w:space="0" w:color="auto"/>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2.05%</w:t>
            </w:r>
          </w:p>
        </w:tc>
        <w:tc>
          <w:tcPr>
            <w:tcW w:w="385" w:type="pct"/>
            <w:tcBorders>
              <w:top w:val="nil"/>
              <w:left w:val="nil"/>
              <w:bottom w:val="single" w:sz="8" w:space="0" w:color="auto"/>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2.19%</w:t>
            </w:r>
          </w:p>
        </w:tc>
        <w:tc>
          <w:tcPr>
            <w:tcW w:w="452" w:type="pct"/>
            <w:tcBorders>
              <w:top w:val="nil"/>
              <w:left w:val="nil"/>
              <w:bottom w:val="single" w:sz="8" w:space="0" w:color="auto"/>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2.11%</w:t>
            </w:r>
          </w:p>
        </w:tc>
        <w:tc>
          <w:tcPr>
            <w:tcW w:w="421" w:type="pct"/>
            <w:tcBorders>
              <w:top w:val="nil"/>
              <w:left w:val="nil"/>
              <w:bottom w:val="single" w:sz="8" w:space="0" w:color="auto"/>
              <w:right w:val="nil"/>
            </w:tcBorders>
            <w:shd w:val="clear" w:color="000000" w:fill="FDE9D9"/>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1.75%</w:t>
            </w:r>
          </w:p>
        </w:tc>
        <w:tc>
          <w:tcPr>
            <w:tcW w:w="421" w:type="pct"/>
            <w:tcBorders>
              <w:top w:val="nil"/>
              <w:left w:val="nil"/>
              <w:bottom w:val="single" w:sz="8" w:space="0" w:color="auto"/>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0.13%</w:t>
            </w:r>
          </w:p>
        </w:tc>
        <w:tc>
          <w:tcPr>
            <w:tcW w:w="421" w:type="pct"/>
            <w:tcBorders>
              <w:top w:val="nil"/>
              <w:left w:val="nil"/>
              <w:bottom w:val="single" w:sz="8" w:space="0" w:color="auto"/>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0.13%</w:t>
            </w:r>
          </w:p>
        </w:tc>
        <w:tc>
          <w:tcPr>
            <w:tcW w:w="421" w:type="pct"/>
            <w:tcBorders>
              <w:top w:val="nil"/>
              <w:left w:val="nil"/>
              <w:bottom w:val="single" w:sz="8" w:space="0" w:color="auto"/>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0.13%</w:t>
            </w:r>
          </w:p>
        </w:tc>
        <w:tc>
          <w:tcPr>
            <w:tcW w:w="421" w:type="pct"/>
            <w:tcBorders>
              <w:top w:val="nil"/>
              <w:left w:val="nil"/>
              <w:bottom w:val="single" w:sz="8" w:space="0" w:color="auto"/>
              <w:right w:val="nil"/>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0.13%</w:t>
            </w:r>
          </w:p>
        </w:tc>
        <w:tc>
          <w:tcPr>
            <w:tcW w:w="420" w:type="pct"/>
            <w:tcBorders>
              <w:top w:val="nil"/>
              <w:left w:val="nil"/>
              <w:bottom w:val="single" w:sz="8" w:space="0" w:color="auto"/>
              <w:right w:val="single" w:sz="8" w:space="0" w:color="auto"/>
            </w:tcBorders>
            <w:shd w:val="clear" w:color="000000" w:fill="F2F2F2"/>
            <w:noWrap/>
            <w:vAlign w:val="center"/>
            <w:hideMark/>
          </w:tcPr>
          <w:p w:rsidR="001E5B62" w:rsidRPr="001E5B62" w:rsidRDefault="001E5B62" w:rsidP="001E5B62">
            <w:pPr>
              <w:spacing w:after="0" w:line="240" w:lineRule="auto"/>
              <w:rPr>
                <w:rFonts w:ascii="Calibri" w:eastAsia="Times New Roman" w:hAnsi="Calibri" w:cs="Calibri"/>
                <w:color w:val="000000"/>
              </w:rPr>
            </w:pPr>
            <w:r w:rsidRPr="001E5B62">
              <w:rPr>
                <w:rFonts w:ascii="Calibri" w:eastAsia="Times New Roman" w:hAnsi="Calibri" w:cs="Calibri"/>
                <w:color w:val="000000"/>
              </w:rPr>
              <w:t>0.13%</w:t>
            </w:r>
          </w:p>
        </w:tc>
      </w:tr>
    </w:tbl>
    <w:p w:rsidR="00336A94" w:rsidRDefault="00336A94" w:rsidP="00073C2E">
      <w:pPr>
        <w:spacing w:line="360" w:lineRule="auto"/>
        <w:jc w:val="both"/>
        <w:rPr>
          <w:rFonts w:ascii="Times New Roman" w:hAnsi="Times New Roman" w:cs="Times New Roman"/>
          <w:sz w:val="24"/>
          <w:szCs w:val="24"/>
        </w:rPr>
      </w:pPr>
    </w:p>
    <w:p w:rsidR="001E5B62" w:rsidRDefault="00244A2C" w:rsidP="00073C2E">
      <w:pPr>
        <w:spacing w:line="360" w:lineRule="auto"/>
        <w:jc w:val="both"/>
        <w:rPr>
          <w:rFonts w:ascii="Times New Roman" w:hAnsi="Times New Roman" w:cs="Times New Roman"/>
          <w:sz w:val="24"/>
          <w:szCs w:val="24"/>
        </w:rPr>
      </w:pPr>
      <w:r w:rsidRPr="00244A2C">
        <w:rPr>
          <w:rFonts w:ascii="Times New Roman" w:hAnsi="Times New Roman" w:cs="Times New Roman"/>
          <w:sz w:val="24"/>
          <w:szCs w:val="24"/>
        </w:rPr>
        <w:t>Because of the unique call rate GP’s voice revenue per user will increase.</w:t>
      </w:r>
      <w:r w:rsidR="003D032B">
        <w:rPr>
          <w:rFonts w:ascii="Times New Roman" w:hAnsi="Times New Roman" w:cs="Times New Roman"/>
          <w:sz w:val="24"/>
          <w:szCs w:val="24"/>
        </w:rPr>
        <w:t xml:space="preserve"> </w:t>
      </w:r>
      <w:r w:rsidR="00215EF4">
        <w:rPr>
          <w:rFonts w:ascii="Times New Roman" w:hAnsi="Times New Roman" w:cs="Times New Roman"/>
          <w:sz w:val="24"/>
          <w:szCs w:val="24"/>
        </w:rPr>
        <w:t xml:space="preserve">The voice revenue per user </w:t>
      </w:r>
      <w:r w:rsidR="00490B97">
        <w:rPr>
          <w:rFonts w:ascii="Times New Roman" w:hAnsi="Times New Roman" w:cs="Times New Roman"/>
          <w:sz w:val="24"/>
          <w:szCs w:val="24"/>
        </w:rPr>
        <w:t xml:space="preserve">for 2018 </w:t>
      </w:r>
      <w:r w:rsidR="00215EF4">
        <w:rPr>
          <w:rFonts w:ascii="Times New Roman" w:hAnsi="Times New Roman" w:cs="Times New Roman"/>
          <w:sz w:val="24"/>
          <w:szCs w:val="24"/>
        </w:rPr>
        <w:t>is determined by dividing the total voice revenue of GP in 2</w:t>
      </w:r>
      <w:r w:rsidR="00787CB0">
        <w:rPr>
          <w:rFonts w:ascii="Times New Roman" w:hAnsi="Times New Roman" w:cs="Times New Roman"/>
          <w:sz w:val="24"/>
          <w:szCs w:val="24"/>
        </w:rPr>
        <w:t>017 with total voice subscriber of GP of 2017,</w:t>
      </w:r>
      <w:r w:rsidR="00490B97">
        <w:rPr>
          <w:rFonts w:ascii="Times New Roman" w:hAnsi="Times New Roman" w:cs="Times New Roman"/>
          <w:sz w:val="24"/>
          <w:szCs w:val="24"/>
        </w:rPr>
        <w:t xml:space="preserve"> </w:t>
      </w:r>
      <w:r w:rsidR="00787CB0">
        <w:rPr>
          <w:rFonts w:ascii="Times New Roman" w:hAnsi="Times New Roman" w:cs="Times New Roman"/>
          <w:sz w:val="24"/>
          <w:szCs w:val="24"/>
        </w:rPr>
        <w:t>t</w:t>
      </w:r>
      <w:r w:rsidR="00490B97">
        <w:rPr>
          <w:rFonts w:ascii="Times New Roman" w:hAnsi="Times New Roman" w:cs="Times New Roman"/>
          <w:sz w:val="24"/>
          <w:szCs w:val="24"/>
        </w:rPr>
        <w:t xml:space="preserve">hen monthly </w:t>
      </w:r>
      <w:r w:rsidR="003C738A">
        <w:rPr>
          <w:rFonts w:ascii="Times New Roman" w:hAnsi="Times New Roman" w:cs="Times New Roman"/>
          <w:sz w:val="24"/>
          <w:szCs w:val="24"/>
        </w:rPr>
        <w:t xml:space="preserve">voice </w:t>
      </w:r>
      <w:r w:rsidR="00490B97">
        <w:rPr>
          <w:rFonts w:ascii="Times New Roman" w:hAnsi="Times New Roman" w:cs="Times New Roman"/>
          <w:sz w:val="24"/>
          <w:szCs w:val="24"/>
        </w:rPr>
        <w:t>ARPU</w:t>
      </w:r>
      <w:r w:rsidR="00F50A92">
        <w:rPr>
          <w:rFonts w:ascii="Times New Roman" w:hAnsi="Times New Roman" w:cs="Times New Roman"/>
          <w:sz w:val="24"/>
          <w:szCs w:val="24"/>
        </w:rPr>
        <w:t xml:space="preserve"> </w:t>
      </w:r>
      <w:r w:rsidR="00D46AE3">
        <w:rPr>
          <w:rFonts w:ascii="Times New Roman" w:hAnsi="Times New Roman" w:cs="Times New Roman"/>
          <w:sz w:val="24"/>
          <w:szCs w:val="24"/>
        </w:rPr>
        <w:t>of (</w:t>
      </w:r>
      <w:r w:rsidR="00490B97">
        <w:rPr>
          <w:rFonts w:ascii="Times New Roman" w:hAnsi="Times New Roman" w:cs="Times New Roman"/>
          <w:sz w:val="24"/>
          <w:szCs w:val="24"/>
        </w:rPr>
        <w:t>Average revenue per user)</w:t>
      </w:r>
      <w:r w:rsidR="00787CB0">
        <w:rPr>
          <w:rFonts w:ascii="Times New Roman" w:hAnsi="Times New Roman" w:cs="Times New Roman"/>
          <w:sz w:val="24"/>
          <w:szCs w:val="24"/>
        </w:rPr>
        <w:t xml:space="preserve"> has been </w:t>
      </w:r>
      <w:r w:rsidR="003C738A">
        <w:rPr>
          <w:rFonts w:ascii="Times New Roman" w:hAnsi="Times New Roman" w:cs="Times New Roman"/>
          <w:sz w:val="24"/>
          <w:szCs w:val="24"/>
        </w:rPr>
        <w:t>determined. Then monthly Voice ARPU</w:t>
      </w:r>
      <w:r w:rsidR="003C738A" w:rsidRPr="003C738A">
        <w:rPr>
          <w:rFonts w:ascii="Times New Roman" w:hAnsi="Times New Roman" w:cs="Times New Roman"/>
          <w:sz w:val="24"/>
          <w:szCs w:val="24"/>
        </w:rPr>
        <w:t xml:space="preserve"> per minute</w:t>
      </w:r>
      <w:r w:rsidR="003D032B">
        <w:rPr>
          <w:rFonts w:ascii="Times New Roman" w:hAnsi="Times New Roman" w:cs="Times New Roman"/>
          <w:sz w:val="24"/>
          <w:szCs w:val="24"/>
        </w:rPr>
        <w:t xml:space="preserve"> (TK 0.42)</w:t>
      </w:r>
      <w:r w:rsidR="003C738A">
        <w:rPr>
          <w:rFonts w:ascii="Times New Roman" w:hAnsi="Times New Roman" w:cs="Times New Roman"/>
          <w:sz w:val="24"/>
          <w:szCs w:val="24"/>
        </w:rPr>
        <w:t xml:space="preserve"> has been calculated by dividing the monthly voice ARPU with the monthly Average</w:t>
      </w:r>
      <w:r w:rsidR="003C738A" w:rsidRPr="003C738A">
        <w:rPr>
          <w:rFonts w:ascii="Times New Roman" w:hAnsi="Times New Roman" w:cs="Times New Roman"/>
          <w:sz w:val="24"/>
          <w:szCs w:val="24"/>
        </w:rPr>
        <w:t xml:space="preserve"> minutes per user</w:t>
      </w:r>
      <w:r w:rsidR="00787CB0">
        <w:rPr>
          <w:rFonts w:ascii="Times New Roman" w:hAnsi="Times New Roman" w:cs="Times New Roman"/>
          <w:sz w:val="24"/>
          <w:szCs w:val="24"/>
        </w:rPr>
        <w:t xml:space="preserve"> of 2017. </w:t>
      </w:r>
      <w:r w:rsidR="003D032B">
        <w:rPr>
          <w:rFonts w:ascii="Times New Roman" w:hAnsi="Times New Roman" w:cs="Times New Roman"/>
          <w:sz w:val="24"/>
          <w:szCs w:val="24"/>
        </w:rPr>
        <w:t>Because of the</w:t>
      </w:r>
      <w:r w:rsidR="003D032B" w:rsidRPr="003D032B">
        <w:rPr>
          <w:rFonts w:ascii="Times New Roman" w:hAnsi="Times New Roman" w:cs="Times New Roman"/>
          <w:sz w:val="24"/>
          <w:szCs w:val="24"/>
        </w:rPr>
        <w:t xml:space="preserve"> new uniform call rate TK 0.45 per minute which </w:t>
      </w:r>
      <w:r w:rsidR="00A752A5">
        <w:rPr>
          <w:rFonts w:ascii="Times New Roman" w:hAnsi="Times New Roman" w:cs="Times New Roman"/>
          <w:sz w:val="24"/>
          <w:szCs w:val="24"/>
        </w:rPr>
        <w:t>is increased by 6.64% that is</w:t>
      </w:r>
      <w:r w:rsidR="003D032B" w:rsidRPr="003D032B">
        <w:rPr>
          <w:rFonts w:ascii="Times New Roman" w:hAnsi="Times New Roman" w:cs="Times New Roman"/>
          <w:sz w:val="24"/>
          <w:szCs w:val="24"/>
        </w:rPr>
        <w:t xml:space="preserve"> effective from 15 August 2018</w:t>
      </w:r>
      <w:r w:rsidR="003D032B">
        <w:rPr>
          <w:rFonts w:ascii="Times New Roman" w:hAnsi="Times New Roman" w:cs="Times New Roman"/>
          <w:sz w:val="24"/>
          <w:szCs w:val="24"/>
        </w:rPr>
        <w:t>, the</w:t>
      </w:r>
      <w:r w:rsidR="00E3339C">
        <w:rPr>
          <w:rFonts w:ascii="Times New Roman" w:hAnsi="Times New Roman" w:cs="Times New Roman"/>
          <w:sz w:val="24"/>
          <w:szCs w:val="24"/>
        </w:rPr>
        <w:t xml:space="preserve"> monthly</w:t>
      </w:r>
      <w:r w:rsidR="003D032B">
        <w:rPr>
          <w:rFonts w:ascii="Times New Roman" w:hAnsi="Times New Roman" w:cs="Times New Roman"/>
          <w:sz w:val="24"/>
          <w:szCs w:val="24"/>
        </w:rPr>
        <w:t xml:space="preserve"> Voice ARPU will increase</w:t>
      </w:r>
      <w:r w:rsidR="00E3339C">
        <w:rPr>
          <w:rFonts w:ascii="Times New Roman" w:hAnsi="Times New Roman" w:cs="Times New Roman"/>
          <w:sz w:val="24"/>
          <w:szCs w:val="24"/>
        </w:rPr>
        <w:t xml:space="preserve"> by 6.64%</w:t>
      </w:r>
      <w:r w:rsidR="003D032B">
        <w:rPr>
          <w:rFonts w:ascii="Times New Roman" w:hAnsi="Times New Roman" w:cs="Times New Roman"/>
          <w:sz w:val="24"/>
          <w:szCs w:val="24"/>
        </w:rPr>
        <w:t xml:space="preserve"> from </w:t>
      </w:r>
      <w:r w:rsidR="003D032B" w:rsidRPr="003D032B">
        <w:rPr>
          <w:rFonts w:ascii="Times New Roman" w:hAnsi="Times New Roman" w:cs="Times New Roman"/>
          <w:sz w:val="24"/>
          <w:szCs w:val="24"/>
        </w:rPr>
        <w:t>15 August 2018</w:t>
      </w:r>
      <w:r w:rsidR="003D032B">
        <w:rPr>
          <w:rFonts w:ascii="Times New Roman" w:hAnsi="Times New Roman" w:cs="Times New Roman"/>
          <w:sz w:val="24"/>
          <w:szCs w:val="24"/>
        </w:rPr>
        <w:t xml:space="preserve">. </w:t>
      </w:r>
      <w:r w:rsidR="003D032B" w:rsidRPr="003D032B">
        <w:rPr>
          <w:rFonts w:ascii="Times New Roman" w:hAnsi="Times New Roman" w:cs="Times New Roman"/>
          <w:sz w:val="24"/>
          <w:szCs w:val="24"/>
        </w:rPr>
        <w:t>The voice revenue per user which was 1296.68 (annually) in 2017, will be 1328.64 in 2018 and 1382.4 from 2019</w:t>
      </w:r>
      <w:r w:rsidR="003D032B">
        <w:rPr>
          <w:rFonts w:ascii="Times New Roman" w:hAnsi="Times New Roman" w:cs="Times New Roman"/>
          <w:sz w:val="24"/>
          <w:szCs w:val="24"/>
        </w:rPr>
        <w:t>.</w:t>
      </w:r>
      <w:r w:rsidR="005A1F50">
        <w:rPr>
          <w:rFonts w:ascii="Times New Roman" w:hAnsi="Times New Roman" w:cs="Times New Roman"/>
          <w:sz w:val="24"/>
          <w:szCs w:val="24"/>
        </w:rPr>
        <w:t xml:space="preserve"> </w:t>
      </w:r>
      <w:r w:rsidR="005A1F50" w:rsidRPr="005A1F50">
        <w:rPr>
          <w:rFonts w:ascii="Times New Roman" w:hAnsi="Times New Roman" w:cs="Times New Roman"/>
          <w:sz w:val="24"/>
          <w:szCs w:val="24"/>
        </w:rPr>
        <w:t>Data revenue per user</w:t>
      </w:r>
      <w:r w:rsidR="005A1F50">
        <w:rPr>
          <w:rFonts w:ascii="Times New Roman" w:hAnsi="Times New Roman" w:cs="Times New Roman"/>
          <w:sz w:val="24"/>
          <w:szCs w:val="24"/>
        </w:rPr>
        <w:t xml:space="preserve"> of GP has also been calculated by dividing the total data revenue with total data subscriber of 2017. This </w:t>
      </w:r>
      <w:r w:rsidR="005A1F50" w:rsidRPr="005A1F50">
        <w:rPr>
          <w:rFonts w:ascii="Times New Roman" w:hAnsi="Times New Roman" w:cs="Times New Roman"/>
          <w:sz w:val="24"/>
          <w:szCs w:val="24"/>
        </w:rPr>
        <w:t>Data revenue per user</w:t>
      </w:r>
      <w:r w:rsidR="005A1F50">
        <w:rPr>
          <w:rFonts w:ascii="Times New Roman" w:hAnsi="Times New Roman" w:cs="Times New Roman"/>
          <w:sz w:val="24"/>
          <w:szCs w:val="24"/>
        </w:rPr>
        <w:t xml:space="preserve"> has been assumed to be constant from 2018 to 2022. </w:t>
      </w:r>
      <w:r w:rsidR="005A1F50" w:rsidRPr="005A1F50">
        <w:rPr>
          <w:rFonts w:ascii="Times New Roman" w:hAnsi="Times New Roman" w:cs="Times New Roman"/>
          <w:sz w:val="24"/>
          <w:szCs w:val="24"/>
        </w:rPr>
        <w:t>VAS Revenue per user</w:t>
      </w:r>
      <w:r w:rsidR="005A1F50">
        <w:rPr>
          <w:rFonts w:ascii="Times New Roman" w:hAnsi="Times New Roman" w:cs="Times New Roman"/>
          <w:sz w:val="24"/>
          <w:szCs w:val="24"/>
        </w:rPr>
        <w:t xml:space="preserve"> has been calculated by dividing the VAS revenue with the voice subscriber of 2017 and it is assumed to be constant </w:t>
      </w:r>
      <w:r w:rsidR="005A1F50" w:rsidRPr="005A1F50">
        <w:rPr>
          <w:rFonts w:ascii="Times New Roman" w:hAnsi="Times New Roman" w:cs="Times New Roman"/>
          <w:sz w:val="24"/>
          <w:szCs w:val="24"/>
        </w:rPr>
        <w:t>from 2018 to 2022.</w:t>
      </w:r>
    </w:p>
    <w:p w:rsidR="00386041" w:rsidRDefault="009069B4" w:rsidP="008C707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From the total revenue, revenue from </w:t>
      </w:r>
      <w:r w:rsidRPr="009069B4">
        <w:rPr>
          <w:rFonts w:ascii="Times New Roman" w:hAnsi="Times New Roman" w:cs="Times New Roman"/>
          <w:sz w:val="24"/>
          <w:szCs w:val="24"/>
        </w:rPr>
        <w:t>Mobile Communication</w:t>
      </w:r>
      <w:r>
        <w:rPr>
          <w:rFonts w:ascii="Times New Roman" w:hAnsi="Times New Roman" w:cs="Times New Roman"/>
          <w:sz w:val="24"/>
          <w:szCs w:val="24"/>
        </w:rPr>
        <w:t xml:space="preserve"> is assumed to be </w:t>
      </w:r>
      <w:r w:rsidRPr="009069B4">
        <w:rPr>
          <w:rFonts w:ascii="Times New Roman" w:hAnsi="Times New Roman" w:cs="Times New Roman"/>
          <w:sz w:val="24"/>
          <w:szCs w:val="24"/>
        </w:rPr>
        <w:t>99.856%</w:t>
      </w:r>
      <w:r>
        <w:rPr>
          <w:rFonts w:ascii="Times New Roman" w:hAnsi="Times New Roman" w:cs="Times New Roman"/>
          <w:sz w:val="24"/>
          <w:szCs w:val="24"/>
        </w:rPr>
        <w:t xml:space="preserve"> from 2018 to 2022 based on previous data. Revenue from </w:t>
      </w:r>
      <w:r w:rsidRPr="009069B4">
        <w:rPr>
          <w:rFonts w:ascii="Times New Roman" w:hAnsi="Times New Roman" w:cs="Times New Roman"/>
          <w:sz w:val="24"/>
          <w:szCs w:val="24"/>
        </w:rPr>
        <w:t>Interconnection</w:t>
      </w:r>
      <w:r>
        <w:rPr>
          <w:rFonts w:ascii="Times New Roman" w:hAnsi="Times New Roman" w:cs="Times New Roman"/>
          <w:sz w:val="24"/>
          <w:szCs w:val="24"/>
        </w:rPr>
        <w:t xml:space="preserve"> of the </w:t>
      </w:r>
      <w:r w:rsidRPr="009069B4">
        <w:rPr>
          <w:rFonts w:ascii="Times New Roman" w:hAnsi="Times New Roman" w:cs="Times New Roman"/>
          <w:sz w:val="24"/>
          <w:szCs w:val="24"/>
        </w:rPr>
        <w:t>revenue from Mobile Communication</w:t>
      </w:r>
      <w:r>
        <w:rPr>
          <w:rFonts w:ascii="Times New Roman" w:hAnsi="Times New Roman" w:cs="Times New Roman"/>
          <w:sz w:val="24"/>
          <w:szCs w:val="24"/>
        </w:rPr>
        <w:t xml:space="preserve"> is assumed to be 6%, 5%, 4.5%. 4 % and 3% from 2018 to 2022 respectively.</w:t>
      </w:r>
      <w:r w:rsidR="00C97A2B">
        <w:rPr>
          <w:rFonts w:ascii="Times New Roman" w:hAnsi="Times New Roman" w:cs="Times New Roman"/>
          <w:sz w:val="24"/>
          <w:szCs w:val="24"/>
        </w:rPr>
        <w:t xml:space="preserve"> Revenue from </w:t>
      </w:r>
      <w:r w:rsidR="00C97A2B" w:rsidRPr="00C97A2B">
        <w:rPr>
          <w:rFonts w:ascii="Times New Roman" w:hAnsi="Times New Roman" w:cs="Times New Roman"/>
          <w:sz w:val="24"/>
          <w:szCs w:val="24"/>
        </w:rPr>
        <w:t>Customer Equipment</w:t>
      </w:r>
      <w:r w:rsidR="00C97A2B">
        <w:rPr>
          <w:rFonts w:ascii="Times New Roman" w:hAnsi="Times New Roman" w:cs="Times New Roman"/>
          <w:sz w:val="24"/>
          <w:szCs w:val="24"/>
        </w:rPr>
        <w:t xml:space="preserve"> and Other are assumed to be 0.02% and </w:t>
      </w:r>
      <w:r w:rsidR="008C7078">
        <w:rPr>
          <w:rFonts w:ascii="Times New Roman" w:hAnsi="Times New Roman" w:cs="Times New Roman"/>
          <w:sz w:val="24"/>
          <w:szCs w:val="24"/>
        </w:rPr>
        <w:t>.13%</w:t>
      </w:r>
      <w:r w:rsidR="00C97A2B">
        <w:rPr>
          <w:rFonts w:ascii="Times New Roman" w:hAnsi="Times New Roman" w:cs="Times New Roman"/>
          <w:sz w:val="24"/>
          <w:szCs w:val="24"/>
        </w:rPr>
        <w:t xml:space="preserve"> </w:t>
      </w:r>
      <w:r w:rsidR="008C7078">
        <w:rPr>
          <w:rFonts w:ascii="Times New Roman" w:hAnsi="Times New Roman" w:cs="Times New Roman"/>
          <w:sz w:val="24"/>
          <w:szCs w:val="24"/>
        </w:rPr>
        <w:t>of</w:t>
      </w:r>
      <w:r w:rsidR="00C97A2B">
        <w:rPr>
          <w:rFonts w:ascii="Times New Roman" w:hAnsi="Times New Roman" w:cs="Times New Roman"/>
          <w:sz w:val="24"/>
          <w:szCs w:val="24"/>
        </w:rPr>
        <w:t xml:space="preserve"> the total revenue.</w:t>
      </w:r>
    </w:p>
    <w:p w:rsidR="003430FD" w:rsidRDefault="00386041" w:rsidP="009A0B0A">
      <w:pPr>
        <w:pStyle w:val="ListParagraph"/>
        <w:numPr>
          <w:ilvl w:val="0"/>
          <w:numId w:val="16"/>
        </w:numPr>
        <w:spacing w:line="360" w:lineRule="auto"/>
        <w:jc w:val="both"/>
        <w:rPr>
          <w:rFonts w:ascii="Times New Roman" w:hAnsi="Times New Roman" w:cs="Times New Roman"/>
          <w:sz w:val="24"/>
          <w:szCs w:val="24"/>
        </w:rPr>
      </w:pPr>
      <w:r w:rsidRPr="009A0B0A">
        <w:rPr>
          <w:rFonts w:ascii="Times New Roman" w:hAnsi="Times New Roman" w:cs="Times New Roman"/>
          <w:b/>
          <w:sz w:val="24"/>
          <w:szCs w:val="24"/>
        </w:rPr>
        <w:t>Operating expenses</w:t>
      </w:r>
      <w:r w:rsidRPr="009A0B0A">
        <w:rPr>
          <w:rFonts w:ascii="Times New Roman" w:hAnsi="Times New Roman" w:cs="Times New Roman"/>
          <w:sz w:val="24"/>
          <w:szCs w:val="24"/>
        </w:rPr>
        <w:t xml:space="preserve">: </w:t>
      </w:r>
    </w:p>
    <w:p w:rsidR="00CD0A92" w:rsidRDefault="00E363A9" w:rsidP="001941D7">
      <w:pPr>
        <w:spacing w:line="360" w:lineRule="auto"/>
        <w:jc w:val="both"/>
        <w:rPr>
          <w:rFonts w:ascii="Times New Roman" w:hAnsi="Times New Roman" w:cs="Times New Roman"/>
          <w:sz w:val="24"/>
          <w:szCs w:val="24"/>
        </w:rPr>
      </w:pPr>
      <w:r w:rsidRPr="003430FD">
        <w:rPr>
          <w:rFonts w:ascii="Times New Roman" w:hAnsi="Times New Roman" w:cs="Times New Roman"/>
          <w:sz w:val="24"/>
          <w:szCs w:val="24"/>
        </w:rPr>
        <w:t>GP’s operating expenses include cost of material and traffic charges, Salaries and personnel cost, Operation and maintenance cost, Sales, marketing and commissions cost, Revenue sharing, spectrum charges and license fees, Other operating (expenses)/income and</w:t>
      </w:r>
      <w:r w:rsidR="00CD0A92">
        <w:rPr>
          <w:rFonts w:ascii="Times New Roman" w:hAnsi="Times New Roman" w:cs="Times New Roman"/>
          <w:sz w:val="24"/>
          <w:szCs w:val="24"/>
        </w:rPr>
        <w:t xml:space="preserve"> Depreciation and amortization.</w:t>
      </w:r>
    </w:p>
    <w:tbl>
      <w:tblPr>
        <w:tblW w:w="5000" w:type="pct"/>
        <w:tblLayout w:type="fixed"/>
        <w:tblLook w:val="04A0" w:firstRow="1" w:lastRow="0" w:firstColumn="1" w:lastColumn="0" w:noHBand="0" w:noVBand="1"/>
      </w:tblPr>
      <w:tblGrid>
        <w:gridCol w:w="1951"/>
        <w:gridCol w:w="765"/>
        <w:gridCol w:w="764"/>
        <w:gridCol w:w="848"/>
        <w:gridCol w:w="739"/>
        <w:gridCol w:w="701"/>
        <w:gridCol w:w="762"/>
        <w:gridCol w:w="762"/>
        <w:gridCol w:w="762"/>
        <w:gridCol w:w="762"/>
        <w:gridCol w:w="760"/>
      </w:tblGrid>
      <w:tr w:rsidR="00CD0A92" w:rsidRPr="006545CA" w:rsidTr="003D73D9">
        <w:trPr>
          <w:trHeight w:val="315"/>
        </w:trPr>
        <w:tc>
          <w:tcPr>
            <w:tcW w:w="5000" w:type="pct"/>
            <w:gridSpan w:val="11"/>
            <w:tcBorders>
              <w:top w:val="single" w:sz="8" w:space="0" w:color="auto"/>
              <w:left w:val="single" w:sz="8" w:space="0" w:color="auto"/>
              <w:bottom w:val="nil"/>
              <w:right w:val="single" w:sz="8" w:space="0" w:color="000000"/>
            </w:tcBorders>
            <w:shd w:val="clear" w:color="000000" w:fill="FFFFFF"/>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Operating Expenses percentage of Revenue</w:t>
            </w:r>
          </w:p>
        </w:tc>
      </w:tr>
      <w:tr w:rsidR="00CD0A92" w:rsidRPr="006545CA" w:rsidTr="003D73D9">
        <w:trPr>
          <w:trHeight w:val="315"/>
        </w:trPr>
        <w:tc>
          <w:tcPr>
            <w:tcW w:w="1018" w:type="pct"/>
            <w:tcBorders>
              <w:top w:val="single" w:sz="8" w:space="0" w:color="auto"/>
              <w:left w:val="single" w:sz="8" w:space="0" w:color="auto"/>
              <w:bottom w:val="single" w:sz="8" w:space="0" w:color="auto"/>
              <w:right w:val="single" w:sz="4" w:space="0" w:color="B2B2B2"/>
            </w:tcBorders>
            <w:shd w:val="clear" w:color="000000" w:fill="FFFFCC"/>
            <w:vAlign w:val="bottom"/>
            <w:hideMark/>
          </w:tcPr>
          <w:p w:rsidR="00CD0A92" w:rsidRPr="006545CA" w:rsidRDefault="00CD0A92" w:rsidP="003D73D9">
            <w:pPr>
              <w:spacing w:after="0" w:line="240" w:lineRule="auto"/>
              <w:rPr>
                <w:rFonts w:ascii="Calibri" w:eastAsia="Times New Roman" w:hAnsi="Calibri" w:cs="Calibri"/>
                <w:b/>
                <w:bCs/>
                <w:color w:val="000000"/>
              </w:rPr>
            </w:pPr>
            <w:r w:rsidRPr="006545CA">
              <w:rPr>
                <w:rFonts w:ascii="Calibri" w:eastAsia="Times New Roman" w:hAnsi="Calibri" w:cs="Calibri"/>
                <w:b/>
                <w:bCs/>
                <w:color w:val="000000"/>
              </w:rPr>
              <w:t> </w:t>
            </w:r>
          </w:p>
        </w:tc>
        <w:tc>
          <w:tcPr>
            <w:tcW w:w="399" w:type="pct"/>
            <w:tcBorders>
              <w:top w:val="single" w:sz="8" w:space="0" w:color="auto"/>
              <w:left w:val="nil"/>
              <w:bottom w:val="single" w:sz="8" w:space="0" w:color="auto"/>
              <w:right w:val="single" w:sz="4" w:space="0" w:color="B2B2B2"/>
            </w:tcBorders>
            <w:shd w:val="clear" w:color="000000" w:fill="FCD5B4"/>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2013</w:t>
            </w:r>
          </w:p>
        </w:tc>
        <w:tc>
          <w:tcPr>
            <w:tcW w:w="399" w:type="pct"/>
            <w:tcBorders>
              <w:top w:val="single" w:sz="8" w:space="0" w:color="auto"/>
              <w:left w:val="nil"/>
              <w:bottom w:val="single" w:sz="8" w:space="0" w:color="auto"/>
              <w:right w:val="single" w:sz="4" w:space="0" w:color="B2B2B2"/>
            </w:tcBorders>
            <w:shd w:val="clear" w:color="000000" w:fill="FCD5B4"/>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2014</w:t>
            </w:r>
          </w:p>
        </w:tc>
        <w:tc>
          <w:tcPr>
            <w:tcW w:w="443" w:type="pct"/>
            <w:tcBorders>
              <w:top w:val="single" w:sz="8" w:space="0" w:color="auto"/>
              <w:left w:val="nil"/>
              <w:bottom w:val="single" w:sz="8" w:space="0" w:color="auto"/>
              <w:right w:val="single" w:sz="4" w:space="0" w:color="B2B2B2"/>
            </w:tcBorders>
            <w:shd w:val="clear" w:color="000000" w:fill="FCD5B4"/>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2015</w:t>
            </w:r>
          </w:p>
        </w:tc>
        <w:tc>
          <w:tcPr>
            <w:tcW w:w="386" w:type="pct"/>
            <w:tcBorders>
              <w:top w:val="single" w:sz="8" w:space="0" w:color="auto"/>
              <w:left w:val="nil"/>
              <w:bottom w:val="single" w:sz="8" w:space="0" w:color="auto"/>
              <w:right w:val="single" w:sz="4" w:space="0" w:color="B2B2B2"/>
            </w:tcBorders>
            <w:shd w:val="clear" w:color="000000" w:fill="FCD5B4"/>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2016</w:t>
            </w:r>
          </w:p>
        </w:tc>
        <w:tc>
          <w:tcPr>
            <w:tcW w:w="366" w:type="pct"/>
            <w:tcBorders>
              <w:top w:val="single" w:sz="8" w:space="0" w:color="auto"/>
              <w:left w:val="nil"/>
              <w:bottom w:val="single" w:sz="8" w:space="0" w:color="auto"/>
              <w:right w:val="single" w:sz="4" w:space="0" w:color="B2B2B2"/>
            </w:tcBorders>
            <w:shd w:val="clear" w:color="000000" w:fill="FCD5B4"/>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2017</w:t>
            </w:r>
          </w:p>
        </w:tc>
        <w:tc>
          <w:tcPr>
            <w:tcW w:w="398" w:type="pct"/>
            <w:tcBorders>
              <w:top w:val="single" w:sz="8" w:space="0" w:color="auto"/>
              <w:left w:val="single" w:sz="4" w:space="0" w:color="7F7F7F"/>
              <w:bottom w:val="single" w:sz="8" w:space="0" w:color="auto"/>
              <w:right w:val="single" w:sz="4" w:space="0" w:color="7F7F7F"/>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FA7D00"/>
              </w:rPr>
            </w:pPr>
            <w:r w:rsidRPr="006545CA">
              <w:rPr>
                <w:rFonts w:ascii="Calibri" w:eastAsia="Times New Roman" w:hAnsi="Calibri" w:cs="Calibri"/>
                <w:b/>
                <w:bCs/>
                <w:color w:val="FA7D00"/>
              </w:rPr>
              <w:t>2018E</w:t>
            </w:r>
          </w:p>
        </w:tc>
        <w:tc>
          <w:tcPr>
            <w:tcW w:w="398" w:type="pct"/>
            <w:tcBorders>
              <w:top w:val="single" w:sz="8" w:space="0" w:color="auto"/>
              <w:left w:val="nil"/>
              <w:bottom w:val="single" w:sz="8" w:space="0" w:color="auto"/>
              <w:right w:val="single" w:sz="4" w:space="0" w:color="7F7F7F"/>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FA7D00"/>
              </w:rPr>
            </w:pPr>
            <w:r w:rsidRPr="006545CA">
              <w:rPr>
                <w:rFonts w:ascii="Calibri" w:eastAsia="Times New Roman" w:hAnsi="Calibri" w:cs="Calibri"/>
                <w:b/>
                <w:bCs/>
                <w:color w:val="FA7D00"/>
              </w:rPr>
              <w:t>2019E</w:t>
            </w:r>
          </w:p>
        </w:tc>
        <w:tc>
          <w:tcPr>
            <w:tcW w:w="398" w:type="pct"/>
            <w:tcBorders>
              <w:top w:val="single" w:sz="8" w:space="0" w:color="auto"/>
              <w:left w:val="nil"/>
              <w:bottom w:val="single" w:sz="8" w:space="0" w:color="auto"/>
              <w:right w:val="single" w:sz="4" w:space="0" w:color="7F7F7F"/>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FA7D00"/>
              </w:rPr>
            </w:pPr>
            <w:r w:rsidRPr="006545CA">
              <w:rPr>
                <w:rFonts w:ascii="Calibri" w:eastAsia="Times New Roman" w:hAnsi="Calibri" w:cs="Calibri"/>
                <w:b/>
                <w:bCs/>
                <w:color w:val="FA7D00"/>
              </w:rPr>
              <w:t>2020E</w:t>
            </w:r>
          </w:p>
        </w:tc>
        <w:tc>
          <w:tcPr>
            <w:tcW w:w="398" w:type="pct"/>
            <w:tcBorders>
              <w:top w:val="single" w:sz="8" w:space="0" w:color="auto"/>
              <w:left w:val="nil"/>
              <w:bottom w:val="single" w:sz="8" w:space="0" w:color="auto"/>
              <w:right w:val="single" w:sz="4" w:space="0" w:color="7F7F7F"/>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FA7D00"/>
              </w:rPr>
            </w:pPr>
            <w:r w:rsidRPr="006545CA">
              <w:rPr>
                <w:rFonts w:ascii="Calibri" w:eastAsia="Times New Roman" w:hAnsi="Calibri" w:cs="Calibri"/>
                <w:b/>
                <w:bCs/>
                <w:color w:val="FA7D00"/>
              </w:rPr>
              <w:t>2021E</w:t>
            </w:r>
          </w:p>
        </w:tc>
        <w:tc>
          <w:tcPr>
            <w:tcW w:w="398" w:type="pct"/>
            <w:tcBorders>
              <w:top w:val="single" w:sz="8" w:space="0" w:color="auto"/>
              <w:left w:val="nil"/>
              <w:bottom w:val="single" w:sz="8" w:space="0" w:color="auto"/>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FA7D00"/>
              </w:rPr>
            </w:pPr>
            <w:r w:rsidRPr="006545CA">
              <w:rPr>
                <w:rFonts w:ascii="Calibri" w:eastAsia="Times New Roman" w:hAnsi="Calibri" w:cs="Calibri"/>
                <w:b/>
                <w:bCs/>
                <w:color w:val="FA7D00"/>
              </w:rPr>
              <w:t>2022E</w:t>
            </w:r>
          </w:p>
        </w:tc>
      </w:tr>
      <w:tr w:rsidR="00CD0A92" w:rsidRPr="006545CA" w:rsidTr="003D73D9">
        <w:trPr>
          <w:trHeight w:val="3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b/>
                <w:bCs/>
                <w:color w:val="000000"/>
              </w:rPr>
            </w:pPr>
            <w:r w:rsidRPr="006545CA">
              <w:rPr>
                <w:rFonts w:ascii="Calibri" w:eastAsia="Times New Roman" w:hAnsi="Calibri" w:cs="Calibri"/>
                <w:b/>
                <w:bCs/>
                <w:color w:val="000000"/>
              </w:rPr>
              <w:t>Operating expenses</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 </w:t>
            </w:r>
          </w:p>
        </w:tc>
      </w:tr>
      <w:tr w:rsidR="00CD0A92" w:rsidRPr="006545CA" w:rsidTr="003D73D9">
        <w:trPr>
          <w:trHeight w:val="6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Cost of material and traffic charges</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8.7%</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9.3%</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10.2%</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9.3%</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8.0%</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5.5%</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5.5%</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5.5%</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5.5%</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5.5%</w:t>
            </w:r>
          </w:p>
        </w:tc>
      </w:tr>
      <w:tr w:rsidR="00CD0A92" w:rsidRPr="006545CA" w:rsidTr="003D73D9">
        <w:trPr>
          <w:trHeight w:val="6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Salaries and personnel cost</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7.3%</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6.3%</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6.1%</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7.2%</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6.9%</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6.8%</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6.8%</w:t>
            </w:r>
          </w:p>
        </w:tc>
      </w:tr>
      <w:tr w:rsidR="00CD0A92" w:rsidRPr="006545CA" w:rsidTr="003D73D9">
        <w:trPr>
          <w:trHeight w:val="6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Operation and maintenance</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5.2%</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4.9%</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3.3%</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3.1%</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4.2%</w:t>
            </w:r>
          </w:p>
        </w:tc>
      </w:tr>
      <w:tr w:rsidR="00CD0A92" w:rsidRPr="006545CA" w:rsidTr="003D73D9">
        <w:trPr>
          <w:trHeight w:val="6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Sales, marketing and commissions</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15.0%</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12.9%</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12.3%</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10.9%</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8.8%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10.1%</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10.1%</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10.1%</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10.1%</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10.1%</w:t>
            </w:r>
          </w:p>
        </w:tc>
      </w:tr>
      <w:tr w:rsidR="00CD0A92" w:rsidRPr="006545CA" w:rsidTr="003D73D9">
        <w:trPr>
          <w:trHeight w:val="9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Revenue sharing, spectrum charges and license fees</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7.9%</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7.9%</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7.8%</w:t>
            </w:r>
          </w:p>
        </w:tc>
      </w:tr>
      <w:tr w:rsidR="00CD0A92" w:rsidRPr="006545CA" w:rsidTr="003D73D9">
        <w:trPr>
          <w:trHeight w:val="9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Other operating (expenses)/income, net</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5.8%</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5.6%</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5.8%</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7.1%</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8.5%</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6.6%</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6.6%</w:t>
            </w:r>
          </w:p>
        </w:tc>
      </w:tr>
      <w:tr w:rsidR="00CD0A92" w:rsidRPr="006545CA" w:rsidTr="003D73D9">
        <w:trPr>
          <w:trHeight w:val="600"/>
        </w:trPr>
        <w:tc>
          <w:tcPr>
            <w:tcW w:w="1018" w:type="pct"/>
            <w:tcBorders>
              <w:top w:val="nil"/>
              <w:left w:val="single" w:sz="8" w:space="0" w:color="auto"/>
              <w:bottom w:val="nil"/>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color w:val="000000"/>
              </w:rPr>
            </w:pPr>
            <w:r w:rsidRPr="006545CA">
              <w:rPr>
                <w:rFonts w:ascii="Calibri" w:eastAsia="Times New Roman" w:hAnsi="Calibri" w:cs="Calibri"/>
                <w:color w:val="000000"/>
              </w:rPr>
              <w:t>Depreciation and amortization</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15.9%</w:t>
            </w:r>
          </w:p>
        </w:tc>
        <w:tc>
          <w:tcPr>
            <w:tcW w:w="399"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17.2%</w:t>
            </w:r>
          </w:p>
        </w:tc>
        <w:tc>
          <w:tcPr>
            <w:tcW w:w="443"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18.1%</w:t>
            </w:r>
          </w:p>
        </w:tc>
        <w:tc>
          <w:tcPr>
            <w:tcW w:w="38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18.3%</w:t>
            </w:r>
          </w:p>
        </w:tc>
        <w:tc>
          <w:tcPr>
            <w:tcW w:w="366" w:type="pct"/>
            <w:tcBorders>
              <w:top w:val="nil"/>
              <w:left w:val="nil"/>
              <w:bottom w:val="nil"/>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18.2%</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14.6%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13.6%</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12.8%</w:t>
            </w:r>
          </w:p>
        </w:tc>
        <w:tc>
          <w:tcPr>
            <w:tcW w:w="398" w:type="pct"/>
            <w:tcBorders>
              <w:top w:val="nil"/>
              <w:left w:val="nil"/>
              <w:bottom w:val="nil"/>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13.8%</w:t>
            </w:r>
          </w:p>
        </w:tc>
        <w:tc>
          <w:tcPr>
            <w:tcW w:w="398" w:type="pct"/>
            <w:tcBorders>
              <w:top w:val="nil"/>
              <w:left w:val="nil"/>
              <w:bottom w:val="nil"/>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color w:val="000000"/>
              </w:rPr>
            </w:pPr>
            <w:r w:rsidRPr="006545CA">
              <w:rPr>
                <w:rFonts w:ascii="Calibri" w:eastAsia="Times New Roman" w:hAnsi="Calibri" w:cs="Calibri"/>
                <w:color w:val="000000"/>
              </w:rPr>
              <w:t>13.7%</w:t>
            </w:r>
          </w:p>
        </w:tc>
      </w:tr>
      <w:tr w:rsidR="00CD0A92" w:rsidRPr="006545CA" w:rsidTr="003D73D9">
        <w:trPr>
          <w:trHeight w:val="615"/>
        </w:trPr>
        <w:tc>
          <w:tcPr>
            <w:tcW w:w="1018" w:type="pct"/>
            <w:tcBorders>
              <w:top w:val="nil"/>
              <w:left w:val="single" w:sz="8" w:space="0" w:color="auto"/>
              <w:bottom w:val="single" w:sz="8" w:space="0" w:color="auto"/>
              <w:right w:val="nil"/>
            </w:tcBorders>
            <w:shd w:val="clear" w:color="auto" w:fill="auto"/>
            <w:vAlign w:val="center"/>
            <w:hideMark/>
          </w:tcPr>
          <w:p w:rsidR="00CD0A92" w:rsidRPr="006545CA" w:rsidRDefault="00CD0A92" w:rsidP="003D73D9">
            <w:pPr>
              <w:spacing w:after="0" w:line="240" w:lineRule="auto"/>
              <w:rPr>
                <w:rFonts w:ascii="Calibri" w:eastAsia="Times New Roman" w:hAnsi="Calibri" w:cs="Calibri"/>
                <w:b/>
                <w:bCs/>
                <w:color w:val="000000"/>
              </w:rPr>
            </w:pPr>
            <w:r w:rsidRPr="006545CA">
              <w:rPr>
                <w:rFonts w:ascii="Calibri" w:eastAsia="Times New Roman" w:hAnsi="Calibri" w:cs="Calibri"/>
                <w:b/>
                <w:bCs/>
                <w:color w:val="000000"/>
              </w:rPr>
              <w:t>Total Operating expenses</w:t>
            </w:r>
          </w:p>
        </w:tc>
        <w:tc>
          <w:tcPr>
            <w:tcW w:w="399" w:type="pct"/>
            <w:tcBorders>
              <w:top w:val="nil"/>
              <w:left w:val="nil"/>
              <w:bottom w:val="single" w:sz="8" w:space="0" w:color="auto"/>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65.6%</w:t>
            </w:r>
          </w:p>
        </w:tc>
        <w:tc>
          <w:tcPr>
            <w:tcW w:w="399" w:type="pct"/>
            <w:tcBorders>
              <w:top w:val="nil"/>
              <w:left w:val="nil"/>
              <w:bottom w:val="single" w:sz="8" w:space="0" w:color="auto"/>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64.1%</w:t>
            </w:r>
          </w:p>
        </w:tc>
        <w:tc>
          <w:tcPr>
            <w:tcW w:w="443" w:type="pct"/>
            <w:tcBorders>
              <w:top w:val="nil"/>
              <w:left w:val="nil"/>
              <w:bottom w:val="single" w:sz="8" w:space="0" w:color="auto"/>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64.7%</w:t>
            </w:r>
          </w:p>
        </w:tc>
        <w:tc>
          <w:tcPr>
            <w:tcW w:w="386" w:type="pct"/>
            <w:tcBorders>
              <w:top w:val="nil"/>
              <w:left w:val="nil"/>
              <w:bottom w:val="single" w:sz="8" w:space="0" w:color="auto"/>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63.8%</w:t>
            </w:r>
          </w:p>
        </w:tc>
        <w:tc>
          <w:tcPr>
            <w:tcW w:w="366" w:type="pct"/>
            <w:tcBorders>
              <w:top w:val="nil"/>
              <w:left w:val="nil"/>
              <w:bottom w:val="single" w:sz="8" w:space="0" w:color="auto"/>
              <w:right w:val="nil"/>
            </w:tcBorders>
            <w:shd w:val="clear" w:color="000000" w:fill="FDE9D9"/>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61.1%</w:t>
            </w:r>
          </w:p>
        </w:tc>
        <w:tc>
          <w:tcPr>
            <w:tcW w:w="398" w:type="pct"/>
            <w:tcBorders>
              <w:top w:val="nil"/>
              <w:left w:val="nil"/>
              <w:bottom w:val="single" w:sz="8" w:space="0" w:color="auto"/>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55.6%</w:t>
            </w:r>
          </w:p>
        </w:tc>
        <w:tc>
          <w:tcPr>
            <w:tcW w:w="398" w:type="pct"/>
            <w:tcBorders>
              <w:top w:val="nil"/>
              <w:left w:val="nil"/>
              <w:bottom w:val="single" w:sz="8" w:space="0" w:color="auto"/>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54.5%</w:t>
            </w:r>
          </w:p>
        </w:tc>
        <w:tc>
          <w:tcPr>
            <w:tcW w:w="398" w:type="pct"/>
            <w:tcBorders>
              <w:top w:val="nil"/>
              <w:left w:val="nil"/>
              <w:bottom w:val="single" w:sz="8" w:space="0" w:color="auto"/>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53.7%</w:t>
            </w:r>
          </w:p>
        </w:tc>
        <w:tc>
          <w:tcPr>
            <w:tcW w:w="398" w:type="pct"/>
            <w:tcBorders>
              <w:top w:val="nil"/>
              <w:left w:val="nil"/>
              <w:bottom w:val="single" w:sz="8" w:space="0" w:color="auto"/>
              <w:right w:val="nil"/>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54.7%</w:t>
            </w:r>
          </w:p>
        </w:tc>
        <w:tc>
          <w:tcPr>
            <w:tcW w:w="398" w:type="pct"/>
            <w:tcBorders>
              <w:top w:val="nil"/>
              <w:left w:val="nil"/>
              <w:bottom w:val="single" w:sz="8" w:space="0" w:color="auto"/>
              <w:right w:val="single" w:sz="8" w:space="0" w:color="auto"/>
            </w:tcBorders>
            <w:shd w:val="clear" w:color="000000" w:fill="F2F2F2"/>
            <w:noWrap/>
            <w:vAlign w:val="center"/>
            <w:hideMark/>
          </w:tcPr>
          <w:p w:rsidR="00CD0A92" w:rsidRPr="006545CA" w:rsidRDefault="00CD0A92" w:rsidP="003D73D9">
            <w:pPr>
              <w:spacing w:after="0" w:line="240" w:lineRule="auto"/>
              <w:jc w:val="center"/>
              <w:rPr>
                <w:rFonts w:ascii="Calibri" w:eastAsia="Times New Roman" w:hAnsi="Calibri" w:cs="Calibri"/>
                <w:b/>
                <w:bCs/>
                <w:color w:val="000000"/>
              </w:rPr>
            </w:pPr>
            <w:r w:rsidRPr="006545CA">
              <w:rPr>
                <w:rFonts w:ascii="Calibri" w:eastAsia="Times New Roman" w:hAnsi="Calibri" w:cs="Calibri"/>
                <w:b/>
                <w:bCs/>
                <w:color w:val="000000"/>
              </w:rPr>
              <w:t>54.6%</w:t>
            </w:r>
          </w:p>
        </w:tc>
      </w:tr>
    </w:tbl>
    <w:p w:rsidR="00CD0A92" w:rsidRDefault="00CD0A92" w:rsidP="001941D7">
      <w:pPr>
        <w:spacing w:line="360" w:lineRule="auto"/>
        <w:jc w:val="both"/>
        <w:rPr>
          <w:rFonts w:ascii="Times New Roman" w:hAnsi="Times New Roman" w:cs="Times New Roman"/>
          <w:sz w:val="24"/>
          <w:szCs w:val="24"/>
        </w:rPr>
      </w:pPr>
    </w:p>
    <w:p w:rsidR="006545CA" w:rsidRPr="008C7078" w:rsidRDefault="00E915DB" w:rsidP="008C70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Initially to calculate the operating expenses, except from the depreciation and amortization expense each of the operating expenses from 2013 to 2017 are expressed as the percentage of </w:t>
      </w:r>
      <w:r>
        <w:rPr>
          <w:rFonts w:ascii="Times New Roman" w:hAnsi="Times New Roman" w:cs="Times New Roman"/>
          <w:sz w:val="24"/>
          <w:szCs w:val="24"/>
        </w:rPr>
        <w:lastRenderedPageBreak/>
        <w:t>revenue. Then the average of each of the operating expenses of past five years are assumed as the operating expenses for the next five years and the percentages will be the percentage of the revenue.</w:t>
      </w:r>
      <w:r w:rsidR="00395CA8">
        <w:rPr>
          <w:rFonts w:ascii="Times New Roman" w:hAnsi="Times New Roman" w:cs="Times New Roman"/>
          <w:sz w:val="24"/>
          <w:szCs w:val="24"/>
        </w:rPr>
        <w:t xml:space="preserve"> Government reduces VAT from 15 percent to 5 percent, so it is assumed that cost of material and traffic charges may decrease. It is assumed that it will 5.5 percent of the revenue. </w:t>
      </w:r>
    </w:p>
    <w:p w:rsidR="002556F4" w:rsidRPr="002556F4" w:rsidRDefault="001965EA" w:rsidP="00A714C8">
      <w:pPr>
        <w:spacing w:line="360" w:lineRule="auto"/>
        <w:jc w:val="both"/>
        <w:rPr>
          <w:rFonts w:ascii="Times New Roman" w:hAnsi="Times New Roman" w:cs="Times New Roman"/>
          <w:b/>
          <w:sz w:val="24"/>
          <w:szCs w:val="24"/>
        </w:rPr>
      </w:pPr>
      <w:r w:rsidRPr="002556F4">
        <w:rPr>
          <w:rFonts w:ascii="Times New Roman" w:hAnsi="Times New Roman" w:cs="Times New Roman"/>
          <w:b/>
          <w:sz w:val="24"/>
          <w:szCs w:val="24"/>
        </w:rPr>
        <w:t xml:space="preserve">Asset Management of GP: </w:t>
      </w:r>
    </w:p>
    <w:p w:rsidR="006545CA" w:rsidRDefault="008C7078" w:rsidP="004C6602">
      <w:pPr>
        <w:spacing w:line="360" w:lineRule="auto"/>
        <w:jc w:val="both"/>
        <w:rPr>
          <w:rFonts w:ascii="Times New Roman" w:hAnsi="Times New Roman" w:cs="Times New Roman"/>
          <w:sz w:val="24"/>
          <w:szCs w:val="24"/>
        </w:rPr>
      </w:pPr>
      <w:r>
        <w:rPr>
          <w:noProof/>
        </w:rPr>
        <w:drawing>
          <wp:anchor distT="0" distB="0" distL="114300" distR="114300" simplePos="0" relativeHeight="251682816" behindDoc="0" locked="0" layoutInCell="1" allowOverlap="1" wp14:anchorId="2FC9F752" wp14:editId="7221CF7D">
            <wp:simplePos x="0" y="0"/>
            <wp:positionH relativeFrom="margin">
              <wp:posOffset>2317750</wp:posOffset>
            </wp:positionH>
            <wp:positionV relativeFrom="margin">
              <wp:posOffset>1211580</wp:posOffset>
            </wp:positionV>
            <wp:extent cx="3710305" cy="3326765"/>
            <wp:effectExtent l="0" t="0" r="4445" b="6985"/>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420537">
        <w:rPr>
          <w:rFonts w:ascii="Times New Roman" w:hAnsi="Times New Roman" w:cs="Times New Roman"/>
          <w:sz w:val="24"/>
          <w:szCs w:val="24"/>
        </w:rPr>
        <w:t xml:space="preserve">It is assumed that </w:t>
      </w:r>
      <w:r w:rsidR="00420537" w:rsidRPr="00416340">
        <w:rPr>
          <w:rFonts w:ascii="Times New Roman" w:hAnsi="Times New Roman" w:cs="Times New Roman"/>
          <w:b/>
          <w:sz w:val="24"/>
          <w:szCs w:val="24"/>
        </w:rPr>
        <w:t>receivables turnover ratio</w:t>
      </w:r>
      <w:r w:rsidR="00420537">
        <w:rPr>
          <w:rFonts w:ascii="Times New Roman" w:hAnsi="Times New Roman" w:cs="Times New Roman"/>
          <w:sz w:val="24"/>
          <w:szCs w:val="24"/>
        </w:rPr>
        <w:t xml:space="preserve"> of GP may increase, as from the trend line the ratio is increasing from 2013 to 2017.</w:t>
      </w:r>
      <w:r w:rsidR="00D122E2">
        <w:rPr>
          <w:rFonts w:ascii="Times New Roman" w:hAnsi="Times New Roman" w:cs="Times New Roman"/>
          <w:sz w:val="24"/>
          <w:szCs w:val="24"/>
        </w:rPr>
        <w:t xml:space="preserve"> This reveals that </w:t>
      </w:r>
      <w:r w:rsidR="001561E2">
        <w:rPr>
          <w:rFonts w:ascii="Times New Roman" w:hAnsi="Times New Roman" w:cs="Times New Roman"/>
          <w:sz w:val="24"/>
          <w:szCs w:val="24"/>
        </w:rPr>
        <w:t xml:space="preserve">GP is efficient to collect its trade receivables. And it can be seen that </w:t>
      </w:r>
      <w:r w:rsidR="001561E2" w:rsidRPr="008C7EE6">
        <w:rPr>
          <w:rFonts w:ascii="Times New Roman" w:hAnsi="Times New Roman" w:cs="Times New Roman"/>
          <w:b/>
          <w:sz w:val="24"/>
          <w:szCs w:val="24"/>
        </w:rPr>
        <w:t xml:space="preserve">the </w:t>
      </w:r>
      <w:r w:rsidR="00A714C8" w:rsidRPr="008C7EE6">
        <w:rPr>
          <w:rFonts w:ascii="Times New Roman" w:hAnsi="Times New Roman" w:cs="Times New Roman"/>
          <w:b/>
          <w:sz w:val="24"/>
          <w:szCs w:val="24"/>
        </w:rPr>
        <w:t>D</w:t>
      </w:r>
      <w:r w:rsidR="001561E2" w:rsidRPr="008C7EE6">
        <w:rPr>
          <w:rFonts w:ascii="Times New Roman" w:hAnsi="Times New Roman" w:cs="Times New Roman"/>
          <w:b/>
          <w:sz w:val="24"/>
          <w:szCs w:val="24"/>
        </w:rPr>
        <w:t>ays</w:t>
      </w:r>
      <w:r w:rsidR="00A714C8" w:rsidRPr="008C7EE6">
        <w:rPr>
          <w:rFonts w:ascii="Times New Roman" w:hAnsi="Times New Roman" w:cs="Times New Roman"/>
          <w:b/>
          <w:sz w:val="24"/>
          <w:szCs w:val="24"/>
        </w:rPr>
        <w:t xml:space="preserve"> S</w:t>
      </w:r>
      <w:r w:rsidR="001561E2" w:rsidRPr="008C7EE6">
        <w:rPr>
          <w:rFonts w:ascii="Times New Roman" w:hAnsi="Times New Roman" w:cs="Times New Roman"/>
          <w:b/>
          <w:sz w:val="24"/>
          <w:szCs w:val="24"/>
        </w:rPr>
        <w:t>ale</w:t>
      </w:r>
      <w:r w:rsidR="00A714C8" w:rsidRPr="008C7EE6">
        <w:rPr>
          <w:rFonts w:ascii="Times New Roman" w:hAnsi="Times New Roman" w:cs="Times New Roman"/>
          <w:b/>
          <w:sz w:val="24"/>
          <w:szCs w:val="24"/>
        </w:rPr>
        <w:t>s</w:t>
      </w:r>
      <w:r w:rsidR="001561E2" w:rsidRPr="008C7EE6">
        <w:rPr>
          <w:rFonts w:ascii="Times New Roman" w:hAnsi="Times New Roman" w:cs="Times New Roman"/>
          <w:b/>
          <w:sz w:val="24"/>
          <w:szCs w:val="24"/>
        </w:rPr>
        <w:t xml:space="preserve"> </w:t>
      </w:r>
      <w:r w:rsidR="00A714C8" w:rsidRPr="008C7EE6">
        <w:rPr>
          <w:rFonts w:ascii="Times New Roman" w:hAnsi="Times New Roman" w:cs="Times New Roman"/>
          <w:b/>
          <w:sz w:val="24"/>
          <w:szCs w:val="24"/>
        </w:rPr>
        <w:t>O</w:t>
      </w:r>
      <w:r w:rsidR="001561E2" w:rsidRPr="008C7EE6">
        <w:rPr>
          <w:rFonts w:ascii="Times New Roman" w:hAnsi="Times New Roman" w:cs="Times New Roman"/>
          <w:b/>
          <w:sz w:val="24"/>
          <w:szCs w:val="24"/>
        </w:rPr>
        <w:t>utstanding ratio</w:t>
      </w:r>
      <w:r w:rsidR="001561E2">
        <w:rPr>
          <w:rFonts w:ascii="Times New Roman" w:hAnsi="Times New Roman" w:cs="Times New Roman"/>
          <w:sz w:val="24"/>
          <w:szCs w:val="24"/>
        </w:rPr>
        <w:t xml:space="preserve"> from 2013 to 2017 is also decreasing </w:t>
      </w:r>
      <w:r w:rsidR="00585F06">
        <w:rPr>
          <w:rFonts w:ascii="Times New Roman" w:hAnsi="Times New Roman" w:cs="Times New Roman"/>
          <w:sz w:val="24"/>
          <w:szCs w:val="24"/>
        </w:rPr>
        <w:t xml:space="preserve">which shows that GP take less time to collect its trade receivables or customers are paying quickly. </w:t>
      </w:r>
      <w:r w:rsidR="00D43C25">
        <w:rPr>
          <w:rFonts w:ascii="Times New Roman" w:hAnsi="Times New Roman" w:cs="Times New Roman"/>
          <w:sz w:val="24"/>
          <w:szCs w:val="24"/>
        </w:rPr>
        <w:t xml:space="preserve"> Then </w:t>
      </w:r>
      <w:r w:rsidR="00A714C8">
        <w:rPr>
          <w:rFonts w:ascii="Times New Roman" w:hAnsi="Times New Roman" w:cs="Times New Roman"/>
          <w:sz w:val="24"/>
          <w:szCs w:val="24"/>
        </w:rPr>
        <w:t>the receivables</w:t>
      </w:r>
      <w:r w:rsidR="00A714C8" w:rsidRPr="00A714C8">
        <w:rPr>
          <w:rFonts w:ascii="Times New Roman" w:hAnsi="Times New Roman" w:cs="Times New Roman"/>
          <w:sz w:val="24"/>
          <w:szCs w:val="24"/>
        </w:rPr>
        <w:t xml:space="preserve"> </w:t>
      </w:r>
      <w:r w:rsidR="00A714C8">
        <w:rPr>
          <w:rFonts w:ascii="Times New Roman" w:hAnsi="Times New Roman" w:cs="Times New Roman"/>
          <w:sz w:val="24"/>
          <w:szCs w:val="24"/>
        </w:rPr>
        <w:t>turnover ratio and Days Sales Outstanding ratio of 2017 are assumed to be the ratios</w:t>
      </w:r>
      <w:r w:rsidR="003F3F26">
        <w:rPr>
          <w:rFonts w:ascii="Times New Roman" w:hAnsi="Times New Roman" w:cs="Times New Roman"/>
          <w:sz w:val="24"/>
          <w:szCs w:val="24"/>
        </w:rPr>
        <w:t xml:space="preserve"> of</w:t>
      </w:r>
      <w:r w:rsidR="00A714C8">
        <w:rPr>
          <w:rFonts w:ascii="Times New Roman" w:hAnsi="Times New Roman" w:cs="Times New Roman"/>
          <w:sz w:val="24"/>
          <w:szCs w:val="24"/>
        </w:rPr>
        <w:t xml:space="preserve"> 2018 to 2022.</w:t>
      </w:r>
    </w:p>
    <w:p w:rsidR="0073640A" w:rsidRDefault="006545CA" w:rsidP="004C6602">
      <w:pPr>
        <w:spacing w:line="360" w:lineRule="auto"/>
        <w:jc w:val="both"/>
        <w:rPr>
          <w:rFonts w:ascii="Times New Roman" w:hAnsi="Times New Roman" w:cs="Times New Roman"/>
          <w:sz w:val="24"/>
          <w:szCs w:val="24"/>
        </w:rPr>
      </w:pPr>
      <w:r>
        <w:rPr>
          <w:noProof/>
        </w:rPr>
        <w:drawing>
          <wp:anchor distT="0" distB="0" distL="114300" distR="114300" simplePos="0" relativeHeight="251683840" behindDoc="0" locked="0" layoutInCell="1" allowOverlap="1" wp14:anchorId="764320A6" wp14:editId="084876D8">
            <wp:simplePos x="0" y="0"/>
            <wp:positionH relativeFrom="margin">
              <wp:posOffset>2262505</wp:posOffset>
            </wp:positionH>
            <wp:positionV relativeFrom="margin">
              <wp:posOffset>4846970</wp:posOffset>
            </wp:positionV>
            <wp:extent cx="3731260" cy="2774950"/>
            <wp:effectExtent l="0" t="0" r="2540" b="6350"/>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A8348A" w:rsidRPr="00416340">
        <w:rPr>
          <w:rFonts w:ascii="Times New Roman" w:hAnsi="Times New Roman" w:cs="Times New Roman"/>
          <w:b/>
          <w:sz w:val="24"/>
          <w:szCs w:val="24"/>
        </w:rPr>
        <w:t>The total asset turnover ratio</w:t>
      </w:r>
      <w:r w:rsidR="00A8348A">
        <w:rPr>
          <w:rFonts w:ascii="Times New Roman" w:hAnsi="Times New Roman" w:cs="Times New Roman"/>
          <w:sz w:val="24"/>
          <w:szCs w:val="24"/>
        </w:rPr>
        <w:t xml:space="preserve"> of GP is increasing from 2013 to 2017</w:t>
      </w:r>
      <w:r w:rsidR="001478CA">
        <w:rPr>
          <w:rFonts w:ascii="Times New Roman" w:hAnsi="Times New Roman" w:cs="Times New Roman"/>
          <w:sz w:val="24"/>
          <w:szCs w:val="24"/>
        </w:rPr>
        <w:t>, it means that GP generates revenue through its efficient management of the assets.</w:t>
      </w:r>
      <w:r w:rsidR="00692E0E">
        <w:rPr>
          <w:rFonts w:ascii="Times New Roman" w:hAnsi="Times New Roman" w:cs="Times New Roman"/>
          <w:sz w:val="24"/>
          <w:szCs w:val="24"/>
        </w:rPr>
        <w:t xml:space="preserve"> </w:t>
      </w:r>
      <w:r w:rsidR="00692E0E" w:rsidRPr="0013542C">
        <w:rPr>
          <w:rFonts w:ascii="Times New Roman" w:hAnsi="Times New Roman" w:cs="Times New Roman"/>
          <w:b/>
          <w:sz w:val="24"/>
          <w:szCs w:val="24"/>
        </w:rPr>
        <w:t>The PPE turnover ratio shows</w:t>
      </w:r>
      <w:r w:rsidR="00692E0E">
        <w:rPr>
          <w:rFonts w:ascii="Times New Roman" w:hAnsi="Times New Roman" w:cs="Times New Roman"/>
          <w:sz w:val="24"/>
          <w:szCs w:val="24"/>
        </w:rPr>
        <w:t xml:space="preserve"> that GP efficiently generating revenue th</w:t>
      </w:r>
      <w:r w:rsidR="0075713D">
        <w:rPr>
          <w:rFonts w:ascii="Times New Roman" w:hAnsi="Times New Roman" w:cs="Times New Roman"/>
          <w:sz w:val="24"/>
          <w:szCs w:val="24"/>
        </w:rPr>
        <w:t>r</w:t>
      </w:r>
      <w:r w:rsidR="00692E0E">
        <w:rPr>
          <w:rFonts w:ascii="Times New Roman" w:hAnsi="Times New Roman" w:cs="Times New Roman"/>
          <w:sz w:val="24"/>
          <w:szCs w:val="24"/>
        </w:rPr>
        <w:t xml:space="preserve">ough investing in fixed </w:t>
      </w:r>
      <w:r w:rsidR="006B59AE">
        <w:rPr>
          <w:rFonts w:ascii="Times New Roman" w:hAnsi="Times New Roman" w:cs="Times New Roman"/>
          <w:sz w:val="24"/>
          <w:szCs w:val="24"/>
        </w:rPr>
        <w:t>assets</w:t>
      </w:r>
      <w:r w:rsidR="00692E0E">
        <w:rPr>
          <w:rFonts w:ascii="Times New Roman" w:hAnsi="Times New Roman" w:cs="Times New Roman"/>
          <w:sz w:val="24"/>
          <w:szCs w:val="24"/>
        </w:rPr>
        <w:t>.</w:t>
      </w:r>
      <w:r w:rsidR="00ED3CE2">
        <w:rPr>
          <w:rFonts w:ascii="Times New Roman" w:hAnsi="Times New Roman" w:cs="Times New Roman"/>
          <w:sz w:val="24"/>
          <w:szCs w:val="24"/>
        </w:rPr>
        <w:t xml:space="preserve"> It is assumed that the ratios may increase further depending on </w:t>
      </w:r>
      <w:r w:rsidR="00FF26C3">
        <w:rPr>
          <w:rFonts w:ascii="Times New Roman" w:hAnsi="Times New Roman" w:cs="Times New Roman"/>
          <w:sz w:val="24"/>
          <w:szCs w:val="24"/>
        </w:rPr>
        <w:t xml:space="preserve">the assumed </w:t>
      </w:r>
      <w:r w:rsidR="00ED3CE2">
        <w:rPr>
          <w:rFonts w:ascii="Times New Roman" w:hAnsi="Times New Roman" w:cs="Times New Roman"/>
          <w:sz w:val="24"/>
          <w:szCs w:val="24"/>
        </w:rPr>
        <w:t>capex from 2018 to 2022.</w:t>
      </w:r>
      <w:r w:rsidR="0073640A">
        <w:rPr>
          <w:rFonts w:ascii="Times New Roman" w:hAnsi="Times New Roman" w:cs="Times New Roman"/>
          <w:sz w:val="24"/>
          <w:szCs w:val="24"/>
        </w:rPr>
        <w:br w:type="page"/>
      </w:r>
    </w:p>
    <w:p w:rsidR="00863B47" w:rsidRDefault="00863B47" w:rsidP="00C90C4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Liquidity </w:t>
      </w:r>
      <w:r w:rsidR="006F49EC" w:rsidRPr="006F49EC">
        <w:rPr>
          <w:rFonts w:ascii="Times New Roman" w:hAnsi="Times New Roman" w:cs="Times New Roman"/>
          <w:b/>
          <w:sz w:val="24"/>
          <w:szCs w:val="24"/>
        </w:rPr>
        <w:t xml:space="preserve">of </w:t>
      </w:r>
      <w:r>
        <w:rPr>
          <w:rFonts w:ascii="Times New Roman" w:hAnsi="Times New Roman" w:cs="Times New Roman"/>
          <w:b/>
          <w:sz w:val="24"/>
          <w:szCs w:val="24"/>
        </w:rPr>
        <w:t>GP</w:t>
      </w:r>
      <w:r w:rsidR="00C7028C">
        <w:rPr>
          <w:rFonts w:ascii="Times New Roman" w:hAnsi="Times New Roman" w:cs="Times New Roman"/>
          <w:b/>
          <w:sz w:val="24"/>
          <w:szCs w:val="24"/>
        </w:rPr>
        <w:t>:</w:t>
      </w:r>
    </w:p>
    <w:p w:rsidR="00881583" w:rsidRDefault="00881583" w:rsidP="00C90C47">
      <w:pPr>
        <w:spacing w:line="360" w:lineRule="auto"/>
        <w:jc w:val="both"/>
        <w:rPr>
          <w:rFonts w:ascii="Times New Roman" w:hAnsi="Times New Roman" w:cs="Times New Roman"/>
          <w:b/>
          <w:sz w:val="24"/>
          <w:szCs w:val="24"/>
        </w:rPr>
      </w:pPr>
    </w:p>
    <w:p w:rsidR="00A176D4" w:rsidRDefault="00863B47" w:rsidP="00C90C47">
      <w:pPr>
        <w:spacing w:line="360" w:lineRule="auto"/>
        <w:jc w:val="both"/>
        <w:rPr>
          <w:noProof/>
        </w:rPr>
      </w:pPr>
      <w:r>
        <w:rPr>
          <w:noProof/>
        </w:rPr>
        <w:drawing>
          <wp:inline distT="0" distB="0" distL="0" distR="0" wp14:anchorId="39463C96" wp14:editId="568F14F1">
            <wp:extent cx="2934586" cy="2785110"/>
            <wp:effectExtent l="0" t="0" r="18415"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CE4E5D" w:rsidRPr="00CE4E5D">
        <w:rPr>
          <w:noProof/>
        </w:rPr>
        <w:t xml:space="preserve"> </w:t>
      </w:r>
      <w:r w:rsidR="00CE4E5D">
        <w:rPr>
          <w:noProof/>
        </w:rPr>
        <w:drawing>
          <wp:inline distT="0" distB="0" distL="0" distR="0" wp14:anchorId="46C3AED3" wp14:editId="6AB5A606">
            <wp:extent cx="2934586" cy="2773045"/>
            <wp:effectExtent l="0" t="0" r="18415" b="825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1583" w:rsidRDefault="00881583" w:rsidP="00C90C47">
      <w:pPr>
        <w:spacing w:line="360" w:lineRule="auto"/>
        <w:jc w:val="both"/>
        <w:rPr>
          <w:rFonts w:ascii="Times New Roman" w:hAnsi="Times New Roman" w:cs="Times New Roman"/>
          <w:sz w:val="24"/>
          <w:szCs w:val="24"/>
        </w:rPr>
      </w:pPr>
    </w:p>
    <w:p w:rsidR="001A69C4" w:rsidRDefault="00901086" w:rsidP="00C90C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901086">
        <w:rPr>
          <w:rFonts w:ascii="Times New Roman" w:hAnsi="Times New Roman" w:cs="Times New Roman"/>
          <w:b/>
          <w:sz w:val="24"/>
          <w:szCs w:val="24"/>
        </w:rPr>
        <w:t>current ratio</w:t>
      </w:r>
      <w:r>
        <w:rPr>
          <w:rFonts w:ascii="Times New Roman" w:hAnsi="Times New Roman" w:cs="Times New Roman"/>
          <w:sz w:val="24"/>
          <w:szCs w:val="24"/>
        </w:rPr>
        <w:t xml:space="preserve"> of GP indicates that GP is highly leveraged. The ratio is less than one means that GP’s current liability is greater than current asset. The ratio was higher in 2017</w:t>
      </w:r>
      <w:r w:rsidR="00FB5537">
        <w:rPr>
          <w:rFonts w:ascii="Times New Roman" w:hAnsi="Times New Roman" w:cs="Times New Roman"/>
          <w:sz w:val="24"/>
          <w:szCs w:val="24"/>
        </w:rPr>
        <w:t xml:space="preserve"> because of the higher cash &amp; cash equivalents.</w:t>
      </w:r>
      <w:r>
        <w:rPr>
          <w:rFonts w:ascii="Times New Roman" w:hAnsi="Times New Roman" w:cs="Times New Roman"/>
          <w:sz w:val="24"/>
          <w:szCs w:val="24"/>
        </w:rPr>
        <w:t xml:space="preserve"> </w:t>
      </w:r>
      <w:r w:rsidR="00FB5537">
        <w:rPr>
          <w:rFonts w:ascii="Times New Roman" w:hAnsi="Times New Roman" w:cs="Times New Roman"/>
          <w:sz w:val="24"/>
          <w:szCs w:val="24"/>
        </w:rPr>
        <w:t>But</w:t>
      </w:r>
      <w:r>
        <w:rPr>
          <w:rFonts w:ascii="Times New Roman" w:hAnsi="Times New Roman" w:cs="Times New Roman"/>
          <w:sz w:val="24"/>
          <w:szCs w:val="24"/>
        </w:rPr>
        <w:t xml:space="preserve"> it is assumed that the ratio may decrease if GP acquire 4G/LTE and 5G.</w:t>
      </w:r>
      <w:r w:rsidR="001A69C4">
        <w:rPr>
          <w:rFonts w:ascii="Times New Roman" w:hAnsi="Times New Roman" w:cs="Times New Roman"/>
          <w:sz w:val="24"/>
          <w:szCs w:val="24"/>
        </w:rPr>
        <w:t xml:space="preserve"> Then the ratio may increase as the current liabilities will decrease.</w:t>
      </w:r>
    </w:p>
    <w:p w:rsidR="00881583" w:rsidRDefault="00881583" w:rsidP="00C90C47">
      <w:pPr>
        <w:spacing w:line="360" w:lineRule="auto"/>
        <w:jc w:val="both"/>
        <w:rPr>
          <w:rFonts w:ascii="Times New Roman" w:hAnsi="Times New Roman" w:cs="Times New Roman"/>
          <w:sz w:val="24"/>
          <w:szCs w:val="24"/>
        </w:rPr>
      </w:pPr>
    </w:p>
    <w:p w:rsidR="001A69C4" w:rsidRDefault="001A69C4" w:rsidP="00C90C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1A69C4">
        <w:rPr>
          <w:rFonts w:ascii="Times New Roman" w:hAnsi="Times New Roman" w:cs="Times New Roman"/>
          <w:b/>
          <w:sz w:val="24"/>
          <w:szCs w:val="24"/>
        </w:rPr>
        <w:t>operating current</w:t>
      </w:r>
      <w:r>
        <w:rPr>
          <w:rFonts w:ascii="Times New Roman" w:hAnsi="Times New Roman" w:cs="Times New Roman"/>
          <w:sz w:val="24"/>
          <w:szCs w:val="24"/>
        </w:rPr>
        <w:t xml:space="preserve"> ratio of GP indicates how cash flows generated from operation</w:t>
      </w:r>
      <w:r w:rsidRPr="001A69C4">
        <w:t xml:space="preserve"> </w:t>
      </w:r>
      <w:r w:rsidRPr="001A69C4">
        <w:rPr>
          <w:rFonts w:ascii="Times New Roman" w:hAnsi="Times New Roman" w:cs="Times New Roman"/>
          <w:sz w:val="24"/>
          <w:szCs w:val="24"/>
        </w:rPr>
        <w:t>cover</w:t>
      </w:r>
      <w:r>
        <w:rPr>
          <w:rFonts w:ascii="Times New Roman" w:hAnsi="Times New Roman" w:cs="Times New Roman"/>
          <w:sz w:val="24"/>
          <w:szCs w:val="24"/>
        </w:rPr>
        <w:t xml:space="preserve"> the </w:t>
      </w:r>
      <w:r w:rsidRPr="001A69C4">
        <w:rPr>
          <w:rFonts w:ascii="Times New Roman" w:hAnsi="Times New Roman" w:cs="Times New Roman"/>
          <w:sz w:val="24"/>
          <w:szCs w:val="24"/>
        </w:rPr>
        <w:t>current liabilities</w:t>
      </w:r>
      <w:r>
        <w:rPr>
          <w:rFonts w:ascii="Times New Roman" w:hAnsi="Times New Roman" w:cs="Times New Roman"/>
          <w:sz w:val="24"/>
          <w:szCs w:val="24"/>
        </w:rPr>
        <w:t xml:space="preserve"> of GP.</w:t>
      </w:r>
      <w:r w:rsidR="00AA46B7">
        <w:rPr>
          <w:rFonts w:ascii="Times New Roman" w:hAnsi="Times New Roman" w:cs="Times New Roman"/>
          <w:sz w:val="24"/>
          <w:szCs w:val="24"/>
        </w:rPr>
        <w:t xml:space="preserve"> Same as the current ratio in 2017 the operating current ratio was higher, which </w:t>
      </w:r>
      <w:r w:rsidR="00AA46B7" w:rsidRPr="00AA46B7">
        <w:rPr>
          <w:rFonts w:ascii="Times New Roman" w:hAnsi="Times New Roman" w:cs="Times New Roman"/>
          <w:sz w:val="24"/>
          <w:szCs w:val="24"/>
        </w:rPr>
        <w:t xml:space="preserve">was </w:t>
      </w:r>
      <w:r w:rsidR="00AA46B7">
        <w:rPr>
          <w:rFonts w:ascii="Times New Roman" w:hAnsi="Times New Roman" w:cs="Times New Roman"/>
          <w:sz w:val="24"/>
          <w:szCs w:val="24"/>
        </w:rPr>
        <w:t>30 percent of current liabilities.</w:t>
      </w:r>
      <w:r w:rsidR="00AB4AE0">
        <w:rPr>
          <w:rFonts w:ascii="Times New Roman" w:hAnsi="Times New Roman" w:cs="Times New Roman"/>
          <w:sz w:val="24"/>
          <w:szCs w:val="24"/>
        </w:rPr>
        <w:t xml:space="preserve"> And also it is assumed that the ratio may decrease because of 4G/LTE and 5G </w:t>
      </w:r>
      <w:r w:rsidR="00881583">
        <w:rPr>
          <w:rFonts w:ascii="Times New Roman" w:hAnsi="Times New Roman" w:cs="Times New Roman"/>
          <w:sz w:val="24"/>
          <w:szCs w:val="24"/>
        </w:rPr>
        <w:t>adaption</w:t>
      </w:r>
      <w:r w:rsidR="00AB4AE0">
        <w:rPr>
          <w:rFonts w:ascii="Times New Roman" w:hAnsi="Times New Roman" w:cs="Times New Roman"/>
          <w:sz w:val="24"/>
          <w:szCs w:val="24"/>
        </w:rPr>
        <w:t xml:space="preserve"> in </w:t>
      </w:r>
      <w:r w:rsidR="00881583">
        <w:rPr>
          <w:rFonts w:ascii="Times New Roman" w:hAnsi="Times New Roman" w:cs="Times New Roman"/>
          <w:sz w:val="24"/>
          <w:szCs w:val="24"/>
        </w:rPr>
        <w:t xml:space="preserve">2018 and 2020 respectively. Then the ratio may increase </w:t>
      </w:r>
      <w:r w:rsidR="00511B5D">
        <w:rPr>
          <w:rFonts w:ascii="Times New Roman" w:hAnsi="Times New Roman" w:cs="Times New Roman"/>
          <w:sz w:val="24"/>
          <w:szCs w:val="24"/>
        </w:rPr>
        <w:t>as the current liabilities may decrease.</w:t>
      </w:r>
    </w:p>
    <w:p w:rsidR="00901086" w:rsidRDefault="00901086" w:rsidP="00C90C47">
      <w:pPr>
        <w:spacing w:line="360" w:lineRule="auto"/>
        <w:jc w:val="both"/>
        <w:rPr>
          <w:rFonts w:ascii="Times New Roman" w:hAnsi="Times New Roman" w:cs="Times New Roman"/>
          <w:sz w:val="24"/>
          <w:szCs w:val="24"/>
        </w:rPr>
      </w:pPr>
    </w:p>
    <w:p w:rsidR="008D227C" w:rsidRDefault="00901086" w:rsidP="00C90C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40021" w:rsidRDefault="00A176D4" w:rsidP="00C90C4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E4E5D">
        <w:rPr>
          <w:noProof/>
        </w:rPr>
        <w:drawing>
          <wp:inline distT="0" distB="0" distL="0" distR="0" wp14:anchorId="292E9D55" wp14:editId="204E9DA2">
            <wp:extent cx="2902689" cy="2743200"/>
            <wp:effectExtent l="0" t="0" r="1206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CE4E5D" w:rsidRPr="00CE4E5D">
        <w:rPr>
          <w:noProof/>
        </w:rPr>
        <w:t xml:space="preserve"> </w:t>
      </w:r>
      <w:r w:rsidR="00CE4E5D">
        <w:rPr>
          <w:noProof/>
        </w:rPr>
        <w:drawing>
          <wp:inline distT="0" distB="0" distL="0" distR="0" wp14:anchorId="35058C14" wp14:editId="77E21CED">
            <wp:extent cx="2935074" cy="2743200"/>
            <wp:effectExtent l="0" t="0" r="1778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920D7" w:rsidRDefault="00B920D7" w:rsidP="004C6602">
      <w:pPr>
        <w:spacing w:line="360" w:lineRule="auto"/>
        <w:jc w:val="both"/>
        <w:rPr>
          <w:rFonts w:ascii="Times New Roman" w:hAnsi="Times New Roman" w:cs="Times New Roman"/>
          <w:sz w:val="24"/>
          <w:szCs w:val="24"/>
        </w:rPr>
      </w:pPr>
    </w:p>
    <w:p w:rsidR="005B368D" w:rsidRDefault="00B920D7" w:rsidP="004C66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w:t>
      </w:r>
      <w:r w:rsidRPr="00B920D7">
        <w:rPr>
          <w:rFonts w:ascii="Times New Roman" w:hAnsi="Times New Roman" w:cs="Times New Roman"/>
          <w:b/>
          <w:sz w:val="24"/>
          <w:szCs w:val="24"/>
        </w:rPr>
        <w:t xml:space="preserve">acid test ratio </w:t>
      </w:r>
      <w:r>
        <w:rPr>
          <w:rFonts w:ascii="Times New Roman" w:hAnsi="Times New Roman" w:cs="Times New Roman"/>
          <w:sz w:val="24"/>
          <w:szCs w:val="24"/>
        </w:rPr>
        <w:t>of GP, it can be said that the liquidity of GP is low because the ratio is less than one. GP has less quick asset to convert them into cash to pay off current liabilities.</w:t>
      </w:r>
      <w:r w:rsidR="00DC358F">
        <w:rPr>
          <w:rFonts w:ascii="Times New Roman" w:hAnsi="Times New Roman" w:cs="Times New Roman"/>
          <w:sz w:val="24"/>
          <w:szCs w:val="24"/>
        </w:rPr>
        <w:t xml:space="preserve"> The ratio of 2017 indicates that the quick assets were 27 percent of current liabilities, which was the highest. The ratio may decrease for the same reason as the 4G/LTE and 5G adaption then the ratio may increase.</w:t>
      </w:r>
    </w:p>
    <w:p w:rsidR="005B368D" w:rsidRDefault="005B368D" w:rsidP="004C6602">
      <w:pPr>
        <w:spacing w:line="360" w:lineRule="auto"/>
        <w:jc w:val="both"/>
        <w:rPr>
          <w:rFonts w:ascii="Times New Roman" w:hAnsi="Times New Roman" w:cs="Times New Roman"/>
          <w:sz w:val="24"/>
          <w:szCs w:val="24"/>
        </w:rPr>
      </w:pPr>
    </w:p>
    <w:p w:rsidR="00E915DB" w:rsidRPr="00386041" w:rsidRDefault="002824C6" w:rsidP="004C66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2824C6">
        <w:rPr>
          <w:rFonts w:ascii="Times New Roman" w:hAnsi="Times New Roman" w:cs="Times New Roman"/>
          <w:b/>
          <w:sz w:val="24"/>
          <w:szCs w:val="24"/>
        </w:rPr>
        <w:t>cash ratio</w:t>
      </w:r>
      <w:r>
        <w:rPr>
          <w:rFonts w:ascii="Times New Roman" w:hAnsi="Times New Roman" w:cs="Times New Roman"/>
          <w:sz w:val="24"/>
          <w:szCs w:val="24"/>
        </w:rPr>
        <w:t xml:space="preserve"> of GP is low</w:t>
      </w:r>
      <w:r w:rsidR="00446319">
        <w:rPr>
          <w:rFonts w:ascii="Times New Roman" w:hAnsi="Times New Roman" w:cs="Times New Roman"/>
          <w:sz w:val="24"/>
          <w:szCs w:val="24"/>
        </w:rPr>
        <w:t xml:space="preserve"> which indicates that GP has lower cash &amp; cash equivalents</w:t>
      </w:r>
      <w:r w:rsidR="004C7D00">
        <w:rPr>
          <w:rFonts w:ascii="Times New Roman" w:hAnsi="Times New Roman" w:cs="Times New Roman"/>
          <w:sz w:val="24"/>
          <w:szCs w:val="24"/>
        </w:rPr>
        <w:t xml:space="preserve"> than current liabilities. It</w:t>
      </w:r>
      <w:r w:rsidR="00446319">
        <w:rPr>
          <w:rFonts w:ascii="Times New Roman" w:hAnsi="Times New Roman" w:cs="Times New Roman"/>
          <w:sz w:val="24"/>
          <w:szCs w:val="24"/>
        </w:rPr>
        <w:t xml:space="preserve"> also indicates that GP is efficient to use its cash and also indicates that GP may not be worried about future profitably.</w:t>
      </w:r>
      <w:r w:rsidR="00174426">
        <w:rPr>
          <w:rFonts w:ascii="Times New Roman" w:hAnsi="Times New Roman" w:cs="Times New Roman"/>
          <w:sz w:val="24"/>
          <w:szCs w:val="24"/>
        </w:rPr>
        <w:t xml:space="preserve"> The ratio was the highest in 2017 because of higher cash. Then the ratio may decrease as it is assumed that 60 percent of the 4G/LTE and 5G license and spectrum cost will be paid at the time of acquisition. </w:t>
      </w:r>
      <w:r w:rsidR="00C40021">
        <w:rPr>
          <w:rFonts w:ascii="Times New Roman" w:hAnsi="Times New Roman" w:cs="Times New Roman"/>
          <w:sz w:val="24"/>
          <w:szCs w:val="24"/>
        </w:rPr>
        <w:br w:type="page"/>
      </w:r>
    </w:p>
    <w:p w:rsidR="00AE6EC9" w:rsidRDefault="00816AA5" w:rsidP="00F706BE">
      <w:pPr>
        <w:pStyle w:val="ListParagraph"/>
        <w:numPr>
          <w:ilvl w:val="0"/>
          <w:numId w:val="16"/>
        </w:numPr>
        <w:spacing w:line="360" w:lineRule="auto"/>
        <w:jc w:val="both"/>
        <w:rPr>
          <w:rFonts w:ascii="Times New Roman" w:hAnsi="Times New Roman" w:cs="Times New Roman"/>
          <w:sz w:val="24"/>
          <w:szCs w:val="24"/>
        </w:rPr>
      </w:pPr>
      <w:r w:rsidRPr="00B77482">
        <w:rPr>
          <w:noProof/>
        </w:rPr>
        <w:lastRenderedPageBreak/>
        <w:drawing>
          <wp:anchor distT="0" distB="0" distL="114300" distR="114300" simplePos="0" relativeHeight="251680768" behindDoc="0" locked="0" layoutInCell="1" allowOverlap="1" wp14:anchorId="563F58F3" wp14:editId="5744366C">
            <wp:simplePos x="0" y="0"/>
            <wp:positionH relativeFrom="margin">
              <wp:posOffset>1648460</wp:posOffset>
            </wp:positionH>
            <wp:positionV relativeFrom="margin">
              <wp:posOffset>1104088</wp:posOffset>
            </wp:positionV>
            <wp:extent cx="4295140" cy="1860550"/>
            <wp:effectExtent l="0" t="0" r="0" b="635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5140" cy="186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521" w:rsidRPr="00F706BE">
        <w:rPr>
          <w:rFonts w:ascii="Times New Roman" w:hAnsi="Times New Roman" w:cs="Times New Roman"/>
          <w:b/>
          <w:sz w:val="24"/>
          <w:szCs w:val="24"/>
        </w:rPr>
        <w:t>Loans &amp;</w:t>
      </w:r>
      <w:r w:rsidR="00BF4515" w:rsidRPr="00F706BE">
        <w:rPr>
          <w:rFonts w:ascii="Times New Roman" w:hAnsi="Times New Roman" w:cs="Times New Roman"/>
          <w:b/>
          <w:sz w:val="24"/>
          <w:szCs w:val="24"/>
        </w:rPr>
        <w:t xml:space="preserve"> Borrowings</w:t>
      </w:r>
      <w:r w:rsidR="00FC45AB" w:rsidRPr="00F706BE">
        <w:rPr>
          <w:rFonts w:ascii="Times New Roman" w:hAnsi="Times New Roman" w:cs="Times New Roman"/>
          <w:b/>
          <w:sz w:val="24"/>
          <w:szCs w:val="24"/>
        </w:rPr>
        <w:t xml:space="preserve"> and Financial L</w:t>
      </w:r>
      <w:r w:rsidR="00B85521" w:rsidRPr="00F706BE">
        <w:rPr>
          <w:rFonts w:ascii="Times New Roman" w:hAnsi="Times New Roman" w:cs="Times New Roman"/>
          <w:b/>
          <w:sz w:val="24"/>
          <w:szCs w:val="24"/>
        </w:rPr>
        <w:t>eases</w:t>
      </w:r>
      <w:r w:rsidR="00BF4515" w:rsidRPr="00F706BE">
        <w:rPr>
          <w:rFonts w:ascii="Times New Roman" w:hAnsi="Times New Roman" w:cs="Times New Roman"/>
          <w:b/>
          <w:sz w:val="24"/>
          <w:szCs w:val="24"/>
        </w:rPr>
        <w:t>:</w:t>
      </w:r>
      <w:r w:rsidR="00BF4515" w:rsidRPr="00F706BE">
        <w:rPr>
          <w:rFonts w:ascii="Times New Roman" w:hAnsi="Times New Roman" w:cs="Times New Roman"/>
          <w:sz w:val="24"/>
          <w:szCs w:val="24"/>
        </w:rPr>
        <w:t xml:space="preserve"> </w:t>
      </w:r>
    </w:p>
    <w:p w:rsidR="00B77482" w:rsidRPr="00AE6EC9" w:rsidRDefault="00BF4515" w:rsidP="00AE6EC9">
      <w:pPr>
        <w:spacing w:line="360" w:lineRule="auto"/>
        <w:jc w:val="both"/>
        <w:rPr>
          <w:rFonts w:ascii="Times New Roman" w:hAnsi="Times New Roman" w:cs="Times New Roman"/>
          <w:sz w:val="24"/>
          <w:szCs w:val="24"/>
        </w:rPr>
      </w:pPr>
      <w:r w:rsidRPr="00AE6EC9">
        <w:rPr>
          <w:rFonts w:ascii="Times New Roman" w:hAnsi="Times New Roman" w:cs="Times New Roman"/>
          <w:sz w:val="24"/>
          <w:szCs w:val="24"/>
        </w:rPr>
        <w:t xml:space="preserve">GP has taken a long term </w:t>
      </w:r>
      <w:r w:rsidR="00B040AD" w:rsidRPr="00AE6EC9">
        <w:rPr>
          <w:rFonts w:ascii="Times New Roman" w:hAnsi="Times New Roman" w:cs="Times New Roman"/>
          <w:sz w:val="24"/>
          <w:szCs w:val="24"/>
        </w:rPr>
        <w:t xml:space="preserve">syndicated </w:t>
      </w:r>
      <w:r w:rsidRPr="00AE6EC9">
        <w:rPr>
          <w:rFonts w:ascii="Times New Roman" w:hAnsi="Times New Roman" w:cs="Times New Roman"/>
          <w:sz w:val="24"/>
          <w:szCs w:val="24"/>
        </w:rPr>
        <w:t>loan</w:t>
      </w:r>
      <w:r w:rsidR="00B040AD" w:rsidRPr="00AE6EC9">
        <w:rPr>
          <w:rFonts w:ascii="Times New Roman" w:hAnsi="Times New Roman" w:cs="Times New Roman"/>
          <w:sz w:val="24"/>
          <w:szCs w:val="24"/>
        </w:rPr>
        <w:t xml:space="preserve"> </w:t>
      </w:r>
      <w:r w:rsidRPr="00AE6EC9">
        <w:rPr>
          <w:rFonts w:ascii="Times New Roman" w:hAnsi="Times New Roman" w:cs="Times New Roman"/>
          <w:sz w:val="24"/>
          <w:szCs w:val="24"/>
        </w:rPr>
        <w:t>($345 million) from International Financing Corporation (IFC) at six month LIBOR+3.5% interest rate of 10 installments</w:t>
      </w:r>
      <w:r w:rsidR="00F46DBD" w:rsidRPr="00AE6EC9">
        <w:rPr>
          <w:rFonts w:ascii="Times New Roman" w:hAnsi="Times New Roman" w:cs="Times New Roman"/>
          <w:sz w:val="24"/>
          <w:szCs w:val="24"/>
        </w:rPr>
        <w:t xml:space="preserve"> in 2015. The first </w:t>
      </w:r>
      <w:r w:rsidR="00557790" w:rsidRPr="00AE6EC9">
        <w:rPr>
          <w:rFonts w:ascii="Times New Roman" w:hAnsi="Times New Roman" w:cs="Times New Roman"/>
          <w:sz w:val="24"/>
          <w:szCs w:val="24"/>
        </w:rPr>
        <w:t>installment was paid</w:t>
      </w:r>
      <w:r w:rsidR="00F46DBD" w:rsidRPr="00AE6EC9">
        <w:rPr>
          <w:rFonts w:ascii="Times New Roman" w:hAnsi="Times New Roman" w:cs="Times New Roman"/>
          <w:sz w:val="24"/>
          <w:szCs w:val="24"/>
        </w:rPr>
        <w:t xml:space="preserve"> in October 2015 and the last installment will be paid in April 2020.</w:t>
      </w:r>
      <w:r w:rsidR="00457A18" w:rsidRPr="00AE6EC9">
        <w:rPr>
          <w:rFonts w:ascii="Times New Roman" w:hAnsi="Times New Roman" w:cs="Times New Roman"/>
          <w:sz w:val="24"/>
          <w:szCs w:val="24"/>
        </w:rPr>
        <w:t xml:space="preserve"> In 2017 the outstan</w:t>
      </w:r>
      <w:r w:rsidR="00966F32" w:rsidRPr="00AE6EC9">
        <w:rPr>
          <w:rFonts w:ascii="Times New Roman" w:hAnsi="Times New Roman" w:cs="Times New Roman"/>
          <w:sz w:val="24"/>
          <w:szCs w:val="24"/>
        </w:rPr>
        <w:t>din</w:t>
      </w:r>
      <w:r w:rsidR="00457A18" w:rsidRPr="00AE6EC9">
        <w:rPr>
          <w:rFonts w:ascii="Times New Roman" w:hAnsi="Times New Roman" w:cs="Times New Roman"/>
          <w:sz w:val="24"/>
          <w:szCs w:val="24"/>
        </w:rPr>
        <w:t xml:space="preserve">g </w:t>
      </w:r>
      <w:r w:rsidR="00966F32" w:rsidRPr="00AE6EC9">
        <w:rPr>
          <w:rFonts w:ascii="Times New Roman" w:hAnsi="Times New Roman" w:cs="Times New Roman"/>
          <w:sz w:val="24"/>
          <w:szCs w:val="24"/>
        </w:rPr>
        <w:t xml:space="preserve">amount was 172.5 million dollar. For calculating the IFC loan </w:t>
      </w:r>
      <w:r w:rsidR="004F312D" w:rsidRPr="00AE6EC9">
        <w:rPr>
          <w:rFonts w:ascii="Times New Roman" w:hAnsi="Times New Roman" w:cs="Times New Roman"/>
          <w:sz w:val="24"/>
          <w:szCs w:val="24"/>
        </w:rPr>
        <w:t xml:space="preserve">the outstanding </w:t>
      </w:r>
      <w:r w:rsidR="00966F32" w:rsidRPr="00AE6EC9">
        <w:rPr>
          <w:rFonts w:ascii="Times New Roman" w:hAnsi="Times New Roman" w:cs="Times New Roman"/>
          <w:sz w:val="24"/>
          <w:szCs w:val="24"/>
        </w:rPr>
        <w:t>dollar amount is converted into taka</w:t>
      </w:r>
      <w:r w:rsidR="00B040AD" w:rsidRPr="00AE6EC9">
        <w:rPr>
          <w:rFonts w:ascii="Times New Roman" w:hAnsi="Times New Roman" w:cs="Times New Roman"/>
          <w:sz w:val="24"/>
          <w:szCs w:val="24"/>
        </w:rPr>
        <w:t xml:space="preserve"> ($1=Tk. 82.7; 2017)</w:t>
      </w:r>
      <w:r w:rsidR="000B7330" w:rsidRPr="00AE6EC9">
        <w:rPr>
          <w:rFonts w:ascii="Times New Roman" w:hAnsi="Times New Roman" w:cs="Times New Roman"/>
          <w:sz w:val="24"/>
          <w:szCs w:val="24"/>
        </w:rPr>
        <w:t>.</w:t>
      </w:r>
      <w:r w:rsidR="00E02CA1" w:rsidRPr="00AE6EC9">
        <w:rPr>
          <w:rFonts w:ascii="Times New Roman" w:hAnsi="Times New Roman" w:cs="Times New Roman"/>
          <w:sz w:val="24"/>
          <w:szCs w:val="24"/>
        </w:rPr>
        <w:t xml:space="preserve"> In 2018 GP participated in 4G/LTE spectrum auction </w:t>
      </w:r>
      <w:r w:rsidR="00854CC9" w:rsidRPr="00AE6EC9">
        <w:rPr>
          <w:rFonts w:ascii="Times New Roman" w:hAnsi="Times New Roman" w:cs="Times New Roman"/>
          <w:sz w:val="24"/>
          <w:szCs w:val="24"/>
        </w:rPr>
        <w:t>and obtained</w:t>
      </w:r>
      <w:r w:rsidR="001C2876" w:rsidRPr="00AE6EC9">
        <w:rPr>
          <w:rFonts w:ascii="Times New Roman" w:hAnsi="Times New Roman" w:cs="Times New Roman"/>
          <w:sz w:val="24"/>
          <w:szCs w:val="24"/>
        </w:rPr>
        <w:t xml:space="preserve"> 4G/LTE license and</w:t>
      </w:r>
      <w:r w:rsidR="00854CC9" w:rsidRPr="00AE6EC9">
        <w:rPr>
          <w:rFonts w:ascii="Times New Roman" w:hAnsi="Times New Roman" w:cs="Times New Roman"/>
          <w:sz w:val="24"/>
          <w:szCs w:val="24"/>
        </w:rPr>
        <w:t xml:space="preserve"> 5 MHz in 1800 band and I assumed as per the auditor’s report (GP) of 2018 that the total cost was tk. 17137.808 million of 60 </w:t>
      </w:r>
      <w:r w:rsidR="00D554C0">
        <w:rPr>
          <w:rFonts w:ascii="Times New Roman" w:hAnsi="Times New Roman" w:cs="Times New Roman"/>
          <w:sz w:val="24"/>
          <w:szCs w:val="24"/>
        </w:rPr>
        <w:t xml:space="preserve">percent </w:t>
      </w:r>
      <w:r w:rsidR="00854CC9" w:rsidRPr="00AE6EC9">
        <w:rPr>
          <w:rFonts w:ascii="Times New Roman" w:hAnsi="Times New Roman" w:cs="Times New Roman"/>
          <w:sz w:val="24"/>
          <w:szCs w:val="24"/>
        </w:rPr>
        <w:t>was paid at the time of purchasing from BTRC and 40 percent will be paid annually for the next for years</w:t>
      </w:r>
      <w:r w:rsidR="003271BC" w:rsidRPr="00AE6EC9">
        <w:rPr>
          <w:rFonts w:ascii="Times New Roman" w:hAnsi="Times New Roman" w:cs="Times New Roman"/>
          <w:sz w:val="24"/>
          <w:szCs w:val="24"/>
        </w:rPr>
        <w:t xml:space="preserve"> at 8.55 percent interest rate</w:t>
      </w:r>
      <w:r w:rsidR="00854CC9" w:rsidRPr="00AE6EC9">
        <w:rPr>
          <w:rFonts w:ascii="Times New Roman" w:hAnsi="Times New Roman" w:cs="Times New Roman"/>
          <w:sz w:val="24"/>
          <w:szCs w:val="24"/>
        </w:rPr>
        <w:t>.</w:t>
      </w:r>
      <w:r w:rsidR="004976C5" w:rsidRPr="00AE6EC9">
        <w:rPr>
          <w:rFonts w:ascii="Times New Roman" w:hAnsi="Times New Roman" w:cs="Times New Roman"/>
          <w:sz w:val="24"/>
          <w:szCs w:val="24"/>
        </w:rPr>
        <w:t xml:space="preserve"> </w:t>
      </w:r>
      <w:r w:rsidR="001C2876" w:rsidRPr="00AE6EC9">
        <w:rPr>
          <w:rFonts w:ascii="Times New Roman" w:hAnsi="Times New Roman" w:cs="Times New Roman"/>
          <w:sz w:val="24"/>
          <w:szCs w:val="24"/>
        </w:rPr>
        <w:t>And if in 2020 5G came and GP acquired 5G license and increase its spectrum then GP may take loan. I</w:t>
      </w:r>
      <w:r w:rsidR="00E11E70" w:rsidRPr="00AE6EC9">
        <w:rPr>
          <w:rFonts w:ascii="Times New Roman" w:hAnsi="Times New Roman" w:cs="Times New Roman"/>
          <w:sz w:val="24"/>
          <w:szCs w:val="24"/>
        </w:rPr>
        <w:t>t is</w:t>
      </w:r>
      <w:r w:rsidR="001C2876" w:rsidRPr="00AE6EC9">
        <w:rPr>
          <w:rFonts w:ascii="Times New Roman" w:hAnsi="Times New Roman" w:cs="Times New Roman"/>
          <w:sz w:val="24"/>
          <w:szCs w:val="24"/>
        </w:rPr>
        <w:t xml:space="preserve"> assumed that GP may do the same thing as it did during </w:t>
      </w:r>
      <w:r w:rsidR="00045D7E" w:rsidRPr="00AE6EC9">
        <w:rPr>
          <w:rFonts w:ascii="Times New Roman" w:hAnsi="Times New Roman" w:cs="Times New Roman"/>
          <w:sz w:val="24"/>
          <w:szCs w:val="24"/>
        </w:rPr>
        <w:t xml:space="preserve">the </w:t>
      </w:r>
      <w:r w:rsidR="00B91632" w:rsidRPr="00AE6EC9">
        <w:rPr>
          <w:rFonts w:ascii="Times New Roman" w:hAnsi="Times New Roman" w:cs="Times New Roman"/>
          <w:sz w:val="24"/>
          <w:szCs w:val="24"/>
        </w:rPr>
        <w:t>4G/LTE adaption.</w:t>
      </w:r>
    </w:p>
    <w:p w:rsidR="00B77482" w:rsidRDefault="000837DF" w:rsidP="003248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2018 and 2019 there would be no short term bank </w:t>
      </w:r>
      <w:r w:rsidRPr="000837DF">
        <w:rPr>
          <w:rFonts w:ascii="Times New Roman" w:hAnsi="Times New Roman" w:cs="Times New Roman"/>
          <w:sz w:val="24"/>
          <w:szCs w:val="24"/>
        </w:rPr>
        <w:t>loan because of the high tax burden but in 2020, 2021 and 2022 GP may take short term</w:t>
      </w:r>
      <w:r w:rsidR="00010B10">
        <w:rPr>
          <w:rFonts w:ascii="Times New Roman" w:hAnsi="Times New Roman" w:cs="Times New Roman"/>
          <w:sz w:val="24"/>
          <w:szCs w:val="24"/>
        </w:rPr>
        <w:t xml:space="preserve"> bank</w:t>
      </w:r>
      <w:r w:rsidRPr="000837DF">
        <w:rPr>
          <w:rFonts w:ascii="Times New Roman" w:hAnsi="Times New Roman" w:cs="Times New Roman"/>
          <w:sz w:val="24"/>
          <w:szCs w:val="24"/>
        </w:rPr>
        <w:t xml:space="preserve"> loan for financing </w:t>
      </w:r>
      <w:r w:rsidR="00010B10">
        <w:rPr>
          <w:rFonts w:ascii="Times New Roman" w:hAnsi="Times New Roman" w:cs="Times New Roman"/>
          <w:sz w:val="24"/>
          <w:szCs w:val="24"/>
        </w:rPr>
        <w:t>the spectrum acquisition cost</w:t>
      </w:r>
      <w:r>
        <w:rPr>
          <w:rFonts w:ascii="Times New Roman" w:hAnsi="Times New Roman" w:cs="Times New Roman"/>
          <w:sz w:val="24"/>
          <w:szCs w:val="24"/>
        </w:rPr>
        <w:t xml:space="preserve"> </w:t>
      </w:r>
      <w:r w:rsidRPr="000837DF">
        <w:rPr>
          <w:rFonts w:ascii="Times New Roman" w:hAnsi="Times New Roman" w:cs="Times New Roman"/>
          <w:sz w:val="24"/>
          <w:szCs w:val="24"/>
        </w:rPr>
        <w:t>as per my assumption.</w:t>
      </w:r>
      <w:r w:rsidR="008D4725">
        <w:rPr>
          <w:rFonts w:ascii="Times New Roman" w:hAnsi="Times New Roman" w:cs="Times New Roman"/>
          <w:sz w:val="24"/>
          <w:szCs w:val="24"/>
        </w:rPr>
        <w:t xml:space="preserve"> I</w:t>
      </w:r>
      <w:r w:rsidR="00F84609">
        <w:rPr>
          <w:rFonts w:ascii="Times New Roman" w:hAnsi="Times New Roman" w:cs="Times New Roman"/>
          <w:sz w:val="24"/>
          <w:szCs w:val="24"/>
        </w:rPr>
        <w:t>t is</w:t>
      </w:r>
      <w:r w:rsidR="008D4725">
        <w:rPr>
          <w:rFonts w:ascii="Times New Roman" w:hAnsi="Times New Roman" w:cs="Times New Roman"/>
          <w:sz w:val="24"/>
          <w:szCs w:val="24"/>
        </w:rPr>
        <w:t xml:space="preserve"> assume</w:t>
      </w:r>
      <w:r w:rsidR="00F84609">
        <w:rPr>
          <w:rFonts w:ascii="Times New Roman" w:hAnsi="Times New Roman" w:cs="Times New Roman"/>
          <w:sz w:val="24"/>
          <w:szCs w:val="24"/>
        </w:rPr>
        <w:t>d</w:t>
      </w:r>
      <w:r w:rsidR="008D4725">
        <w:rPr>
          <w:rFonts w:ascii="Times New Roman" w:hAnsi="Times New Roman" w:cs="Times New Roman"/>
          <w:sz w:val="24"/>
          <w:szCs w:val="24"/>
        </w:rPr>
        <w:t xml:space="preserve"> that the interest rate would be 6.35%</w:t>
      </w:r>
      <w:r w:rsidR="00F84609">
        <w:rPr>
          <w:rFonts w:ascii="Times New Roman" w:hAnsi="Times New Roman" w:cs="Times New Roman"/>
          <w:sz w:val="24"/>
          <w:szCs w:val="24"/>
        </w:rPr>
        <w:t>.</w:t>
      </w:r>
      <w:r w:rsidR="00B77482">
        <w:rPr>
          <w:rFonts w:ascii="Times New Roman" w:hAnsi="Times New Roman" w:cs="Times New Roman"/>
          <w:sz w:val="24"/>
          <w:szCs w:val="24"/>
        </w:rPr>
        <w:t xml:space="preserve"> </w:t>
      </w:r>
    </w:p>
    <w:p w:rsidR="001A2367" w:rsidRPr="00BF436C" w:rsidRDefault="00DB5F32" w:rsidP="00843D81">
      <w:pPr>
        <w:spacing w:line="360" w:lineRule="auto"/>
        <w:jc w:val="both"/>
        <w:rPr>
          <w:rFonts w:ascii="Times New Roman" w:hAnsi="Times New Roman" w:cs="Times New Roman"/>
          <w:sz w:val="24"/>
          <w:szCs w:val="24"/>
        </w:rPr>
      </w:pPr>
      <w:r w:rsidRPr="00FB38FD">
        <w:rPr>
          <w:noProof/>
        </w:rPr>
        <w:drawing>
          <wp:anchor distT="0" distB="0" distL="114300" distR="114300" simplePos="0" relativeHeight="251679744" behindDoc="0" locked="0" layoutInCell="1" allowOverlap="1" wp14:anchorId="4B10AF10" wp14:editId="5A18E77B">
            <wp:simplePos x="0" y="0"/>
            <wp:positionH relativeFrom="margin">
              <wp:posOffset>2002908</wp:posOffset>
            </wp:positionH>
            <wp:positionV relativeFrom="margin">
              <wp:posOffset>5823836</wp:posOffset>
            </wp:positionV>
            <wp:extent cx="4050030" cy="1754505"/>
            <wp:effectExtent l="0" t="0" r="762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0030" cy="1754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482" w:rsidRPr="00B77482">
        <w:rPr>
          <w:rFonts w:ascii="Times New Roman" w:hAnsi="Times New Roman" w:cs="Times New Roman"/>
          <w:sz w:val="24"/>
          <w:szCs w:val="24"/>
        </w:rPr>
        <w:t>For the proper treatment of Fibre Optic Network, GP went into a lease obligation with Bangladesh Railway at 15 percent borrowing rate since 1997 and the lease payment will expire in June 2027. The outstanding amount was Tk. 4930.2 million in 2017 and has 10 years remaining life of lease payment.</w:t>
      </w:r>
    </w:p>
    <w:p w:rsidR="001F6D9A" w:rsidRDefault="000A33CA" w:rsidP="003A64E7">
      <w:pPr>
        <w:spacing w:line="360" w:lineRule="auto"/>
        <w:jc w:val="both"/>
        <w:rPr>
          <w:rFonts w:ascii="Times New Roman" w:hAnsi="Times New Roman" w:cs="Times New Roman"/>
          <w:sz w:val="24"/>
          <w:szCs w:val="24"/>
        </w:rPr>
      </w:pPr>
      <w:r w:rsidRPr="00BF436C">
        <w:rPr>
          <w:rFonts w:ascii="Times New Roman" w:hAnsi="Times New Roman" w:cs="Times New Roman"/>
          <w:b/>
          <w:sz w:val="24"/>
          <w:szCs w:val="24"/>
        </w:rPr>
        <w:lastRenderedPageBreak/>
        <w:t>Debt Management of GP:</w:t>
      </w:r>
      <w:r>
        <w:rPr>
          <w:rFonts w:ascii="Times New Roman" w:hAnsi="Times New Roman" w:cs="Times New Roman"/>
          <w:sz w:val="24"/>
          <w:szCs w:val="24"/>
        </w:rPr>
        <w:t xml:space="preserve"> </w:t>
      </w:r>
      <w:r w:rsidR="003A64E7">
        <w:rPr>
          <w:rFonts w:ascii="Times New Roman" w:hAnsi="Times New Roman" w:cs="Times New Roman"/>
          <w:sz w:val="24"/>
          <w:szCs w:val="24"/>
        </w:rPr>
        <w:t>The Debt include the total of Financial Lease Obligations, non-c</w:t>
      </w:r>
      <w:r w:rsidR="00EC1B9F">
        <w:rPr>
          <w:rFonts w:ascii="Times New Roman" w:hAnsi="Times New Roman" w:cs="Times New Roman"/>
          <w:sz w:val="24"/>
          <w:szCs w:val="24"/>
        </w:rPr>
        <w:t xml:space="preserve">urrent loans and borrowings and current loans and </w:t>
      </w:r>
      <w:r w:rsidR="003E2597">
        <w:rPr>
          <w:rFonts w:ascii="Times New Roman" w:hAnsi="Times New Roman" w:cs="Times New Roman"/>
          <w:sz w:val="24"/>
          <w:szCs w:val="24"/>
        </w:rPr>
        <w:t xml:space="preserve">borrowings. </w:t>
      </w:r>
    </w:p>
    <w:tbl>
      <w:tblPr>
        <w:tblpPr w:leftFromText="180" w:rightFromText="180" w:vertAnchor="text" w:horzAnchor="margin" w:tblpY="169"/>
        <w:tblW w:w="5000" w:type="pct"/>
        <w:tblLook w:val="04A0" w:firstRow="1" w:lastRow="0" w:firstColumn="1" w:lastColumn="0" w:noHBand="0" w:noVBand="1"/>
      </w:tblPr>
      <w:tblGrid>
        <w:gridCol w:w="1878"/>
        <w:gridCol w:w="761"/>
        <w:gridCol w:w="702"/>
        <w:gridCol w:w="702"/>
        <w:gridCol w:w="703"/>
        <w:gridCol w:w="711"/>
        <w:gridCol w:w="877"/>
        <w:gridCol w:w="875"/>
        <w:gridCol w:w="789"/>
        <w:gridCol w:w="789"/>
        <w:gridCol w:w="789"/>
      </w:tblGrid>
      <w:tr w:rsidR="00386041" w:rsidRPr="00A577A6" w:rsidTr="00386041">
        <w:trPr>
          <w:trHeight w:val="315"/>
        </w:trPr>
        <w:tc>
          <w:tcPr>
            <w:tcW w:w="981" w:type="pct"/>
            <w:tcBorders>
              <w:top w:val="single" w:sz="8" w:space="0" w:color="auto"/>
              <w:left w:val="single" w:sz="8" w:space="0" w:color="auto"/>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 </w:t>
            </w:r>
          </w:p>
        </w:tc>
        <w:tc>
          <w:tcPr>
            <w:tcW w:w="398" w:type="pct"/>
            <w:tcBorders>
              <w:top w:val="single" w:sz="8" w:space="0" w:color="auto"/>
              <w:left w:val="nil"/>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 </w:t>
            </w:r>
          </w:p>
        </w:tc>
        <w:tc>
          <w:tcPr>
            <w:tcW w:w="2385" w:type="pct"/>
            <w:gridSpan w:val="6"/>
            <w:tcBorders>
              <w:top w:val="single" w:sz="8" w:space="0" w:color="auto"/>
              <w:left w:val="nil"/>
              <w:bottom w:val="single" w:sz="8" w:space="0" w:color="auto"/>
              <w:right w:val="nil"/>
            </w:tcBorders>
            <w:shd w:val="clear" w:color="auto" w:fill="auto"/>
            <w:noWrap/>
            <w:vAlign w:val="bottom"/>
            <w:hideMark/>
          </w:tcPr>
          <w:p w:rsidR="00386041" w:rsidRPr="00A577A6" w:rsidRDefault="00386041" w:rsidP="00386041">
            <w:pPr>
              <w:spacing w:after="0" w:line="360" w:lineRule="auto"/>
              <w:jc w:val="center"/>
              <w:rPr>
                <w:rFonts w:ascii="Calibri" w:eastAsia="Times New Roman" w:hAnsi="Calibri" w:cs="Calibri"/>
                <w:b/>
                <w:bCs/>
                <w:color w:val="000000"/>
              </w:rPr>
            </w:pPr>
            <w:r w:rsidRPr="00A577A6">
              <w:rPr>
                <w:rFonts w:ascii="Calibri" w:eastAsia="Times New Roman" w:hAnsi="Calibri" w:cs="Calibri"/>
                <w:b/>
                <w:bCs/>
                <w:color w:val="000000"/>
              </w:rPr>
              <w:t>Debt Management</w:t>
            </w:r>
          </w:p>
        </w:tc>
        <w:tc>
          <w:tcPr>
            <w:tcW w:w="412" w:type="pct"/>
            <w:tcBorders>
              <w:top w:val="single" w:sz="8" w:space="0" w:color="auto"/>
              <w:left w:val="nil"/>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 </w:t>
            </w:r>
          </w:p>
        </w:tc>
        <w:tc>
          <w:tcPr>
            <w:tcW w:w="412" w:type="pct"/>
            <w:tcBorders>
              <w:top w:val="single" w:sz="8" w:space="0" w:color="auto"/>
              <w:left w:val="nil"/>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 </w:t>
            </w:r>
          </w:p>
        </w:tc>
        <w:tc>
          <w:tcPr>
            <w:tcW w:w="412" w:type="pct"/>
            <w:tcBorders>
              <w:top w:val="single" w:sz="8" w:space="0" w:color="auto"/>
              <w:left w:val="nil"/>
              <w:bottom w:val="single" w:sz="8" w:space="0" w:color="auto"/>
              <w:right w:val="single" w:sz="8" w:space="0" w:color="auto"/>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 </w:t>
            </w:r>
          </w:p>
        </w:tc>
      </w:tr>
      <w:tr w:rsidR="00386041" w:rsidRPr="00A577A6" w:rsidTr="00386041">
        <w:trPr>
          <w:trHeight w:val="315"/>
        </w:trPr>
        <w:tc>
          <w:tcPr>
            <w:tcW w:w="981" w:type="pct"/>
            <w:tcBorders>
              <w:top w:val="nil"/>
              <w:left w:val="single" w:sz="8" w:space="0" w:color="auto"/>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b/>
                <w:bCs/>
                <w:color w:val="000000"/>
              </w:rPr>
            </w:pPr>
            <w:r w:rsidRPr="00A577A6">
              <w:rPr>
                <w:rFonts w:ascii="Calibri" w:eastAsia="Times New Roman" w:hAnsi="Calibri" w:cs="Calibri"/>
                <w:b/>
                <w:bCs/>
                <w:color w:val="000000"/>
              </w:rPr>
              <w:t>Particulars</w:t>
            </w:r>
          </w:p>
        </w:tc>
        <w:tc>
          <w:tcPr>
            <w:tcW w:w="398" w:type="pct"/>
            <w:tcBorders>
              <w:top w:val="nil"/>
              <w:left w:val="single" w:sz="4" w:space="0" w:color="B2B2B2"/>
              <w:bottom w:val="single" w:sz="8" w:space="0" w:color="auto"/>
              <w:right w:val="single" w:sz="4" w:space="0" w:color="B2B2B2"/>
            </w:tcBorders>
            <w:shd w:val="clear" w:color="000000" w:fill="FFFFCC"/>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2013</w:t>
            </w:r>
          </w:p>
        </w:tc>
        <w:tc>
          <w:tcPr>
            <w:tcW w:w="366" w:type="pct"/>
            <w:tcBorders>
              <w:top w:val="nil"/>
              <w:left w:val="nil"/>
              <w:bottom w:val="single" w:sz="8" w:space="0" w:color="auto"/>
              <w:right w:val="single" w:sz="4" w:space="0" w:color="B2B2B2"/>
            </w:tcBorders>
            <w:shd w:val="clear" w:color="000000" w:fill="FFFFCC"/>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2014</w:t>
            </w:r>
          </w:p>
        </w:tc>
        <w:tc>
          <w:tcPr>
            <w:tcW w:w="366" w:type="pct"/>
            <w:tcBorders>
              <w:top w:val="nil"/>
              <w:left w:val="nil"/>
              <w:bottom w:val="single" w:sz="8" w:space="0" w:color="auto"/>
              <w:right w:val="single" w:sz="4" w:space="0" w:color="B2B2B2"/>
            </w:tcBorders>
            <w:shd w:val="clear" w:color="000000" w:fill="FFFFCC"/>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2015</w:t>
            </w:r>
          </w:p>
        </w:tc>
        <w:tc>
          <w:tcPr>
            <w:tcW w:w="367" w:type="pct"/>
            <w:tcBorders>
              <w:top w:val="nil"/>
              <w:left w:val="nil"/>
              <w:bottom w:val="single" w:sz="8" w:space="0" w:color="auto"/>
              <w:right w:val="single" w:sz="4" w:space="0" w:color="B2B2B2"/>
            </w:tcBorders>
            <w:shd w:val="clear" w:color="000000" w:fill="FFFFCC"/>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2016</w:t>
            </w:r>
          </w:p>
        </w:tc>
        <w:tc>
          <w:tcPr>
            <w:tcW w:w="371" w:type="pct"/>
            <w:tcBorders>
              <w:top w:val="nil"/>
              <w:left w:val="nil"/>
              <w:bottom w:val="single" w:sz="8" w:space="0" w:color="auto"/>
              <w:right w:val="single" w:sz="8" w:space="0" w:color="auto"/>
            </w:tcBorders>
            <w:shd w:val="clear" w:color="000000" w:fill="FFFFCC"/>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2017</w:t>
            </w:r>
          </w:p>
        </w:tc>
        <w:tc>
          <w:tcPr>
            <w:tcW w:w="458" w:type="pct"/>
            <w:tcBorders>
              <w:top w:val="nil"/>
              <w:left w:val="nil"/>
              <w:bottom w:val="single" w:sz="8" w:space="0" w:color="auto"/>
              <w:right w:val="single" w:sz="4" w:space="0" w:color="7F7F7F"/>
            </w:tcBorders>
            <w:shd w:val="clear" w:color="000000" w:fill="F2F2F2"/>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2018E</w:t>
            </w:r>
          </w:p>
        </w:tc>
        <w:tc>
          <w:tcPr>
            <w:tcW w:w="456" w:type="pct"/>
            <w:tcBorders>
              <w:top w:val="nil"/>
              <w:left w:val="nil"/>
              <w:bottom w:val="single" w:sz="8" w:space="0" w:color="auto"/>
              <w:right w:val="single" w:sz="4" w:space="0" w:color="7F7F7F"/>
            </w:tcBorders>
            <w:shd w:val="clear" w:color="000000" w:fill="F2F2F2"/>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2019E</w:t>
            </w:r>
          </w:p>
        </w:tc>
        <w:tc>
          <w:tcPr>
            <w:tcW w:w="412" w:type="pct"/>
            <w:tcBorders>
              <w:top w:val="nil"/>
              <w:left w:val="nil"/>
              <w:bottom w:val="single" w:sz="8" w:space="0" w:color="auto"/>
              <w:right w:val="single" w:sz="4" w:space="0" w:color="7F7F7F"/>
            </w:tcBorders>
            <w:shd w:val="clear" w:color="000000" w:fill="F2F2F2"/>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2020E</w:t>
            </w:r>
          </w:p>
        </w:tc>
        <w:tc>
          <w:tcPr>
            <w:tcW w:w="412" w:type="pct"/>
            <w:tcBorders>
              <w:top w:val="nil"/>
              <w:left w:val="nil"/>
              <w:bottom w:val="single" w:sz="8" w:space="0" w:color="auto"/>
              <w:right w:val="single" w:sz="4" w:space="0" w:color="7F7F7F"/>
            </w:tcBorders>
            <w:shd w:val="clear" w:color="000000" w:fill="F2F2F2"/>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2021E</w:t>
            </w:r>
          </w:p>
        </w:tc>
        <w:tc>
          <w:tcPr>
            <w:tcW w:w="412" w:type="pct"/>
            <w:tcBorders>
              <w:top w:val="nil"/>
              <w:left w:val="nil"/>
              <w:bottom w:val="single" w:sz="8" w:space="0" w:color="auto"/>
              <w:right w:val="single" w:sz="8" w:space="0" w:color="auto"/>
            </w:tcBorders>
            <w:shd w:val="clear" w:color="000000" w:fill="F2F2F2"/>
            <w:noWrap/>
            <w:vAlign w:val="bottom"/>
            <w:hideMark/>
          </w:tcPr>
          <w:p w:rsidR="00386041" w:rsidRPr="00A577A6" w:rsidRDefault="00386041" w:rsidP="00386041">
            <w:pPr>
              <w:spacing w:after="0" w:line="360" w:lineRule="auto"/>
              <w:jc w:val="center"/>
              <w:rPr>
                <w:rFonts w:ascii="Calibri" w:eastAsia="Times New Roman" w:hAnsi="Calibri" w:cs="Calibri"/>
                <w:b/>
                <w:bCs/>
                <w:color w:val="FA7D00"/>
              </w:rPr>
            </w:pPr>
            <w:r w:rsidRPr="00A577A6">
              <w:rPr>
                <w:rFonts w:ascii="Calibri" w:eastAsia="Times New Roman" w:hAnsi="Calibri" w:cs="Calibri"/>
                <w:b/>
                <w:bCs/>
                <w:color w:val="FA7D00"/>
              </w:rPr>
              <w:t>2022E</w:t>
            </w:r>
          </w:p>
        </w:tc>
      </w:tr>
      <w:tr w:rsidR="00386041" w:rsidRPr="00A577A6" w:rsidTr="00386041">
        <w:trPr>
          <w:trHeight w:val="385"/>
        </w:trPr>
        <w:tc>
          <w:tcPr>
            <w:tcW w:w="981" w:type="pct"/>
            <w:tcBorders>
              <w:top w:val="nil"/>
              <w:left w:val="single" w:sz="8" w:space="0" w:color="auto"/>
              <w:bottom w:val="nil"/>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Debt-to-Equity</w:t>
            </w:r>
          </w:p>
        </w:tc>
        <w:tc>
          <w:tcPr>
            <w:tcW w:w="398"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0.79</w:t>
            </w:r>
            <w:r w:rsidR="00BF436C">
              <w:rPr>
                <w:rFonts w:ascii="Calibri" w:eastAsia="Times New Roman" w:hAnsi="Calibri" w:cs="Calibri"/>
                <w:color w:val="000000"/>
              </w:rPr>
              <w:t>x</w:t>
            </w:r>
          </w:p>
        </w:tc>
        <w:tc>
          <w:tcPr>
            <w:tcW w:w="366"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1.07</w:t>
            </w:r>
            <w:r w:rsidR="00BF436C">
              <w:rPr>
                <w:rFonts w:ascii="Calibri" w:eastAsia="Times New Roman" w:hAnsi="Calibri" w:cs="Calibri"/>
                <w:color w:val="000000"/>
              </w:rPr>
              <w:t>x</w:t>
            </w:r>
          </w:p>
        </w:tc>
        <w:tc>
          <w:tcPr>
            <w:tcW w:w="366"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1.11</w:t>
            </w:r>
            <w:r w:rsidR="00BF436C">
              <w:rPr>
                <w:rFonts w:ascii="Calibri" w:eastAsia="Times New Roman" w:hAnsi="Calibri" w:cs="Calibri"/>
                <w:color w:val="000000"/>
              </w:rPr>
              <w:t>x</w:t>
            </w:r>
          </w:p>
        </w:tc>
        <w:tc>
          <w:tcPr>
            <w:tcW w:w="367"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0.80</w:t>
            </w:r>
            <w:r w:rsidR="00BF436C">
              <w:rPr>
                <w:rFonts w:ascii="Calibri" w:eastAsia="Times New Roman" w:hAnsi="Calibri" w:cs="Calibri"/>
                <w:color w:val="000000"/>
              </w:rPr>
              <w:t>x</w:t>
            </w:r>
          </w:p>
        </w:tc>
        <w:tc>
          <w:tcPr>
            <w:tcW w:w="371"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0.55</w:t>
            </w:r>
            <w:r w:rsidR="00BF436C">
              <w:rPr>
                <w:rFonts w:ascii="Calibri" w:eastAsia="Times New Roman" w:hAnsi="Calibri" w:cs="Calibri"/>
                <w:color w:val="000000"/>
              </w:rPr>
              <w:t>x</w:t>
            </w:r>
          </w:p>
        </w:tc>
        <w:tc>
          <w:tcPr>
            <w:tcW w:w="458"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0.74</w:t>
            </w:r>
            <w:r w:rsidR="00BF436C">
              <w:rPr>
                <w:rFonts w:ascii="Calibri" w:eastAsia="Times New Roman" w:hAnsi="Calibri" w:cs="Calibri"/>
                <w:color w:val="000000"/>
              </w:rPr>
              <w:t>x</w:t>
            </w:r>
          </w:p>
        </w:tc>
        <w:tc>
          <w:tcPr>
            <w:tcW w:w="456"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0.59</w:t>
            </w:r>
            <w:r w:rsidR="00BF436C">
              <w:rPr>
                <w:rFonts w:ascii="Calibri" w:eastAsia="Times New Roman" w:hAnsi="Calibri" w:cs="Calibri"/>
                <w:color w:val="000000"/>
              </w:rPr>
              <w:t>x</w:t>
            </w:r>
          </w:p>
        </w:tc>
        <w:tc>
          <w:tcPr>
            <w:tcW w:w="412"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1.04</w:t>
            </w:r>
            <w:r w:rsidR="00BF436C">
              <w:rPr>
                <w:rFonts w:ascii="Calibri" w:eastAsia="Times New Roman" w:hAnsi="Calibri" w:cs="Calibri"/>
                <w:color w:val="000000"/>
              </w:rPr>
              <w:t>x</w:t>
            </w:r>
          </w:p>
        </w:tc>
        <w:tc>
          <w:tcPr>
            <w:tcW w:w="412"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1.03</w:t>
            </w:r>
            <w:r w:rsidR="00BF436C">
              <w:rPr>
                <w:rFonts w:ascii="Calibri" w:eastAsia="Times New Roman" w:hAnsi="Calibri" w:cs="Calibri"/>
                <w:color w:val="000000"/>
              </w:rPr>
              <w:t>x</w:t>
            </w:r>
          </w:p>
        </w:tc>
        <w:tc>
          <w:tcPr>
            <w:tcW w:w="412" w:type="pct"/>
            <w:tcBorders>
              <w:top w:val="nil"/>
              <w:left w:val="nil"/>
              <w:bottom w:val="nil"/>
              <w:right w:val="single" w:sz="8" w:space="0" w:color="auto"/>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0.99</w:t>
            </w:r>
            <w:r w:rsidR="00BF436C">
              <w:rPr>
                <w:rFonts w:ascii="Calibri" w:eastAsia="Times New Roman" w:hAnsi="Calibri" w:cs="Calibri"/>
                <w:color w:val="000000"/>
              </w:rPr>
              <w:t>x</w:t>
            </w:r>
          </w:p>
        </w:tc>
      </w:tr>
      <w:tr w:rsidR="00386041" w:rsidRPr="00A577A6" w:rsidTr="00386041">
        <w:trPr>
          <w:trHeight w:val="300"/>
        </w:trPr>
        <w:tc>
          <w:tcPr>
            <w:tcW w:w="981" w:type="pct"/>
            <w:tcBorders>
              <w:top w:val="nil"/>
              <w:left w:val="single" w:sz="8" w:space="0" w:color="auto"/>
              <w:bottom w:val="nil"/>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Debt</w:t>
            </w:r>
            <w:r>
              <w:rPr>
                <w:rFonts w:ascii="Calibri" w:eastAsia="Times New Roman" w:hAnsi="Calibri" w:cs="Calibri"/>
                <w:color w:val="000000"/>
              </w:rPr>
              <w:t xml:space="preserve">-to-Asset </w:t>
            </w:r>
          </w:p>
        </w:tc>
        <w:tc>
          <w:tcPr>
            <w:tcW w:w="398"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0.18</w:t>
            </w:r>
            <w:r w:rsidR="00BF436C">
              <w:rPr>
                <w:rFonts w:ascii="Calibri" w:eastAsia="Times New Roman" w:hAnsi="Calibri" w:cs="Calibri"/>
                <w:color w:val="000000"/>
              </w:rPr>
              <w:t>x</w:t>
            </w:r>
          </w:p>
        </w:tc>
        <w:tc>
          <w:tcPr>
            <w:tcW w:w="366"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0.26</w:t>
            </w:r>
            <w:r w:rsidR="00BF436C">
              <w:rPr>
                <w:rFonts w:ascii="Calibri" w:eastAsia="Times New Roman" w:hAnsi="Calibri" w:cs="Calibri"/>
                <w:color w:val="000000"/>
              </w:rPr>
              <w:t>x</w:t>
            </w:r>
          </w:p>
        </w:tc>
        <w:tc>
          <w:tcPr>
            <w:tcW w:w="366"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0.26</w:t>
            </w:r>
            <w:r w:rsidR="00BF436C">
              <w:rPr>
                <w:rFonts w:ascii="Calibri" w:eastAsia="Times New Roman" w:hAnsi="Calibri" w:cs="Calibri"/>
                <w:color w:val="000000"/>
              </w:rPr>
              <w:t>x</w:t>
            </w:r>
          </w:p>
        </w:tc>
        <w:tc>
          <w:tcPr>
            <w:tcW w:w="367"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0.20</w:t>
            </w:r>
            <w:r w:rsidR="00BF436C">
              <w:rPr>
                <w:rFonts w:ascii="Calibri" w:eastAsia="Times New Roman" w:hAnsi="Calibri" w:cs="Calibri"/>
                <w:color w:val="000000"/>
              </w:rPr>
              <w:t>x</w:t>
            </w:r>
          </w:p>
        </w:tc>
        <w:tc>
          <w:tcPr>
            <w:tcW w:w="371" w:type="pct"/>
            <w:tcBorders>
              <w:top w:val="nil"/>
              <w:left w:val="nil"/>
              <w:bottom w:val="nil"/>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0.15</w:t>
            </w:r>
            <w:r w:rsidR="00BF436C">
              <w:rPr>
                <w:rFonts w:ascii="Calibri" w:eastAsia="Times New Roman" w:hAnsi="Calibri" w:cs="Calibri"/>
                <w:color w:val="000000"/>
              </w:rPr>
              <w:t>x</w:t>
            </w:r>
          </w:p>
        </w:tc>
        <w:tc>
          <w:tcPr>
            <w:tcW w:w="458"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0.18</w:t>
            </w:r>
            <w:r w:rsidR="00BF436C">
              <w:rPr>
                <w:rFonts w:ascii="Calibri" w:eastAsia="Times New Roman" w:hAnsi="Calibri" w:cs="Calibri"/>
                <w:color w:val="000000"/>
              </w:rPr>
              <w:t>x</w:t>
            </w:r>
          </w:p>
        </w:tc>
        <w:tc>
          <w:tcPr>
            <w:tcW w:w="456"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0.14</w:t>
            </w:r>
            <w:r w:rsidR="00BF436C">
              <w:rPr>
                <w:rFonts w:ascii="Calibri" w:eastAsia="Times New Roman" w:hAnsi="Calibri" w:cs="Calibri"/>
                <w:color w:val="000000"/>
              </w:rPr>
              <w:t>x</w:t>
            </w:r>
          </w:p>
        </w:tc>
        <w:tc>
          <w:tcPr>
            <w:tcW w:w="412"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0.22</w:t>
            </w:r>
            <w:r w:rsidR="00BF436C">
              <w:rPr>
                <w:rFonts w:ascii="Calibri" w:eastAsia="Times New Roman" w:hAnsi="Calibri" w:cs="Calibri"/>
                <w:color w:val="000000"/>
              </w:rPr>
              <w:t>x</w:t>
            </w:r>
          </w:p>
        </w:tc>
        <w:tc>
          <w:tcPr>
            <w:tcW w:w="412" w:type="pct"/>
            <w:tcBorders>
              <w:top w:val="nil"/>
              <w:left w:val="nil"/>
              <w:bottom w:val="nil"/>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0.21</w:t>
            </w:r>
            <w:r w:rsidR="00BF436C">
              <w:rPr>
                <w:rFonts w:ascii="Calibri" w:eastAsia="Times New Roman" w:hAnsi="Calibri" w:cs="Calibri"/>
                <w:color w:val="000000"/>
              </w:rPr>
              <w:t>x</w:t>
            </w:r>
          </w:p>
        </w:tc>
        <w:tc>
          <w:tcPr>
            <w:tcW w:w="412" w:type="pct"/>
            <w:tcBorders>
              <w:top w:val="nil"/>
              <w:left w:val="nil"/>
              <w:bottom w:val="nil"/>
              <w:right w:val="single" w:sz="8" w:space="0" w:color="auto"/>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0.20</w:t>
            </w:r>
            <w:r w:rsidR="00BF436C">
              <w:rPr>
                <w:rFonts w:ascii="Calibri" w:eastAsia="Times New Roman" w:hAnsi="Calibri" w:cs="Calibri"/>
                <w:color w:val="000000"/>
              </w:rPr>
              <w:t>x</w:t>
            </w:r>
          </w:p>
        </w:tc>
      </w:tr>
      <w:tr w:rsidR="00386041" w:rsidRPr="00A577A6" w:rsidTr="00386041">
        <w:trPr>
          <w:trHeight w:val="315"/>
        </w:trPr>
        <w:tc>
          <w:tcPr>
            <w:tcW w:w="981" w:type="pct"/>
            <w:tcBorders>
              <w:top w:val="nil"/>
              <w:left w:val="single" w:sz="8" w:space="0" w:color="auto"/>
              <w:bottom w:val="single" w:sz="8" w:space="0" w:color="auto"/>
              <w:right w:val="nil"/>
            </w:tcBorders>
            <w:shd w:val="clear" w:color="auto" w:fill="auto"/>
            <w:noWrap/>
            <w:vAlign w:val="bottom"/>
            <w:hideMark/>
          </w:tcPr>
          <w:p w:rsidR="00386041" w:rsidRPr="00A577A6" w:rsidRDefault="00386041" w:rsidP="00386041">
            <w:pPr>
              <w:spacing w:after="0" w:line="360" w:lineRule="auto"/>
              <w:rPr>
                <w:rFonts w:ascii="Calibri" w:eastAsia="Times New Roman" w:hAnsi="Calibri" w:cs="Calibri"/>
                <w:color w:val="000000"/>
              </w:rPr>
            </w:pPr>
            <w:r w:rsidRPr="00A577A6">
              <w:rPr>
                <w:rFonts w:ascii="Calibri" w:eastAsia="Times New Roman" w:hAnsi="Calibri" w:cs="Calibri"/>
                <w:color w:val="000000"/>
              </w:rPr>
              <w:t>Equity Multiplier</w:t>
            </w:r>
          </w:p>
        </w:tc>
        <w:tc>
          <w:tcPr>
            <w:tcW w:w="398" w:type="pct"/>
            <w:tcBorders>
              <w:top w:val="nil"/>
              <w:left w:val="nil"/>
              <w:bottom w:val="single" w:sz="8" w:space="0" w:color="auto"/>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4.34</w:t>
            </w:r>
            <w:r w:rsidR="00BF436C">
              <w:rPr>
                <w:rFonts w:ascii="Calibri" w:eastAsia="Times New Roman" w:hAnsi="Calibri" w:cs="Calibri"/>
                <w:color w:val="000000"/>
              </w:rPr>
              <w:t>x</w:t>
            </w:r>
          </w:p>
        </w:tc>
        <w:tc>
          <w:tcPr>
            <w:tcW w:w="366" w:type="pct"/>
            <w:tcBorders>
              <w:top w:val="nil"/>
              <w:left w:val="nil"/>
              <w:bottom w:val="single" w:sz="8" w:space="0" w:color="auto"/>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4.17</w:t>
            </w:r>
            <w:r w:rsidR="00BF436C">
              <w:rPr>
                <w:rFonts w:ascii="Calibri" w:eastAsia="Times New Roman" w:hAnsi="Calibri" w:cs="Calibri"/>
                <w:color w:val="000000"/>
              </w:rPr>
              <w:t>x</w:t>
            </w:r>
          </w:p>
        </w:tc>
        <w:tc>
          <w:tcPr>
            <w:tcW w:w="366" w:type="pct"/>
            <w:tcBorders>
              <w:top w:val="nil"/>
              <w:left w:val="nil"/>
              <w:bottom w:val="single" w:sz="8" w:space="0" w:color="auto"/>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4.32</w:t>
            </w:r>
            <w:r w:rsidR="00BF436C">
              <w:rPr>
                <w:rFonts w:ascii="Calibri" w:eastAsia="Times New Roman" w:hAnsi="Calibri" w:cs="Calibri"/>
                <w:color w:val="000000"/>
              </w:rPr>
              <w:t>x</w:t>
            </w:r>
          </w:p>
        </w:tc>
        <w:tc>
          <w:tcPr>
            <w:tcW w:w="367" w:type="pct"/>
            <w:tcBorders>
              <w:top w:val="nil"/>
              <w:left w:val="nil"/>
              <w:bottom w:val="single" w:sz="8" w:space="0" w:color="auto"/>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3.89</w:t>
            </w:r>
            <w:r w:rsidR="00BF436C">
              <w:rPr>
                <w:rFonts w:ascii="Calibri" w:eastAsia="Times New Roman" w:hAnsi="Calibri" w:cs="Calibri"/>
                <w:color w:val="000000"/>
              </w:rPr>
              <w:t>x</w:t>
            </w:r>
          </w:p>
        </w:tc>
        <w:tc>
          <w:tcPr>
            <w:tcW w:w="371" w:type="pct"/>
            <w:tcBorders>
              <w:top w:val="nil"/>
              <w:left w:val="nil"/>
              <w:bottom w:val="single" w:sz="8" w:space="0" w:color="auto"/>
              <w:right w:val="nil"/>
            </w:tcBorders>
            <w:shd w:val="clear" w:color="000000" w:fill="FFF2CC"/>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3.71</w:t>
            </w:r>
            <w:r w:rsidR="00BF436C">
              <w:rPr>
                <w:rFonts w:ascii="Calibri" w:eastAsia="Times New Roman" w:hAnsi="Calibri" w:cs="Calibri"/>
                <w:color w:val="000000"/>
              </w:rPr>
              <w:t>x</w:t>
            </w:r>
          </w:p>
        </w:tc>
        <w:tc>
          <w:tcPr>
            <w:tcW w:w="458" w:type="pct"/>
            <w:tcBorders>
              <w:top w:val="nil"/>
              <w:left w:val="nil"/>
              <w:bottom w:val="single" w:sz="8" w:space="0" w:color="auto"/>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4.14</w:t>
            </w:r>
            <w:r w:rsidR="00BF436C">
              <w:rPr>
                <w:rFonts w:ascii="Calibri" w:eastAsia="Times New Roman" w:hAnsi="Calibri" w:cs="Calibri"/>
                <w:color w:val="000000"/>
              </w:rPr>
              <w:t>x</w:t>
            </w:r>
          </w:p>
        </w:tc>
        <w:tc>
          <w:tcPr>
            <w:tcW w:w="456" w:type="pct"/>
            <w:tcBorders>
              <w:top w:val="nil"/>
              <w:left w:val="nil"/>
              <w:bottom w:val="single" w:sz="8" w:space="0" w:color="auto"/>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4.17</w:t>
            </w:r>
            <w:r w:rsidR="00BF436C">
              <w:rPr>
                <w:rFonts w:ascii="Calibri" w:eastAsia="Times New Roman" w:hAnsi="Calibri" w:cs="Calibri"/>
                <w:color w:val="000000"/>
              </w:rPr>
              <w:t>x</w:t>
            </w:r>
          </w:p>
        </w:tc>
        <w:tc>
          <w:tcPr>
            <w:tcW w:w="412" w:type="pct"/>
            <w:tcBorders>
              <w:top w:val="nil"/>
              <w:left w:val="nil"/>
              <w:bottom w:val="single" w:sz="8" w:space="0" w:color="auto"/>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4.81</w:t>
            </w:r>
            <w:r w:rsidR="00BF436C">
              <w:rPr>
                <w:rFonts w:ascii="Calibri" w:eastAsia="Times New Roman" w:hAnsi="Calibri" w:cs="Calibri"/>
                <w:color w:val="000000"/>
              </w:rPr>
              <w:t>x</w:t>
            </w:r>
          </w:p>
        </w:tc>
        <w:tc>
          <w:tcPr>
            <w:tcW w:w="412" w:type="pct"/>
            <w:tcBorders>
              <w:top w:val="nil"/>
              <w:left w:val="nil"/>
              <w:bottom w:val="single" w:sz="8" w:space="0" w:color="auto"/>
              <w:right w:val="nil"/>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4.92</w:t>
            </w:r>
            <w:r w:rsidR="00BF436C">
              <w:rPr>
                <w:rFonts w:ascii="Calibri" w:eastAsia="Times New Roman" w:hAnsi="Calibri" w:cs="Calibri"/>
                <w:color w:val="000000"/>
              </w:rPr>
              <w:t>x</w:t>
            </w:r>
          </w:p>
        </w:tc>
        <w:tc>
          <w:tcPr>
            <w:tcW w:w="412" w:type="pct"/>
            <w:tcBorders>
              <w:top w:val="nil"/>
              <w:left w:val="nil"/>
              <w:bottom w:val="single" w:sz="8" w:space="0" w:color="auto"/>
              <w:right w:val="single" w:sz="8" w:space="0" w:color="auto"/>
            </w:tcBorders>
            <w:shd w:val="clear" w:color="000000" w:fill="EDEDED"/>
            <w:noWrap/>
            <w:vAlign w:val="bottom"/>
            <w:hideMark/>
          </w:tcPr>
          <w:p w:rsidR="00386041" w:rsidRPr="00A577A6" w:rsidRDefault="00386041" w:rsidP="00386041">
            <w:pPr>
              <w:spacing w:after="0" w:line="360" w:lineRule="auto"/>
              <w:jc w:val="right"/>
              <w:rPr>
                <w:rFonts w:ascii="Calibri" w:eastAsia="Times New Roman" w:hAnsi="Calibri" w:cs="Calibri"/>
                <w:color w:val="000000"/>
              </w:rPr>
            </w:pPr>
            <w:r w:rsidRPr="00A577A6">
              <w:rPr>
                <w:rFonts w:ascii="Calibri" w:eastAsia="Times New Roman" w:hAnsi="Calibri" w:cs="Calibri"/>
                <w:color w:val="000000"/>
              </w:rPr>
              <w:t>5.02</w:t>
            </w:r>
            <w:r w:rsidR="00BF436C">
              <w:rPr>
                <w:rFonts w:ascii="Calibri" w:eastAsia="Times New Roman" w:hAnsi="Calibri" w:cs="Calibri"/>
                <w:color w:val="000000"/>
              </w:rPr>
              <w:t>x</w:t>
            </w:r>
          </w:p>
        </w:tc>
      </w:tr>
    </w:tbl>
    <w:p w:rsidR="00386041" w:rsidRDefault="00386041" w:rsidP="003A64E7">
      <w:pPr>
        <w:spacing w:line="360" w:lineRule="auto"/>
        <w:jc w:val="both"/>
        <w:rPr>
          <w:rFonts w:ascii="Times New Roman" w:hAnsi="Times New Roman" w:cs="Times New Roman"/>
          <w:sz w:val="24"/>
          <w:szCs w:val="24"/>
        </w:rPr>
      </w:pPr>
    </w:p>
    <w:p w:rsidR="001F6D9A" w:rsidRDefault="003E2597" w:rsidP="003A64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w:t>
      </w:r>
      <w:r w:rsidR="005F0BD6" w:rsidRPr="00416340">
        <w:rPr>
          <w:rFonts w:ascii="Times New Roman" w:hAnsi="Times New Roman" w:cs="Times New Roman"/>
          <w:b/>
          <w:sz w:val="24"/>
          <w:szCs w:val="24"/>
        </w:rPr>
        <w:t xml:space="preserve">Debt to Equity </w:t>
      </w:r>
      <w:r w:rsidRPr="00416340">
        <w:rPr>
          <w:rFonts w:ascii="Times New Roman" w:hAnsi="Times New Roman" w:cs="Times New Roman"/>
          <w:b/>
          <w:sz w:val="24"/>
          <w:szCs w:val="24"/>
        </w:rPr>
        <w:t>ratio</w:t>
      </w:r>
      <w:r w:rsidR="005F0BD6">
        <w:rPr>
          <w:rFonts w:ascii="Times New Roman" w:hAnsi="Times New Roman" w:cs="Times New Roman"/>
          <w:sz w:val="24"/>
          <w:szCs w:val="24"/>
        </w:rPr>
        <w:t xml:space="preserve"> of 2013 to 2016</w:t>
      </w:r>
      <w:r w:rsidR="00A577A6">
        <w:rPr>
          <w:rFonts w:ascii="Times New Roman" w:hAnsi="Times New Roman" w:cs="Times New Roman"/>
          <w:sz w:val="24"/>
          <w:szCs w:val="24"/>
        </w:rPr>
        <w:t xml:space="preserve"> it</w:t>
      </w:r>
      <w:r>
        <w:rPr>
          <w:rFonts w:ascii="Times New Roman" w:hAnsi="Times New Roman" w:cs="Times New Roman"/>
          <w:sz w:val="24"/>
          <w:szCs w:val="24"/>
        </w:rPr>
        <w:t xml:space="preserve"> can </w:t>
      </w:r>
      <w:r w:rsidR="00A577A6">
        <w:rPr>
          <w:rFonts w:ascii="Times New Roman" w:hAnsi="Times New Roman" w:cs="Times New Roman"/>
          <w:sz w:val="24"/>
          <w:szCs w:val="24"/>
        </w:rPr>
        <w:t>be said</w:t>
      </w:r>
      <w:r>
        <w:rPr>
          <w:rFonts w:ascii="Times New Roman" w:hAnsi="Times New Roman" w:cs="Times New Roman"/>
          <w:sz w:val="24"/>
          <w:szCs w:val="24"/>
        </w:rPr>
        <w:t xml:space="preserve"> that GP finance its operation most of the through debt</w:t>
      </w:r>
      <w:r w:rsidR="005F0BD6">
        <w:rPr>
          <w:rFonts w:ascii="Times New Roman" w:hAnsi="Times New Roman" w:cs="Times New Roman"/>
          <w:sz w:val="24"/>
          <w:szCs w:val="24"/>
        </w:rPr>
        <w:t xml:space="preserve"> than equity</w:t>
      </w:r>
      <w:r>
        <w:rPr>
          <w:rFonts w:ascii="Times New Roman" w:hAnsi="Times New Roman" w:cs="Times New Roman"/>
          <w:sz w:val="24"/>
          <w:szCs w:val="24"/>
        </w:rPr>
        <w:t xml:space="preserve">. </w:t>
      </w:r>
      <w:r w:rsidR="0056086A">
        <w:rPr>
          <w:rFonts w:ascii="Times New Roman" w:hAnsi="Times New Roman" w:cs="Times New Roman"/>
          <w:sz w:val="24"/>
          <w:szCs w:val="24"/>
        </w:rPr>
        <w:t>As per the assumption from 2020 to 2022 this ratio will be higher because of the increase in loan to finance the 5G license and spectrum acquisition cost</w:t>
      </w:r>
      <w:r w:rsidR="006C04BD">
        <w:rPr>
          <w:rFonts w:ascii="Times New Roman" w:hAnsi="Times New Roman" w:cs="Times New Roman"/>
          <w:sz w:val="24"/>
          <w:szCs w:val="24"/>
        </w:rPr>
        <w:t xml:space="preserve"> and GP </w:t>
      </w:r>
      <w:r w:rsidR="006B3BC4">
        <w:rPr>
          <w:rFonts w:ascii="Times New Roman" w:hAnsi="Times New Roman" w:cs="Times New Roman"/>
          <w:sz w:val="24"/>
          <w:szCs w:val="24"/>
        </w:rPr>
        <w:t>may become combative in financing its growth through debt.</w:t>
      </w:r>
      <w:r w:rsidR="00A22EC8">
        <w:rPr>
          <w:rFonts w:ascii="Times New Roman" w:hAnsi="Times New Roman" w:cs="Times New Roman"/>
          <w:sz w:val="24"/>
          <w:szCs w:val="24"/>
        </w:rPr>
        <w:t xml:space="preserve"> Then the ratio may decrease. </w:t>
      </w:r>
    </w:p>
    <w:p w:rsidR="00CA25EE" w:rsidRDefault="00CA25EE" w:rsidP="003A64E7">
      <w:pPr>
        <w:spacing w:line="360" w:lineRule="auto"/>
        <w:jc w:val="both"/>
        <w:rPr>
          <w:rFonts w:ascii="Times New Roman" w:hAnsi="Times New Roman" w:cs="Times New Roman"/>
          <w:sz w:val="24"/>
          <w:szCs w:val="24"/>
        </w:rPr>
      </w:pPr>
    </w:p>
    <w:p w:rsidR="001F6D9A" w:rsidRDefault="00B85D1B" w:rsidP="003A64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16340">
        <w:rPr>
          <w:rFonts w:ascii="Times New Roman" w:hAnsi="Times New Roman" w:cs="Times New Roman"/>
          <w:b/>
          <w:sz w:val="24"/>
          <w:szCs w:val="24"/>
        </w:rPr>
        <w:t>The D</w:t>
      </w:r>
      <w:r w:rsidR="00A66C4C" w:rsidRPr="00416340">
        <w:rPr>
          <w:rFonts w:ascii="Times New Roman" w:hAnsi="Times New Roman" w:cs="Times New Roman"/>
          <w:b/>
          <w:sz w:val="24"/>
          <w:szCs w:val="24"/>
        </w:rPr>
        <w:t>ebt</w:t>
      </w:r>
      <w:r w:rsidRPr="00416340">
        <w:rPr>
          <w:rFonts w:ascii="Times New Roman" w:hAnsi="Times New Roman" w:cs="Times New Roman"/>
          <w:b/>
          <w:sz w:val="24"/>
          <w:szCs w:val="24"/>
        </w:rPr>
        <w:t xml:space="preserve"> to Asset</w:t>
      </w:r>
      <w:r w:rsidR="00A66C4C" w:rsidRPr="00416340">
        <w:rPr>
          <w:rFonts w:ascii="Times New Roman" w:hAnsi="Times New Roman" w:cs="Times New Roman"/>
          <w:b/>
          <w:sz w:val="24"/>
          <w:szCs w:val="24"/>
        </w:rPr>
        <w:t xml:space="preserve"> ratio</w:t>
      </w:r>
      <w:r w:rsidR="00A66C4C">
        <w:rPr>
          <w:rFonts w:ascii="Times New Roman" w:hAnsi="Times New Roman" w:cs="Times New Roman"/>
          <w:sz w:val="24"/>
          <w:szCs w:val="24"/>
        </w:rPr>
        <w:t xml:space="preserve"> of GP shows the leveraged of GP. The ratio is low, it shows that most of the GP’s assets are financed </w:t>
      </w:r>
      <w:r w:rsidR="00205705">
        <w:rPr>
          <w:rFonts w:ascii="Times New Roman" w:hAnsi="Times New Roman" w:cs="Times New Roman"/>
          <w:sz w:val="24"/>
          <w:szCs w:val="24"/>
        </w:rPr>
        <w:t>by the investors than creditors and also les</w:t>
      </w:r>
      <w:r w:rsidR="00122721">
        <w:rPr>
          <w:rFonts w:ascii="Times New Roman" w:hAnsi="Times New Roman" w:cs="Times New Roman"/>
          <w:sz w:val="24"/>
          <w:szCs w:val="24"/>
        </w:rPr>
        <w:t>s risky for an investor to inves</w:t>
      </w:r>
      <w:r w:rsidR="00507EFE">
        <w:rPr>
          <w:rFonts w:ascii="Times New Roman" w:hAnsi="Times New Roman" w:cs="Times New Roman"/>
          <w:sz w:val="24"/>
          <w:szCs w:val="24"/>
        </w:rPr>
        <w:t>t in GP. The ratio may</w:t>
      </w:r>
      <w:r w:rsidR="00337FCC">
        <w:rPr>
          <w:rFonts w:ascii="Times New Roman" w:hAnsi="Times New Roman" w:cs="Times New Roman"/>
          <w:sz w:val="24"/>
          <w:szCs w:val="24"/>
        </w:rPr>
        <w:t xml:space="preserve"> increase in 2020 because of the increase in debt then may decrease</w:t>
      </w:r>
      <w:r w:rsidR="00507EFE">
        <w:rPr>
          <w:rFonts w:ascii="Times New Roman" w:hAnsi="Times New Roman" w:cs="Times New Roman"/>
          <w:sz w:val="24"/>
          <w:szCs w:val="24"/>
        </w:rPr>
        <w:t xml:space="preserve">. </w:t>
      </w:r>
    </w:p>
    <w:p w:rsidR="00CA25EE" w:rsidRDefault="00CA25EE" w:rsidP="003A64E7">
      <w:pPr>
        <w:spacing w:line="360" w:lineRule="auto"/>
        <w:jc w:val="both"/>
        <w:rPr>
          <w:rFonts w:ascii="Times New Roman" w:hAnsi="Times New Roman" w:cs="Times New Roman"/>
          <w:sz w:val="24"/>
          <w:szCs w:val="24"/>
        </w:rPr>
      </w:pPr>
    </w:p>
    <w:p w:rsidR="00170CCE" w:rsidRDefault="00507EFE" w:rsidP="003A64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Pr="00416340">
        <w:rPr>
          <w:rFonts w:ascii="Times New Roman" w:hAnsi="Times New Roman" w:cs="Times New Roman"/>
          <w:b/>
          <w:sz w:val="24"/>
          <w:szCs w:val="24"/>
        </w:rPr>
        <w:t>the equity multipl</w:t>
      </w:r>
      <w:r w:rsidR="00A74EBF" w:rsidRPr="00416340">
        <w:rPr>
          <w:rFonts w:ascii="Times New Roman" w:hAnsi="Times New Roman" w:cs="Times New Roman"/>
          <w:b/>
          <w:sz w:val="24"/>
          <w:szCs w:val="24"/>
        </w:rPr>
        <w:t>ier</w:t>
      </w:r>
      <w:r w:rsidR="00A74EBF">
        <w:rPr>
          <w:rFonts w:ascii="Times New Roman" w:hAnsi="Times New Roman" w:cs="Times New Roman"/>
          <w:sz w:val="24"/>
          <w:szCs w:val="24"/>
        </w:rPr>
        <w:t xml:space="preserve"> which increase in 2018 because of debt financing for </w:t>
      </w:r>
      <w:r w:rsidR="005B0D30">
        <w:rPr>
          <w:rFonts w:ascii="Times New Roman" w:hAnsi="Times New Roman" w:cs="Times New Roman"/>
          <w:sz w:val="24"/>
          <w:szCs w:val="24"/>
        </w:rPr>
        <w:t xml:space="preserve">4G/ LTE license and spectrum acquisition, and </w:t>
      </w:r>
      <w:r w:rsidR="00DF52C3">
        <w:rPr>
          <w:rFonts w:ascii="Times New Roman" w:hAnsi="Times New Roman" w:cs="Times New Roman"/>
          <w:sz w:val="24"/>
          <w:szCs w:val="24"/>
        </w:rPr>
        <w:t xml:space="preserve">from 2020 </w:t>
      </w:r>
      <w:r w:rsidR="00A74EBF">
        <w:rPr>
          <w:rFonts w:ascii="Times New Roman" w:hAnsi="Times New Roman" w:cs="Times New Roman"/>
          <w:sz w:val="24"/>
          <w:szCs w:val="24"/>
        </w:rPr>
        <w:t xml:space="preserve">to 2022 </w:t>
      </w:r>
      <w:r w:rsidR="00DF52C3">
        <w:rPr>
          <w:rFonts w:ascii="Times New Roman" w:hAnsi="Times New Roman" w:cs="Times New Roman"/>
          <w:sz w:val="24"/>
          <w:szCs w:val="24"/>
        </w:rPr>
        <w:t>the ratio may be</w:t>
      </w:r>
      <w:r w:rsidR="00A74EBF">
        <w:rPr>
          <w:rFonts w:ascii="Times New Roman" w:hAnsi="Times New Roman" w:cs="Times New Roman"/>
          <w:sz w:val="24"/>
          <w:szCs w:val="24"/>
        </w:rPr>
        <w:t>come</w:t>
      </w:r>
      <w:r w:rsidR="00DF52C3">
        <w:rPr>
          <w:rFonts w:ascii="Times New Roman" w:hAnsi="Times New Roman" w:cs="Times New Roman"/>
          <w:sz w:val="24"/>
          <w:szCs w:val="24"/>
        </w:rPr>
        <w:t xml:space="preserve"> higher because of the increase in debt financing</w:t>
      </w:r>
      <w:r w:rsidR="005B0D30">
        <w:rPr>
          <w:rFonts w:ascii="Times New Roman" w:hAnsi="Times New Roman" w:cs="Times New Roman"/>
          <w:sz w:val="24"/>
          <w:szCs w:val="24"/>
        </w:rPr>
        <w:t xml:space="preserve"> for 5G then the ratio may decrease if GP reduce debt financing</w:t>
      </w:r>
      <w:r w:rsidR="00361F2F">
        <w:rPr>
          <w:rFonts w:ascii="Times New Roman" w:hAnsi="Times New Roman" w:cs="Times New Roman"/>
          <w:sz w:val="24"/>
          <w:szCs w:val="24"/>
        </w:rPr>
        <w:t xml:space="preserve"> and increase financing through equity</w:t>
      </w:r>
      <w:r w:rsidR="005B0D30">
        <w:rPr>
          <w:rFonts w:ascii="Times New Roman" w:hAnsi="Times New Roman" w:cs="Times New Roman"/>
          <w:sz w:val="24"/>
          <w:szCs w:val="24"/>
        </w:rPr>
        <w:t>.</w:t>
      </w:r>
    </w:p>
    <w:p w:rsidR="003A64E7" w:rsidRDefault="00170CCE" w:rsidP="00170CCE">
      <w:pPr>
        <w:rPr>
          <w:rFonts w:ascii="Times New Roman" w:hAnsi="Times New Roman" w:cs="Times New Roman"/>
          <w:sz w:val="24"/>
          <w:szCs w:val="24"/>
        </w:rPr>
      </w:pPr>
      <w:r>
        <w:rPr>
          <w:rFonts w:ascii="Times New Roman" w:hAnsi="Times New Roman" w:cs="Times New Roman"/>
          <w:sz w:val="24"/>
          <w:szCs w:val="24"/>
        </w:rPr>
        <w:br w:type="page"/>
      </w:r>
    </w:p>
    <w:p w:rsidR="00AE6EC9" w:rsidRDefault="00170CCE" w:rsidP="00F706BE">
      <w:pPr>
        <w:pStyle w:val="ListParagraph"/>
        <w:numPr>
          <w:ilvl w:val="0"/>
          <w:numId w:val="16"/>
        </w:numPr>
        <w:spacing w:line="360" w:lineRule="auto"/>
        <w:jc w:val="both"/>
        <w:rPr>
          <w:rFonts w:ascii="Times New Roman" w:hAnsi="Times New Roman" w:cs="Times New Roman"/>
          <w:sz w:val="24"/>
          <w:szCs w:val="24"/>
        </w:rPr>
      </w:pPr>
      <w:r w:rsidRPr="00F462C0">
        <w:rPr>
          <w:noProof/>
        </w:rPr>
        <w:lastRenderedPageBreak/>
        <w:drawing>
          <wp:anchor distT="0" distB="0" distL="114300" distR="114300" simplePos="0" relativeHeight="251677696" behindDoc="0" locked="0" layoutInCell="1" allowOverlap="1" wp14:anchorId="45E700FF" wp14:editId="4A1E0503">
            <wp:simplePos x="0" y="0"/>
            <wp:positionH relativeFrom="margin">
              <wp:align>right</wp:align>
            </wp:positionH>
            <wp:positionV relativeFrom="margin">
              <wp:posOffset>600504</wp:posOffset>
            </wp:positionV>
            <wp:extent cx="3795395" cy="2966085"/>
            <wp:effectExtent l="0" t="0" r="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95395" cy="2966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A92" w:rsidRPr="00F706BE">
        <w:rPr>
          <w:rFonts w:ascii="Times New Roman" w:hAnsi="Times New Roman" w:cs="Times New Roman"/>
          <w:b/>
          <w:sz w:val="24"/>
          <w:szCs w:val="24"/>
        </w:rPr>
        <w:t xml:space="preserve">Capex, </w:t>
      </w:r>
      <w:r w:rsidR="00F21C05" w:rsidRPr="00F706BE">
        <w:rPr>
          <w:rFonts w:ascii="Times New Roman" w:hAnsi="Times New Roman" w:cs="Times New Roman"/>
          <w:b/>
          <w:sz w:val="24"/>
          <w:szCs w:val="24"/>
        </w:rPr>
        <w:t>Depreciation</w:t>
      </w:r>
      <w:r w:rsidR="0087560D" w:rsidRPr="00F706BE">
        <w:rPr>
          <w:rFonts w:ascii="Times New Roman" w:hAnsi="Times New Roman" w:cs="Times New Roman"/>
          <w:b/>
          <w:sz w:val="24"/>
          <w:szCs w:val="24"/>
        </w:rPr>
        <w:t xml:space="preserve"> &amp; Amortization</w:t>
      </w:r>
      <w:r w:rsidR="00F21C05" w:rsidRPr="00F706BE">
        <w:rPr>
          <w:rFonts w:ascii="Times New Roman" w:hAnsi="Times New Roman" w:cs="Times New Roman"/>
          <w:sz w:val="24"/>
          <w:szCs w:val="24"/>
        </w:rPr>
        <w:t>:</w:t>
      </w:r>
    </w:p>
    <w:p w:rsidR="00F21C05" w:rsidRPr="00AE6EC9" w:rsidRDefault="006E49F4" w:rsidP="00AE6EC9">
      <w:pPr>
        <w:spacing w:line="360" w:lineRule="auto"/>
        <w:jc w:val="both"/>
        <w:rPr>
          <w:rFonts w:ascii="Times New Roman" w:hAnsi="Times New Roman" w:cs="Times New Roman"/>
          <w:sz w:val="24"/>
          <w:szCs w:val="24"/>
        </w:rPr>
      </w:pPr>
      <w:r w:rsidRPr="00AE6EC9">
        <w:rPr>
          <w:rFonts w:ascii="Times New Roman" w:hAnsi="Times New Roman" w:cs="Times New Roman"/>
          <w:sz w:val="24"/>
          <w:szCs w:val="24"/>
        </w:rPr>
        <w:t>GP’s</w:t>
      </w:r>
      <w:r w:rsidR="00334242" w:rsidRPr="00AE6EC9">
        <w:rPr>
          <w:rFonts w:ascii="Times New Roman" w:hAnsi="Times New Roman" w:cs="Times New Roman"/>
          <w:sz w:val="24"/>
          <w:szCs w:val="24"/>
        </w:rPr>
        <w:t xml:space="preserve"> depreciable assets include building, base station, transmission equipment, computer &amp;other IT equipment, furniture &amp; fixtures and vehicles and also Fibre Optic Network which is a leased asset</w:t>
      </w:r>
      <w:r w:rsidR="00D14DA8" w:rsidRPr="00AE6EC9">
        <w:rPr>
          <w:rFonts w:ascii="Times New Roman" w:hAnsi="Times New Roman" w:cs="Times New Roman"/>
          <w:sz w:val="24"/>
          <w:szCs w:val="24"/>
        </w:rPr>
        <w:t>. Land and Capital work in progress will not be depreciated.</w:t>
      </w:r>
      <w:r w:rsidR="00C13603" w:rsidRPr="00AE6EC9">
        <w:rPr>
          <w:rFonts w:ascii="Times New Roman" w:hAnsi="Times New Roman" w:cs="Times New Roman"/>
          <w:sz w:val="24"/>
          <w:szCs w:val="24"/>
        </w:rPr>
        <w:t xml:space="preserve"> </w:t>
      </w:r>
      <w:r w:rsidR="00782644" w:rsidRPr="00AE6EC9">
        <w:rPr>
          <w:rFonts w:ascii="Times New Roman" w:hAnsi="Times New Roman" w:cs="Times New Roman"/>
          <w:sz w:val="24"/>
          <w:szCs w:val="24"/>
        </w:rPr>
        <w:t xml:space="preserve">GP may add new assets further. </w:t>
      </w:r>
      <w:r w:rsidR="00C13603" w:rsidRPr="00AE6EC9">
        <w:rPr>
          <w:rFonts w:ascii="Times New Roman" w:hAnsi="Times New Roman" w:cs="Times New Roman"/>
          <w:sz w:val="24"/>
          <w:szCs w:val="24"/>
        </w:rPr>
        <w:t>The new additions</w:t>
      </w:r>
      <w:r w:rsidR="00872934" w:rsidRPr="00AE6EC9">
        <w:rPr>
          <w:rFonts w:ascii="Times New Roman" w:hAnsi="Times New Roman" w:cs="Times New Roman"/>
          <w:sz w:val="24"/>
          <w:szCs w:val="24"/>
        </w:rPr>
        <w:t xml:space="preserve"> of the depreciable assets</w:t>
      </w:r>
      <w:r w:rsidR="005141EA" w:rsidRPr="00AE6EC9">
        <w:rPr>
          <w:rFonts w:ascii="Times New Roman" w:hAnsi="Times New Roman" w:cs="Times New Roman"/>
          <w:sz w:val="24"/>
          <w:szCs w:val="24"/>
        </w:rPr>
        <w:t xml:space="preserve"> except the Fibre Optic Network</w:t>
      </w:r>
      <w:r w:rsidR="00C13603" w:rsidRPr="00AE6EC9">
        <w:rPr>
          <w:rFonts w:ascii="Times New Roman" w:hAnsi="Times New Roman" w:cs="Times New Roman"/>
          <w:sz w:val="24"/>
          <w:szCs w:val="24"/>
        </w:rPr>
        <w:t xml:space="preserve"> during the year from 2018 to 2022 are assumed on the basis of the average of past </w:t>
      </w:r>
      <w:r w:rsidR="004D04DC" w:rsidRPr="00AE6EC9">
        <w:rPr>
          <w:rFonts w:ascii="Times New Roman" w:hAnsi="Times New Roman" w:cs="Times New Roman"/>
          <w:sz w:val="24"/>
          <w:szCs w:val="24"/>
        </w:rPr>
        <w:t>data (2013-2017).</w:t>
      </w:r>
      <w:r w:rsidR="0057123E" w:rsidRPr="00AE6EC9">
        <w:rPr>
          <w:rFonts w:ascii="Times New Roman" w:hAnsi="Times New Roman" w:cs="Times New Roman"/>
          <w:sz w:val="24"/>
          <w:szCs w:val="24"/>
        </w:rPr>
        <w:t xml:space="preserve"> The disposals </w:t>
      </w:r>
      <w:r w:rsidR="00D4754A" w:rsidRPr="00AE6EC9">
        <w:rPr>
          <w:rFonts w:ascii="Times New Roman" w:hAnsi="Times New Roman" w:cs="Times New Roman"/>
          <w:sz w:val="24"/>
          <w:szCs w:val="24"/>
        </w:rPr>
        <w:t xml:space="preserve">means the no economic benefits </w:t>
      </w:r>
      <w:r w:rsidR="00872934" w:rsidRPr="00AE6EC9">
        <w:rPr>
          <w:rFonts w:ascii="Times New Roman" w:hAnsi="Times New Roman" w:cs="Times New Roman"/>
          <w:sz w:val="24"/>
          <w:szCs w:val="24"/>
        </w:rPr>
        <w:t xml:space="preserve">of those assets </w:t>
      </w:r>
      <w:r w:rsidR="00CE076A" w:rsidRPr="00AE6EC9">
        <w:rPr>
          <w:rFonts w:ascii="Times New Roman" w:hAnsi="Times New Roman" w:cs="Times New Roman"/>
          <w:sz w:val="24"/>
          <w:szCs w:val="24"/>
        </w:rPr>
        <w:t xml:space="preserve">except the Fibre Optic Network </w:t>
      </w:r>
      <w:r w:rsidR="0057123E" w:rsidRPr="00AE6EC9">
        <w:rPr>
          <w:rFonts w:ascii="Times New Roman" w:hAnsi="Times New Roman" w:cs="Times New Roman"/>
          <w:sz w:val="24"/>
          <w:szCs w:val="24"/>
        </w:rPr>
        <w:t>are also assumed on the basis of the average of past data.</w:t>
      </w:r>
      <w:r w:rsidR="00F87107" w:rsidRPr="00AE6EC9">
        <w:rPr>
          <w:rFonts w:ascii="Times New Roman" w:hAnsi="Times New Roman" w:cs="Times New Roman"/>
          <w:sz w:val="24"/>
          <w:szCs w:val="24"/>
        </w:rPr>
        <w:t xml:space="preserve"> The incomplete work at sites and capital inventory of GP are recognized as capital work in progress. After the works are finished, this will also</w:t>
      </w:r>
      <w:r w:rsidR="00A81150">
        <w:rPr>
          <w:rFonts w:ascii="Times New Roman" w:hAnsi="Times New Roman" w:cs="Times New Roman"/>
          <w:sz w:val="24"/>
          <w:szCs w:val="24"/>
        </w:rPr>
        <w:t xml:space="preserve"> be</w:t>
      </w:r>
      <w:r w:rsidR="00F87107" w:rsidRPr="00AE6EC9">
        <w:rPr>
          <w:rFonts w:ascii="Times New Roman" w:hAnsi="Times New Roman" w:cs="Times New Roman"/>
          <w:sz w:val="24"/>
          <w:szCs w:val="24"/>
        </w:rPr>
        <w:t xml:space="preserve"> disposed, so the disposal of capital work in progress is also as</w:t>
      </w:r>
      <w:r w:rsidR="00924886" w:rsidRPr="00AE6EC9">
        <w:rPr>
          <w:rFonts w:ascii="Times New Roman" w:hAnsi="Times New Roman" w:cs="Times New Roman"/>
          <w:sz w:val="24"/>
          <w:szCs w:val="24"/>
        </w:rPr>
        <w:t>sumed on the basis of past data.</w:t>
      </w:r>
      <w:r w:rsidR="00E07E90" w:rsidRPr="00AE6EC9">
        <w:rPr>
          <w:rFonts w:ascii="Times New Roman" w:hAnsi="Times New Roman" w:cs="Times New Roman"/>
          <w:sz w:val="24"/>
          <w:szCs w:val="24"/>
        </w:rPr>
        <w:t xml:space="preserve"> </w:t>
      </w:r>
      <w:r w:rsidR="0026394B" w:rsidRPr="00AE6EC9">
        <w:rPr>
          <w:rFonts w:ascii="Times New Roman" w:hAnsi="Times New Roman" w:cs="Times New Roman"/>
          <w:sz w:val="24"/>
          <w:szCs w:val="24"/>
        </w:rPr>
        <w:t xml:space="preserve">Deprecation of the assets are assumed on basis of the percentage of the depreciation charged in 2017 and the written down value of the assets </w:t>
      </w:r>
      <w:r w:rsidR="00CB7C28" w:rsidRPr="00AE6EC9">
        <w:rPr>
          <w:rFonts w:ascii="Times New Roman" w:hAnsi="Times New Roman" w:cs="Times New Roman"/>
          <w:sz w:val="24"/>
          <w:szCs w:val="24"/>
        </w:rPr>
        <w:t xml:space="preserve">at January </w:t>
      </w:r>
      <w:r w:rsidR="0026394B" w:rsidRPr="00AE6EC9">
        <w:rPr>
          <w:rFonts w:ascii="Times New Roman" w:hAnsi="Times New Roman" w:cs="Times New Roman"/>
          <w:sz w:val="24"/>
          <w:szCs w:val="24"/>
        </w:rPr>
        <w:t>in 2017</w:t>
      </w:r>
      <w:r w:rsidR="008275B0" w:rsidRPr="00AE6EC9">
        <w:rPr>
          <w:rFonts w:ascii="Times New Roman" w:hAnsi="Times New Roman" w:cs="Times New Roman"/>
          <w:sz w:val="24"/>
          <w:szCs w:val="24"/>
        </w:rPr>
        <w:t>.</w:t>
      </w:r>
      <w:r w:rsidR="006803E2" w:rsidRPr="00AE6EC9">
        <w:rPr>
          <w:rFonts w:ascii="Times New Roman" w:hAnsi="Times New Roman" w:cs="Times New Roman"/>
          <w:sz w:val="24"/>
          <w:szCs w:val="24"/>
        </w:rPr>
        <w:t xml:space="preserve"> </w:t>
      </w:r>
    </w:p>
    <w:p w:rsidR="00B85492" w:rsidRDefault="00170CCE" w:rsidP="00356CDB">
      <w:pPr>
        <w:spacing w:line="360" w:lineRule="auto"/>
        <w:jc w:val="both"/>
        <w:rPr>
          <w:rFonts w:ascii="Times New Roman" w:hAnsi="Times New Roman" w:cs="Times New Roman"/>
          <w:sz w:val="24"/>
          <w:szCs w:val="24"/>
        </w:rPr>
      </w:pPr>
      <w:r>
        <w:rPr>
          <w:noProof/>
        </w:rPr>
        <w:drawing>
          <wp:anchor distT="0" distB="0" distL="114300" distR="114300" simplePos="0" relativeHeight="251676672" behindDoc="0" locked="0" layoutInCell="1" allowOverlap="1" wp14:anchorId="1994EEF6" wp14:editId="01A020EC">
            <wp:simplePos x="0" y="0"/>
            <wp:positionH relativeFrom="margin">
              <wp:align>right</wp:align>
            </wp:positionH>
            <wp:positionV relativeFrom="margin">
              <wp:posOffset>5739410</wp:posOffset>
            </wp:positionV>
            <wp:extent cx="3907790" cy="2370455"/>
            <wp:effectExtent l="0" t="0" r="16510" b="1079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850C96">
        <w:rPr>
          <w:rFonts w:ascii="Times New Roman" w:hAnsi="Times New Roman" w:cs="Times New Roman"/>
          <w:sz w:val="24"/>
          <w:szCs w:val="24"/>
        </w:rPr>
        <w:t>Capital expenditures</w:t>
      </w:r>
      <w:r w:rsidR="00EA6BFA">
        <w:rPr>
          <w:rFonts w:ascii="Times New Roman" w:hAnsi="Times New Roman" w:cs="Times New Roman"/>
          <w:sz w:val="24"/>
          <w:szCs w:val="24"/>
        </w:rPr>
        <w:t xml:space="preserve"> of GP are assumed as the percentage of revenue. </w:t>
      </w:r>
      <w:r w:rsidR="003E3FE6">
        <w:rPr>
          <w:rFonts w:ascii="Times New Roman" w:hAnsi="Times New Roman" w:cs="Times New Roman"/>
          <w:sz w:val="24"/>
          <w:szCs w:val="24"/>
        </w:rPr>
        <w:t>Most of the GP’s expenditures comprises of the expenditure for the increase in 2G, 3G coverage in addition to capacity up-gradation.</w:t>
      </w:r>
      <w:r w:rsidR="00C9327A">
        <w:rPr>
          <w:rFonts w:ascii="Times New Roman" w:hAnsi="Times New Roman" w:cs="Times New Roman"/>
          <w:sz w:val="24"/>
          <w:szCs w:val="24"/>
        </w:rPr>
        <w:t xml:space="preserve"> In 2013 the capex to sales ratio was high because of the 3G license </w:t>
      </w:r>
      <w:r w:rsidR="00F462C0">
        <w:rPr>
          <w:rFonts w:ascii="Times New Roman" w:hAnsi="Times New Roman" w:cs="Times New Roman"/>
          <w:sz w:val="24"/>
          <w:szCs w:val="24"/>
        </w:rPr>
        <w:lastRenderedPageBreak/>
        <w:t xml:space="preserve">and spectrum acquisition. </w:t>
      </w:r>
      <w:r w:rsidR="001A44FD">
        <w:rPr>
          <w:rFonts w:ascii="Times New Roman" w:hAnsi="Times New Roman" w:cs="Times New Roman"/>
          <w:sz w:val="24"/>
          <w:szCs w:val="24"/>
        </w:rPr>
        <w:t>In 2018 the capex to sales ratio will increase because of the 4G/LTE license and spectrum acquisition.</w:t>
      </w:r>
      <w:r w:rsidR="00B85DE2">
        <w:rPr>
          <w:rFonts w:ascii="Times New Roman" w:hAnsi="Times New Roman" w:cs="Times New Roman"/>
          <w:sz w:val="24"/>
          <w:szCs w:val="24"/>
        </w:rPr>
        <w:t xml:space="preserve"> For 2019 the capex to sales ratio is assumed on the basis of the average of past five </w:t>
      </w:r>
      <w:r w:rsidR="009154D8">
        <w:rPr>
          <w:rFonts w:ascii="Times New Roman" w:hAnsi="Times New Roman" w:cs="Times New Roman"/>
          <w:sz w:val="24"/>
          <w:szCs w:val="24"/>
        </w:rPr>
        <w:t>year’s</w:t>
      </w:r>
      <w:r w:rsidR="00B85DE2">
        <w:rPr>
          <w:rFonts w:ascii="Times New Roman" w:hAnsi="Times New Roman" w:cs="Times New Roman"/>
          <w:sz w:val="24"/>
          <w:szCs w:val="24"/>
        </w:rPr>
        <w:t xml:space="preserve"> capex to sales ratio</w:t>
      </w:r>
      <w:r w:rsidR="009E7C56">
        <w:rPr>
          <w:rFonts w:ascii="Times New Roman" w:hAnsi="Times New Roman" w:cs="Times New Roman"/>
          <w:sz w:val="24"/>
          <w:szCs w:val="24"/>
        </w:rPr>
        <w:t>.</w:t>
      </w:r>
      <w:r w:rsidR="00711D72">
        <w:rPr>
          <w:rFonts w:ascii="Times New Roman" w:hAnsi="Times New Roman" w:cs="Times New Roman"/>
          <w:sz w:val="24"/>
          <w:szCs w:val="24"/>
        </w:rPr>
        <w:t xml:space="preserve"> And in 2020 the ratio may increase if GP acquire 5G license and spectrum.</w:t>
      </w:r>
      <w:r w:rsidR="00EF5AF9">
        <w:rPr>
          <w:rFonts w:ascii="Times New Roman" w:hAnsi="Times New Roman" w:cs="Times New Roman"/>
          <w:sz w:val="24"/>
          <w:szCs w:val="24"/>
        </w:rPr>
        <w:t xml:space="preserve"> Then it is assumed that the capex to sales ratio may decrease by .5 percent consecutively in 2021and 2022.</w:t>
      </w:r>
      <w:r w:rsidR="00282A13">
        <w:rPr>
          <w:rFonts w:ascii="Times New Roman" w:hAnsi="Times New Roman" w:cs="Times New Roman"/>
          <w:sz w:val="24"/>
          <w:szCs w:val="24"/>
        </w:rPr>
        <w:t xml:space="preserve"> It is assumed that in 2018 and 2020, GP’s 60 percent</w:t>
      </w:r>
      <w:r w:rsidR="00B85492">
        <w:rPr>
          <w:rFonts w:ascii="Times New Roman" w:hAnsi="Times New Roman" w:cs="Times New Roman"/>
          <w:sz w:val="24"/>
          <w:szCs w:val="24"/>
        </w:rPr>
        <w:t xml:space="preserve"> of the total capex will be</w:t>
      </w:r>
      <w:r w:rsidR="00282A13">
        <w:rPr>
          <w:rFonts w:ascii="Times New Roman" w:hAnsi="Times New Roman" w:cs="Times New Roman"/>
          <w:sz w:val="24"/>
          <w:szCs w:val="24"/>
        </w:rPr>
        <w:t xml:space="preserve"> for acquiring new assets and the other 40 pe</w:t>
      </w:r>
      <w:r w:rsidR="00B85492">
        <w:rPr>
          <w:rFonts w:ascii="Times New Roman" w:hAnsi="Times New Roman" w:cs="Times New Roman"/>
          <w:sz w:val="24"/>
          <w:szCs w:val="24"/>
        </w:rPr>
        <w:t>rcent will be</w:t>
      </w:r>
      <w:r w:rsidR="00282A13">
        <w:rPr>
          <w:rFonts w:ascii="Times New Roman" w:hAnsi="Times New Roman" w:cs="Times New Roman"/>
          <w:sz w:val="24"/>
          <w:szCs w:val="24"/>
        </w:rPr>
        <w:t xml:space="preserve"> for maintaining other assets</w:t>
      </w:r>
      <w:r w:rsidR="00831A1E">
        <w:rPr>
          <w:rFonts w:ascii="Times New Roman" w:hAnsi="Times New Roman" w:cs="Times New Roman"/>
          <w:sz w:val="24"/>
          <w:szCs w:val="24"/>
        </w:rPr>
        <w:t xml:space="preserve"> because of the 4G/LTE and 5G adaption. </w:t>
      </w:r>
      <w:r w:rsidR="005812A1">
        <w:rPr>
          <w:rFonts w:ascii="Times New Roman" w:hAnsi="Times New Roman" w:cs="Times New Roman"/>
          <w:sz w:val="24"/>
          <w:szCs w:val="24"/>
        </w:rPr>
        <w:t>It</w:t>
      </w:r>
      <w:r w:rsidR="00B60189">
        <w:rPr>
          <w:rFonts w:ascii="Times New Roman" w:hAnsi="Times New Roman" w:cs="Times New Roman"/>
          <w:sz w:val="24"/>
          <w:szCs w:val="24"/>
        </w:rPr>
        <w:t xml:space="preserve"> is assumed that </w:t>
      </w:r>
      <w:r w:rsidR="005812A1">
        <w:rPr>
          <w:rFonts w:ascii="Times New Roman" w:hAnsi="Times New Roman" w:cs="Times New Roman"/>
          <w:sz w:val="24"/>
          <w:szCs w:val="24"/>
        </w:rPr>
        <w:t xml:space="preserve">in 2018 </w:t>
      </w:r>
      <w:r w:rsidR="00B60189">
        <w:rPr>
          <w:rFonts w:ascii="Times New Roman" w:hAnsi="Times New Roman" w:cs="Times New Roman"/>
          <w:sz w:val="24"/>
          <w:szCs w:val="24"/>
        </w:rPr>
        <w:t>of the 60 percent capex, 85 percent will be for acquiring new intangible assets and the other 15 percent</w:t>
      </w:r>
      <w:r w:rsidR="00B85492">
        <w:rPr>
          <w:rFonts w:ascii="Times New Roman" w:hAnsi="Times New Roman" w:cs="Times New Roman"/>
          <w:sz w:val="24"/>
          <w:szCs w:val="24"/>
        </w:rPr>
        <w:t xml:space="preserve"> will be</w:t>
      </w:r>
      <w:r w:rsidR="00B221A1">
        <w:rPr>
          <w:rFonts w:ascii="Times New Roman" w:hAnsi="Times New Roman" w:cs="Times New Roman"/>
          <w:sz w:val="24"/>
          <w:szCs w:val="24"/>
        </w:rPr>
        <w:t xml:space="preserve"> for a</w:t>
      </w:r>
      <w:r w:rsidR="005812A1">
        <w:rPr>
          <w:rFonts w:ascii="Times New Roman" w:hAnsi="Times New Roman" w:cs="Times New Roman"/>
          <w:sz w:val="24"/>
          <w:szCs w:val="24"/>
        </w:rPr>
        <w:t>cquiring other tangible assets and  in 2020 of the 60 percent capex, 90 percent will be for acquiring new intangible assets and the other 10 percent will be for acquiring tangible assets.</w:t>
      </w:r>
    </w:p>
    <w:tbl>
      <w:tblPr>
        <w:tblW w:w="5000" w:type="pct"/>
        <w:tblLook w:val="04A0" w:firstRow="1" w:lastRow="0" w:firstColumn="1" w:lastColumn="0" w:noHBand="0" w:noVBand="1"/>
      </w:tblPr>
      <w:tblGrid>
        <w:gridCol w:w="2565"/>
        <w:gridCol w:w="1321"/>
        <w:gridCol w:w="1603"/>
        <w:gridCol w:w="1542"/>
        <w:gridCol w:w="1302"/>
        <w:gridCol w:w="1243"/>
      </w:tblGrid>
      <w:tr w:rsidR="00C73222" w:rsidRPr="00C73222" w:rsidTr="00C73222">
        <w:trPr>
          <w:trHeight w:val="315"/>
        </w:trPr>
        <w:tc>
          <w:tcPr>
            <w:tcW w:w="1339" w:type="pct"/>
            <w:tcBorders>
              <w:top w:val="single" w:sz="8" w:space="0" w:color="auto"/>
              <w:left w:val="single" w:sz="8" w:space="0" w:color="auto"/>
              <w:bottom w:val="nil"/>
              <w:right w:val="single" w:sz="8" w:space="0" w:color="auto"/>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Particulars</w:t>
            </w:r>
          </w:p>
        </w:tc>
        <w:tc>
          <w:tcPr>
            <w:tcW w:w="690" w:type="pct"/>
            <w:tcBorders>
              <w:top w:val="single" w:sz="8" w:space="0" w:color="auto"/>
              <w:left w:val="nil"/>
              <w:bottom w:val="nil"/>
              <w:right w:val="single" w:sz="4" w:space="0" w:color="7F7F7F"/>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2018 E</w:t>
            </w:r>
          </w:p>
        </w:tc>
        <w:tc>
          <w:tcPr>
            <w:tcW w:w="837" w:type="pct"/>
            <w:tcBorders>
              <w:top w:val="single" w:sz="8" w:space="0" w:color="auto"/>
              <w:left w:val="nil"/>
              <w:bottom w:val="nil"/>
              <w:right w:val="single" w:sz="4" w:space="0" w:color="7F7F7F"/>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2019 E</w:t>
            </w:r>
          </w:p>
        </w:tc>
        <w:tc>
          <w:tcPr>
            <w:tcW w:w="805" w:type="pct"/>
            <w:tcBorders>
              <w:top w:val="single" w:sz="8" w:space="0" w:color="auto"/>
              <w:left w:val="nil"/>
              <w:bottom w:val="nil"/>
              <w:right w:val="nil"/>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2020 E</w:t>
            </w:r>
          </w:p>
        </w:tc>
        <w:tc>
          <w:tcPr>
            <w:tcW w:w="680" w:type="pct"/>
            <w:tcBorders>
              <w:top w:val="single" w:sz="8" w:space="0" w:color="auto"/>
              <w:left w:val="nil"/>
              <w:bottom w:val="nil"/>
              <w:right w:val="single" w:sz="4" w:space="0" w:color="7F7F7F"/>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2021 E</w:t>
            </w:r>
          </w:p>
        </w:tc>
        <w:tc>
          <w:tcPr>
            <w:tcW w:w="649" w:type="pct"/>
            <w:tcBorders>
              <w:top w:val="single" w:sz="8" w:space="0" w:color="auto"/>
              <w:left w:val="nil"/>
              <w:bottom w:val="nil"/>
              <w:right w:val="single" w:sz="8" w:space="0" w:color="auto"/>
            </w:tcBorders>
            <w:shd w:val="clear" w:color="000000" w:fill="F2F2F2"/>
            <w:noWrap/>
            <w:vAlign w:val="bottom"/>
            <w:hideMark/>
          </w:tcPr>
          <w:p w:rsidR="00C73222" w:rsidRPr="00C73222" w:rsidRDefault="00C73222" w:rsidP="00356CDB">
            <w:pPr>
              <w:spacing w:after="0" w:line="276" w:lineRule="auto"/>
              <w:jc w:val="center"/>
              <w:rPr>
                <w:rFonts w:ascii="Calibri" w:eastAsia="Times New Roman" w:hAnsi="Calibri" w:cs="Calibri"/>
                <w:b/>
                <w:bCs/>
                <w:color w:val="FA7D00"/>
              </w:rPr>
            </w:pPr>
            <w:r w:rsidRPr="00C73222">
              <w:rPr>
                <w:rFonts w:ascii="Calibri" w:eastAsia="Times New Roman" w:hAnsi="Calibri" w:cs="Calibri"/>
                <w:b/>
                <w:bCs/>
                <w:color w:val="FA7D00"/>
              </w:rPr>
              <w:t>2022 E</w:t>
            </w:r>
          </w:p>
        </w:tc>
      </w:tr>
      <w:tr w:rsidR="00C73222" w:rsidRPr="00C73222" w:rsidTr="00C73222">
        <w:trPr>
          <w:trHeight w:val="600"/>
        </w:trPr>
        <w:tc>
          <w:tcPr>
            <w:tcW w:w="1339" w:type="pct"/>
            <w:tcBorders>
              <w:top w:val="single" w:sz="8" w:space="0" w:color="auto"/>
              <w:left w:val="single" w:sz="8" w:space="0" w:color="auto"/>
              <w:bottom w:val="single" w:sz="4" w:space="0" w:color="auto"/>
              <w:right w:val="single" w:sz="8" w:space="0" w:color="auto"/>
            </w:tcBorders>
            <w:shd w:val="clear" w:color="000000" w:fill="F2F2F2"/>
            <w:vAlign w:val="center"/>
            <w:hideMark/>
          </w:tcPr>
          <w:p w:rsidR="00C73222" w:rsidRPr="00C73222" w:rsidRDefault="009552E3"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Mainte</w:t>
            </w:r>
            <w:r>
              <w:rPr>
                <w:rFonts w:ascii="Calibri" w:eastAsia="Times New Roman" w:hAnsi="Calibri" w:cs="Calibri"/>
                <w:color w:val="000000"/>
              </w:rPr>
              <w:t>n</w:t>
            </w:r>
            <w:r w:rsidRPr="00C73222">
              <w:rPr>
                <w:rFonts w:ascii="Calibri" w:eastAsia="Times New Roman" w:hAnsi="Calibri" w:cs="Calibri"/>
                <w:color w:val="000000"/>
              </w:rPr>
              <w:t>a</w:t>
            </w:r>
            <w:r>
              <w:rPr>
                <w:rFonts w:ascii="Calibri" w:eastAsia="Times New Roman" w:hAnsi="Calibri" w:cs="Calibri"/>
                <w:color w:val="000000"/>
              </w:rPr>
              <w:t>nc</w:t>
            </w:r>
            <w:r w:rsidRPr="00C73222">
              <w:rPr>
                <w:rFonts w:ascii="Calibri" w:eastAsia="Times New Roman" w:hAnsi="Calibri" w:cs="Calibri"/>
                <w:color w:val="000000"/>
              </w:rPr>
              <w:t>e</w:t>
            </w:r>
            <w:r w:rsidR="00C73222" w:rsidRPr="00C73222">
              <w:rPr>
                <w:rFonts w:ascii="Calibri" w:eastAsia="Times New Roman" w:hAnsi="Calibri" w:cs="Calibri"/>
                <w:color w:val="000000"/>
              </w:rPr>
              <w:t xml:space="preserve"> Capex % of total Capex</w:t>
            </w:r>
          </w:p>
        </w:tc>
        <w:tc>
          <w:tcPr>
            <w:tcW w:w="690" w:type="pct"/>
            <w:tcBorders>
              <w:top w:val="single" w:sz="8" w:space="0" w:color="auto"/>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40%</w:t>
            </w:r>
          </w:p>
        </w:tc>
        <w:tc>
          <w:tcPr>
            <w:tcW w:w="837" w:type="pct"/>
            <w:tcBorders>
              <w:top w:val="single" w:sz="8" w:space="0" w:color="auto"/>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80%</w:t>
            </w:r>
          </w:p>
        </w:tc>
        <w:tc>
          <w:tcPr>
            <w:tcW w:w="805" w:type="pct"/>
            <w:tcBorders>
              <w:top w:val="single" w:sz="8" w:space="0" w:color="auto"/>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40%</w:t>
            </w:r>
          </w:p>
        </w:tc>
        <w:tc>
          <w:tcPr>
            <w:tcW w:w="680" w:type="pct"/>
            <w:tcBorders>
              <w:top w:val="single" w:sz="8" w:space="0" w:color="auto"/>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80%</w:t>
            </w:r>
          </w:p>
        </w:tc>
        <w:tc>
          <w:tcPr>
            <w:tcW w:w="649" w:type="pct"/>
            <w:tcBorders>
              <w:top w:val="single" w:sz="8" w:space="0" w:color="auto"/>
              <w:left w:val="nil"/>
              <w:bottom w:val="single" w:sz="4" w:space="0" w:color="auto"/>
              <w:right w:val="single" w:sz="8" w:space="0" w:color="auto"/>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80%</w:t>
            </w:r>
          </w:p>
        </w:tc>
      </w:tr>
      <w:tr w:rsidR="00C73222" w:rsidRPr="00C73222" w:rsidTr="00C73222">
        <w:trPr>
          <w:trHeight w:val="600"/>
        </w:trPr>
        <w:tc>
          <w:tcPr>
            <w:tcW w:w="1339" w:type="pct"/>
            <w:tcBorders>
              <w:top w:val="nil"/>
              <w:left w:val="single" w:sz="8" w:space="0" w:color="auto"/>
              <w:bottom w:val="single" w:sz="4" w:space="0" w:color="auto"/>
              <w:right w:val="single" w:sz="8" w:space="0" w:color="auto"/>
            </w:tcBorders>
            <w:shd w:val="clear" w:color="000000" w:fill="F2F2F2"/>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 xml:space="preserve">Capex for  </w:t>
            </w:r>
            <w:r w:rsidR="009552E3" w:rsidRPr="00C73222">
              <w:rPr>
                <w:rFonts w:ascii="Calibri" w:eastAsia="Times New Roman" w:hAnsi="Calibri" w:cs="Calibri"/>
                <w:color w:val="000000"/>
              </w:rPr>
              <w:t>acquiring</w:t>
            </w:r>
            <w:r w:rsidRPr="00C73222">
              <w:rPr>
                <w:rFonts w:ascii="Calibri" w:eastAsia="Times New Roman" w:hAnsi="Calibri" w:cs="Calibri"/>
                <w:color w:val="000000"/>
              </w:rPr>
              <w:t xml:space="preserve"> new asset % of total Capex</w:t>
            </w:r>
          </w:p>
        </w:tc>
        <w:tc>
          <w:tcPr>
            <w:tcW w:w="690"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60%</w:t>
            </w:r>
          </w:p>
        </w:tc>
        <w:tc>
          <w:tcPr>
            <w:tcW w:w="837"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20%</w:t>
            </w:r>
          </w:p>
        </w:tc>
        <w:tc>
          <w:tcPr>
            <w:tcW w:w="805"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60%</w:t>
            </w:r>
          </w:p>
        </w:tc>
        <w:tc>
          <w:tcPr>
            <w:tcW w:w="680"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20%</w:t>
            </w:r>
          </w:p>
        </w:tc>
        <w:tc>
          <w:tcPr>
            <w:tcW w:w="649" w:type="pct"/>
            <w:tcBorders>
              <w:top w:val="nil"/>
              <w:left w:val="nil"/>
              <w:bottom w:val="single" w:sz="4" w:space="0" w:color="auto"/>
              <w:right w:val="single" w:sz="8" w:space="0" w:color="auto"/>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20%</w:t>
            </w:r>
          </w:p>
        </w:tc>
      </w:tr>
      <w:tr w:rsidR="00C73222" w:rsidRPr="00C73222" w:rsidTr="00C73222">
        <w:trPr>
          <w:trHeight w:val="600"/>
        </w:trPr>
        <w:tc>
          <w:tcPr>
            <w:tcW w:w="1339" w:type="pct"/>
            <w:tcBorders>
              <w:top w:val="nil"/>
              <w:left w:val="single" w:sz="8" w:space="0" w:color="auto"/>
              <w:bottom w:val="single" w:sz="4" w:space="0" w:color="auto"/>
              <w:right w:val="single" w:sz="8" w:space="0" w:color="auto"/>
            </w:tcBorders>
            <w:shd w:val="clear" w:color="000000" w:fill="F2F2F2"/>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Percentage of Intangible in (Intangible+PPE)</w:t>
            </w:r>
          </w:p>
        </w:tc>
        <w:tc>
          <w:tcPr>
            <w:tcW w:w="690"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85%</w:t>
            </w:r>
          </w:p>
        </w:tc>
        <w:tc>
          <w:tcPr>
            <w:tcW w:w="837"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36%</w:t>
            </w:r>
          </w:p>
        </w:tc>
        <w:tc>
          <w:tcPr>
            <w:tcW w:w="805"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90%</w:t>
            </w:r>
          </w:p>
        </w:tc>
        <w:tc>
          <w:tcPr>
            <w:tcW w:w="680" w:type="pct"/>
            <w:tcBorders>
              <w:top w:val="nil"/>
              <w:left w:val="nil"/>
              <w:bottom w:val="single" w:sz="4"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36%</w:t>
            </w:r>
          </w:p>
        </w:tc>
        <w:tc>
          <w:tcPr>
            <w:tcW w:w="649" w:type="pct"/>
            <w:tcBorders>
              <w:top w:val="nil"/>
              <w:left w:val="nil"/>
              <w:bottom w:val="single" w:sz="4" w:space="0" w:color="auto"/>
              <w:right w:val="single" w:sz="8" w:space="0" w:color="auto"/>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36%</w:t>
            </w:r>
          </w:p>
        </w:tc>
      </w:tr>
      <w:tr w:rsidR="00C73222" w:rsidRPr="00C73222" w:rsidTr="00C73222">
        <w:trPr>
          <w:trHeight w:val="615"/>
        </w:trPr>
        <w:tc>
          <w:tcPr>
            <w:tcW w:w="1339" w:type="pct"/>
            <w:tcBorders>
              <w:top w:val="nil"/>
              <w:left w:val="single" w:sz="8" w:space="0" w:color="auto"/>
              <w:bottom w:val="single" w:sz="8" w:space="0" w:color="auto"/>
              <w:right w:val="single" w:sz="8" w:space="0" w:color="auto"/>
            </w:tcBorders>
            <w:shd w:val="clear" w:color="000000" w:fill="F2F2F2"/>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Percentage of PPE in (Intangibles+PPE)</w:t>
            </w:r>
          </w:p>
        </w:tc>
        <w:tc>
          <w:tcPr>
            <w:tcW w:w="690" w:type="pct"/>
            <w:tcBorders>
              <w:top w:val="nil"/>
              <w:left w:val="nil"/>
              <w:bottom w:val="single" w:sz="8"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15%</w:t>
            </w:r>
          </w:p>
        </w:tc>
        <w:tc>
          <w:tcPr>
            <w:tcW w:w="837" w:type="pct"/>
            <w:tcBorders>
              <w:top w:val="nil"/>
              <w:left w:val="nil"/>
              <w:bottom w:val="single" w:sz="8"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64%</w:t>
            </w:r>
          </w:p>
        </w:tc>
        <w:tc>
          <w:tcPr>
            <w:tcW w:w="805" w:type="pct"/>
            <w:tcBorders>
              <w:top w:val="nil"/>
              <w:left w:val="nil"/>
              <w:bottom w:val="single" w:sz="8"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10%</w:t>
            </w:r>
          </w:p>
        </w:tc>
        <w:tc>
          <w:tcPr>
            <w:tcW w:w="680" w:type="pct"/>
            <w:tcBorders>
              <w:top w:val="nil"/>
              <w:left w:val="nil"/>
              <w:bottom w:val="single" w:sz="8" w:space="0" w:color="auto"/>
              <w:right w:val="nil"/>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64%</w:t>
            </w:r>
          </w:p>
        </w:tc>
        <w:tc>
          <w:tcPr>
            <w:tcW w:w="649" w:type="pct"/>
            <w:tcBorders>
              <w:top w:val="nil"/>
              <w:left w:val="nil"/>
              <w:bottom w:val="single" w:sz="8" w:space="0" w:color="auto"/>
              <w:right w:val="single" w:sz="8" w:space="0" w:color="auto"/>
            </w:tcBorders>
            <w:shd w:val="clear" w:color="000000" w:fill="F2F2F2"/>
            <w:noWrap/>
            <w:vAlign w:val="center"/>
            <w:hideMark/>
          </w:tcPr>
          <w:p w:rsidR="00C73222" w:rsidRPr="00C73222" w:rsidRDefault="00C73222" w:rsidP="00356CDB">
            <w:pPr>
              <w:spacing w:after="0" w:line="276" w:lineRule="auto"/>
              <w:jc w:val="center"/>
              <w:rPr>
                <w:rFonts w:ascii="Calibri" w:eastAsia="Times New Roman" w:hAnsi="Calibri" w:cs="Calibri"/>
                <w:color w:val="000000"/>
              </w:rPr>
            </w:pPr>
            <w:r w:rsidRPr="00C73222">
              <w:rPr>
                <w:rFonts w:ascii="Calibri" w:eastAsia="Times New Roman" w:hAnsi="Calibri" w:cs="Calibri"/>
                <w:color w:val="000000"/>
              </w:rPr>
              <w:t>64%</w:t>
            </w:r>
          </w:p>
        </w:tc>
      </w:tr>
    </w:tbl>
    <w:p w:rsidR="00C73222" w:rsidRDefault="00C73222" w:rsidP="00356CDB">
      <w:pPr>
        <w:spacing w:line="360" w:lineRule="auto"/>
        <w:jc w:val="both"/>
        <w:rPr>
          <w:rFonts w:ascii="Times New Roman" w:hAnsi="Times New Roman" w:cs="Times New Roman"/>
          <w:sz w:val="24"/>
          <w:szCs w:val="24"/>
        </w:rPr>
      </w:pPr>
    </w:p>
    <w:p w:rsidR="00A8348A" w:rsidRPr="00CD2104" w:rsidRDefault="00A8348A" w:rsidP="00356CDB">
      <w:pPr>
        <w:spacing w:line="360" w:lineRule="auto"/>
        <w:jc w:val="both"/>
        <w:rPr>
          <w:rFonts w:ascii="Times New Roman" w:hAnsi="Times New Roman" w:cs="Times New Roman"/>
          <w:sz w:val="24"/>
          <w:szCs w:val="24"/>
        </w:rPr>
      </w:pPr>
      <w:r w:rsidRPr="00A8348A">
        <w:rPr>
          <w:noProof/>
        </w:rPr>
        <w:drawing>
          <wp:anchor distT="0" distB="0" distL="114300" distR="114300" simplePos="0" relativeHeight="251684864" behindDoc="0" locked="0" layoutInCell="1" allowOverlap="1" wp14:anchorId="53A722CA" wp14:editId="4DEE7D44">
            <wp:simplePos x="0" y="0"/>
            <wp:positionH relativeFrom="margin">
              <wp:align>right</wp:align>
            </wp:positionH>
            <wp:positionV relativeFrom="margin">
              <wp:posOffset>5443855</wp:posOffset>
            </wp:positionV>
            <wp:extent cx="3729355" cy="1466850"/>
            <wp:effectExtent l="0" t="0" r="444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9355"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21A1">
        <w:rPr>
          <w:rFonts w:ascii="Times New Roman" w:hAnsi="Times New Roman" w:cs="Times New Roman"/>
          <w:sz w:val="24"/>
          <w:szCs w:val="24"/>
        </w:rPr>
        <w:t>GP’s intangible assets include telecom license &amp;</w:t>
      </w:r>
      <w:r w:rsidR="005215E5">
        <w:rPr>
          <w:rFonts w:ascii="Times New Roman" w:hAnsi="Times New Roman" w:cs="Times New Roman"/>
          <w:sz w:val="24"/>
          <w:szCs w:val="24"/>
        </w:rPr>
        <w:t xml:space="preserve"> spectrum and </w:t>
      </w:r>
      <w:r w:rsidR="00E3793B">
        <w:rPr>
          <w:rFonts w:ascii="Times New Roman" w:hAnsi="Times New Roman" w:cs="Times New Roman"/>
          <w:sz w:val="24"/>
          <w:szCs w:val="24"/>
        </w:rPr>
        <w:t xml:space="preserve">software &amp; others which will be </w:t>
      </w:r>
      <w:r w:rsidR="005215E5">
        <w:rPr>
          <w:rFonts w:ascii="Times New Roman" w:hAnsi="Times New Roman" w:cs="Times New Roman"/>
          <w:sz w:val="24"/>
          <w:szCs w:val="24"/>
        </w:rPr>
        <w:t>amortized.</w:t>
      </w:r>
      <w:r w:rsidR="00B221A1">
        <w:rPr>
          <w:rFonts w:ascii="Times New Roman" w:hAnsi="Times New Roman" w:cs="Times New Roman"/>
          <w:sz w:val="24"/>
          <w:szCs w:val="24"/>
        </w:rPr>
        <w:t xml:space="preserve"> </w:t>
      </w:r>
      <w:r w:rsidR="007F6CE8">
        <w:rPr>
          <w:rFonts w:ascii="Times New Roman" w:hAnsi="Times New Roman" w:cs="Times New Roman"/>
          <w:sz w:val="24"/>
          <w:szCs w:val="24"/>
        </w:rPr>
        <w:t>The amortization amount is assumed as the percentage of amortization charged in 2017 and cost of the intangible assets at January 2017.</w:t>
      </w:r>
      <w:r w:rsidR="004A5400">
        <w:rPr>
          <w:rFonts w:ascii="Times New Roman" w:hAnsi="Times New Roman" w:cs="Times New Roman"/>
          <w:sz w:val="24"/>
          <w:szCs w:val="24"/>
        </w:rPr>
        <w:t xml:space="preserve"> The written down value will be amortized at that percentage.</w:t>
      </w:r>
      <w:r w:rsidR="00621324">
        <w:rPr>
          <w:rFonts w:ascii="Times New Roman" w:hAnsi="Times New Roman" w:cs="Times New Roman"/>
          <w:sz w:val="24"/>
          <w:szCs w:val="24"/>
        </w:rPr>
        <w:t xml:space="preserve"> </w:t>
      </w:r>
      <w:r w:rsidR="008E1FD0">
        <w:rPr>
          <w:rFonts w:ascii="Times New Roman" w:hAnsi="Times New Roman" w:cs="Times New Roman"/>
          <w:sz w:val="24"/>
          <w:szCs w:val="24"/>
        </w:rPr>
        <w:t>The expenditure for telecom license and spectrum will only happen in 2018 and 2020. In 2019</w:t>
      </w:r>
      <w:r w:rsidR="007267BC">
        <w:rPr>
          <w:rFonts w:ascii="Times New Roman" w:hAnsi="Times New Roman" w:cs="Times New Roman"/>
          <w:sz w:val="24"/>
          <w:szCs w:val="24"/>
        </w:rPr>
        <w:t>, 2021</w:t>
      </w:r>
      <w:r w:rsidR="008E1FD0">
        <w:rPr>
          <w:rFonts w:ascii="Times New Roman" w:hAnsi="Times New Roman" w:cs="Times New Roman"/>
          <w:sz w:val="24"/>
          <w:szCs w:val="24"/>
        </w:rPr>
        <w:t xml:space="preserve"> and 2022 there will not be any expenditure for acquiring new telecom license and spectrum.</w:t>
      </w:r>
      <w:r w:rsidR="00CD2104">
        <w:rPr>
          <w:rFonts w:ascii="Times New Roman" w:hAnsi="Times New Roman" w:cs="Times New Roman"/>
          <w:sz w:val="24"/>
          <w:szCs w:val="24"/>
        </w:rPr>
        <w:t xml:space="preserve"> </w:t>
      </w:r>
    </w:p>
    <w:p w:rsidR="00B85492" w:rsidRDefault="00B3104B" w:rsidP="00356CDB">
      <w:pPr>
        <w:spacing w:line="360" w:lineRule="auto"/>
        <w:jc w:val="both"/>
        <w:rPr>
          <w:rFonts w:ascii="Times New Roman" w:hAnsi="Times New Roman" w:cs="Times New Roman"/>
          <w:sz w:val="24"/>
          <w:szCs w:val="24"/>
        </w:rPr>
      </w:pPr>
      <w:r w:rsidRPr="00572B73">
        <w:t xml:space="preserve"> </w:t>
      </w:r>
      <w:r w:rsidR="00B85492">
        <w:rPr>
          <w:rFonts w:ascii="Times New Roman" w:hAnsi="Times New Roman" w:cs="Times New Roman"/>
          <w:sz w:val="24"/>
          <w:szCs w:val="24"/>
        </w:rPr>
        <w:t>During 2019, 2021 and 2022, as per assumption GP’s 20 percent of the total Capex w</w:t>
      </w:r>
      <w:r w:rsidR="000E401E">
        <w:rPr>
          <w:rFonts w:ascii="Times New Roman" w:hAnsi="Times New Roman" w:cs="Times New Roman"/>
          <w:sz w:val="24"/>
          <w:szCs w:val="24"/>
        </w:rPr>
        <w:t xml:space="preserve">ill be for acquiring new assets and other 80 </w:t>
      </w:r>
      <w:r w:rsidR="00212163">
        <w:rPr>
          <w:rFonts w:ascii="Times New Roman" w:hAnsi="Times New Roman" w:cs="Times New Roman"/>
          <w:sz w:val="24"/>
          <w:szCs w:val="24"/>
        </w:rPr>
        <w:t>percent will</w:t>
      </w:r>
      <w:r w:rsidR="000E401E">
        <w:rPr>
          <w:rFonts w:ascii="Times New Roman" w:hAnsi="Times New Roman" w:cs="Times New Roman"/>
          <w:sz w:val="24"/>
          <w:szCs w:val="24"/>
        </w:rPr>
        <w:t xml:space="preserve"> be for maintaining other assets.</w:t>
      </w:r>
      <w:r w:rsidR="00F95E63">
        <w:rPr>
          <w:rFonts w:ascii="Times New Roman" w:hAnsi="Times New Roman" w:cs="Times New Roman"/>
          <w:sz w:val="24"/>
          <w:szCs w:val="24"/>
        </w:rPr>
        <w:t xml:space="preserve"> Of the 20 percent</w:t>
      </w:r>
      <w:r w:rsidR="002A10C7">
        <w:rPr>
          <w:rFonts w:ascii="Times New Roman" w:hAnsi="Times New Roman" w:cs="Times New Roman"/>
          <w:sz w:val="24"/>
          <w:szCs w:val="24"/>
        </w:rPr>
        <w:t>,</w:t>
      </w:r>
      <w:r w:rsidR="00F95E63">
        <w:rPr>
          <w:rFonts w:ascii="Times New Roman" w:hAnsi="Times New Roman" w:cs="Times New Roman"/>
          <w:sz w:val="24"/>
          <w:szCs w:val="24"/>
        </w:rPr>
        <w:t xml:space="preserve"> </w:t>
      </w:r>
      <w:r w:rsidR="00F95E63">
        <w:rPr>
          <w:rFonts w:ascii="Times New Roman" w:hAnsi="Times New Roman" w:cs="Times New Roman"/>
          <w:sz w:val="24"/>
          <w:szCs w:val="24"/>
        </w:rPr>
        <w:lastRenderedPageBreak/>
        <w:t>36 percent which is the</w:t>
      </w:r>
      <w:r w:rsidR="00CD2104">
        <w:rPr>
          <w:rFonts w:ascii="Times New Roman" w:hAnsi="Times New Roman" w:cs="Times New Roman"/>
          <w:sz w:val="24"/>
          <w:szCs w:val="24"/>
        </w:rPr>
        <w:t xml:space="preserve"> </w:t>
      </w:r>
      <w:r w:rsidR="00F95E63">
        <w:rPr>
          <w:rFonts w:ascii="Times New Roman" w:hAnsi="Times New Roman" w:cs="Times New Roman"/>
          <w:sz w:val="24"/>
          <w:szCs w:val="24"/>
        </w:rPr>
        <w:t>average of past five years data will be for acquiring intangible asset and the 64 percent will be for tangible asset.</w:t>
      </w:r>
    </w:p>
    <w:p w:rsidR="00AE6EC9" w:rsidRDefault="00A123CA" w:rsidP="00AF35E9">
      <w:pPr>
        <w:pStyle w:val="ListParagraph"/>
        <w:numPr>
          <w:ilvl w:val="0"/>
          <w:numId w:val="16"/>
        </w:numPr>
        <w:spacing w:line="360" w:lineRule="auto"/>
        <w:jc w:val="both"/>
        <w:rPr>
          <w:rFonts w:ascii="Times New Roman" w:hAnsi="Times New Roman" w:cs="Times New Roman"/>
          <w:b/>
          <w:sz w:val="24"/>
          <w:szCs w:val="24"/>
        </w:rPr>
      </w:pPr>
      <w:r w:rsidRPr="00843D81">
        <w:rPr>
          <w:rFonts w:ascii="Times New Roman" w:hAnsi="Times New Roman" w:cs="Times New Roman"/>
          <w:b/>
          <w:sz w:val="24"/>
          <w:szCs w:val="24"/>
        </w:rPr>
        <w:t xml:space="preserve">Equity: </w:t>
      </w:r>
    </w:p>
    <w:p w:rsidR="00A123CA" w:rsidRPr="00AE6EC9" w:rsidRDefault="00175128" w:rsidP="00AE6EC9">
      <w:pPr>
        <w:spacing w:line="360" w:lineRule="auto"/>
        <w:jc w:val="both"/>
        <w:rPr>
          <w:rFonts w:ascii="Times New Roman" w:hAnsi="Times New Roman" w:cs="Times New Roman"/>
          <w:b/>
          <w:sz w:val="24"/>
          <w:szCs w:val="24"/>
        </w:rPr>
      </w:pPr>
      <w:r w:rsidRPr="00AE6EC9">
        <w:rPr>
          <w:rFonts w:ascii="Times New Roman" w:hAnsi="Times New Roman" w:cs="Times New Roman"/>
          <w:sz w:val="24"/>
          <w:szCs w:val="24"/>
        </w:rPr>
        <w:t>GP’</w:t>
      </w:r>
      <w:r w:rsidR="00D555DB" w:rsidRPr="00AE6EC9">
        <w:rPr>
          <w:rFonts w:ascii="Times New Roman" w:hAnsi="Times New Roman" w:cs="Times New Roman"/>
          <w:sz w:val="24"/>
          <w:szCs w:val="24"/>
        </w:rPr>
        <w:t>s one of the greatest</w:t>
      </w:r>
      <w:r w:rsidRPr="00AE6EC9">
        <w:rPr>
          <w:rFonts w:ascii="Times New Roman" w:hAnsi="Times New Roman" w:cs="Times New Roman"/>
          <w:sz w:val="24"/>
          <w:szCs w:val="24"/>
        </w:rPr>
        <w:t xml:space="preserve"> strength is that it pays huge dividend to its shareholders. </w:t>
      </w:r>
      <w:r w:rsidR="00D555DB" w:rsidRPr="00AE6EC9">
        <w:rPr>
          <w:rFonts w:ascii="Times New Roman" w:hAnsi="Times New Roman" w:cs="Times New Roman"/>
          <w:sz w:val="24"/>
          <w:szCs w:val="24"/>
        </w:rPr>
        <w:t>And it pays dividend in term of cash.</w:t>
      </w:r>
      <w:r w:rsidR="00D671AF" w:rsidRPr="00AE6EC9">
        <w:rPr>
          <w:rFonts w:ascii="Times New Roman" w:hAnsi="Times New Roman" w:cs="Times New Roman"/>
          <w:sz w:val="24"/>
          <w:szCs w:val="24"/>
        </w:rPr>
        <w:t xml:space="preserve"> </w:t>
      </w:r>
      <w:r w:rsidR="00754559" w:rsidRPr="00AE6EC9">
        <w:rPr>
          <w:rFonts w:ascii="Times New Roman" w:hAnsi="Times New Roman" w:cs="Times New Roman"/>
          <w:sz w:val="24"/>
          <w:szCs w:val="24"/>
        </w:rPr>
        <w:t xml:space="preserve">GP pays interim </w:t>
      </w:r>
      <w:r w:rsidR="00BA0CD6" w:rsidRPr="00AE6EC9">
        <w:rPr>
          <w:rFonts w:ascii="Times New Roman" w:hAnsi="Times New Roman" w:cs="Times New Roman"/>
          <w:sz w:val="24"/>
          <w:szCs w:val="24"/>
        </w:rPr>
        <w:t xml:space="preserve">cash </w:t>
      </w:r>
      <w:r w:rsidR="00754559" w:rsidRPr="00AE6EC9">
        <w:rPr>
          <w:rFonts w:ascii="Times New Roman" w:hAnsi="Times New Roman" w:cs="Times New Roman"/>
          <w:sz w:val="24"/>
          <w:szCs w:val="24"/>
        </w:rPr>
        <w:t xml:space="preserve">dividend and final </w:t>
      </w:r>
      <w:r w:rsidR="00BA0CD6" w:rsidRPr="00AE6EC9">
        <w:rPr>
          <w:rFonts w:ascii="Times New Roman" w:hAnsi="Times New Roman" w:cs="Times New Roman"/>
          <w:sz w:val="24"/>
          <w:szCs w:val="24"/>
        </w:rPr>
        <w:t xml:space="preserve">cash </w:t>
      </w:r>
      <w:r w:rsidR="00D231EB" w:rsidRPr="00AE6EC9">
        <w:rPr>
          <w:rFonts w:ascii="Times New Roman" w:hAnsi="Times New Roman" w:cs="Times New Roman"/>
          <w:sz w:val="24"/>
          <w:szCs w:val="24"/>
        </w:rPr>
        <w:t>dividend. I</w:t>
      </w:r>
      <w:r w:rsidR="00D671AF" w:rsidRPr="00AE6EC9">
        <w:rPr>
          <w:rFonts w:ascii="Times New Roman" w:hAnsi="Times New Roman" w:cs="Times New Roman"/>
          <w:sz w:val="24"/>
          <w:szCs w:val="24"/>
        </w:rPr>
        <w:t xml:space="preserve"> assumed that the dividend payout ratio of 2017 would be the dividend payout ratio for the next five years.</w:t>
      </w:r>
      <w:r w:rsidR="00737F57">
        <w:rPr>
          <w:rFonts w:ascii="Times New Roman" w:hAnsi="Times New Roman" w:cs="Times New Roman"/>
          <w:sz w:val="24"/>
          <w:szCs w:val="24"/>
        </w:rPr>
        <w:t xml:space="preserve"> The total number of outstanding share of GP is currently 1,350.3 million. </w:t>
      </w:r>
    </w:p>
    <w:tbl>
      <w:tblPr>
        <w:tblW w:w="5000" w:type="pct"/>
        <w:tblLayout w:type="fixed"/>
        <w:tblLook w:val="04A0" w:firstRow="1" w:lastRow="0" w:firstColumn="1" w:lastColumn="0" w:noHBand="0" w:noVBand="1"/>
      </w:tblPr>
      <w:tblGrid>
        <w:gridCol w:w="1284"/>
        <w:gridCol w:w="738"/>
        <w:gridCol w:w="841"/>
        <w:gridCol w:w="749"/>
        <w:gridCol w:w="852"/>
        <w:gridCol w:w="852"/>
        <w:gridCol w:w="852"/>
        <w:gridCol w:w="852"/>
        <w:gridCol w:w="852"/>
        <w:gridCol w:w="852"/>
        <w:gridCol w:w="852"/>
      </w:tblGrid>
      <w:tr w:rsidR="001F47FC" w:rsidRPr="004639F8" w:rsidTr="001F47FC">
        <w:trPr>
          <w:trHeight w:val="315"/>
        </w:trPr>
        <w:tc>
          <w:tcPr>
            <w:tcW w:w="670" w:type="pct"/>
            <w:tcBorders>
              <w:top w:val="single" w:sz="8" w:space="0" w:color="auto"/>
              <w:left w:val="single" w:sz="8" w:space="0" w:color="auto"/>
              <w:bottom w:val="single" w:sz="8" w:space="0" w:color="auto"/>
              <w:right w:val="nil"/>
            </w:tcBorders>
            <w:shd w:val="clear" w:color="auto" w:fill="auto"/>
            <w:vAlign w:val="center"/>
            <w:hideMark/>
          </w:tcPr>
          <w:p w:rsidR="004639F8" w:rsidRPr="004639F8" w:rsidRDefault="004639F8" w:rsidP="004639F8">
            <w:pPr>
              <w:spacing w:after="0" w:line="240" w:lineRule="auto"/>
              <w:rPr>
                <w:rFonts w:ascii="Calibri" w:eastAsia="Times New Roman" w:hAnsi="Calibri" w:cs="Calibri"/>
                <w:b/>
                <w:bCs/>
                <w:color w:val="000000"/>
              </w:rPr>
            </w:pPr>
            <w:r w:rsidRPr="004639F8">
              <w:rPr>
                <w:rFonts w:ascii="Calibri" w:eastAsia="Times New Roman" w:hAnsi="Calibri" w:cs="Calibri"/>
                <w:b/>
                <w:bCs/>
                <w:color w:val="000000"/>
              </w:rPr>
              <w:t>Particulars</w:t>
            </w:r>
          </w:p>
        </w:tc>
        <w:tc>
          <w:tcPr>
            <w:tcW w:w="385" w:type="pct"/>
            <w:tcBorders>
              <w:top w:val="single" w:sz="8" w:space="0" w:color="auto"/>
              <w:left w:val="single" w:sz="4" w:space="0" w:color="B2B2B2"/>
              <w:bottom w:val="single" w:sz="8" w:space="0" w:color="auto"/>
              <w:right w:val="single" w:sz="4" w:space="0" w:color="B2B2B2"/>
            </w:tcBorders>
            <w:shd w:val="clear" w:color="000000" w:fill="FFFFCC"/>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2013</w:t>
            </w:r>
          </w:p>
        </w:tc>
        <w:tc>
          <w:tcPr>
            <w:tcW w:w="439" w:type="pct"/>
            <w:tcBorders>
              <w:top w:val="single" w:sz="8" w:space="0" w:color="auto"/>
              <w:left w:val="nil"/>
              <w:bottom w:val="single" w:sz="8" w:space="0" w:color="auto"/>
              <w:right w:val="single" w:sz="4" w:space="0" w:color="B2B2B2"/>
            </w:tcBorders>
            <w:shd w:val="clear" w:color="000000" w:fill="FFFFCC"/>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2014</w:t>
            </w:r>
          </w:p>
        </w:tc>
        <w:tc>
          <w:tcPr>
            <w:tcW w:w="391" w:type="pct"/>
            <w:tcBorders>
              <w:top w:val="single" w:sz="8" w:space="0" w:color="auto"/>
              <w:left w:val="nil"/>
              <w:bottom w:val="single" w:sz="8" w:space="0" w:color="auto"/>
              <w:right w:val="single" w:sz="4" w:space="0" w:color="B2B2B2"/>
            </w:tcBorders>
            <w:shd w:val="clear" w:color="000000" w:fill="FFFFCC"/>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2015</w:t>
            </w:r>
          </w:p>
        </w:tc>
        <w:tc>
          <w:tcPr>
            <w:tcW w:w="445" w:type="pct"/>
            <w:tcBorders>
              <w:top w:val="single" w:sz="8" w:space="0" w:color="auto"/>
              <w:left w:val="nil"/>
              <w:bottom w:val="single" w:sz="8" w:space="0" w:color="auto"/>
              <w:right w:val="single" w:sz="4" w:space="0" w:color="B2B2B2"/>
            </w:tcBorders>
            <w:shd w:val="clear" w:color="000000" w:fill="FFFFCC"/>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2016</w:t>
            </w:r>
          </w:p>
        </w:tc>
        <w:tc>
          <w:tcPr>
            <w:tcW w:w="445" w:type="pct"/>
            <w:tcBorders>
              <w:top w:val="single" w:sz="8" w:space="0" w:color="auto"/>
              <w:left w:val="nil"/>
              <w:bottom w:val="single" w:sz="8" w:space="0" w:color="auto"/>
              <w:right w:val="single" w:sz="8" w:space="0" w:color="auto"/>
            </w:tcBorders>
            <w:shd w:val="clear" w:color="000000" w:fill="FFFFCC"/>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2017</w:t>
            </w:r>
          </w:p>
        </w:tc>
        <w:tc>
          <w:tcPr>
            <w:tcW w:w="445" w:type="pct"/>
            <w:tcBorders>
              <w:top w:val="single" w:sz="8" w:space="0" w:color="auto"/>
              <w:left w:val="nil"/>
              <w:bottom w:val="single" w:sz="8" w:space="0" w:color="auto"/>
              <w:right w:val="single" w:sz="4" w:space="0" w:color="7F7F7F"/>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2018E</w:t>
            </w:r>
          </w:p>
        </w:tc>
        <w:tc>
          <w:tcPr>
            <w:tcW w:w="445" w:type="pct"/>
            <w:tcBorders>
              <w:top w:val="single" w:sz="8" w:space="0" w:color="auto"/>
              <w:left w:val="nil"/>
              <w:bottom w:val="single" w:sz="8" w:space="0" w:color="auto"/>
              <w:right w:val="single" w:sz="4" w:space="0" w:color="7F7F7F"/>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2019E</w:t>
            </w:r>
          </w:p>
        </w:tc>
        <w:tc>
          <w:tcPr>
            <w:tcW w:w="445" w:type="pct"/>
            <w:tcBorders>
              <w:top w:val="single" w:sz="8" w:space="0" w:color="auto"/>
              <w:left w:val="nil"/>
              <w:bottom w:val="single" w:sz="8" w:space="0" w:color="auto"/>
              <w:right w:val="single" w:sz="4" w:space="0" w:color="7F7F7F"/>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2020E</w:t>
            </w:r>
          </w:p>
        </w:tc>
        <w:tc>
          <w:tcPr>
            <w:tcW w:w="445" w:type="pct"/>
            <w:tcBorders>
              <w:top w:val="single" w:sz="8" w:space="0" w:color="auto"/>
              <w:left w:val="nil"/>
              <w:bottom w:val="single" w:sz="8" w:space="0" w:color="auto"/>
              <w:right w:val="single" w:sz="4" w:space="0" w:color="7F7F7F"/>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2021E</w:t>
            </w:r>
          </w:p>
        </w:tc>
        <w:tc>
          <w:tcPr>
            <w:tcW w:w="445" w:type="pct"/>
            <w:tcBorders>
              <w:top w:val="single" w:sz="8" w:space="0" w:color="auto"/>
              <w:left w:val="nil"/>
              <w:bottom w:val="single" w:sz="8" w:space="0" w:color="auto"/>
              <w:right w:val="single" w:sz="8" w:space="0" w:color="auto"/>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b/>
                <w:bCs/>
                <w:color w:val="FA7D00"/>
              </w:rPr>
            </w:pPr>
            <w:r w:rsidRPr="004639F8">
              <w:rPr>
                <w:rFonts w:ascii="Calibri" w:eastAsia="Times New Roman" w:hAnsi="Calibri" w:cs="Calibri"/>
                <w:b/>
                <w:bCs/>
                <w:color w:val="FA7D00"/>
              </w:rPr>
              <w:t>2022E</w:t>
            </w:r>
          </w:p>
        </w:tc>
      </w:tr>
      <w:tr w:rsidR="001F47FC" w:rsidRPr="004639F8" w:rsidTr="001F47FC">
        <w:trPr>
          <w:trHeight w:val="900"/>
        </w:trPr>
        <w:tc>
          <w:tcPr>
            <w:tcW w:w="670" w:type="pct"/>
            <w:tcBorders>
              <w:top w:val="nil"/>
              <w:left w:val="single" w:sz="8" w:space="0" w:color="auto"/>
              <w:bottom w:val="nil"/>
              <w:right w:val="nil"/>
            </w:tcBorders>
            <w:shd w:val="clear" w:color="auto" w:fill="auto"/>
            <w:vAlign w:val="center"/>
            <w:hideMark/>
          </w:tcPr>
          <w:p w:rsidR="004639F8" w:rsidRPr="004639F8" w:rsidRDefault="004639F8" w:rsidP="004639F8">
            <w:pPr>
              <w:spacing w:after="0" w:line="240" w:lineRule="auto"/>
              <w:rPr>
                <w:rFonts w:ascii="Calibri" w:eastAsia="Times New Roman" w:hAnsi="Calibri" w:cs="Calibri"/>
                <w:b/>
                <w:bCs/>
                <w:color w:val="000000"/>
              </w:rPr>
            </w:pPr>
            <w:r w:rsidRPr="004639F8">
              <w:rPr>
                <w:rFonts w:ascii="Calibri" w:eastAsia="Times New Roman" w:hAnsi="Calibri" w:cs="Calibri"/>
                <w:b/>
                <w:bCs/>
                <w:color w:val="000000"/>
              </w:rPr>
              <w:t>Dividend payout ratio</w:t>
            </w:r>
          </w:p>
        </w:tc>
        <w:tc>
          <w:tcPr>
            <w:tcW w:w="38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128.6%</w:t>
            </w:r>
          </w:p>
        </w:tc>
        <w:tc>
          <w:tcPr>
            <w:tcW w:w="439"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109.1%</w:t>
            </w:r>
          </w:p>
        </w:tc>
        <w:tc>
          <w:tcPr>
            <w:tcW w:w="391"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96.0%</w:t>
            </w:r>
          </w:p>
        </w:tc>
        <w:tc>
          <w:tcPr>
            <w:tcW w:w="44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104.9%</w:t>
            </w:r>
          </w:p>
        </w:tc>
        <w:tc>
          <w:tcPr>
            <w:tcW w:w="44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c>
          <w:tcPr>
            <w:tcW w:w="445" w:type="pct"/>
            <w:tcBorders>
              <w:top w:val="nil"/>
              <w:left w:val="nil"/>
              <w:bottom w:val="nil"/>
              <w:right w:val="single" w:sz="8" w:space="0" w:color="auto"/>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100.9%</w:t>
            </w:r>
          </w:p>
        </w:tc>
      </w:tr>
      <w:tr w:rsidR="001F47FC" w:rsidRPr="004639F8" w:rsidTr="001F47FC">
        <w:trPr>
          <w:trHeight w:val="915"/>
        </w:trPr>
        <w:tc>
          <w:tcPr>
            <w:tcW w:w="670" w:type="pct"/>
            <w:tcBorders>
              <w:top w:val="nil"/>
              <w:left w:val="single" w:sz="8" w:space="0" w:color="auto"/>
              <w:bottom w:val="nil"/>
              <w:right w:val="nil"/>
            </w:tcBorders>
            <w:shd w:val="clear" w:color="auto" w:fill="auto"/>
            <w:vAlign w:val="center"/>
            <w:hideMark/>
          </w:tcPr>
          <w:p w:rsidR="004639F8" w:rsidRPr="004639F8" w:rsidRDefault="004639F8" w:rsidP="004639F8">
            <w:pPr>
              <w:spacing w:after="0" w:line="240" w:lineRule="auto"/>
              <w:rPr>
                <w:rFonts w:ascii="Calibri" w:eastAsia="Times New Roman" w:hAnsi="Calibri" w:cs="Calibri"/>
                <w:b/>
                <w:bCs/>
                <w:color w:val="000000"/>
              </w:rPr>
            </w:pPr>
            <w:r w:rsidRPr="004639F8">
              <w:rPr>
                <w:rFonts w:ascii="Calibri" w:eastAsia="Times New Roman" w:hAnsi="Calibri" w:cs="Calibri"/>
                <w:b/>
                <w:bCs/>
                <w:color w:val="000000"/>
              </w:rPr>
              <w:t>Dividend per share (Tk.)</w:t>
            </w:r>
          </w:p>
        </w:tc>
        <w:tc>
          <w:tcPr>
            <w:tcW w:w="38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14.00</w:t>
            </w:r>
          </w:p>
        </w:tc>
        <w:tc>
          <w:tcPr>
            <w:tcW w:w="439"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16.00</w:t>
            </w:r>
          </w:p>
        </w:tc>
        <w:tc>
          <w:tcPr>
            <w:tcW w:w="391"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14.00</w:t>
            </w:r>
          </w:p>
        </w:tc>
        <w:tc>
          <w:tcPr>
            <w:tcW w:w="44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17.50</w:t>
            </w:r>
          </w:p>
        </w:tc>
        <w:tc>
          <w:tcPr>
            <w:tcW w:w="445" w:type="pct"/>
            <w:tcBorders>
              <w:top w:val="nil"/>
              <w:left w:val="nil"/>
              <w:bottom w:val="nil"/>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20.50</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27.00</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30.09</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32.78</w:t>
            </w:r>
          </w:p>
        </w:tc>
        <w:tc>
          <w:tcPr>
            <w:tcW w:w="445" w:type="pct"/>
            <w:tcBorders>
              <w:top w:val="nil"/>
              <w:left w:val="nil"/>
              <w:bottom w:val="nil"/>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33.65</w:t>
            </w:r>
          </w:p>
        </w:tc>
        <w:tc>
          <w:tcPr>
            <w:tcW w:w="445" w:type="pct"/>
            <w:tcBorders>
              <w:top w:val="nil"/>
              <w:left w:val="nil"/>
              <w:bottom w:val="nil"/>
              <w:right w:val="single" w:sz="8" w:space="0" w:color="auto"/>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35.32</w:t>
            </w:r>
          </w:p>
        </w:tc>
      </w:tr>
      <w:tr w:rsidR="001F47FC" w:rsidRPr="004639F8" w:rsidTr="001F47FC">
        <w:trPr>
          <w:trHeight w:val="915"/>
        </w:trPr>
        <w:tc>
          <w:tcPr>
            <w:tcW w:w="670" w:type="pct"/>
            <w:tcBorders>
              <w:top w:val="nil"/>
              <w:left w:val="single" w:sz="8" w:space="0" w:color="auto"/>
              <w:bottom w:val="single" w:sz="8" w:space="0" w:color="auto"/>
              <w:right w:val="nil"/>
            </w:tcBorders>
            <w:shd w:val="clear" w:color="auto" w:fill="auto"/>
            <w:vAlign w:val="center"/>
            <w:hideMark/>
          </w:tcPr>
          <w:p w:rsidR="004639F8" w:rsidRPr="004639F8" w:rsidRDefault="004639F8" w:rsidP="004639F8">
            <w:pPr>
              <w:spacing w:after="0" w:line="240" w:lineRule="auto"/>
              <w:rPr>
                <w:rFonts w:ascii="Calibri" w:eastAsia="Times New Roman" w:hAnsi="Calibri" w:cs="Calibri"/>
                <w:b/>
                <w:bCs/>
                <w:color w:val="000000"/>
              </w:rPr>
            </w:pPr>
            <w:r w:rsidRPr="004639F8">
              <w:rPr>
                <w:rFonts w:ascii="Calibri" w:eastAsia="Times New Roman" w:hAnsi="Calibri" w:cs="Calibri"/>
                <w:b/>
                <w:bCs/>
                <w:color w:val="000000"/>
              </w:rPr>
              <w:t>Earnings per share (Tk.)</w:t>
            </w:r>
          </w:p>
        </w:tc>
        <w:tc>
          <w:tcPr>
            <w:tcW w:w="385" w:type="pct"/>
            <w:tcBorders>
              <w:top w:val="nil"/>
              <w:left w:val="nil"/>
              <w:bottom w:val="single" w:sz="8" w:space="0" w:color="auto"/>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10.89</w:t>
            </w:r>
          </w:p>
        </w:tc>
        <w:tc>
          <w:tcPr>
            <w:tcW w:w="439" w:type="pct"/>
            <w:tcBorders>
              <w:top w:val="nil"/>
              <w:left w:val="nil"/>
              <w:bottom w:val="single" w:sz="8" w:space="0" w:color="auto"/>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14.67</w:t>
            </w:r>
          </w:p>
        </w:tc>
        <w:tc>
          <w:tcPr>
            <w:tcW w:w="391" w:type="pct"/>
            <w:tcBorders>
              <w:top w:val="nil"/>
              <w:left w:val="nil"/>
              <w:bottom w:val="single" w:sz="8" w:space="0" w:color="auto"/>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14.59</w:t>
            </w:r>
          </w:p>
        </w:tc>
        <w:tc>
          <w:tcPr>
            <w:tcW w:w="445" w:type="pct"/>
            <w:tcBorders>
              <w:top w:val="nil"/>
              <w:left w:val="nil"/>
              <w:bottom w:val="single" w:sz="8" w:space="0" w:color="auto"/>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16.68</w:t>
            </w:r>
          </w:p>
        </w:tc>
        <w:tc>
          <w:tcPr>
            <w:tcW w:w="445" w:type="pct"/>
            <w:tcBorders>
              <w:top w:val="nil"/>
              <w:left w:val="nil"/>
              <w:bottom w:val="single" w:sz="8" w:space="0" w:color="auto"/>
              <w:right w:val="nil"/>
            </w:tcBorders>
            <w:shd w:val="clear" w:color="000000" w:fill="FDE9D9"/>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20.31</w:t>
            </w:r>
          </w:p>
        </w:tc>
        <w:tc>
          <w:tcPr>
            <w:tcW w:w="445" w:type="pct"/>
            <w:tcBorders>
              <w:top w:val="nil"/>
              <w:left w:val="nil"/>
              <w:bottom w:val="single" w:sz="8" w:space="0" w:color="auto"/>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26.75</w:t>
            </w:r>
          </w:p>
        </w:tc>
        <w:tc>
          <w:tcPr>
            <w:tcW w:w="445" w:type="pct"/>
            <w:tcBorders>
              <w:top w:val="nil"/>
              <w:left w:val="nil"/>
              <w:bottom w:val="single" w:sz="8" w:space="0" w:color="auto"/>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29.81</w:t>
            </w:r>
          </w:p>
        </w:tc>
        <w:tc>
          <w:tcPr>
            <w:tcW w:w="445" w:type="pct"/>
            <w:tcBorders>
              <w:top w:val="nil"/>
              <w:left w:val="nil"/>
              <w:bottom w:val="single" w:sz="8" w:space="0" w:color="auto"/>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32.47</w:t>
            </w:r>
          </w:p>
        </w:tc>
        <w:tc>
          <w:tcPr>
            <w:tcW w:w="445" w:type="pct"/>
            <w:tcBorders>
              <w:top w:val="nil"/>
              <w:left w:val="nil"/>
              <w:bottom w:val="single" w:sz="8" w:space="0" w:color="auto"/>
              <w:right w:val="nil"/>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33.34</w:t>
            </w:r>
          </w:p>
        </w:tc>
        <w:tc>
          <w:tcPr>
            <w:tcW w:w="445" w:type="pct"/>
            <w:tcBorders>
              <w:top w:val="nil"/>
              <w:left w:val="nil"/>
              <w:bottom w:val="single" w:sz="8" w:space="0" w:color="auto"/>
              <w:right w:val="single" w:sz="8" w:space="0" w:color="auto"/>
            </w:tcBorders>
            <w:shd w:val="clear" w:color="000000" w:fill="F2F2F2"/>
            <w:noWrap/>
            <w:vAlign w:val="center"/>
            <w:hideMark/>
          </w:tcPr>
          <w:p w:rsidR="004639F8" w:rsidRPr="004639F8" w:rsidRDefault="004639F8" w:rsidP="004639F8">
            <w:pPr>
              <w:spacing w:after="0" w:line="240" w:lineRule="auto"/>
              <w:jc w:val="center"/>
              <w:rPr>
                <w:rFonts w:ascii="Calibri" w:eastAsia="Times New Roman" w:hAnsi="Calibri" w:cs="Calibri"/>
                <w:color w:val="000000"/>
              </w:rPr>
            </w:pPr>
            <w:r w:rsidRPr="004639F8">
              <w:rPr>
                <w:rFonts w:ascii="Calibri" w:eastAsia="Times New Roman" w:hAnsi="Calibri" w:cs="Calibri"/>
                <w:color w:val="000000"/>
              </w:rPr>
              <w:t>34.99</w:t>
            </w:r>
          </w:p>
        </w:tc>
      </w:tr>
    </w:tbl>
    <w:p w:rsidR="00320D77" w:rsidRDefault="00320D77">
      <w:pPr>
        <w:rPr>
          <w:rFonts w:ascii="Times New Roman"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1973"/>
        <w:gridCol w:w="1483"/>
        <w:gridCol w:w="1484"/>
        <w:gridCol w:w="1484"/>
        <w:gridCol w:w="1484"/>
        <w:gridCol w:w="1482"/>
      </w:tblGrid>
      <w:tr w:rsidR="00320D77" w:rsidTr="00320D77">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Retained Earnings (million)</w:t>
            </w:r>
          </w:p>
        </w:tc>
      </w:tr>
      <w:tr w:rsidR="00320D77" w:rsidTr="00320D77">
        <w:trPr>
          <w:trHeight w:val="315"/>
        </w:trPr>
        <w:tc>
          <w:tcPr>
            <w:tcW w:w="1051" w:type="pct"/>
            <w:tcBorders>
              <w:top w:val="nil"/>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rsidR="00320D77" w:rsidRDefault="00320D77">
            <w:pPr>
              <w:rPr>
                <w:rFonts w:ascii="Calibri" w:hAnsi="Calibri" w:cs="Calibri"/>
                <w:b/>
                <w:bCs/>
                <w:color w:val="000000"/>
              </w:rPr>
            </w:pPr>
            <w:r>
              <w:rPr>
                <w:rFonts w:ascii="Calibri" w:hAnsi="Calibri" w:cs="Calibri"/>
                <w:b/>
                <w:bCs/>
                <w:color w:val="000000"/>
              </w:rPr>
              <w:t>Particulars</w:t>
            </w:r>
          </w:p>
        </w:tc>
        <w:tc>
          <w:tcPr>
            <w:tcW w:w="790" w:type="pct"/>
            <w:tcBorders>
              <w:top w:val="nil"/>
              <w:left w:val="nil"/>
              <w:bottom w:val="single" w:sz="8" w:space="0" w:color="auto"/>
              <w:right w:val="single" w:sz="4" w:space="0" w:color="7F7F7F"/>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b/>
                <w:bCs/>
                <w:color w:val="FA7D00"/>
              </w:rPr>
            </w:pPr>
            <w:r>
              <w:rPr>
                <w:rFonts w:ascii="Calibri" w:hAnsi="Calibri" w:cs="Calibri"/>
                <w:b/>
                <w:bCs/>
                <w:color w:val="FA7D00"/>
              </w:rPr>
              <w:t>2018E</w:t>
            </w:r>
          </w:p>
        </w:tc>
        <w:tc>
          <w:tcPr>
            <w:tcW w:w="790" w:type="pct"/>
            <w:tcBorders>
              <w:top w:val="nil"/>
              <w:left w:val="nil"/>
              <w:bottom w:val="single" w:sz="8" w:space="0" w:color="auto"/>
              <w:right w:val="single" w:sz="4" w:space="0" w:color="7F7F7F"/>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b/>
                <w:bCs/>
                <w:color w:val="FA7D00"/>
              </w:rPr>
            </w:pPr>
            <w:r>
              <w:rPr>
                <w:rFonts w:ascii="Calibri" w:hAnsi="Calibri" w:cs="Calibri"/>
                <w:b/>
                <w:bCs/>
                <w:color w:val="FA7D00"/>
              </w:rPr>
              <w:t>2019E</w:t>
            </w:r>
          </w:p>
        </w:tc>
        <w:tc>
          <w:tcPr>
            <w:tcW w:w="790" w:type="pct"/>
            <w:tcBorders>
              <w:top w:val="nil"/>
              <w:left w:val="nil"/>
              <w:bottom w:val="single" w:sz="8" w:space="0" w:color="auto"/>
              <w:right w:val="single" w:sz="4" w:space="0" w:color="7F7F7F"/>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b/>
                <w:bCs/>
                <w:color w:val="FA7D00"/>
              </w:rPr>
            </w:pPr>
            <w:r>
              <w:rPr>
                <w:rFonts w:ascii="Calibri" w:hAnsi="Calibri" w:cs="Calibri"/>
                <w:b/>
                <w:bCs/>
                <w:color w:val="FA7D00"/>
              </w:rPr>
              <w:t>2020E</w:t>
            </w:r>
          </w:p>
        </w:tc>
        <w:tc>
          <w:tcPr>
            <w:tcW w:w="790" w:type="pct"/>
            <w:tcBorders>
              <w:top w:val="nil"/>
              <w:left w:val="nil"/>
              <w:bottom w:val="single" w:sz="8" w:space="0" w:color="auto"/>
              <w:right w:val="single" w:sz="4" w:space="0" w:color="7F7F7F"/>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b/>
                <w:bCs/>
                <w:color w:val="FA7D00"/>
              </w:rPr>
            </w:pPr>
            <w:r>
              <w:rPr>
                <w:rFonts w:ascii="Calibri" w:hAnsi="Calibri" w:cs="Calibri"/>
                <w:b/>
                <w:bCs/>
                <w:color w:val="FA7D00"/>
              </w:rPr>
              <w:t>2021E</w:t>
            </w:r>
          </w:p>
        </w:tc>
        <w:tc>
          <w:tcPr>
            <w:tcW w:w="790" w:type="pct"/>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b/>
                <w:bCs/>
                <w:color w:val="FA7D00"/>
              </w:rPr>
            </w:pPr>
            <w:r>
              <w:rPr>
                <w:rFonts w:ascii="Calibri" w:hAnsi="Calibri" w:cs="Calibri"/>
                <w:b/>
                <w:bCs/>
                <w:color w:val="FA7D00"/>
              </w:rPr>
              <w:t>2022E</w:t>
            </w:r>
          </w:p>
        </w:tc>
      </w:tr>
      <w:tr w:rsidR="00320D77" w:rsidTr="00320D77">
        <w:trPr>
          <w:trHeight w:val="600"/>
        </w:trPr>
        <w:tc>
          <w:tcPr>
            <w:tcW w:w="1051" w:type="pct"/>
            <w:tcBorders>
              <w:top w:val="nil"/>
              <w:left w:val="single" w:sz="8" w:space="0" w:color="auto"/>
              <w:bottom w:val="nil"/>
              <w:right w:val="nil"/>
            </w:tcBorders>
            <w:shd w:val="clear" w:color="auto" w:fill="auto"/>
            <w:tcMar>
              <w:top w:w="15" w:type="dxa"/>
              <w:left w:w="15" w:type="dxa"/>
              <w:bottom w:w="0" w:type="dxa"/>
              <w:right w:w="15" w:type="dxa"/>
            </w:tcMar>
            <w:vAlign w:val="center"/>
            <w:hideMark/>
          </w:tcPr>
          <w:p w:rsidR="00320D77" w:rsidRDefault="00320D77">
            <w:pPr>
              <w:rPr>
                <w:rFonts w:ascii="Calibri" w:hAnsi="Calibri" w:cs="Calibri"/>
                <w:color w:val="000000"/>
              </w:rPr>
            </w:pPr>
            <w:r>
              <w:rPr>
                <w:rFonts w:ascii="Calibri" w:hAnsi="Calibri" w:cs="Calibri"/>
                <w:color w:val="000000"/>
              </w:rPr>
              <w:t>Beginning Retained Earnings</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13,762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13,424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13,047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12,637 </w:t>
            </w:r>
          </w:p>
        </w:tc>
        <w:tc>
          <w:tcPr>
            <w:tcW w:w="790" w:type="pct"/>
            <w:tcBorders>
              <w:top w:val="nil"/>
              <w:left w:val="nil"/>
              <w:bottom w:val="nil"/>
              <w:right w:val="single" w:sz="8" w:space="0" w:color="auto"/>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12,216 </w:t>
            </w:r>
          </w:p>
        </w:tc>
      </w:tr>
      <w:tr w:rsidR="00320D77" w:rsidTr="00320D77">
        <w:trPr>
          <w:trHeight w:val="600"/>
        </w:trPr>
        <w:tc>
          <w:tcPr>
            <w:tcW w:w="1051" w:type="pct"/>
            <w:tcBorders>
              <w:top w:val="nil"/>
              <w:left w:val="single" w:sz="8" w:space="0" w:color="auto"/>
              <w:bottom w:val="nil"/>
              <w:right w:val="nil"/>
            </w:tcBorders>
            <w:shd w:val="clear" w:color="auto" w:fill="auto"/>
            <w:tcMar>
              <w:top w:w="15" w:type="dxa"/>
              <w:left w:w="15" w:type="dxa"/>
              <w:bottom w:w="0" w:type="dxa"/>
              <w:right w:w="15" w:type="dxa"/>
            </w:tcMar>
            <w:vAlign w:val="center"/>
            <w:hideMark/>
          </w:tcPr>
          <w:p w:rsidR="00320D77" w:rsidRDefault="0075426D">
            <w:pPr>
              <w:rPr>
                <w:rFonts w:ascii="Calibri" w:hAnsi="Calibri" w:cs="Calibri"/>
                <w:color w:val="000000"/>
              </w:rPr>
            </w:pPr>
            <w:r>
              <w:rPr>
                <w:rFonts w:ascii="Calibri" w:hAnsi="Calibri" w:cs="Calibri"/>
                <w:color w:val="000000"/>
              </w:rPr>
              <w:t xml:space="preserve">Add: </w:t>
            </w:r>
            <w:r w:rsidR="00320D77">
              <w:rPr>
                <w:rFonts w:ascii="Calibri" w:hAnsi="Calibri" w:cs="Calibri"/>
                <w:color w:val="000000"/>
              </w:rPr>
              <w:t>Earnings during the year</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36,126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40,258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43,850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45,012 </w:t>
            </w:r>
          </w:p>
        </w:tc>
        <w:tc>
          <w:tcPr>
            <w:tcW w:w="790" w:type="pct"/>
            <w:tcBorders>
              <w:top w:val="nil"/>
              <w:left w:val="nil"/>
              <w:bottom w:val="nil"/>
              <w:right w:val="single" w:sz="8" w:space="0" w:color="auto"/>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47,250 </w:t>
            </w:r>
          </w:p>
        </w:tc>
      </w:tr>
      <w:tr w:rsidR="00320D77" w:rsidTr="00320D77">
        <w:trPr>
          <w:trHeight w:val="300"/>
        </w:trPr>
        <w:tc>
          <w:tcPr>
            <w:tcW w:w="1051" w:type="pct"/>
            <w:tcBorders>
              <w:top w:val="nil"/>
              <w:left w:val="single" w:sz="8" w:space="0" w:color="auto"/>
              <w:bottom w:val="nil"/>
              <w:right w:val="nil"/>
            </w:tcBorders>
            <w:shd w:val="clear" w:color="auto" w:fill="auto"/>
            <w:tcMar>
              <w:top w:w="15" w:type="dxa"/>
              <w:left w:w="15" w:type="dxa"/>
              <w:bottom w:w="0" w:type="dxa"/>
              <w:right w:w="15" w:type="dxa"/>
            </w:tcMar>
            <w:vAlign w:val="center"/>
            <w:hideMark/>
          </w:tcPr>
          <w:p w:rsidR="00320D77" w:rsidRDefault="0075426D">
            <w:pPr>
              <w:rPr>
                <w:rFonts w:ascii="Calibri" w:hAnsi="Calibri" w:cs="Calibri"/>
                <w:color w:val="000000"/>
              </w:rPr>
            </w:pPr>
            <w:r>
              <w:rPr>
                <w:rFonts w:ascii="Calibri" w:hAnsi="Calibri" w:cs="Calibri"/>
                <w:color w:val="000000"/>
              </w:rPr>
              <w:t xml:space="preserve">Less: </w:t>
            </w:r>
            <w:r w:rsidR="00320D77">
              <w:rPr>
                <w:rFonts w:ascii="Calibri" w:hAnsi="Calibri" w:cs="Calibri"/>
                <w:color w:val="000000"/>
              </w:rPr>
              <w:t>Dividend</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36,464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40,635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44,260 </w:t>
            </w:r>
          </w:p>
        </w:tc>
        <w:tc>
          <w:tcPr>
            <w:tcW w:w="790" w:type="pct"/>
            <w:tcBorders>
              <w:top w:val="nil"/>
              <w:left w:val="nil"/>
              <w:bottom w:val="nil"/>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45,433 </w:t>
            </w:r>
          </w:p>
        </w:tc>
        <w:tc>
          <w:tcPr>
            <w:tcW w:w="790" w:type="pct"/>
            <w:tcBorders>
              <w:top w:val="nil"/>
              <w:left w:val="nil"/>
              <w:bottom w:val="nil"/>
              <w:right w:val="single" w:sz="8" w:space="0" w:color="auto"/>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47,692 </w:t>
            </w:r>
          </w:p>
        </w:tc>
      </w:tr>
      <w:tr w:rsidR="00320D77" w:rsidTr="00320D77">
        <w:trPr>
          <w:trHeight w:val="516"/>
        </w:trPr>
        <w:tc>
          <w:tcPr>
            <w:tcW w:w="1051" w:type="pct"/>
            <w:tcBorders>
              <w:top w:val="nil"/>
              <w:left w:val="single" w:sz="8" w:space="0" w:color="auto"/>
              <w:bottom w:val="single" w:sz="8" w:space="0" w:color="auto"/>
              <w:right w:val="nil"/>
            </w:tcBorders>
            <w:shd w:val="clear" w:color="auto" w:fill="auto"/>
            <w:tcMar>
              <w:top w:w="15" w:type="dxa"/>
              <w:left w:w="15" w:type="dxa"/>
              <w:bottom w:w="0" w:type="dxa"/>
              <w:right w:w="15" w:type="dxa"/>
            </w:tcMar>
            <w:vAlign w:val="center"/>
            <w:hideMark/>
          </w:tcPr>
          <w:p w:rsidR="00320D77" w:rsidRDefault="00320D77">
            <w:pPr>
              <w:rPr>
                <w:rFonts w:ascii="Calibri" w:hAnsi="Calibri" w:cs="Calibri"/>
                <w:color w:val="000000"/>
              </w:rPr>
            </w:pPr>
            <w:r>
              <w:rPr>
                <w:rFonts w:ascii="Calibri" w:hAnsi="Calibri" w:cs="Calibri"/>
                <w:color w:val="000000"/>
              </w:rPr>
              <w:t>Retained earnings for the year</w:t>
            </w:r>
          </w:p>
        </w:tc>
        <w:tc>
          <w:tcPr>
            <w:tcW w:w="790" w:type="pct"/>
            <w:tcBorders>
              <w:top w:val="nil"/>
              <w:left w:val="nil"/>
              <w:bottom w:val="single" w:sz="8" w:space="0" w:color="auto"/>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13,424 </w:t>
            </w:r>
          </w:p>
        </w:tc>
        <w:tc>
          <w:tcPr>
            <w:tcW w:w="790" w:type="pct"/>
            <w:tcBorders>
              <w:top w:val="nil"/>
              <w:left w:val="nil"/>
              <w:bottom w:val="single" w:sz="8" w:space="0" w:color="auto"/>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13,047 </w:t>
            </w:r>
          </w:p>
        </w:tc>
        <w:tc>
          <w:tcPr>
            <w:tcW w:w="790" w:type="pct"/>
            <w:tcBorders>
              <w:top w:val="nil"/>
              <w:left w:val="nil"/>
              <w:bottom w:val="single" w:sz="8" w:space="0" w:color="auto"/>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12,637 </w:t>
            </w:r>
          </w:p>
        </w:tc>
        <w:tc>
          <w:tcPr>
            <w:tcW w:w="790" w:type="pct"/>
            <w:tcBorders>
              <w:top w:val="nil"/>
              <w:left w:val="nil"/>
              <w:bottom w:val="single" w:sz="8" w:space="0" w:color="auto"/>
              <w:right w:val="nil"/>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12,216 </w:t>
            </w:r>
          </w:p>
        </w:tc>
        <w:tc>
          <w:tcPr>
            <w:tcW w:w="790" w:type="pct"/>
            <w:tcBorders>
              <w:top w:val="nil"/>
              <w:left w:val="nil"/>
              <w:bottom w:val="single" w:sz="8" w:space="0" w:color="auto"/>
              <w:right w:val="single" w:sz="8" w:space="0" w:color="auto"/>
            </w:tcBorders>
            <w:shd w:val="clear" w:color="000000" w:fill="F2F2F2"/>
            <w:noWrap/>
            <w:tcMar>
              <w:top w:w="15" w:type="dxa"/>
              <w:left w:w="15" w:type="dxa"/>
              <w:bottom w:w="0" w:type="dxa"/>
              <w:right w:w="15" w:type="dxa"/>
            </w:tcMar>
            <w:vAlign w:val="center"/>
            <w:hideMark/>
          </w:tcPr>
          <w:p w:rsidR="00320D77" w:rsidRDefault="00320D77">
            <w:pPr>
              <w:jc w:val="center"/>
              <w:rPr>
                <w:rFonts w:ascii="Calibri" w:hAnsi="Calibri" w:cs="Calibri"/>
                <w:color w:val="000000"/>
              </w:rPr>
            </w:pPr>
            <w:r>
              <w:rPr>
                <w:rFonts w:ascii="Calibri" w:hAnsi="Calibri" w:cs="Calibri"/>
                <w:color w:val="000000"/>
              </w:rPr>
              <w:t xml:space="preserve">         11,774 </w:t>
            </w:r>
          </w:p>
        </w:tc>
      </w:tr>
    </w:tbl>
    <w:p w:rsidR="00320D77" w:rsidRDefault="00320D77" w:rsidP="004632C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A71FE" w:rsidRDefault="0075426D" w:rsidP="004632CC">
      <w:pPr>
        <w:spacing w:line="360" w:lineRule="auto"/>
        <w:jc w:val="both"/>
        <w:rPr>
          <w:rFonts w:ascii="Times New Roman" w:hAnsi="Times New Roman" w:cs="Times New Roman"/>
          <w:sz w:val="24"/>
          <w:szCs w:val="24"/>
        </w:rPr>
      </w:pPr>
      <w:r>
        <w:rPr>
          <w:rFonts w:ascii="Times New Roman" w:hAnsi="Times New Roman" w:cs="Times New Roman"/>
          <w:sz w:val="24"/>
          <w:szCs w:val="24"/>
        </w:rPr>
        <w:t>The retained earnings has been forecasted by adding earnings of the year and subtracting the total dividend for the year from the previous year’s retained earnings.</w:t>
      </w:r>
      <w:r w:rsidR="0077003D">
        <w:rPr>
          <w:rFonts w:ascii="Times New Roman" w:hAnsi="Times New Roman" w:cs="Times New Roman"/>
          <w:sz w:val="24"/>
          <w:szCs w:val="24"/>
        </w:rPr>
        <w:t xml:space="preserve"> And the data has been determined from the projected statements. </w:t>
      </w:r>
    </w:p>
    <w:p w:rsidR="00AA71FE" w:rsidRDefault="00AA71FE">
      <w:pPr>
        <w:rPr>
          <w:rFonts w:ascii="Times New Roman" w:hAnsi="Times New Roman" w:cs="Times New Roman"/>
          <w:sz w:val="24"/>
          <w:szCs w:val="24"/>
        </w:rPr>
      </w:pPr>
      <w:r>
        <w:rPr>
          <w:rFonts w:ascii="Times New Roman" w:hAnsi="Times New Roman" w:cs="Times New Roman"/>
          <w:sz w:val="24"/>
          <w:szCs w:val="24"/>
        </w:rPr>
        <w:br w:type="page"/>
      </w:r>
    </w:p>
    <w:p w:rsidR="00976277" w:rsidRDefault="00976277" w:rsidP="004632CC">
      <w:pPr>
        <w:spacing w:line="360" w:lineRule="auto"/>
        <w:rPr>
          <w:rFonts w:ascii="Times New Roman" w:hAnsi="Times New Roman" w:cs="Times New Roman"/>
          <w:sz w:val="24"/>
          <w:szCs w:val="24"/>
        </w:rPr>
      </w:pPr>
      <w:r w:rsidRPr="00976277">
        <w:rPr>
          <w:rFonts w:ascii="Times New Roman" w:hAnsi="Times New Roman" w:cs="Times New Roman"/>
          <w:b/>
          <w:sz w:val="24"/>
          <w:szCs w:val="24"/>
        </w:rPr>
        <w:lastRenderedPageBreak/>
        <w:t>Profitably of GP</w:t>
      </w:r>
      <w:r>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1945"/>
        <w:gridCol w:w="759"/>
        <w:gridCol w:w="759"/>
        <w:gridCol w:w="759"/>
        <w:gridCol w:w="759"/>
        <w:gridCol w:w="678"/>
        <w:gridCol w:w="837"/>
        <w:gridCol w:w="770"/>
        <w:gridCol w:w="770"/>
        <w:gridCol w:w="770"/>
        <w:gridCol w:w="770"/>
      </w:tblGrid>
      <w:tr w:rsidR="001C44CC" w:rsidRPr="001C44CC" w:rsidTr="001C44CC">
        <w:trPr>
          <w:trHeight w:val="315"/>
        </w:trPr>
        <w:tc>
          <w:tcPr>
            <w:tcW w:w="983" w:type="pct"/>
            <w:tcBorders>
              <w:top w:val="single" w:sz="8" w:space="0" w:color="auto"/>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801" w:type="pct"/>
            <w:gridSpan w:val="2"/>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jc w:val="center"/>
              <w:rPr>
                <w:rFonts w:ascii="Calibri" w:eastAsia="Times New Roman" w:hAnsi="Calibri" w:cs="Calibri"/>
                <w:b/>
                <w:bCs/>
                <w:color w:val="000000"/>
              </w:rPr>
            </w:pPr>
            <w:r w:rsidRPr="001C44CC">
              <w:rPr>
                <w:rFonts w:ascii="Calibri" w:eastAsia="Times New Roman" w:hAnsi="Calibri" w:cs="Calibri"/>
                <w:b/>
                <w:bCs/>
                <w:color w:val="000000"/>
              </w:rPr>
              <w:t>Profitability</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c>
          <w:tcPr>
            <w:tcW w:w="402" w:type="pct"/>
            <w:tcBorders>
              <w:top w:val="single" w:sz="8" w:space="0" w:color="auto"/>
              <w:left w:val="nil"/>
              <w:bottom w:val="nil"/>
              <w:right w:val="single" w:sz="8" w:space="0" w:color="auto"/>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 </w:t>
            </w:r>
          </w:p>
        </w:tc>
      </w:tr>
      <w:tr w:rsidR="001C44CC" w:rsidRPr="001C44CC" w:rsidTr="001C44CC">
        <w:trPr>
          <w:trHeight w:val="315"/>
        </w:trPr>
        <w:tc>
          <w:tcPr>
            <w:tcW w:w="983" w:type="pct"/>
            <w:tcBorders>
              <w:top w:val="single" w:sz="8" w:space="0" w:color="auto"/>
              <w:left w:val="single" w:sz="8" w:space="0" w:color="auto"/>
              <w:bottom w:val="single" w:sz="8" w:space="0" w:color="auto"/>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b/>
                <w:bCs/>
                <w:color w:val="000000"/>
              </w:rPr>
            </w:pPr>
            <w:r w:rsidRPr="001C44CC">
              <w:rPr>
                <w:rFonts w:ascii="Calibri" w:eastAsia="Times New Roman" w:hAnsi="Calibri" w:cs="Calibri"/>
                <w:b/>
                <w:bCs/>
                <w:color w:val="000000"/>
              </w:rPr>
              <w:t>Particulars</w:t>
            </w:r>
          </w:p>
        </w:tc>
        <w:tc>
          <w:tcPr>
            <w:tcW w:w="402" w:type="pct"/>
            <w:tcBorders>
              <w:top w:val="single" w:sz="8" w:space="0" w:color="auto"/>
              <w:left w:val="single" w:sz="4" w:space="0" w:color="B2B2B2"/>
              <w:bottom w:val="single" w:sz="8" w:space="0" w:color="auto"/>
              <w:right w:val="single" w:sz="4" w:space="0" w:color="B2B2B2"/>
            </w:tcBorders>
            <w:shd w:val="clear" w:color="000000" w:fill="FFFFCC"/>
            <w:noWrap/>
            <w:vAlign w:val="bottom"/>
            <w:hideMark/>
          </w:tcPr>
          <w:p w:rsidR="001C44CC" w:rsidRPr="001C44CC" w:rsidRDefault="001C44CC" w:rsidP="001C44CC">
            <w:pPr>
              <w:spacing w:after="0" w:line="240" w:lineRule="auto"/>
              <w:jc w:val="right"/>
              <w:rPr>
                <w:rFonts w:ascii="Calibri" w:eastAsia="Times New Roman" w:hAnsi="Calibri" w:cs="Calibri"/>
                <w:b/>
                <w:bCs/>
                <w:color w:val="FA7D00"/>
              </w:rPr>
            </w:pPr>
            <w:r w:rsidRPr="001C44CC">
              <w:rPr>
                <w:rFonts w:ascii="Calibri" w:eastAsia="Times New Roman" w:hAnsi="Calibri" w:cs="Calibri"/>
                <w:b/>
                <w:bCs/>
                <w:color w:val="FA7D00"/>
              </w:rPr>
              <w:t>2013</w:t>
            </w:r>
          </w:p>
        </w:tc>
        <w:tc>
          <w:tcPr>
            <w:tcW w:w="402" w:type="pct"/>
            <w:tcBorders>
              <w:top w:val="single" w:sz="8" w:space="0" w:color="auto"/>
              <w:left w:val="nil"/>
              <w:bottom w:val="single" w:sz="8" w:space="0" w:color="auto"/>
              <w:right w:val="single" w:sz="4" w:space="0" w:color="B2B2B2"/>
            </w:tcBorders>
            <w:shd w:val="clear" w:color="000000" w:fill="FFFFCC"/>
            <w:noWrap/>
            <w:vAlign w:val="bottom"/>
            <w:hideMark/>
          </w:tcPr>
          <w:p w:rsidR="001C44CC" w:rsidRPr="001C44CC" w:rsidRDefault="001C44CC" w:rsidP="001C44CC">
            <w:pPr>
              <w:spacing w:after="0" w:line="240" w:lineRule="auto"/>
              <w:jc w:val="right"/>
              <w:rPr>
                <w:rFonts w:ascii="Calibri" w:eastAsia="Times New Roman" w:hAnsi="Calibri" w:cs="Calibri"/>
                <w:b/>
                <w:bCs/>
                <w:color w:val="FA7D00"/>
              </w:rPr>
            </w:pPr>
            <w:r w:rsidRPr="001C44CC">
              <w:rPr>
                <w:rFonts w:ascii="Calibri" w:eastAsia="Times New Roman" w:hAnsi="Calibri" w:cs="Calibri"/>
                <w:b/>
                <w:bCs/>
                <w:color w:val="FA7D00"/>
              </w:rPr>
              <w:t>2014</w:t>
            </w:r>
          </w:p>
        </w:tc>
        <w:tc>
          <w:tcPr>
            <w:tcW w:w="402" w:type="pct"/>
            <w:tcBorders>
              <w:top w:val="single" w:sz="8" w:space="0" w:color="auto"/>
              <w:left w:val="nil"/>
              <w:bottom w:val="single" w:sz="8" w:space="0" w:color="auto"/>
              <w:right w:val="single" w:sz="4" w:space="0" w:color="B2B2B2"/>
            </w:tcBorders>
            <w:shd w:val="clear" w:color="000000" w:fill="FFFFCC"/>
            <w:noWrap/>
            <w:vAlign w:val="bottom"/>
            <w:hideMark/>
          </w:tcPr>
          <w:p w:rsidR="001C44CC" w:rsidRPr="001C44CC" w:rsidRDefault="001C44CC" w:rsidP="001C44CC">
            <w:pPr>
              <w:spacing w:after="0" w:line="240" w:lineRule="auto"/>
              <w:jc w:val="right"/>
              <w:rPr>
                <w:rFonts w:ascii="Calibri" w:eastAsia="Times New Roman" w:hAnsi="Calibri" w:cs="Calibri"/>
                <w:b/>
                <w:bCs/>
                <w:color w:val="FA7D00"/>
              </w:rPr>
            </w:pPr>
            <w:r w:rsidRPr="001C44CC">
              <w:rPr>
                <w:rFonts w:ascii="Calibri" w:eastAsia="Times New Roman" w:hAnsi="Calibri" w:cs="Calibri"/>
                <w:b/>
                <w:bCs/>
                <w:color w:val="FA7D00"/>
              </w:rPr>
              <w:t>2015</w:t>
            </w:r>
          </w:p>
        </w:tc>
        <w:tc>
          <w:tcPr>
            <w:tcW w:w="402" w:type="pct"/>
            <w:tcBorders>
              <w:top w:val="single" w:sz="8" w:space="0" w:color="auto"/>
              <w:left w:val="nil"/>
              <w:bottom w:val="single" w:sz="8" w:space="0" w:color="auto"/>
              <w:right w:val="single" w:sz="4" w:space="0" w:color="B2B2B2"/>
            </w:tcBorders>
            <w:shd w:val="clear" w:color="000000" w:fill="FFFFCC"/>
            <w:noWrap/>
            <w:vAlign w:val="bottom"/>
            <w:hideMark/>
          </w:tcPr>
          <w:p w:rsidR="001C44CC" w:rsidRPr="001C44CC" w:rsidRDefault="001C44CC" w:rsidP="001C44CC">
            <w:pPr>
              <w:spacing w:after="0" w:line="240" w:lineRule="auto"/>
              <w:jc w:val="right"/>
              <w:rPr>
                <w:rFonts w:ascii="Calibri" w:eastAsia="Times New Roman" w:hAnsi="Calibri" w:cs="Calibri"/>
                <w:b/>
                <w:bCs/>
                <w:color w:val="FA7D00"/>
              </w:rPr>
            </w:pPr>
            <w:r w:rsidRPr="001C44CC">
              <w:rPr>
                <w:rFonts w:ascii="Calibri" w:eastAsia="Times New Roman" w:hAnsi="Calibri" w:cs="Calibri"/>
                <w:b/>
                <w:bCs/>
                <w:color w:val="FA7D00"/>
              </w:rPr>
              <w:t>2016</w:t>
            </w:r>
          </w:p>
        </w:tc>
        <w:tc>
          <w:tcPr>
            <w:tcW w:w="359" w:type="pct"/>
            <w:tcBorders>
              <w:top w:val="single" w:sz="8" w:space="0" w:color="auto"/>
              <w:left w:val="nil"/>
              <w:bottom w:val="single" w:sz="8" w:space="0" w:color="auto"/>
              <w:right w:val="single" w:sz="8" w:space="0" w:color="auto"/>
            </w:tcBorders>
            <w:shd w:val="clear" w:color="000000" w:fill="FFFFCC"/>
            <w:noWrap/>
            <w:vAlign w:val="bottom"/>
            <w:hideMark/>
          </w:tcPr>
          <w:p w:rsidR="001C44CC" w:rsidRPr="001C44CC" w:rsidRDefault="001C44CC" w:rsidP="001C44CC">
            <w:pPr>
              <w:spacing w:after="0" w:line="240" w:lineRule="auto"/>
              <w:jc w:val="right"/>
              <w:rPr>
                <w:rFonts w:ascii="Calibri" w:eastAsia="Times New Roman" w:hAnsi="Calibri" w:cs="Calibri"/>
                <w:b/>
                <w:bCs/>
                <w:color w:val="FA7D00"/>
              </w:rPr>
            </w:pPr>
            <w:r w:rsidRPr="001C44CC">
              <w:rPr>
                <w:rFonts w:ascii="Calibri" w:eastAsia="Times New Roman" w:hAnsi="Calibri" w:cs="Calibri"/>
                <w:b/>
                <w:bCs/>
                <w:color w:val="FA7D00"/>
              </w:rPr>
              <w:t>2017</w:t>
            </w:r>
          </w:p>
        </w:tc>
        <w:tc>
          <w:tcPr>
            <w:tcW w:w="442" w:type="pct"/>
            <w:tcBorders>
              <w:top w:val="single" w:sz="8" w:space="0" w:color="auto"/>
              <w:left w:val="nil"/>
              <w:bottom w:val="single" w:sz="8" w:space="0" w:color="auto"/>
              <w:right w:val="single" w:sz="4" w:space="0" w:color="7F7F7F"/>
            </w:tcBorders>
            <w:shd w:val="clear" w:color="000000" w:fill="F2F2F2"/>
            <w:noWrap/>
            <w:vAlign w:val="bottom"/>
            <w:hideMark/>
          </w:tcPr>
          <w:p w:rsidR="001C44CC" w:rsidRPr="001C44CC" w:rsidRDefault="001C44CC" w:rsidP="001C44CC">
            <w:pPr>
              <w:spacing w:after="0" w:line="240" w:lineRule="auto"/>
              <w:jc w:val="center"/>
              <w:rPr>
                <w:rFonts w:ascii="Calibri" w:eastAsia="Times New Roman" w:hAnsi="Calibri" w:cs="Calibri"/>
                <w:b/>
                <w:bCs/>
                <w:color w:val="FA7D00"/>
              </w:rPr>
            </w:pPr>
            <w:r w:rsidRPr="001C44CC">
              <w:rPr>
                <w:rFonts w:ascii="Calibri" w:eastAsia="Times New Roman" w:hAnsi="Calibri" w:cs="Calibri"/>
                <w:b/>
                <w:bCs/>
                <w:color w:val="FA7D00"/>
              </w:rPr>
              <w:t>2018E</w:t>
            </w:r>
          </w:p>
        </w:tc>
        <w:tc>
          <w:tcPr>
            <w:tcW w:w="402" w:type="pct"/>
            <w:tcBorders>
              <w:top w:val="single" w:sz="8" w:space="0" w:color="auto"/>
              <w:left w:val="nil"/>
              <w:bottom w:val="single" w:sz="8" w:space="0" w:color="auto"/>
              <w:right w:val="single" w:sz="4" w:space="0" w:color="7F7F7F"/>
            </w:tcBorders>
            <w:shd w:val="clear" w:color="000000" w:fill="F2F2F2"/>
            <w:noWrap/>
            <w:vAlign w:val="bottom"/>
            <w:hideMark/>
          </w:tcPr>
          <w:p w:rsidR="001C44CC" w:rsidRPr="001C44CC" w:rsidRDefault="001C44CC" w:rsidP="001C44CC">
            <w:pPr>
              <w:spacing w:after="0" w:line="240" w:lineRule="auto"/>
              <w:jc w:val="center"/>
              <w:rPr>
                <w:rFonts w:ascii="Calibri" w:eastAsia="Times New Roman" w:hAnsi="Calibri" w:cs="Calibri"/>
                <w:b/>
                <w:bCs/>
                <w:color w:val="FA7D00"/>
              </w:rPr>
            </w:pPr>
            <w:r w:rsidRPr="001C44CC">
              <w:rPr>
                <w:rFonts w:ascii="Calibri" w:eastAsia="Times New Roman" w:hAnsi="Calibri" w:cs="Calibri"/>
                <w:b/>
                <w:bCs/>
                <w:color w:val="FA7D00"/>
              </w:rPr>
              <w:t>2019E</w:t>
            </w:r>
          </w:p>
        </w:tc>
        <w:tc>
          <w:tcPr>
            <w:tcW w:w="402" w:type="pct"/>
            <w:tcBorders>
              <w:top w:val="single" w:sz="8" w:space="0" w:color="auto"/>
              <w:left w:val="nil"/>
              <w:bottom w:val="single" w:sz="8" w:space="0" w:color="auto"/>
              <w:right w:val="single" w:sz="4" w:space="0" w:color="7F7F7F"/>
            </w:tcBorders>
            <w:shd w:val="clear" w:color="000000" w:fill="F2F2F2"/>
            <w:noWrap/>
            <w:vAlign w:val="bottom"/>
            <w:hideMark/>
          </w:tcPr>
          <w:p w:rsidR="001C44CC" w:rsidRPr="001C44CC" w:rsidRDefault="001C44CC" w:rsidP="001C44CC">
            <w:pPr>
              <w:spacing w:after="0" w:line="240" w:lineRule="auto"/>
              <w:jc w:val="center"/>
              <w:rPr>
                <w:rFonts w:ascii="Calibri" w:eastAsia="Times New Roman" w:hAnsi="Calibri" w:cs="Calibri"/>
                <w:b/>
                <w:bCs/>
                <w:color w:val="FA7D00"/>
              </w:rPr>
            </w:pPr>
            <w:r w:rsidRPr="001C44CC">
              <w:rPr>
                <w:rFonts w:ascii="Calibri" w:eastAsia="Times New Roman" w:hAnsi="Calibri" w:cs="Calibri"/>
                <w:b/>
                <w:bCs/>
                <w:color w:val="FA7D00"/>
              </w:rPr>
              <w:t>2020E</w:t>
            </w:r>
          </w:p>
        </w:tc>
        <w:tc>
          <w:tcPr>
            <w:tcW w:w="402" w:type="pct"/>
            <w:tcBorders>
              <w:top w:val="single" w:sz="8" w:space="0" w:color="auto"/>
              <w:left w:val="nil"/>
              <w:bottom w:val="single" w:sz="8" w:space="0" w:color="auto"/>
              <w:right w:val="single" w:sz="4" w:space="0" w:color="7F7F7F"/>
            </w:tcBorders>
            <w:shd w:val="clear" w:color="000000" w:fill="F2F2F2"/>
            <w:noWrap/>
            <w:vAlign w:val="bottom"/>
            <w:hideMark/>
          </w:tcPr>
          <w:p w:rsidR="001C44CC" w:rsidRPr="001C44CC" w:rsidRDefault="001C44CC" w:rsidP="001C44CC">
            <w:pPr>
              <w:spacing w:after="0" w:line="240" w:lineRule="auto"/>
              <w:jc w:val="center"/>
              <w:rPr>
                <w:rFonts w:ascii="Calibri" w:eastAsia="Times New Roman" w:hAnsi="Calibri" w:cs="Calibri"/>
                <w:b/>
                <w:bCs/>
                <w:color w:val="FA7D00"/>
              </w:rPr>
            </w:pPr>
            <w:r w:rsidRPr="001C44CC">
              <w:rPr>
                <w:rFonts w:ascii="Calibri" w:eastAsia="Times New Roman" w:hAnsi="Calibri" w:cs="Calibri"/>
                <w:b/>
                <w:bCs/>
                <w:color w:val="FA7D00"/>
              </w:rPr>
              <w:t>2021E</w:t>
            </w:r>
          </w:p>
        </w:tc>
        <w:tc>
          <w:tcPr>
            <w:tcW w:w="402" w:type="pct"/>
            <w:tcBorders>
              <w:top w:val="single" w:sz="8" w:space="0" w:color="auto"/>
              <w:left w:val="nil"/>
              <w:bottom w:val="single" w:sz="8" w:space="0" w:color="auto"/>
              <w:right w:val="single" w:sz="8" w:space="0" w:color="auto"/>
            </w:tcBorders>
            <w:shd w:val="clear" w:color="000000" w:fill="F2F2F2"/>
            <w:noWrap/>
            <w:vAlign w:val="bottom"/>
            <w:hideMark/>
          </w:tcPr>
          <w:p w:rsidR="001C44CC" w:rsidRPr="001C44CC" w:rsidRDefault="001C44CC" w:rsidP="001C44CC">
            <w:pPr>
              <w:spacing w:after="0" w:line="240" w:lineRule="auto"/>
              <w:jc w:val="center"/>
              <w:rPr>
                <w:rFonts w:ascii="Calibri" w:eastAsia="Times New Roman" w:hAnsi="Calibri" w:cs="Calibri"/>
                <w:b/>
                <w:bCs/>
                <w:color w:val="FA7D00"/>
              </w:rPr>
            </w:pPr>
            <w:r w:rsidRPr="001C44CC">
              <w:rPr>
                <w:rFonts w:ascii="Calibri" w:eastAsia="Times New Roman" w:hAnsi="Calibri" w:cs="Calibri"/>
                <w:b/>
                <w:bCs/>
                <w:color w:val="FA7D00"/>
              </w:rPr>
              <w:t>2022E</w:t>
            </w:r>
          </w:p>
        </w:tc>
      </w:tr>
      <w:tr w:rsidR="001C44CC" w:rsidRPr="001C44CC" w:rsidTr="001C44CC">
        <w:trPr>
          <w:trHeight w:val="300"/>
        </w:trPr>
        <w:tc>
          <w:tcPr>
            <w:tcW w:w="983" w:type="pct"/>
            <w:tcBorders>
              <w:top w:val="nil"/>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Gross Profit margin</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91%</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91%</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90%</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91%</w:t>
            </w:r>
          </w:p>
        </w:tc>
        <w:tc>
          <w:tcPr>
            <w:tcW w:w="359"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92%</w:t>
            </w:r>
          </w:p>
        </w:tc>
        <w:tc>
          <w:tcPr>
            <w:tcW w:w="44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94%</w:t>
            </w:r>
          </w:p>
        </w:tc>
        <w:tc>
          <w:tcPr>
            <w:tcW w:w="402" w:type="pct"/>
            <w:tcBorders>
              <w:top w:val="nil"/>
              <w:left w:val="nil"/>
              <w:bottom w:val="nil"/>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94%</w:t>
            </w:r>
          </w:p>
        </w:tc>
      </w:tr>
      <w:tr w:rsidR="001C44CC" w:rsidRPr="001C44CC" w:rsidTr="001C44CC">
        <w:trPr>
          <w:trHeight w:val="300"/>
        </w:trPr>
        <w:tc>
          <w:tcPr>
            <w:tcW w:w="983" w:type="pct"/>
            <w:tcBorders>
              <w:top w:val="nil"/>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EBITDA margin</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48%</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51%</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52%</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52%</w:t>
            </w:r>
          </w:p>
        </w:tc>
        <w:tc>
          <w:tcPr>
            <w:tcW w:w="359"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56%</w:t>
            </w:r>
          </w:p>
        </w:tc>
        <w:tc>
          <w:tcPr>
            <w:tcW w:w="44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58%</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58%</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58%</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57%</w:t>
            </w:r>
          </w:p>
        </w:tc>
        <w:tc>
          <w:tcPr>
            <w:tcW w:w="402" w:type="pct"/>
            <w:tcBorders>
              <w:top w:val="nil"/>
              <w:left w:val="nil"/>
              <w:bottom w:val="nil"/>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57%</w:t>
            </w:r>
          </w:p>
        </w:tc>
      </w:tr>
      <w:tr w:rsidR="001C44CC" w:rsidRPr="001C44CC" w:rsidTr="001C44CC">
        <w:trPr>
          <w:trHeight w:val="300"/>
        </w:trPr>
        <w:tc>
          <w:tcPr>
            <w:tcW w:w="983" w:type="pct"/>
            <w:tcBorders>
              <w:top w:val="nil"/>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EBIT margin</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32%</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34%</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33%</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34%</w:t>
            </w:r>
          </w:p>
        </w:tc>
        <w:tc>
          <w:tcPr>
            <w:tcW w:w="359"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38%</w:t>
            </w:r>
          </w:p>
        </w:tc>
        <w:tc>
          <w:tcPr>
            <w:tcW w:w="44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43%</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45%</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c>
          <w:tcPr>
            <w:tcW w:w="402" w:type="pct"/>
            <w:tcBorders>
              <w:top w:val="nil"/>
              <w:left w:val="nil"/>
              <w:bottom w:val="nil"/>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r>
      <w:tr w:rsidR="001C44CC" w:rsidRPr="001C44CC" w:rsidTr="001C44CC">
        <w:trPr>
          <w:trHeight w:val="300"/>
        </w:trPr>
        <w:tc>
          <w:tcPr>
            <w:tcW w:w="983" w:type="pct"/>
            <w:tcBorders>
              <w:top w:val="nil"/>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Operating margin</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34%</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36%</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35%</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36%</w:t>
            </w:r>
          </w:p>
        </w:tc>
        <w:tc>
          <w:tcPr>
            <w:tcW w:w="359"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39%</w:t>
            </w:r>
          </w:p>
        </w:tc>
        <w:tc>
          <w:tcPr>
            <w:tcW w:w="44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46%</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46%</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45%</w:t>
            </w:r>
          </w:p>
        </w:tc>
        <w:tc>
          <w:tcPr>
            <w:tcW w:w="402" w:type="pct"/>
            <w:tcBorders>
              <w:top w:val="nil"/>
              <w:left w:val="nil"/>
              <w:bottom w:val="nil"/>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45%</w:t>
            </w:r>
          </w:p>
        </w:tc>
      </w:tr>
      <w:tr w:rsidR="001C44CC" w:rsidRPr="001C44CC" w:rsidTr="001C44CC">
        <w:trPr>
          <w:trHeight w:val="300"/>
        </w:trPr>
        <w:tc>
          <w:tcPr>
            <w:tcW w:w="983" w:type="pct"/>
            <w:tcBorders>
              <w:top w:val="nil"/>
              <w:left w:val="single" w:sz="8" w:space="0" w:color="auto"/>
              <w:bottom w:val="nil"/>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PBT margin</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34%</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34%</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33%</w:t>
            </w:r>
          </w:p>
        </w:tc>
        <w:tc>
          <w:tcPr>
            <w:tcW w:w="402"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33%</w:t>
            </w:r>
          </w:p>
        </w:tc>
        <w:tc>
          <w:tcPr>
            <w:tcW w:w="359" w:type="pct"/>
            <w:tcBorders>
              <w:top w:val="nil"/>
              <w:left w:val="nil"/>
              <w:bottom w:val="nil"/>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37%</w:t>
            </w:r>
          </w:p>
        </w:tc>
        <w:tc>
          <w:tcPr>
            <w:tcW w:w="44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43%</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45%</w:t>
            </w:r>
          </w:p>
        </w:tc>
        <w:tc>
          <w:tcPr>
            <w:tcW w:w="402" w:type="pct"/>
            <w:tcBorders>
              <w:top w:val="nil"/>
              <w:left w:val="nil"/>
              <w:bottom w:val="nil"/>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c>
          <w:tcPr>
            <w:tcW w:w="402" w:type="pct"/>
            <w:tcBorders>
              <w:top w:val="nil"/>
              <w:left w:val="nil"/>
              <w:bottom w:val="nil"/>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44%</w:t>
            </w:r>
          </w:p>
        </w:tc>
      </w:tr>
      <w:tr w:rsidR="001C44CC" w:rsidRPr="001C44CC" w:rsidTr="001C44CC">
        <w:trPr>
          <w:trHeight w:val="300"/>
        </w:trPr>
        <w:tc>
          <w:tcPr>
            <w:tcW w:w="983" w:type="pct"/>
            <w:tcBorders>
              <w:top w:val="nil"/>
              <w:left w:val="single" w:sz="8" w:space="0" w:color="auto"/>
              <w:bottom w:val="single" w:sz="4" w:space="0" w:color="auto"/>
              <w:right w:val="nil"/>
            </w:tcBorders>
            <w:shd w:val="clear" w:color="auto" w:fill="auto"/>
            <w:noWrap/>
            <w:vAlign w:val="bottom"/>
            <w:hideMark/>
          </w:tcPr>
          <w:p w:rsidR="001C44CC" w:rsidRPr="001C44CC" w:rsidRDefault="001C44CC" w:rsidP="001C44CC">
            <w:pPr>
              <w:spacing w:after="0" w:line="240" w:lineRule="auto"/>
              <w:rPr>
                <w:rFonts w:ascii="Calibri" w:eastAsia="Times New Roman" w:hAnsi="Calibri" w:cs="Calibri"/>
                <w:color w:val="000000"/>
              </w:rPr>
            </w:pPr>
            <w:r w:rsidRPr="001C44CC">
              <w:rPr>
                <w:rFonts w:ascii="Calibri" w:eastAsia="Times New Roman" w:hAnsi="Calibri" w:cs="Calibri"/>
                <w:color w:val="000000"/>
              </w:rPr>
              <w:t>PAT margin</w:t>
            </w:r>
          </w:p>
        </w:tc>
        <w:tc>
          <w:tcPr>
            <w:tcW w:w="402" w:type="pct"/>
            <w:tcBorders>
              <w:top w:val="nil"/>
              <w:left w:val="nil"/>
              <w:bottom w:val="single" w:sz="4" w:space="0" w:color="auto"/>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15%</w:t>
            </w:r>
          </w:p>
        </w:tc>
        <w:tc>
          <w:tcPr>
            <w:tcW w:w="402" w:type="pct"/>
            <w:tcBorders>
              <w:top w:val="nil"/>
              <w:left w:val="nil"/>
              <w:bottom w:val="single" w:sz="4" w:space="0" w:color="auto"/>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19%</w:t>
            </w:r>
          </w:p>
        </w:tc>
        <w:tc>
          <w:tcPr>
            <w:tcW w:w="402" w:type="pct"/>
            <w:tcBorders>
              <w:top w:val="nil"/>
              <w:left w:val="nil"/>
              <w:bottom w:val="single" w:sz="4" w:space="0" w:color="auto"/>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19%</w:t>
            </w:r>
          </w:p>
        </w:tc>
        <w:tc>
          <w:tcPr>
            <w:tcW w:w="402" w:type="pct"/>
            <w:tcBorders>
              <w:top w:val="nil"/>
              <w:left w:val="nil"/>
              <w:bottom w:val="single" w:sz="4" w:space="0" w:color="auto"/>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20%</w:t>
            </w:r>
          </w:p>
        </w:tc>
        <w:tc>
          <w:tcPr>
            <w:tcW w:w="359" w:type="pct"/>
            <w:tcBorders>
              <w:top w:val="nil"/>
              <w:left w:val="nil"/>
              <w:bottom w:val="single" w:sz="4" w:space="0" w:color="auto"/>
              <w:right w:val="nil"/>
            </w:tcBorders>
            <w:shd w:val="clear" w:color="000000" w:fill="FFF2CC"/>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21%</w:t>
            </w:r>
          </w:p>
        </w:tc>
        <w:tc>
          <w:tcPr>
            <w:tcW w:w="442" w:type="pct"/>
            <w:tcBorders>
              <w:top w:val="nil"/>
              <w:left w:val="nil"/>
              <w:bottom w:val="single" w:sz="4" w:space="0" w:color="auto"/>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27%</w:t>
            </w:r>
          </w:p>
        </w:tc>
        <w:tc>
          <w:tcPr>
            <w:tcW w:w="402" w:type="pct"/>
            <w:tcBorders>
              <w:top w:val="nil"/>
              <w:left w:val="nil"/>
              <w:bottom w:val="single" w:sz="4" w:space="0" w:color="auto"/>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28%</w:t>
            </w:r>
          </w:p>
        </w:tc>
        <w:tc>
          <w:tcPr>
            <w:tcW w:w="402" w:type="pct"/>
            <w:tcBorders>
              <w:top w:val="nil"/>
              <w:left w:val="nil"/>
              <w:bottom w:val="single" w:sz="4" w:space="0" w:color="auto"/>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28%</w:t>
            </w:r>
          </w:p>
        </w:tc>
        <w:tc>
          <w:tcPr>
            <w:tcW w:w="402" w:type="pct"/>
            <w:tcBorders>
              <w:top w:val="nil"/>
              <w:left w:val="nil"/>
              <w:bottom w:val="single" w:sz="4" w:space="0" w:color="auto"/>
              <w:right w:val="nil"/>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27%</w:t>
            </w:r>
          </w:p>
        </w:tc>
        <w:tc>
          <w:tcPr>
            <w:tcW w:w="402" w:type="pct"/>
            <w:tcBorders>
              <w:top w:val="nil"/>
              <w:left w:val="nil"/>
              <w:bottom w:val="single" w:sz="4" w:space="0" w:color="auto"/>
              <w:right w:val="single" w:sz="8" w:space="0" w:color="auto"/>
            </w:tcBorders>
            <w:shd w:val="clear" w:color="000000" w:fill="F2F2F2"/>
            <w:noWrap/>
            <w:vAlign w:val="bottom"/>
            <w:hideMark/>
          </w:tcPr>
          <w:p w:rsidR="001C44CC" w:rsidRPr="001C44CC" w:rsidRDefault="001C44CC" w:rsidP="001C44CC">
            <w:pPr>
              <w:spacing w:after="0" w:line="240" w:lineRule="auto"/>
              <w:jc w:val="right"/>
              <w:rPr>
                <w:rFonts w:ascii="Calibri" w:eastAsia="Times New Roman" w:hAnsi="Calibri" w:cs="Calibri"/>
                <w:color w:val="000000"/>
              </w:rPr>
            </w:pPr>
            <w:r w:rsidRPr="001C44CC">
              <w:rPr>
                <w:rFonts w:ascii="Calibri" w:eastAsia="Times New Roman" w:hAnsi="Calibri" w:cs="Calibri"/>
                <w:color w:val="000000"/>
              </w:rPr>
              <w:t>28%</w:t>
            </w:r>
          </w:p>
        </w:tc>
      </w:tr>
    </w:tbl>
    <w:p w:rsidR="001C44CC" w:rsidRDefault="001C44CC" w:rsidP="004632CC">
      <w:pPr>
        <w:spacing w:line="360" w:lineRule="auto"/>
        <w:rPr>
          <w:rFonts w:ascii="Times New Roman" w:hAnsi="Times New Roman" w:cs="Times New Roman"/>
          <w:sz w:val="24"/>
          <w:szCs w:val="24"/>
        </w:rPr>
      </w:pPr>
    </w:p>
    <w:p w:rsidR="009B4E83" w:rsidRDefault="00EF197F"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671DDC">
        <w:rPr>
          <w:rFonts w:ascii="Times New Roman" w:hAnsi="Times New Roman" w:cs="Times New Roman"/>
          <w:b/>
          <w:sz w:val="24"/>
          <w:szCs w:val="24"/>
        </w:rPr>
        <w:t>Gross profit margin</w:t>
      </w:r>
      <w:r>
        <w:rPr>
          <w:rFonts w:ascii="Times New Roman" w:hAnsi="Times New Roman" w:cs="Times New Roman"/>
          <w:sz w:val="24"/>
          <w:szCs w:val="24"/>
        </w:rPr>
        <w:t xml:space="preserve"> of GP is higher which indicates that GP is a profitable company. It is also assumed that because of the increase in subscriber base &amp; technological advancement and decrease in the cost of material and traffic charges the gross profit margin ratio may increase. </w:t>
      </w:r>
    </w:p>
    <w:p w:rsidR="00952C99" w:rsidRDefault="00671DDC"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671DDC">
        <w:rPr>
          <w:rFonts w:ascii="Times New Roman" w:hAnsi="Times New Roman" w:cs="Times New Roman"/>
          <w:b/>
          <w:sz w:val="24"/>
          <w:szCs w:val="24"/>
        </w:rPr>
        <w:t>EBITDA margin</w:t>
      </w:r>
      <w:r>
        <w:rPr>
          <w:rFonts w:ascii="Times New Roman" w:hAnsi="Times New Roman" w:cs="Times New Roman"/>
          <w:sz w:val="24"/>
          <w:szCs w:val="24"/>
        </w:rPr>
        <w:t xml:space="preserve"> of GP is increasing which indicates that the operating expenses of GP</w:t>
      </w:r>
      <w:r w:rsidR="004632CC">
        <w:rPr>
          <w:rFonts w:ascii="Times New Roman" w:hAnsi="Times New Roman" w:cs="Times New Roman"/>
          <w:sz w:val="24"/>
          <w:szCs w:val="24"/>
        </w:rPr>
        <w:t xml:space="preserve"> </w:t>
      </w:r>
      <w:r>
        <w:rPr>
          <w:rFonts w:ascii="Times New Roman" w:hAnsi="Times New Roman" w:cs="Times New Roman"/>
          <w:sz w:val="24"/>
          <w:szCs w:val="24"/>
        </w:rPr>
        <w:t xml:space="preserve">is decreasing. </w:t>
      </w:r>
    </w:p>
    <w:p w:rsidR="001B352C" w:rsidRDefault="00952C99"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952C99">
        <w:rPr>
          <w:rFonts w:ascii="Times New Roman" w:hAnsi="Times New Roman" w:cs="Times New Roman"/>
          <w:b/>
          <w:sz w:val="24"/>
          <w:szCs w:val="24"/>
        </w:rPr>
        <w:t xml:space="preserve">EBIT margin </w:t>
      </w:r>
      <w:r>
        <w:rPr>
          <w:rFonts w:ascii="Times New Roman" w:hAnsi="Times New Roman" w:cs="Times New Roman"/>
          <w:sz w:val="24"/>
          <w:szCs w:val="24"/>
        </w:rPr>
        <w:t>of GP is also increasing and it is also assumed the ratio may increase because the increase in revenue growth and efficiently managing costs.</w:t>
      </w:r>
    </w:p>
    <w:p w:rsidR="00E42B92" w:rsidRDefault="001B352C"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1B352C">
        <w:rPr>
          <w:rFonts w:ascii="Times New Roman" w:hAnsi="Times New Roman" w:cs="Times New Roman"/>
          <w:b/>
          <w:sz w:val="24"/>
          <w:szCs w:val="24"/>
        </w:rPr>
        <w:t>Operating margin</w:t>
      </w:r>
      <w:r>
        <w:rPr>
          <w:rFonts w:ascii="Times New Roman" w:hAnsi="Times New Roman" w:cs="Times New Roman"/>
          <w:sz w:val="24"/>
          <w:szCs w:val="24"/>
        </w:rPr>
        <w:t xml:space="preserve"> of GP is increasing which indicates that after paying all operating expenses GP has enough cash to pay </w:t>
      </w:r>
      <w:r w:rsidR="00E42B92">
        <w:rPr>
          <w:rFonts w:ascii="Times New Roman" w:hAnsi="Times New Roman" w:cs="Times New Roman"/>
          <w:sz w:val="24"/>
          <w:szCs w:val="24"/>
        </w:rPr>
        <w:t>the non-operating expenses.</w:t>
      </w:r>
    </w:p>
    <w:p w:rsidR="005858FC" w:rsidRDefault="005858FC"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5858FC">
        <w:rPr>
          <w:rFonts w:ascii="Times New Roman" w:hAnsi="Times New Roman" w:cs="Times New Roman"/>
          <w:b/>
          <w:sz w:val="24"/>
          <w:szCs w:val="24"/>
        </w:rPr>
        <w:t>Profit before Tax margin</w:t>
      </w:r>
      <w:r>
        <w:rPr>
          <w:rFonts w:ascii="Times New Roman" w:hAnsi="Times New Roman" w:cs="Times New Roman"/>
          <w:sz w:val="24"/>
          <w:szCs w:val="24"/>
        </w:rPr>
        <w:t xml:space="preserve"> of GP indicates that the revenue that GP has earned after paying all the operating &amp; non-operating expenses except the tax expense of GP.</w:t>
      </w:r>
      <w:r w:rsidR="008C60FF">
        <w:rPr>
          <w:rFonts w:ascii="Times New Roman" w:hAnsi="Times New Roman" w:cs="Times New Roman"/>
          <w:sz w:val="24"/>
          <w:szCs w:val="24"/>
        </w:rPr>
        <w:t xml:space="preserve"> </w:t>
      </w:r>
    </w:p>
    <w:p w:rsidR="008C60FF" w:rsidRPr="005858FC" w:rsidRDefault="008C60FF"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8C60FF">
        <w:rPr>
          <w:rFonts w:ascii="Times New Roman" w:hAnsi="Times New Roman" w:cs="Times New Roman"/>
          <w:b/>
          <w:sz w:val="24"/>
          <w:szCs w:val="24"/>
        </w:rPr>
        <w:t>Profit after Tax margin</w:t>
      </w:r>
      <w:r>
        <w:rPr>
          <w:rFonts w:ascii="Times New Roman" w:hAnsi="Times New Roman" w:cs="Times New Roman"/>
          <w:sz w:val="24"/>
          <w:szCs w:val="24"/>
        </w:rPr>
        <w:t xml:space="preserve"> </w:t>
      </w:r>
      <w:r w:rsidR="000A031B">
        <w:rPr>
          <w:rFonts w:ascii="Times New Roman" w:hAnsi="Times New Roman" w:cs="Times New Roman"/>
          <w:sz w:val="24"/>
          <w:szCs w:val="24"/>
        </w:rPr>
        <w:t>of GP indicates the revenue that GP has earned after paying all the expenses including the tax. GP is one of the highest tax payer company. It pays almost 50 percent of its revenue as</w:t>
      </w:r>
      <w:r w:rsidR="00073BE8">
        <w:rPr>
          <w:rFonts w:ascii="Times New Roman" w:hAnsi="Times New Roman" w:cs="Times New Roman"/>
          <w:sz w:val="24"/>
          <w:szCs w:val="24"/>
        </w:rPr>
        <w:t xml:space="preserve"> corporate</w:t>
      </w:r>
      <w:r w:rsidR="000A031B">
        <w:rPr>
          <w:rFonts w:ascii="Times New Roman" w:hAnsi="Times New Roman" w:cs="Times New Roman"/>
          <w:sz w:val="24"/>
          <w:szCs w:val="24"/>
        </w:rPr>
        <w:t xml:space="preserve"> tax.</w:t>
      </w:r>
    </w:p>
    <w:p w:rsidR="000271BC" w:rsidRDefault="000271BC" w:rsidP="000A031B">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text" w:horzAnchor="margin" w:tblpXSpec="right" w:tblpY="972"/>
        <w:tblW w:w="4373" w:type="dxa"/>
        <w:tblLook w:val="04A0" w:firstRow="1" w:lastRow="0" w:firstColumn="1" w:lastColumn="0" w:noHBand="0" w:noVBand="1"/>
      </w:tblPr>
      <w:tblGrid>
        <w:gridCol w:w="3147"/>
        <w:gridCol w:w="266"/>
        <w:gridCol w:w="960"/>
      </w:tblGrid>
      <w:tr w:rsidR="00041ACB" w:rsidRPr="005D41E0" w:rsidTr="00041ACB">
        <w:trPr>
          <w:trHeight w:val="300"/>
        </w:trPr>
        <w:tc>
          <w:tcPr>
            <w:tcW w:w="3413" w:type="dxa"/>
            <w:gridSpan w:val="2"/>
            <w:tcBorders>
              <w:top w:val="single" w:sz="8" w:space="0" w:color="auto"/>
              <w:left w:val="single" w:sz="8" w:space="0" w:color="auto"/>
              <w:bottom w:val="nil"/>
              <w:right w:val="nil"/>
            </w:tcBorders>
            <w:shd w:val="clear" w:color="000000" w:fill="F2F2F2"/>
            <w:noWrap/>
            <w:vAlign w:val="bottom"/>
            <w:hideMark/>
          </w:tcPr>
          <w:p w:rsidR="00041ACB" w:rsidRPr="005D41E0" w:rsidRDefault="00041ACB" w:rsidP="004632CC">
            <w:pPr>
              <w:spacing w:after="0" w:line="360" w:lineRule="auto"/>
              <w:rPr>
                <w:rFonts w:ascii="Calibri" w:eastAsia="Times New Roman" w:hAnsi="Calibri" w:cs="Calibri"/>
                <w:b/>
                <w:bCs/>
                <w:color w:val="000000"/>
              </w:rPr>
            </w:pPr>
            <w:r w:rsidRPr="005D41E0">
              <w:rPr>
                <w:rFonts w:ascii="Calibri" w:eastAsia="Times New Roman" w:hAnsi="Calibri" w:cs="Calibri"/>
                <w:b/>
                <w:bCs/>
                <w:color w:val="000000"/>
              </w:rPr>
              <w:lastRenderedPageBreak/>
              <w:t>Covariance (market portfolio,</w:t>
            </w:r>
            <w:r>
              <w:rPr>
                <w:rFonts w:ascii="Calibri" w:eastAsia="Times New Roman" w:hAnsi="Calibri" w:cs="Calibri"/>
                <w:b/>
                <w:bCs/>
                <w:color w:val="000000"/>
              </w:rPr>
              <w:t xml:space="preserve"> </w:t>
            </w:r>
            <w:r w:rsidRPr="005D41E0">
              <w:rPr>
                <w:rFonts w:ascii="Calibri" w:eastAsia="Times New Roman" w:hAnsi="Calibri" w:cs="Calibri"/>
                <w:b/>
                <w:bCs/>
                <w:color w:val="000000"/>
              </w:rPr>
              <w:t>GP)</w:t>
            </w:r>
          </w:p>
        </w:tc>
        <w:tc>
          <w:tcPr>
            <w:tcW w:w="960" w:type="dxa"/>
            <w:tcBorders>
              <w:top w:val="single" w:sz="8" w:space="0" w:color="auto"/>
              <w:left w:val="nil"/>
              <w:bottom w:val="nil"/>
              <w:right w:val="single" w:sz="8" w:space="0" w:color="auto"/>
            </w:tcBorders>
            <w:shd w:val="clear" w:color="000000" w:fill="F2F2F2"/>
            <w:noWrap/>
            <w:vAlign w:val="bottom"/>
            <w:hideMark/>
          </w:tcPr>
          <w:p w:rsidR="00041ACB" w:rsidRPr="005D41E0" w:rsidRDefault="00041ACB" w:rsidP="004632CC">
            <w:pPr>
              <w:spacing w:after="0" w:line="360" w:lineRule="auto"/>
              <w:jc w:val="right"/>
              <w:rPr>
                <w:rFonts w:ascii="Calibri" w:eastAsia="Times New Roman" w:hAnsi="Calibri" w:cs="Calibri"/>
                <w:color w:val="000000"/>
              </w:rPr>
            </w:pPr>
            <w:r w:rsidRPr="005D41E0">
              <w:rPr>
                <w:rFonts w:ascii="Calibri" w:eastAsia="Times New Roman" w:hAnsi="Calibri" w:cs="Calibri"/>
                <w:color w:val="000000"/>
              </w:rPr>
              <w:t>0.00147</w:t>
            </w:r>
          </w:p>
        </w:tc>
      </w:tr>
      <w:tr w:rsidR="00041ACB" w:rsidRPr="005D41E0" w:rsidTr="00041ACB">
        <w:trPr>
          <w:trHeight w:val="300"/>
        </w:trPr>
        <w:tc>
          <w:tcPr>
            <w:tcW w:w="3413" w:type="dxa"/>
            <w:gridSpan w:val="2"/>
            <w:tcBorders>
              <w:top w:val="nil"/>
              <w:left w:val="single" w:sz="8" w:space="0" w:color="auto"/>
              <w:bottom w:val="nil"/>
              <w:right w:val="nil"/>
            </w:tcBorders>
            <w:shd w:val="clear" w:color="000000" w:fill="F2F2F2"/>
            <w:noWrap/>
            <w:vAlign w:val="bottom"/>
            <w:hideMark/>
          </w:tcPr>
          <w:p w:rsidR="00041ACB" w:rsidRPr="005D41E0" w:rsidRDefault="00041ACB" w:rsidP="004632CC">
            <w:pPr>
              <w:spacing w:after="0" w:line="360" w:lineRule="auto"/>
              <w:rPr>
                <w:rFonts w:ascii="Calibri" w:eastAsia="Times New Roman" w:hAnsi="Calibri" w:cs="Calibri"/>
                <w:b/>
                <w:bCs/>
                <w:color w:val="000000"/>
              </w:rPr>
            </w:pPr>
            <w:r w:rsidRPr="005D41E0">
              <w:rPr>
                <w:rFonts w:ascii="Calibri" w:eastAsia="Times New Roman" w:hAnsi="Calibri" w:cs="Calibri"/>
                <w:b/>
                <w:bCs/>
                <w:color w:val="000000"/>
              </w:rPr>
              <w:t>Variance(market portfolio)</w:t>
            </w:r>
          </w:p>
        </w:tc>
        <w:tc>
          <w:tcPr>
            <w:tcW w:w="960" w:type="dxa"/>
            <w:tcBorders>
              <w:top w:val="nil"/>
              <w:left w:val="nil"/>
              <w:bottom w:val="nil"/>
              <w:right w:val="single" w:sz="8" w:space="0" w:color="auto"/>
            </w:tcBorders>
            <w:shd w:val="clear" w:color="000000" w:fill="F2F2F2"/>
            <w:noWrap/>
            <w:vAlign w:val="bottom"/>
            <w:hideMark/>
          </w:tcPr>
          <w:p w:rsidR="00041ACB" w:rsidRPr="005D41E0" w:rsidRDefault="00041ACB" w:rsidP="004632CC">
            <w:pPr>
              <w:spacing w:after="0" w:line="360" w:lineRule="auto"/>
              <w:jc w:val="right"/>
              <w:rPr>
                <w:rFonts w:ascii="Calibri" w:eastAsia="Times New Roman" w:hAnsi="Calibri" w:cs="Calibri"/>
                <w:color w:val="000000"/>
              </w:rPr>
            </w:pPr>
            <w:r w:rsidRPr="005D41E0">
              <w:rPr>
                <w:rFonts w:ascii="Calibri" w:eastAsia="Times New Roman" w:hAnsi="Calibri" w:cs="Calibri"/>
                <w:color w:val="000000"/>
              </w:rPr>
              <w:t>0.00295</w:t>
            </w:r>
          </w:p>
        </w:tc>
      </w:tr>
      <w:tr w:rsidR="00041ACB" w:rsidRPr="005D41E0" w:rsidTr="00041ACB">
        <w:trPr>
          <w:trHeight w:val="315"/>
        </w:trPr>
        <w:tc>
          <w:tcPr>
            <w:tcW w:w="3147" w:type="dxa"/>
            <w:tcBorders>
              <w:top w:val="nil"/>
              <w:left w:val="single" w:sz="8" w:space="0" w:color="auto"/>
              <w:bottom w:val="single" w:sz="8" w:space="0" w:color="auto"/>
              <w:right w:val="nil"/>
            </w:tcBorders>
            <w:shd w:val="clear" w:color="000000" w:fill="F2F2F2"/>
            <w:noWrap/>
            <w:vAlign w:val="bottom"/>
            <w:hideMark/>
          </w:tcPr>
          <w:p w:rsidR="00041ACB" w:rsidRPr="005D41E0" w:rsidRDefault="00041ACB" w:rsidP="004632CC">
            <w:pPr>
              <w:spacing w:after="0" w:line="360" w:lineRule="auto"/>
              <w:rPr>
                <w:rFonts w:ascii="Calibri" w:eastAsia="Times New Roman" w:hAnsi="Calibri" w:cs="Calibri"/>
                <w:b/>
                <w:bCs/>
                <w:color w:val="000000"/>
              </w:rPr>
            </w:pPr>
            <w:r w:rsidRPr="005D41E0">
              <w:rPr>
                <w:rFonts w:ascii="Calibri" w:eastAsia="Times New Roman" w:hAnsi="Calibri" w:cs="Calibri"/>
                <w:b/>
                <w:bCs/>
                <w:color w:val="000000"/>
              </w:rPr>
              <w:t>Beta of GP</w:t>
            </w:r>
          </w:p>
        </w:tc>
        <w:tc>
          <w:tcPr>
            <w:tcW w:w="266" w:type="dxa"/>
            <w:tcBorders>
              <w:top w:val="nil"/>
              <w:left w:val="nil"/>
              <w:bottom w:val="single" w:sz="8" w:space="0" w:color="auto"/>
              <w:right w:val="nil"/>
            </w:tcBorders>
            <w:shd w:val="clear" w:color="000000" w:fill="F2F2F2"/>
            <w:noWrap/>
            <w:vAlign w:val="bottom"/>
            <w:hideMark/>
          </w:tcPr>
          <w:p w:rsidR="00041ACB" w:rsidRPr="005D41E0" w:rsidRDefault="00041ACB" w:rsidP="004632CC">
            <w:pPr>
              <w:spacing w:after="0" w:line="360" w:lineRule="auto"/>
              <w:rPr>
                <w:rFonts w:ascii="Calibri" w:eastAsia="Times New Roman" w:hAnsi="Calibri" w:cs="Calibri"/>
                <w:color w:val="000000"/>
              </w:rPr>
            </w:pPr>
            <w:r w:rsidRPr="005D41E0">
              <w:rPr>
                <w:rFonts w:ascii="Calibri" w:eastAsia="Times New Roman" w:hAnsi="Calibri" w:cs="Calibri"/>
                <w:color w:val="000000"/>
              </w:rPr>
              <w:t> </w:t>
            </w:r>
          </w:p>
        </w:tc>
        <w:tc>
          <w:tcPr>
            <w:tcW w:w="960" w:type="dxa"/>
            <w:tcBorders>
              <w:top w:val="nil"/>
              <w:left w:val="nil"/>
              <w:bottom w:val="single" w:sz="8" w:space="0" w:color="auto"/>
              <w:right w:val="single" w:sz="8" w:space="0" w:color="auto"/>
            </w:tcBorders>
            <w:shd w:val="clear" w:color="000000" w:fill="F2F2F2"/>
            <w:noWrap/>
            <w:vAlign w:val="bottom"/>
            <w:hideMark/>
          </w:tcPr>
          <w:p w:rsidR="00041ACB" w:rsidRPr="005D41E0" w:rsidRDefault="00041ACB" w:rsidP="004632CC">
            <w:pPr>
              <w:spacing w:after="0" w:line="360" w:lineRule="auto"/>
              <w:jc w:val="right"/>
              <w:rPr>
                <w:rFonts w:ascii="Calibri" w:eastAsia="Times New Roman" w:hAnsi="Calibri" w:cs="Calibri"/>
                <w:color w:val="000000"/>
              </w:rPr>
            </w:pPr>
            <w:r w:rsidRPr="005D41E0">
              <w:rPr>
                <w:rFonts w:ascii="Calibri" w:eastAsia="Times New Roman" w:hAnsi="Calibri" w:cs="Calibri"/>
                <w:color w:val="000000"/>
              </w:rPr>
              <w:t>0.49804</w:t>
            </w:r>
          </w:p>
        </w:tc>
      </w:tr>
    </w:tbl>
    <w:p w:rsidR="00416340" w:rsidRDefault="000271BC" w:rsidP="004632CC">
      <w:pPr>
        <w:pStyle w:val="ListParagraph"/>
        <w:numPr>
          <w:ilvl w:val="0"/>
          <w:numId w:val="16"/>
        </w:numPr>
        <w:spacing w:line="360" w:lineRule="auto"/>
        <w:jc w:val="both"/>
        <w:rPr>
          <w:rFonts w:ascii="Times New Roman" w:hAnsi="Times New Roman" w:cs="Times New Roman"/>
          <w:sz w:val="24"/>
          <w:szCs w:val="24"/>
        </w:rPr>
      </w:pPr>
      <w:r w:rsidRPr="00F706BE">
        <w:rPr>
          <w:rFonts w:ascii="Times New Roman" w:hAnsi="Times New Roman" w:cs="Times New Roman"/>
          <w:b/>
          <w:sz w:val="24"/>
          <w:szCs w:val="24"/>
        </w:rPr>
        <w:t>“Beta” of GP</w:t>
      </w:r>
      <w:r w:rsidR="0019156E">
        <w:rPr>
          <w:rFonts w:ascii="Times New Roman" w:hAnsi="Times New Roman" w:cs="Times New Roman"/>
          <w:b/>
          <w:sz w:val="24"/>
          <w:szCs w:val="24"/>
        </w:rPr>
        <w:t xml:space="preserve"> and the WACC of GP</w:t>
      </w:r>
      <w:r w:rsidRPr="00F706BE">
        <w:rPr>
          <w:rFonts w:ascii="Times New Roman" w:hAnsi="Times New Roman" w:cs="Times New Roman"/>
          <w:sz w:val="24"/>
          <w:szCs w:val="24"/>
        </w:rPr>
        <w:t>:</w:t>
      </w:r>
    </w:p>
    <w:p w:rsidR="00D859BE" w:rsidRPr="00416340" w:rsidRDefault="000271BC" w:rsidP="00416340">
      <w:pPr>
        <w:spacing w:line="360" w:lineRule="auto"/>
        <w:jc w:val="both"/>
        <w:rPr>
          <w:rFonts w:ascii="Times New Roman" w:hAnsi="Times New Roman" w:cs="Times New Roman"/>
          <w:sz w:val="24"/>
          <w:szCs w:val="24"/>
        </w:rPr>
      </w:pPr>
      <w:r w:rsidRPr="00416340">
        <w:rPr>
          <w:rFonts w:ascii="Times New Roman" w:hAnsi="Times New Roman" w:cs="Times New Roman"/>
          <w:sz w:val="24"/>
          <w:szCs w:val="24"/>
        </w:rPr>
        <w:t xml:space="preserve"> For calculation the close price of all the shares</w:t>
      </w:r>
      <w:r w:rsidR="00B44027" w:rsidRPr="00416340">
        <w:rPr>
          <w:rFonts w:ascii="Times New Roman" w:hAnsi="Times New Roman" w:cs="Times New Roman"/>
          <w:sz w:val="24"/>
          <w:szCs w:val="24"/>
        </w:rPr>
        <w:t xml:space="preserve"> enlisted in DSE has been taken </w:t>
      </w:r>
      <w:r w:rsidRPr="00416340">
        <w:rPr>
          <w:rFonts w:ascii="Times New Roman" w:hAnsi="Times New Roman" w:cs="Times New Roman"/>
          <w:sz w:val="24"/>
          <w:szCs w:val="24"/>
        </w:rPr>
        <w:t xml:space="preserve">from 2013 to 2017. The monthly close price has been taken, total 60 months close price has been taken. Then monthly return of each share has been calculated. </w:t>
      </w:r>
      <w:r w:rsidR="00F70C4A" w:rsidRPr="00416340">
        <w:rPr>
          <w:rFonts w:ascii="Times New Roman" w:hAnsi="Times New Roman" w:cs="Times New Roman"/>
          <w:sz w:val="24"/>
          <w:szCs w:val="24"/>
        </w:rPr>
        <w:t>The market portfolio return has been calculating through averaging the monthly return of each share.</w:t>
      </w:r>
      <w:r w:rsidR="008B64C3" w:rsidRPr="00416340">
        <w:rPr>
          <w:rFonts w:ascii="Times New Roman" w:hAnsi="Times New Roman" w:cs="Times New Roman"/>
          <w:sz w:val="24"/>
          <w:szCs w:val="24"/>
        </w:rPr>
        <w:t xml:space="preserve"> The covariance calculated through comparing the monthly return of the market portfolio to the monthly return of GP’s share. Then the beta of GP has been calculated by comparing the covariance to the variance of market portfolio.</w:t>
      </w:r>
      <w:r w:rsidR="00340C11" w:rsidRPr="00416340">
        <w:rPr>
          <w:rFonts w:ascii="Times New Roman" w:hAnsi="Times New Roman" w:cs="Times New Roman"/>
          <w:sz w:val="24"/>
          <w:szCs w:val="24"/>
        </w:rPr>
        <w:t xml:space="preserve"> The covariance of market portfolio and GP is positive which means that the share price of GP move positively with the market portfolio.</w:t>
      </w:r>
      <w:r w:rsidR="0075717A" w:rsidRPr="00416340">
        <w:rPr>
          <w:rFonts w:ascii="Times New Roman" w:hAnsi="Times New Roman" w:cs="Times New Roman"/>
          <w:sz w:val="24"/>
          <w:szCs w:val="24"/>
        </w:rPr>
        <w:t xml:space="preserve"> The beta of GP is less than the beta of market portfolio 1.</w:t>
      </w:r>
      <w:r w:rsidR="005B08F9" w:rsidRPr="00416340">
        <w:rPr>
          <w:rFonts w:ascii="Times New Roman" w:hAnsi="Times New Roman" w:cs="Times New Roman"/>
          <w:sz w:val="24"/>
          <w:szCs w:val="24"/>
        </w:rPr>
        <w:t xml:space="preserve"> That indicates that GP’s share price move</w:t>
      </w:r>
      <w:r w:rsidR="00722194" w:rsidRPr="00416340">
        <w:rPr>
          <w:rFonts w:ascii="Times New Roman" w:hAnsi="Times New Roman" w:cs="Times New Roman"/>
          <w:sz w:val="24"/>
          <w:szCs w:val="24"/>
        </w:rPr>
        <w:t xml:space="preserve"> less than the market portfolio and less </w:t>
      </w:r>
      <w:r w:rsidR="00EC293F" w:rsidRPr="00416340">
        <w:rPr>
          <w:rFonts w:ascii="Times New Roman" w:hAnsi="Times New Roman" w:cs="Times New Roman"/>
          <w:sz w:val="24"/>
          <w:szCs w:val="24"/>
        </w:rPr>
        <w:t>risky</w:t>
      </w:r>
      <w:r w:rsidR="00722194" w:rsidRPr="00416340">
        <w:rPr>
          <w:rFonts w:ascii="Times New Roman" w:hAnsi="Times New Roman" w:cs="Times New Roman"/>
          <w:sz w:val="24"/>
          <w:szCs w:val="24"/>
        </w:rPr>
        <w:t>.</w:t>
      </w:r>
    </w:p>
    <w:tbl>
      <w:tblPr>
        <w:tblpPr w:leftFromText="180" w:rightFromText="180" w:vertAnchor="text" w:tblpY="1"/>
        <w:tblOverlap w:val="never"/>
        <w:tblW w:w="3549" w:type="dxa"/>
        <w:shd w:val="clear" w:color="auto" w:fill="F2F2F2" w:themeFill="background1" w:themeFillShade="F2"/>
        <w:tblLook w:val="04A0" w:firstRow="1" w:lastRow="0" w:firstColumn="1" w:lastColumn="0" w:noHBand="0" w:noVBand="1"/>
      </w:tblPr>
      <w:tblGrid>
        <w:gridCol w:w="2206"/>
        <w:gridCol w:w="1343"/>
      </w:tblGrid>
      <w:tr w:rsidR="002E55A6" w:rsidRPr="002E55A6" w:rsidTr="00EE3B76">
        <w:trPr>
          <w:trHeight w:val="276"/>
        </w:trPr>
        <w:tc>
          <w:tcPr>
            <w:tcW w:w="2206" w:type="dxa"/>
            <w:tcBorders>
              <w:top w:val="single" w:sz="8" w:space="0" w:color="auto"/>
              <w:left w:val="single" w:sz="8" w:space="0" w:color="auto"/>
              <w:bottom w:val="single" w:sz="8" w:space="0" w:color="auto"/>
              <w:right w:val="nil"/>
            </w:tcBorders>
            <w:shd w:val="clear" w:color="auto" w:fill="F2F2F2" w:themeFill="background1" w:themeFillShade="F2"/>
            <w:noWrap/>
            <w:vAlign w:val="bottom"/>
            <w:hideMark/>
          </w:tcPr>
          <w:p w:rsidR="002E55A6" w:rsidRPr="002E55A6" w:rsidRDefault="002E55A6" w:rsidP="00EE3B76">
            <w:pPr>
              <w:spacing w:after="0" w:line="276" w:lineRule="auto"/>
              <w:jc w:val="center"/>
              <w:rPr>
                <w:rFonts w:ascii="Calibri" w:eastAsia="Times New Roman" w:hAnsi="Calibri" w:cs="Calibri"/>
                <w:b/>
                <w:bCs/>
                <w:color w:val="000000"/>
              </w:rPr>
            </w:pPr>
            <w:r w:rsidRPr="002E55A6">
              <w:rPr>
                <w:rFonts w:ascii="Calibri" w:eastAsia="Times New Roman" w:hAnsi="Calibri" w:cs="Calibri"/>
                <w:b/>
                <w:bCs/>
                <w:color w:val="000000"/>
              </w:rPr>
              <w:t>Cost of Equity:</w:t>
            </w:r>
          </w:p>
        </w:tc>
        <w:tc>
          <w:tcPr>
            <w:tcW w:w="1343" w:type="dxa"/>
            <w:tcBorders>
              <w:top w:val="single" w:sz="8" w:space="0" w:color="auto"/>
              <w:left w:val="nil"/>
              <w:bottom w:val="single" w:sz="8" w:space="0" w:color="auto"/>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EE3B76">
        <w:trPr>
          <w:trHeight w:val="263"/>
        </w:trPr>
        <w:tc>
          <w:tcPr>
            <w:tcW w:w="2206" w:type="dxa"/>
            <w:tcBorders>
              <w:top w:val="nil"/>
              <w:left w:val="single" w:sz="8" w:space="0" w:color="auto"/>
              <w:bottom w:val="nil"/>
              <w:right w:val="nil"/>
            </w:tcBorders>
            <w:shd w:val="clear" w:color="auto" w:fill="F2F2F2" w:themeFill="background1" w:themeFillShade="F2"/>
            <w:noWrap/>
            <w:vAlign w:val="bottom"/>
            <w:hideMark/>
          </w:tcPr>
          <w:p w:rsidR="002E55A6" w:rsidRPr="00664F0F" w:rsidRDefault="002E55A6" w:rsidP="00EE3B76">
            <w:pPr>
              <w:spacing w:after="0" w:line="276" w:lineRule="auto"/>
              <w:rPr>
                <w:rFonts w:ascii="Calibri" w:eastAsia="Times New Roman" w:hAnsi="Calibri" w:cs="Calibri"/>
                <w:color w:val="000000"/>
              </w:rPr>
            </w:pPr>
            <w:r w:rsidRPr="00664F0F">
              <w:rPr>
                <w:rFonts w:ascii="Calibri" w:eastAsia="Times New Roman" w:hAnsi="Calibri" w:cs="Calibri"/>
                <w:color w:val="000000"/>
              </w:rPr>
              <w:t>Risk free rate</w:t>
            </w:r>
          </w:p>
        </w:tc>
        <w:tc>
          <w:tcPr>
            <w:tcW w:w="1343"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7.63%</w:t>
            </w:r>
          </w:p>
        </w:tc>
      </w:tr>
      <w:tr w:rsidR="002E55A6" w:rsidRPr="002E55A6" w:rsidTr="00EE3B76">
        <w:trPr>
          <w:trHeight w:val="263"/>
        </w:trPr>
        <w:tc>
          <w:tcPr>
            <w:tcW w:w="2206" w:type="dxa"/>
            <w:tcBorders>
              <w:top w:val="nil"/>
              <w:left w:val="single" w:sz="8" w:space="0" w:color="auto"/>
              <w:bottom w:val="nil"/>
              <w:right w:val="nil"/>
            </w:tcBorders>
            <w:shd w:val="clear" w:color="auto" w:fill="F2F2F2" w:themeFill="background1" w:themeFillShade="F2"/>
            <w:noWrap/>
            <w:vAlign w:val="bottom"/>
            <w:hideMark/>
          </w:tcPr>
          <w:p w:rsidR="002E55A6" w:rsidRPr="00664F0F" w:rsidRDefault="002E55A6" w:rsidP="00EE3B76">
            <w:pPr>
              <w:spacing w:after="0" w:line="276" w:lineRule="auto"/>
              <w:rPr>
                <w:rFonts w:ascii="Calibri" w:eastAsia="Times New Roman" w:hAnsi="Calibri" w:cs="Calibri"/>
                <w:color w:val="000000"/>
              </w:rPr>
            </w:pPr>
            <w:r w:rsidRPr="00664F0F">
              <w:rPr>
                <w:rFonts w:ascii="Calibri" w:eastAsia="Times New Roman" w:hAnsi="Calibri" w:cs="Calibri"/>
                <w:color w:val="000000"/>
              </w:rPr>
              <w:t>Country risk premium</w:t>
            </w:r>
          </w:p>
        </w:tc>
        <w:tc>
          <w:tcPr>
            <w:tcW w:w="1343"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5.00%</w:t>
            </w:r>
          </w:p>
        </w:tc>
      </w:tr>
      <w:tr w:rsidR="002E55A6" w:rsidRPr="002E55A6" w:rsidTr="00EE3B76">
        <w:trPr>
          <w:trHeight w:val="263"/>
        </w:trPr>
        <w:tc>
          <w:tcPr>
            <w:tcW w:w="2206" w:type="dxa"/>
            <w:tcBorders>
              <w:top w:val="nil"/>
              <w:left w:val="single" w:sz="8" w:space="0" w:color="auto"/>
              <w:bottom w:val="nil"/>
              <w:right w:val="nil"/>
            </w:tcBorders>
            <w:shd w:val="clear" w:color="auto" w:fill="F2F2F2" w:themeFill="background1" w:themeFillShade="F2"/>
            <w:noWrap/>
            <w:vAlign w:val="bottom"/>
            <w:hideMark/>
          </w:tcPr>
          <w:p w:rsidR="002E55A6" w:rsidRPr="00664F0F" w:rsidRDefault="002E55A6" w:rsidP="00EE3B76">
            <w:pPr>
              <w:spacing w:after="0" w:line="276" w:lineRule="auto"/>
              <w:rPr>
                <w:rFonts w:ascii="Calibri" w:eastAsia="Times New Roman" w:hAnsi="Calibri" w:cs="Calibri"/>
                <w:color w:val="000000"/>
              </w:rPr>
            </w:pPr>
            <w:r w:rsidRPr="00664F0F">
              <w:rPr>
                <w:rFonts w:ascii="Calibri" w:eastAsia="Times New Roman" w:hAnsi="Calibri" w:cs="Calibri"/>
                <w:color w:val="000000"/>
              </w:rPr>
              <w:t>Mature Market Equity Risk Premium</w:t>
            </w:r>
          </w:p>
        </w:tc>
        <w:tc>
          <w:tcPr>
            <w:tcW w:w="1343"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5.96%</w:t>
            </w:r>
          </w:p>
        </w:tc>
      </w:tr>
      <w:tr w:rsidR="002E55A6" w:rsidRPr="002E55A6" w:rsidTr="00EE3B76">
        <w:trPr>
          <w:trHeight w:val="263"/>
        </w:trPr>
        <w:tc>
          <w:tcPr>
            <w:tcW w:w="2206" w:type="dxa"/>
            <w:tcBorders>
              <w:top w:val="nil"/>
              <w:left w:val="single" w:sz="8" w:space="0" w:color="auto"/>
              <w:bottom w:val="nil"/>
              <w:right w:val="nil"/>
            </w:tcBorders>
            <w:shd w:val="clear" w:color="auto" w:fill="F2F2F2" w:themeFill="background1" w:themeFillShade="F2"/>
            <w:noWrap/>
            <w:vAlign w:val="bottom"/>
            <w:hideMark/>
          </w:tcPr>
          <w:p w:rsidR="002E55A6" w:rsidRPr="00664F0F" w:rsidRDefault="002E55A6" w:rsidP="00EE3B76">
            <w:pPr>
              <w:spacing w:after="0" w:line="276" w:lineRule="auto"/>
              <w:rPr>
                <w:rFonts w:ascii="Calibri" w:eastAsia="Times New Roman" w:hAnsi="Calibri" w:cs="Calibri"/>
                <w:color w:val="000000"/>
              </w:rPr>
            </w:pPr>
            <w:r w:rsidRPr="00664F0F">
              <w:rPr>
                <w:rFonts w:ascii="Calibri" w:eastAsia="Times New Roman" w:hAnsi="Calibri" w:cs="Calibri"/>
                <w:color w:val="000000"/>
              </w:rPr>
              <w:t>Equity risk premium(ERP)</w:t>
            </w:r>
          </w:p>
        </w:tc>
        <w:tc>
          <w:tcPr>
            <w:tcW w:w="1343"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10.96%</w:t>
            </w:r>
          </w:p>
        </w:tc>
      </w:tr>
      <w:tr w:rsidR="002E55A6" w:rsidRPr="002E55A6" w:rsidTr="00EE3B76">
        <w:trPr>
          <w:trHeight w:val="263"/>
        </w:trPr>
        <w:tc>
          <w:tcPr>
            <w:tcW w:w="2206" w:type="dxa"/>
            <w:tcBorders>
              <w:top w:val="nil"/>
              <w:left w:val="single" w:sz="8" w:space="0" w:color="auto"/>
              <w:bottom w:val="nil"/>
              <w:right w:val="nil"/>
            </w:tcBorders>
            <w:shd w:val="clear" w:color="auto" w:fill="F2F2F2" w:themeFill="background1" w:themeFillShade="F2"/>
            <w:noWrap/>
            <w:vAlign w:val="bottom"/>
            <w:hideMark/>
          </w:tcPr>
          <w:p w:rsidR="002E55A6" w:rsidRPr="00664F0F" w:rsidRDefault="002E55A6" w:rsidP="00EE3B76">
            <w:pPr>
              <w:spacing w:after="0" w:line="276" w:lineRule="auto"/>
              <w:rPr>
                <w:rFonts w:ascii="Calibri" w:eastAsia="Times New Roman" w:hAnsi="Calibri" w:cs="Calibri"/>
                <w:color w:val="000000"/>
              </w:rPr>
            </w:pPr>
            <w:r w:rsidRPr="00664F0F">
              <w:rPr>
                <w:rFonts w:ascii="Calibri" w:eastAsia="Times New Roman" w:hAnsi="Calibri" w:cs="Calibri"/>
                <w:color w:val="000000"/>
              </w:rPr>
              <w:t> </w:t>
            </w:r>
          </w:p>
        </w:tc>
        <w:tc>
          <w:tcPr>
            <w:tcW w:w="1343"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EE3B76">
        <w:trPr>
          <w:trHeight w:val="276"/>
        </w:trPr>
        <w:tc>
          <w:tcPr>
            <w:tcW w:w="2206" w:type="dxa"/>
            <w:tcBorders>
              <w:top w:val="nil"/>
              <w:left w:val="single" w:sz="8" w:space="0" w:color="auto"/>
              <w:bottom w:val="single" w:sz="8" w:space="0" w:color="auto"/>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b/>
                <w:bCs/>
                <w:color w:val="000000"/>
              </w:rPr>
            </w:pPr>
            <w:r w:rsidRPr="002E55A6">
              <w:rPr>
                <w:rFonts w:ascii="Calibri" w:eastAsia="Times New Roman" w:hAnsi="Calibri" w:cs="Calibri"/>
                <w:b/>
                <w:bCs/>
                <w:color w:val="000000"/>
              </w:rPr>
              <w:t>Cost of Equity (Ke)</w:t>
            </w:r>
          </w:p>
        </w:tc>
        <w:tc>
          <w:tcPr>
            <w:tcW w:w="1343" w:type="dxa"/>
            <w:tcBorders>
              <w:top w:val="nil"/>
              <w:left w:val="nil"/>
              <w:bottom w:val="single" w:sz="8" w:space="0" w:color="auto"/>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b/>
                <w:bCs/>
                <w:color w:val="000000"/>
              </w:rPr>
            </w:pPr>
            <w:r w:rsidRPr="002E55A6">
              <w:rPr>
                <w:rFonts w:ascii="Calibri" w:eastAsia="Times New Roman" w:hAnsi="Calibri" w:cs="Calibri"/>
                <w:b/>
                <w:bCs/>
                <w:color w:val="000000"/>
              </w:rPr>
              <w:t>13.09%</w:t>
            </w:r>
          </w:p>
        </w:tc>
      </w:tr>
    </w:tbl>
    <w:tbl>
      <w:tblPr>
        <w:tblW w:w="5196" w:type="dxa"/>
        <w:shd w:val="clear" w:color="auto" w:fill="F2F2F2" w:themeFill="background1" w:themeFillShade="F2"/>
        <w:tblLook w:val="04A0" w:firstRow="1" w:lastRow="0" w:firstColumn="1" w:lastColumn="0" w:noHBand="0" w:noVBand="1"/>
      </w:tblPr>
      <w:tblGrid>
        <w:gridCol w:w="2797"/>
        <w:gridCol w:w="1703"/>
        <w:gridCol w:w="879"/>
      </w:tblGrid>
      <w:tr w:rsidR="002E55A6" w:rsidRPr="002E55A6" w:rsidTr="00664F0F">
        <w:trPr>
          <w:trHeight w:val="275"/>
        </w:trPr>
        <w:tc>
          <w:tcPr>
            <w:tcW w:w="2797" w:type="dxa"/>
            <w:tcBorders>
              <w:top w:val="single" w:sz="8" w:space="0" w:color="auto"/>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jc w:val="center"/>
              <w:rPr>
                <w:rFonts w:ascii="Calibri" w:eastAsia="Times New Roman" w:hAnsi="Calibri" w:cs="Calibri"/>
                <w:b/>
                <w:bCs/>
                <w:color w:val="000000"/>
              </w:rPr>
            </w:pPr>
            <w:r w:rsidRPr="002E55A6">
              <w:rPr>
                <w:rFonts w:ascii="Calibri" w:eastAsia="Times New Roman" w:hAnsi="Calibri" w:cs="Calibri"/>
                <w:b/>
                <w:bCs/>
                <w:color w:val="000000"/>
              </w:rPr>
              <w:t>WACC</w:t>
            </w:r>
          </w:p>
        </w:tc>
        <w:tc>
          <w:tcPr>
            <w:tcW w:w="1703" w:type="dxa"/>
            <w:tcBorders>
              <w:top w:val="single" w:sz="8" w:space="0" w:color="auto"/>
              <w:left w:val="nil"/>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c>
          <w:tcPr>
            <w:tcW w:w="696" w:type="dxa"/>
            <w:tcBorders>
              <w:top w:val="single" w:sz="8" w:space="0" w:color="auto"/>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664F0F">
        <w:trPr>
          <w:trHeight w:val="275"/>
        </w:trPr>
        <w:tc>
          <w:tcPr>
            <w:tcW w:w="2797" w:type="dxa"/>
            <w:tcBorders>
              <w:top w:val="single" w:sz="8" w:space="0" w:color="auto"/>
              <w:left w:val="single" w:sz="8" w:space="0" w:color="auto"/>
              <w:bottom w:val="single" w:sz="8" w:space="0" w:color="auto"/>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b/>
                <w:bCs/>
                <w:color w:val="000000"/>
              </w:rPr>
            </w:pPr>
            <w:r w:rsidRPr="002E55A6">
              <w:rPr>
                <w:rFonts w:ascii="Calibri" w:eastAsia="Times New Roman" w:hAnsi="Calibri" w:cs="Calibri"/>
                <w:b/>
                <w:bCs/>
                <w:color w:val="000000"/>
              </w:rPr>
              <w:t xml:space="preserve">Particulars </w:t>
            </w:r>
          </w:p>
        </w:tc>
        <w:tc>
          <w:tcPr>
            <w:tcW w:w="1703" w:type="dxa"/>
            <w:tcBorders>
              <w:top w:val="single" w:sz="8" w:space="0" w:color="auto"/>
              <w:left w:val="nil"/>
              <w:bottom w:val="single" w:sz="8" w:space="0" w:color="auto"/>
              <w:right w:val="nil"/>
            </w:tcBorders>
            <w:shd w:val="clear" w:color="auto" w:fill="F2F2F2" w:themeFill="background1" w:themeFillShade="F2"/>
            <w:noWrap/>
            <w:vAlign w:val="bottom"/>
            <w:hideMark/>
          </w:tcPr>
          <w:p w:rsidR="002E55A6" w:rsidRPr="002E55A6" w:rsidRDefault="002E55A6" w:rsidP="00BC04BE">
            <w:pPr>
              <w:spacing w:after="0" w:line="276" w:lineRule="auto"/>
              <w:jc w:val="center"/>
              <w:rPr>
                <w:rFonts w:ascii="Calibri" w:eastAsia="Times New Roman" w:hAnsi="Calibri" w:cs="Calibri"/>
                <w:b/>
                <w:bCs/>
                <w:color w:val="000000"/>
              </w:rPr>
            </w:pPr>
            <w:r w:rsidRPr="002E55A6">
              <w:rPr>
                <w:rFonts w:ascii="Calibri" w:eastAsia="Times New Roman" w:hAnsi="Calibri" w:cs="Calibri"/>
                <w:b/>
                <w:bCs/>
                <w:color w:val="000000"/>
              </w:rPr>
              <w:t>BDT</w:t>
            </w:r>
            <w:r w:rsidR="00BC04BE">
              <w:rPr>
                <w:rFonts w:ascii="Calibri" w:eastAsia="Times New Roman" w:hAnsi="Calibri" w:cs="Calibri"/>
                <w:b/>
                <w:bCs/>
                <w:color w:val="000000"/>
              </w:rPr>
              <w:t xml:space="preserve"> (million)</w:t>
            </w:r>
          </w:p>
        </w:tc>
        <w:tc>
          <w:tcPr>
            <w:tcW w:w="696" w:type="dxa"/>
            <w:tcBorders>
              <w:top w:val="single" w:sz="8" w:space="0" w:color="auto"/>
              <w:left w:val="nil"/>
              <w:bottom w:val="single" w:sz="8" w:space="0" w:color="auto"/>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b/>
                <w:bCs/>
                <w:color w:val="000000"/>
              </w:rPr>
            </w:pPr>
            <w:r w:rsidRPr="002E55A6">
              <w:rPr>
                <w:rFonts w:ascii="Calibri" w:eastAsia="Times New Roman" w:hAnsi="Calibri" w:cs="Calibri"/>
                <w:b/>
                <w:bCs/>
                <w:color w:val="000000"/>
              </w:rPr>
              <w:t>Weight</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Equity</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693A04" w:rsidP="00BC04BE">
            <w:pPr>
              <w:spacing w:after="0" w:line="276" w:lineRule="auto"/>
              <w:jc w:val="center"/>
              <w:rPr>
                <w:rFonts w:ascii="Calibri" w:eastAsia="Times New Roman" w:hAnsi="Calibri" w:cs="Calibri"/>
                <w:color w:val="000000"/>
              </w:rPr>
            </w:pPr>
            <w:r>
              <w:rPr>
                <w:rFonts w:ascii="Calibri" w:eastAsia="Times New Roman" w:hAnsi="Calibri" w:cs="Calibri"/>
                <w:color w:val="000000"/>
              </w:rPr>
              <w:t>35121.45</w:t>
            </w: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72%</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Debt</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693A04" w:rsidP="00BC04BE">
            <w:pPr>
              <w:spacing w:after="0" w:line="276" w:lineRule="auto"/>
              <w:jc w:val="center"/>
              <w:rPr>
                <w:rFonts w:ascii="Calibri" w:eastAsia="Times New Roman" w:hAnsi="Calibri" w:cs="Calibri"/>
                <w:color w:val="000000"/>
              </w:rPr>
            </w:pPr>
            <w:r>
              <w:rPr>
                <w:rFonts w:ascii="Calibri" w:eastAsia="Times New Roman" w:hAnsi="Calibri" w:cs="Calibri"/>
                <w:color w:val="000000"/>
              </w:rPr>
              <w:t>13469.48</w:t>
            </w: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jc w:val="right"/>
              <w:rPr>
                <w:rFonts w:ascii="Calibri" w:eastAsia="Times New Roman" w:hAnsi="Calibri" w:cs="Calibri"/>
                <w:color w:val="000000"/>
              </w:rPr>
            </w:pPr>
            <w:r w:rsidRPr="002E55A6">
              <w:rPr>
                <w:rFonts w:ascii="Calibri" w:eastAsia="Times New Roman" w:hAnsi="Calibri" w:cs="Calibri"/>
                <w:color w:val="000000"/>
              </w:rPr>
              <w:t>28%</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Total</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693A04" w:rsidP="00BC04BE">
            <w:pPr>
              <w:spacing w:after="0" w:line="276" w:lineRule="auto"/>
              <w:jc w:val="center"/>
              <w:rPr>
                <w:rFonts w:ascii="Calibri" w:eastAsia="Times New Roman" w:hAnsi="Calibri" w:cs="Calibri"/>
                <w:color w:val="000000"/>
              </w:rPr>
            </w:pPr>
            <w:r>
              <w:rPr>
                <w:rFonts w:ascii="Calibri" w:eastAsia="Times New Roman" w:hAnsi="Calibri" w:cs="Calibri"/>
                <w:color w:val="000000"/>
              </w:rPr>
              <w:t>48590.94</w:t>
            </w: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Cost of debt</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2E55A6" w:rsidP="00BC04BE">
            <w:pPr>
              <w:spacing w:after="0" w:line="276" w:lineRule="auto"/>
              <w:jc w:val="center"/>
              <w:rPr>
                <w:rFonts w:ascii="Calibri" w:eastAsia="Times New Roman" w:hAnsi="Calibri" w:cs="Calibri"/>
                <w:color w:val="000000"/>
              </w:rPr>
            </w:pPr>
            <w:r w:rsidRPr="002E55A6">
              <w:rPr>
                <w:rFonts w:ascii="Calibri" w:eastAsia="Times New Roman" w:hAnsi="Calibri" w:cs="Calibri"/>
                <w:color w:val="000000"/>
              </w:rPr>
              <w:t>10.23%</w:t>
            </w: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Tax rate</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2E55A6" w:rsidP="00BC04BE">
            <w:pPr>
              <w:spacing w:after="0" w:line="276" w:lineRule="auto"/>
              <w:jc w:val="center"/>
              <w:rPr>
                <w:rFonts w:ascii="Calibri" w:eastAsia="Times New Roman" w:hAnsi="Calibri" w:cs="Calibri"/>
                <w:color w:val="000000"/>
              </w:rPr>
            </w:pPr>
            <w:r w:rsidRPr="002E55A6">
              <w:rPr>
                <w:rFonts w:ascii="Calibri" w:eastAsia="Times New Roman" w:hAnsi="Calibri" w:cs="Calibri"/>
                <w:color w:val="000000"/>
              </w:rPr>
              <w:t>40%</w:t>
            </w: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664F0F">
        <w:trPr>
          <w:trHeight w:val="261"/>
        </w:trPr>
        <w:tc>
          <w:tcPr>
            <w:tcW w:w="2797" w:type="dxa"/>
            <w:tcBorders>
              <w:top w:val="nil"/>
              <w:left w:val="single" w:sz="8" w:space="0" w:color="auto"/>
              <w:bottom w:val="nil"/>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c>
          <w:tcPr>
            <w:tcW w:w="1703" w:type="dxa"/>
            <w:tcBorders>
              <w:top w:val="nil"/>
              <w:left w:val="nil"/>
              <w:bottom w:val="nil"/>
              <w:right w:val="nil"/>
            </w:tcBorders>
            <w:shd w:val="clear" w:color="auto" w:fill="F2F2F2" w:themeFill="background1" w:themeFillShade="F2"/>
            <w:noWrap/>
            <w:vAlign w:val="bottom"/>
            <w:hideMark/>
          </w:tcPr>
          <w:p w:rsidR="002E55A6" w:rsidRPr="002E55A6" w:rsidRDefault="002E55A6" w:rsidP="00BC04BE">
            <w:pPr>
              <w:spacing w:after="0" w:line="276" w:lineRule="auto"/>
              <w:jc w:val="center"/>
              <w:rPr>
                <w:rFonts w:ascii="Calibri" w:eastAsia="Times New Roman" w:hAnsi="Calibri" w:cs="Calibri"/>
                <w:color w:val="000000"/>
              </w:rPr>
            </w:pPr>
          </w:p>
        </w:tc>
        <w:tc>
          <w:tcPr>
            <w:tcW w:w="696" w:type="dxa"/>
            <w:tcBorders>
              <w:top w:val="nil"/>
              <w:left w:val="nil"/>
              <w:bottom w:val="nil"/>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color w:val="000000"/>
              </w:rPr>
            </w:pPr>
            <w:r w:rsidRPr="002E55A6">
              <w:rPr>
                <w:rFonts w:ascii="Calibri" w:eastAsia="Times New Roman" w:hAnsi="Calibri" w:cs="Calibri"/>
                <w:color w:val="000000"/>
              </w:rPr>
              <w:t> </w:t>
            </w:r>
          </w:p>
        </w:tc>
      </w:tr>
      <w:tr w:rsidR="002E55A6" w:rsidRPr="002E55A6" w:rsidTr="00664F0F">
        <w:trPr>
          <w:trHeight w:val="275"/>
        </w:trPr>
        <w:tc>
          <w:tcPr>
            <w:tcW w:w="2797" w:type="dxa"/>
            <w:tcBorders>
              <w:top w:val="nil"/>
              <w:left w:val="single" w:sz="8" w:space="0" w:color="auto"/>
              <w:bottom w:val="single" w:sz="8" w:space="0" w:color="auto"/>
              <w:right w:val="nil"/>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b/>
                <w:bCs/>
                <w:color w:val="000000"/>
              </w:rPr>
            </w:pPr>
            <w:r w:rsidRPr="002E55A6">
              <w:rPr>
                <w:rFonts w:ascii="Calibri" w:eastAsia="Times New Roman" w:hAnsi="Calibri" w:cs="Calibri"/>
                <w:b/>
                <w:bCs/>
                <w:color w:val="000000"/>
              </w:rPr>
              <w:t>WACC</w:t>
            </w:r>
          </w:p>
        </w:tc>
        <w:tc>
          <w:tcPr>
            <w:tcW w:w="1703" w:type="dxa"/>
            <w:tcBorders>
              <w:top w:val="nil"/>
              <w:left w:val="nil"/>
              <w:bottom w:val="single" w:sz="8" w:space="0" w:color="auto"/>
              <w:right w:val="nil"/>
            </w:tcBorders>
            <w:shd w:val="clear" w:color="auto" w:fill="F2F2F2" w:themeFill="background1" w:themeFillShade="F2"/>
            <w:noWrap/>
            <w:vAlign w:val="bottom"/>
            <w:hideMark/>
          </w:tcPr>
          <w:p w:rsidR="002E55A6" w:rsidRPr="002E55A6" w:rsidRDefault="002E55A6" w:rsidP="00BC04BE">
            <w:pPr>
              <w:spacing w:after="0" w:line="276" w:lineRule="auto"/>
              <w:jc w:val="center"/>
              <w:rPr>
                <w:rFonts w:ascii="Calibri" w:eastAsia="Times New Roman" w:hAnsi="Calibri" w:cs="Calibri"/>
                <w:b/>
                <w:bCs/>
                <w:color w:val="000000"/>
              </w:rPr>
            </w:pPr>
            <w:r w:rsidRPr="002E55A6">
              <w:rPr>
                <w:rFonts w:ascii="Calibri" w:eastAsia="Times New Roman" w:hAnsi="Calibri" w:cs="Calibri"/>
                <w:b/>
                <w:bCs/>
                <w:color w:val="000000"/>
              </w:rPr>
              <w:t>11.16%</w:t>
            </w:r>
          </w:p>
        </w:tc>
        <w:tc>
          <w:tcPr>
            <w:tcW w:w="696" w:type="dxa"/>
            <w:tcBorders>
              <w:top w:val="nil"/>
              <w:left w:val="nil"/>
              <w:bottom w:val="single" w:sz="8" w:space="0" w:color="auto"/>
              <w:right w:val="single" w:sz="8" w:space="0" w:color="auto"/>
            </w:tcBorders>
            <w:shd w:val="clear" w:color="auto" w:fill="F2F2F2" w:themeFill="background1" w:themeFillShade="F2"/>
            <w:noWrap/>
            <w:vAlign w:val="bottom"/>
            <w:hideMark/>
          </w:tcPr>
          <w:p w:rsidR="002E55A6" w:rsidRPr="002E55A6" w:rsidRDefault="002E55A6" w:rsidP="00EE3B76">
            <w:pPr>
              <w:spacing w:after="0" w:line="276" w:lineRule="auto"/>
              <w:rPr>
                <w:rFonts w:ascii="Calibri" w:eastAsia="Times New Roman" w:hAnsi="Calibri" w:cs="Calibri"/>
                <w:b/>
                <w:bCs/>
                <w:color w:val="000000"/>
              </w:rPr>
            </w:pPr>
            <w:r w:rsidRPr="002E55A6">
              <w:rPr>
                <w:rFonts w:ascii="Calibri" w:eastAsia="Times New Roman" w:hAnsi="Calibri" w:cs="Calibri"/>
                <w:b/>
                <w:bCs/>
                <w:color w:val="000000"/>
              </w:rPr>
              <w:t> </w:t>
            </w:r>
          </w:p>
        </w:tc>
      </w:tr>
    </w:tbl>
    <w:p w:rsidR="002E55A6" w:rsidRDefault="002E55A6" w:rsidP="009273BF">
      <w:pPr>
        <w:spacing w:line="360" w:lineRule="auto"/>
        <w:jc w:val="both"/>
        <w:rPr>
          <w:rFonts w:ascii="Times New Roman" w:hAnsi="Times New Roman" w:cs="Times New Roman"/>
          <w:sz w:val="24"/>
          <w:szCs w:val="24"/>
        </w:rPr>
      </w:pPr>
    </w:p>
    <w:p w:rsidR="0019156E" w:rsidRDefault="0019156E" w:rsidP="009273BF">
      <w:pPr>
        <w:spacing w:line="360" w:lineRule="auto"/>
        <w:jc w:val="both"/>
        <w:rPr>
          <w:rFonts w:ascii="Times New Roman" w:hAnsi="Times New Roman" w:cs="Times New Roman"/>
          <w:sz w:val="24"/>
          <w:szCs w:val="24"/>
        </w:rPr>
      </w:pPr>
      <w:r>
        <w:rPr>
          <w:rFonts w:ascii="Times New Roman" w:hAnsi="Times New Roman" w:cs="Times New Roman"/>
          <w:sz w:val="24"/>
          <w:szCs w:val="24"/>
        </w:rPr>
        <w:t>For the calculation of cost of equity the risk free rate which is 7.63% is take from the Bangladesh Bank’s website. The rate is the 10 years T-Bond’s cut of yield</w:t>
      </w:r>
      <w:r w:rsidR="00DB065F">
        <w:rPr>
          <w:rFonts w:ascii="Times New Roman" w:hAnsi="Times New Roman" w:cs="Times New Roman"/>
          <w:sz w:val="24"/>
          <w:szCs w:val="24"/>
        </w:rPr>
        <w:t xml:space="preserve"> of January 2019</w:t>
      </w:r>
      <w:r w:rsidR="008F010B">
        <w:rPr>
          <w:rFonts w:ascii="Times New Roman" w:hAnsi="Times New Roman" w:cs="Times New Roman"/>
          <w:sz w:val="24"/>
          <w:szCs w:val="24"/>
        </w:rPr>
        <w:t xml:space="preserve">. </w:t>
      </w:r>
      <w:r w:rsidR="009121A2">
        <w:rPr>
          <w:rFonts w:ascii="Times New Roman" w:hAnsi="Times New Roman" w:cs="Times New Roman"/>
          <w:sz w:val="24"/>
          <w:szCs w:val="24"/>
        </w:rPr>
        <w:t>The equity risk premium 10.96%</w:t>
      </w:r>
      <w:r w:rsidR="00B54933">
        <w:rPr>
          <w:rFonts w:ascii="Times New Roman" w:hAnsi="Times New Roman" w:cs="Times New Roman"/>
          <w:sz w:val="24"/>
          <w:szCs w:val="24"/>
        </w:rPr>
        <w:t xml:space="preserve"> of 2019</w:t>
      </w:r>
      <w:r w:rsidR="009121A2">
        <w:rPr>
          <w:rFonts w:ascii="Times New Roman" w:hAnsi="Times New Roman" w:cs="Times New Roman"/>
          <w:sz w:val="24"/>
          <w:szCs w:val="24"/>
        </w:rPr>
        <w:t xml:space="preserve"> is also taken from a data in the website, the link of the website is given in the references. Then using the risk free rate, equity risk premium and Beta, the cost of equity is calculated. </w:t>
      </w:r>
    </w:p>
    <w:p w:rsidR="00760F98" w:rsidRDefault="0068447F" w:rsidP="009273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calculating the WACC, the value of equity and debt is taken from the GP’s 2017 Balance Sheet. Cost of debt is calculated by dividing the </w:t>
      </w:r>
      <w:r w:rsidRPr="0068447F">
        <w:rPr>
          <w:rFonts w:ascii="Times New Roman" w:hAnsi="Times New Roman" w:cs="Times New Roman"/>
          <w:sz w:val="24"/>
          <w:szCs w:val="24"/>
        </w:rPr>
        <w:t>interest expense</w:t>
      </w:r>
      <w:r>
        <w:rPr>
          <w:rFonts w:ascii="Times New Roman" w:hAnsi="Times New Roman" w:cs="Times New Roman"/>
          <w:sz w:val="24"/>
          <w:szCs w:val="24"/>
        </w:rPr>
        <w:t xml:space="preserve"> of the 2018 with </w:t>
      </w:r>
      <w:r w:rsidRPr="0068447F">
        <w:rPr>
          <w:rFonts w:ascii="Times New Roman" w:hAnsi="Times New Roman" w:cs="Times New Roman"/>
          <w:sz w:val="24"/>
          <w:szCs w:val="24"/>
        </w:rPr>
        <w:t>the total debt</w:t>
      </w:r>
      <w:r>
        <w:rPr>
          <w:rFonts w:ascii="Times New Roman" w:hAnsi="Times New Roman" w:cs="Times New Roman"/>
          <w:sz w:val="24"/>
          <w:szCs w:val="24"/>
        </w:rPr>
        <w:t xml:space="preserve"> of 2018 which is forecasted. </w:t>
      </w:r>
      <w:r w:rsidR="006B7F11">
        <w:rPr>
          <w:rFonts w:ascii="Times New Roman" w:hAnsi="Times New Roman" w:cs="Times New Roman"/>
          <w:sz w:val="24"/>
          <w:szCs w:val="24"/>
        </w:rPr>
        <w:t>Based on the above data the WACC is calculated.</w:t>
      </w:r>
    </w:p>
    <w:p w:rsidR="009121A2" w:rsidRDefault="009121A2" w:rsidP="009273BF">
      <w:pPr>
        <w:spacing w:line="360" w:lineRule="auto"/>
        <w:jc w:val="both"/>
        <w:rPr>
          <w:rFonts w:ascii="Times New Roman" w:hAnsi="Times New Roman" w:cs="Times New Roman"/>
          <w:sz w:val="24"/>
          <w:szCs w:val="24"/>
        </w:rPr>
      </w:pPr>
    </w:p>
    <w:p w:rsidR="0019156E" w:rsidRDefault="00836324" w:rsidP="009273BF">
      <w:pPr>
        <w:spacing w:line="360" w:lineRule="auto"/>
        <w:jc w:val="both"/>
        <w:rPr>
          <w:rFonts w:ascii="Times New Roman" w:hAnsi="Times New Roman" w:cs="Times New Roman"/>
          <w:sz w:val="24"/>
          <w:szCs w:val="24"/>
        </w:rPr>
      </w:pPr>
      <w:r>
        <w:rPr>
          <w:noProof/>
        </w:rPr>
        <w:drawing>
          <wp:inline distT="0" distB="0" distL="0" distR="0" wp14:anchorId="4D14C650" wp14:editId="39FAB222">
            <wp:extent cx="5847715" cy="3604437"/>
            <wp:effectExtent l="0" t="0" r="635"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B7F11" w:rsidRDefault="006B7F11" w:rsidP="0019156E">
      <w:pPr>
        <w:rPr>
          <w:rFonts w:ascii="Times New Roman" w:hAnsi="Times New Roman" w:cs="Times New Roman"/>
          <w:sz w:val="24"/>
          <w:szCs w:val="24"/>
        </w:rPr>
      </w:pPr>
    </w:p>
    <w:p w:rsidR="004F6B01" w:rsidRDefault="006B7F11" w:rsidP="0019156E">
      <w:pPr>
        <w:rPr>
          <w:rFonts w:ascii="Times New Roman" w:hAnsi="Times New Roman" w:cs="Times New Roman"/>
          <w:sz w:val="24"/>
          <w:szCs w:val="24"/>
        </w:rPr>
      </w:pPr>
      <w:r>
        <w:rPr>
          <w:rFonts w:ascii="Times New Roman" w:hAnsi="Times New Roman" w:cs="Times New Roman"/>
          <w:sz w:val="24"/>
          <w:szCs w:val="24"/>
        </w:rPr>
        <w:t>Historical close prices of GP from 2013 to 2017 which have been used to calculate the Beta.</w:t>
      </w:r>
      <w:r w:rsidR="0019156E">
        <w:rPr>
          <w:rFonts w:ascii="Times New Roman" w:hAnsi="Times New Roman" w:cs="Times New Roman"/>
          <w:sz w:val="24"/>
          <w:szCs w:val="24"/>
        </w:rPr>
        <w:br w:type="page"/>
      </w:r>
    </w:p>
    <w:p w:rsidR="00B8541D" w:rsidRDefault="002C505B" w:rsidP="009273BF">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DCF</w:t>
      </w:r>
      <w:r w:rsidR="00B750EA" w:rsidRPr="002C505B">
        <w:rPr>
          <w:rFonts w:ascii="Times New Roman" w:hAnsi="Times New Roman" w:cs="Times New Roman"/>
          <w:b/>
          <w:sz w:val="24"/>
          <w:szCs w:val="24"/>
        </w:rPr>
        <w:t xml:space="preserve"> valuation of GP</w:t>
      </w:r>
      <w:r w:rsidR="00B750EA">
        <w:rPr>
          <w:rFonts w:ascii="Times New Roman" w:hAnsi="Times New Roman" w:cs="Times New Roman"/>
          <w:sz w:val="24"/>
          <w:szCs w:val="24"/>
        </w:rPr>
        <w:t>:</w:t>
      </w:r>
      <w:r w:rsidR="000E2A07">
        <w:rPr>
          <w:rFonts w:ascii="Times New Roman" w:hAnsi="Times New Roman" w:cs="Times New Roman"/>
          <w:sz w:val="24"/>
          <w:szCs w:val="24"/>
        </w:rPr>
        <w:t xml:space="preserve">  For DCF valuation the free cash flows of GP are forecasted for 2018 to 2022.</w:t>
      </w:r>
      <w:r w:rsidR="00784714">
        <w:rPr>
          <w:rFonts w:ascii="Times New Roman" w:hAnsi="Times New Roman" w:cs="Times New Roman"/>
          <w:sz w:val="24"/>
          <w:szCs w:val="24"/>
        </w:rPr>
        <w:t xml:space="preserve"> It is assumed that the constant terminal growth rate will be 3%</w:t>
      </w:r>
      <w:r w:rsidR="009869FD">
        <w:rPr>
          <w:rFonts w:ascii="Times New Roman" w:hAnsi="Times New Roman" w:cs="Times New Roman"/>
          <w:sz w:val="24"/>
          <w:szCs w:val="24"/>
        </w:rPr>
        <w:t xml:space="preserve"> and the weighted average cost of capital will be 11.16%. </w:t>
      </w:r>
    </w:p>
    <w:tbl>
      <w:tblPr>
        <w:tblW w:w="9541" w:type="dxa"/>
        <w:tblLook w:val="04A0" w:firstRow="1" w:lastRow="0" w:firstColumn="1" w:lastColumn="0" w:noHBand="0" w:noVBand="1"/>
      </w:tblPr>
      <w:tblGrid>
        <w:gridCol w:w="1849"/>
        <w:gridCol w:w="1117"/>
        <w:gridCol w:w="1189"/>
        <w:gridCol w:w="1149"/>
        <w:gridCol w:w="1096"/>
        <w:gridCol w:w="1083"/>
        <w:gridCol w:w="1030"/>
        <w:gridCol w:w="1028"/>
      </w:tblGrid>
      <w:tr w:rsidR="00991A8F" w:rsidRPr="00991A8F" w:rsidTr="00B8541D">
        <w:trPr>
          <w:trHeight w:val="315"/>
        </w:trPr>
        <w:tc>
          <w:tcPr>
            <w:tcW w:w="9541"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Free </w:t>
            </w:r>
            <w:r w:rsidR="00342288" w:rsidRPr="00991A8F">
              <w:rPr>
                <w:rFonts w:ascii="Calibri" w:eastAsia="Times New Roman" w:hAnsi="Calibri" w:cs="Calibri"/>
                <w:b/>
                <w:bCs/>
                <w:color w:val="000000"/>
              </w:rPr>
              <w:t>Cash flow</w:t>
            </w:r>
            <w:r w:rsidRPr="00991A8F">
              <w:rPr>
                <w:rFonts w:ascii="Calibri" w:eastAsia="Times New Roman" w:hAnsi="Calibri" w:cs="Calibri"/>
                <w:b/>
                <w:bCs/>
                <w:color w:val="000000"/>
              </w:rPr>
              <w:t xml:space="preserve"> to Firm (FCFF)</w:t>
            </w:r>
          </w:p>
        </w:tc>
      </w:tr>
      <w:tr w:rsidR="00991A8F" w:rsidRPr="00991A8F" w:rsidTr="00B8541D">
        <w:trPr>
          <w:trHeight w:val="615"/>
        </w:trPr>
        <w:tc>
          <w:tcPr>
            <w:tcW w:w="1849" w:type="dxa"/>
            <w:tcBorders>
              <w:top w:val="nil"/>
              <w:left w:val="single" w:sz="8" w:space="0" w:color="auto"/>
              <w:bottom w:val="single" w:sz="8" w:space="0" w:color="auto"/>
              <w:right w:val="single" w:sz="8" w:space="0" w:color="auto"/>
            </w:tcBorders>
            <w:shd w:val="clear" w:color="000000" w:fill="D9D9D9"/>
            <w:vAlign w:val="center"/>
            <w:hideMark/>
          </w:tcPr>
          <w:p w:rsidR="00991A8F" w:rsidRPr="00991A8F" w:rsidRDefault="00991A8F" w:rsidP="00991A8F">
            <w:pPr>
              <w:spacing w:after="0" w:line="240" w:lineRule="auto"/>
              <w:rPr>
                <w:rFonts w:ascii="Calibri" w:eastAsia="Times New Roman" w:hAnsi="Calibri" w:cs="Calibri"/>
                <w:b/>
                <w:bCs/>
              </w:rPr>
            </w:pPr>
            <w:r w:rsidRPr="00991A8F">
              <w:rPr>
                <w:rFonts w:ascii="Calibri" w:eastAsia="Times New Roman" w:hAnsi="Calibri" w:cs="Calibri"/>
                <w:b/>
                <w:bCs/>
              </w:rPr>
              <w:t>Particulars</w:t>
            </w:r>
          </w:p>
        </w:tc>
        <w:tc>
          <w:tcPr>
            <w:tcW w:w="1117"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Time 0</w:t>
            </w:r>
          </w:p>
        </w:tc>
        <w:tc>
          <w:tcPr>
            <w:tcW w:w="1189"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2018E</w:t>
            </w:r>
          </w:p>
        </w:tc>
        <w:tc>
          <w:tcPr>
            <w:tcW w:w="1149"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2019E</w:t>
            </w:r>
          </w:p>
        </w:tc>
        <w:tc>
          <w:tcPr>
            <w:tcW w:w="1096"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2020E</w:t>
            </w:r>
          </w:p>
        </w:tc>
        <w:tc>
          <w:tcPr>
            <w:tcW w:w="1083"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2021E</w:t>
            </w:r>
          </w:p>
        </w:tc>
        <w:tc>
          <w:tcPr>
            <w:tcW w:w="1030" w:type="dxa"/>
            <w:tcBorders>
              <w:top w:val="nil"/>
              <w:left w:val="nil"/>
              <w:bottom w:val="single" w:sz="8" w:space="0" w:color="auto"/>
              <w:right w:val="single" w:sz="4" w:space="0" w:color="3F3F3F"/>
            </w:tcBorders>
            <w:shd w:val="clear" w:color="000000" w:fill="D9D9D9"/>
            <w:noWrap/>
            <w:vAlign w:val="center"/>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2022E</w:t>
            </w:r>
          </w:p>
        </w:tc>
        <w:tc>
          <w:tcPr>
            <w:tcW w:w="1028" w:type="dxa"/>
            <w:tcBorders>
              <w:top w:val="nil"/>
              <w:left w:val="nil"/>
              <w:bottom w:val="single" w:sz="8" w:space="0" w:color="auto"/>
              <w:right w:val="single" w:sz="8" w:space="0" w:color="auto"/>
            </w:tcBorders>
            <w:shd w:val="clear" w:color="000000" w:fill="D9D9D9"/>
            <w:vAlign w:val="bottom"/>
            <w:hideMark/>
          </w:tcPr>
          <w:p w:rsidR="00991A8F" w:rsidRPr="00991A8F" w:rsidRDefault="00991A8F" w:rsidP="00991A8F">
            <w:pPr>
              <w:spacing w:after="0" w:line="240" w:lineRule="auto"/>
              <w:jc w:val="center"/>
              <w:rPr>
                <w:rFonts w:ascii="Calibri" w:eastAsia="Times New Roman" w:hAnsi="Calibri" w:cs="Calibri"/>
                <w:b/>
                <w:bCs/>
              </w:rPr>
            </w:pPr>
            <w:r w:rsidRPr="00991A8F">
              <w:rPr>
                <w:rFonts w:ascii="Calibri" w:eastAsia="Times New Roman" w:hAnsi="Calibri" w:cs="Calibri"/>
                <w:b/>
                <w:bCs/>
              </w:rPr>
              <w:t>Terminal Value</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EBIT </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59,520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65,969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71,576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74,397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77,715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b/>
                <w:bCs/>
                <w:color w:val="000000"/>
              </w:rPr>
            </w:pPr>
            <w:r w:rsidRPr="00991A8F">
              <w:rPr>
                <w:rFonts w:ascii="Calibri" w:eastAsia="Times New Roman" w:hAnsi="Calibri" w:cs="Calibri"/>
                <w:b/>
                <w:bCs/>
                <w:color w:val="000000"/>
              </w:rPr>
              <w:t>EBIT (1-tax rate)</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b/>
                <w:bCs/>
                <w:color w:val="000000"/>
              </w:rPr>
            </w:pPr>
            <w:r w:rsidRPr="00991A8F">
              <w:rPr>
                <w:rFonts w:ascii="Calibri" w:eastAsia="Times New Roman" w:hAnsi="Calibri" w:cs="Calibri"/>
                <w:b/>
                <w:bCs/>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35,712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39,582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42,946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44,638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46,629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Add: Depreciation &amp; Amortization</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19,605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19,647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19,841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22,622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23,405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Less: Capital expenditure</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34,156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22,769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46,426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24,980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25,180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Less: Change in NWC </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(5,386)</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(10,068)</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(20,499)</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(5,545)</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(5,279)</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b/>
                <w:bCs/>
                <w:color w:val="000000"/>
              </w:rPr>
            </w:pPr>
            <w:r w:rsidRPr="00991A8F">
              <w:rPr>
                <w:rFonts w:ascii="Calibri" w:eastAsia="Times New Roman" w:hAnsi="Calibri" w:cs="Calibri"/>
                <w:b/>
                <w:bCs/>
                <w:color w:val="000000"/>
              </w:rPr>
              <w:t xml:space="preserve">Free cash flow </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b/>
                <w:bCs/>
                <w:color w:val="000000"/>
              </w:rPr>
            </w:pPr>
            <w:r w:rsidRPr="00991A8F">
              <w:rPr>
                <w:rFonts w:ascii="Calibri" w:eastAsia="Times New Roman" w:hAnsi="Calibri" w:cs="Calibri"/>
                <w:b/>
                <w:bCs/>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26,547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46,529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36,860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47,826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50,133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Year </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2</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3</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4</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5</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WACC</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11.16%</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11.16%</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11.16%</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11.16%</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11.16%</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Present value of free cash flow</w:t>
            </w:r>
          </w:p>
        </w:tc>
        <w:tc>
          <w:tcPr>
            <w:tcW w:w="1117" w:type="dxa"/>
            <w:tcBorders>
              <w:top w:val="nil"/>
              <w:left w:val="nil"/>
              <w:bottom w:val="nil"/>
              <w:right w:val="nil"/>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23,881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37,653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26,834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31,320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29,534 </w:t>
            </w:r>
          </w:p>
        </w:tc>
        <w:tc>
          <w:tcPr>
            <w:tcW w:w="1028" w:type="dxa"/>
            <w:tcBorders>
              <w:top w:val="nil"/>
              <w:left w:val="nil"/>
              <w:bottom w:val="nil"/>
              <w:right w:val="single" w:sz="8" w:space="0" w:color="auto"/>
            </w:tcBorders>
            <w:shd w:val="clear" w:color="000000" w:fill="F2F2F2"/>
            <w:noWrap/>
            <w:vAlign w:val="bottom"/>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Summation of PV of free cash flow</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149,223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Terminal growth rate</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3%</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Terminal value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632,597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Present Value of Terminal value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372,677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b/>
                <w:bCs/>
                <w:color w:val="000000"/>
              </w:rPr>
            </w:pPr>
            <w:r w:rsidRPr="00991A8F">
              <w:rPr>
                <w:rFonts w:ascii="Calibri" w:eastAsia="Times New Roman" w:hAnsi="Calibri" w:cs="Calibri"/>
                <w:b/>
                <w:bCs/>
                <w:color w:val="000000"/>
              </w:rPr>
              <w:t xml:space="preserve">Enterprise value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color w:val="000000"/>
              </w:rPr>
            </w:pPr>
            <w:r w:rsidRPr="00991A8F">
              <w:rPr>
                <w:rFonts w:ascii="Calibri" w:eastAsia="Times New Roman" w:hAnsi="Calibri" w:cs="Calibri"/>
                <w:color w:val="000000"/>
              </w:rPr>
              <w:t xml:space="preserve">     </w:t>
            </w:r>
            <w:r w:rsidRPr="00991A8F">
              <w:rPr>
                <w:rFonts w:ascii="Calibri" w:eastAsia="Times New Roman" w:hAnsi="Calibri" w:cs="Calibri"/>
                <w:b/>
                <w:color w:val="000000"/>
              </w:rPr>
              <w:t xml:space="preserve">521,899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533DB2" w:rsidP="00991A8F">
            <w:pPr>
              <w:spacing w:after="0" w:line="240" w:lineRule="auto"/>
              <w:rPr>
                <w:rFonts w:ascii="Calibri" w:eastAsia="Times New Roman" w:hAnsi="Calibri" w:cs="Calibri"/>
                <w:color w:val="000000"/>
              </w:rPr>
            </w:pPr>
            <w:r>
              <w:rPr>
                <w:rFonts w:ascii="Calibri" w:eastAsia="Times New Roman" w:hAnsi="Calibri" w:cs="Calibri"/>
                <w:color w:val="000000"/>
              </w:rPr>
              <w:t xml:space="preserve">Add: </w:t>
            </w:r>
            <w:r w:rsidR="00991A8F" w:rsidRPr="00991A8F">
              <w:rPr>
                <w:rFonts w:ascii="Calibri" w:eastAsia="Times New Roman" w:hAnsi="Calibri" w:cs="Calibri"/>
                <w:color w:val="000000"/>
              </w:rPr>
              <w:t xml:space="preserve">Cash </w:t>
            </w:r>
            <w:r w:rsidR="00EA6C35">
              <w:rPr>
                <w:rFonts w:ascii="Calibri" w:eastAsia="Times New Roman" w:hAnsi="Calibri" w:cs="Calibri"/>
                <w:color w:val="000000"/>
              </w:rPr>
              <w:t>&amp; cash equivalent</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12,415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533DB2" w:rsidP="00991A8F">
            <w:pPr>
              <w:spacing w:after="0" w:line="240" w:lineRule="auto"/>
              <w:rPr>
                <w:rFonts w:ascii="Calibri" w:eastAsia="Times New Roman" w:hAnsi="Calibri" w:cs="Calibri"/>
                <w:color w:val="000000"/>
              </w:rPr>
            </w:pPr>
            <w:r>
              <w:rPr>
                <w:rFonts w:ascii="Calibri" w:eastAsia="Times New Roman" w:hAnsi="Calibri" w:cs="Calibri"/>
                <w:color w:val="000000"/>
              </w:rPr>
              <w:t xml:space="preserve">Less: </w:t>
            </w:r>
            <w:r w:rsidR="00991A8F" w:rsidRPr="00991A8F">
              <w:rPr>
                <w:rFonts w:ascii="Calibri" w:eastAsia="Times New Roman" w:hAnsi="Calibri" w:cs="Calibri"/>
                <w:color w:val="000000"/>
              </w:rPr>
              <w:t xml:space="preserve">Interest-bearing debt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19,149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b/>
                <w:color w:val="000000"/>
              </w:rPr>
            </w:pPr>
            <w:r w:rsidRPr="00991A8F">
              <w:rPr>
                <w:rFonts w:ascii="Calibri" w:eastAsia="Times New Roman" w:hAnsi="Calibri" w:cs="Calibri"/>
                <w:b/>
                <w:color w:val="000000"/>
              </w:rPr>
              <w:t xml:space="preserve">Equity value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color w:val="000000"/>
              </w:rPr>
            </w:pPr>
            <w:r w:rsidRPr="00991A8F">
              <w:rPr>
                <w:rFonts w:ascii="Calibri" w:eastAsia="Times New Roman" w:hAnsi="Calibri" w:cs="Calibri"/>
                <w:b/>
                <w:color w:val="000000"/>
              </w:rPr>
              <w:t xml:space="preserve">     515,165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600"/>
        </w:trPr>
        <w:tc>
          <w:tcPr>
            <w:tcW w:w="1849" w:type="dxa"/>
            <w:tcBorders>
              <w:top w:val="nil"/>
              <w:left w:val="single" w:sz="8" w:space="0" w:color="auto"/>
              <w:bottom w:val="nil"/>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color w:val="000000"/>
              </w:rPr>
            </w:pPr>
            <w:r w:rsidRPr="00991A8F">
              <w:rPr>
                <w:rFonts w:ascii="Calibri" w:eastAsia="Times New Roman" w:hAnsi="Calibri" w:cs="Calibri"/>
                <w:color w:val="000000"/>
              </w:rPr>
              <w:t xml:space="preserve">Number of shares outstanding </w:t>
            </w:r>
          </w:p>
        </w:tc>
        <w:tc>
          <w:tcPr>
            <w:tcW w:w="1117"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xml:space="preserve">    1,350.30 </w:t>
            </w:r>
          </w:p>
        </w:tc>
        <w:tc>
          <w:tcPr>
            <w:tcW w:w="118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nil"/>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nil"/>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r w:rsidR="00991A8F" w:rsidRPr="00991A8F" w:rsidTr="00B8541D">
        <w:trPr>
          <w:trHeight w:val="315"/>
        </w:trPr>
        <w:tc>
          <w:tcPr>
            <w:tcW w:w="1849" w:type="dxa"/>
            <w:tcBorders>
              <w:top w:val="nil"/>
              <w:left w:val="single" w:sz="8" w:space="0" w:color="auto"/>
              <w:bottom w:val="single" w:sz="8" w:space="0" w:color="auto"/>
              <w:right w:val="nil"/>
            </w:tcBorders>
            <w:shd w:val="clear" w:color="000000" w:fill="F2F2F2"/>
            <w:vAlign w:val="center"/>
            <w:hideMark/>
          </w:tcPr>
          <w:p w:rsidR="00991A8F" w:rsidRPr="00991A8F" w:rsidRDefault="00991A8F" w:rsidP="00991A8F">
            <w:pPr>
              <w:spacing w:after="0" w:line="240" w:lineRule="auto"/>
              <w:rPr>
                <w:rFonts w:ascii="Calibri" w:eastAsia="Times New Roman" w:hAnsi="Calibri" w:cs="Calibri"/>
                <w:b/>
                <w:color w:val="000000"/>
              </w:rPr>
            </w:pPr>
            <w:r w:rsidRPr="00991A8F">
              <w:rPr>
                <w:rFonts w:ascii="Calibri" w:eastAsia="Times New Roman" w:hAnsi="Calibri" w:cs="Calibri"/>
                <w:b/>
                <w:color w:val="000000"/>
              </w:rPr>
              <w:t xml:space="preserve">Value per share </w:t>
            </w:r>
          </w:p>
        </w:tc>
        <w:tc>
          <w:tcPr>
            <w:tcW w:w="1117"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b/>
                <w:bCs/>
                <w:color w:val="000000"/>
              </w:rPr>
            </w:pPr>
            <w:r w:rsidRPr="00991A8F">
              <w:rPr>
                <w:rFonts w:ascii="Calibri" w:eastAsia="Times New Roman" w:hAnsi="Calibri" w:cs="Calibri"/>
                <w:b/>
                <w:bCs/>
                <w:color w:val="000000"/>
              </w:rPr>
              <w:t xml:space="preserve">        381.52 </w:t>
            </w:r>
          </w:p>
        </w:tc>
        <w:tc>
          <w:tcPr>
            <w:tcW w:w="1189"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149"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96"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83"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30" w:type="dxa"/>
            <w:tcBorders>
              <w:top w:val="nil"/>
              <w:left w:val="nil"/>
              <w:bottom w:val="single" w:sz="8" w:space="0" w:color="auto"/>
              <w:right w:val="nil"/>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c>
          <w:tcPr>
            <w:tcW w:w="1028" w:type="dxa"/>
            <w:tcBorders>
              <w:top w:val="nil"/>
              <w:left w:val="nil"/>
              <w:bottom w:val="single" w:sz="8" w:space="0" w:color="auto"/>
              <w:right w:val="single" w:sz="8" w:space="0" w:color="auto"/>
            </w:tcBorders>
            <w:shd w:val="clear" w:color="000000" w:fill="F2F2F2"/>
            <w:noWrap/>
            <w:vAlign w:val="center"/>
            <w:hideMark/>
          </w:tcPr>
          <w:p w:rsidR="00991A8F" w:rsidRPr="00991A8F" w:rsidRDefault="00991A8F" w:rsidP="00991A8F">
            <w:pPr>
              <w:spacing w:after="0" w:line="240" w:lineRule="auto"/>
              <w:jc w:val="center"/>
              <w:rPr>
                <w:rFonts w:ascii="Calibri" w:eastAsia="Times New Roman" w:hAnsi="Calibri" w:cs="Calibri"/>
                <w:color w:val="000000"/>
              </w:rPr>
            </w:pPr>
            <w:r w:rsidRPr="00991A8F">
              <w:rPr>
                <w:rFonts w:ascii="Calibri" w:eastAsia="Times New Roman" w:hAnsi="Calibri" w:cs="Calibri"/>
                <w:color w:val="000000"/>
              </w:rPr>
              <w:t> </w:t>
            </w:r>
          </w:p>
        </w:tc>
      </w:tr>
    </w:tbl>
    <w:p w:rsidR="004C3DC1" w:rsidRDefault="004C3DC1" w:rsidP="009273BF">
      <w:pPr>
        <w:spacing w:line="360" w:lineRule="auto"/>
        <w:jc w:val="both"/>
        <w:rPr>
          <w:rFonts w:ascii="Times New Roman" w:hAnsi="Times New Roman" w:cs="Times New Roman"/>
          <w:sz w:val="24"/>
          <w:szCs w:val="24"/>
        </w:rPr>
      </w:pPr>
    </w:p>
    <w:p w:rsidR="00760F98" w:rsidRDefault="00D579E3" w:rsidP="00BC04B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Based on the forecasted data, five years (2018-2022) Balance Sheets, Income Statements and Proforma </w:t>
      </w:r>
      <w:r w:rsidR="009C67DB">
        <w:rPr>
          <w:rFonts w:ascii="Times New Roman" w:hAnsi="Times New Roman" w:cs="Times New Roman"/>
          <w:sz w:val="24"/>
          <w:szCs w:val="24"/>
        </w:rPr>
        <w:t>Cash flow</w:t>
      </w:r>
      <w:r>
        <w:rPr>
          <w:rFonts w:ascii="Times New Roman" w:hAnsi="Times New Roman" w:cs="Times New Roman"/>
          <w:sz w:val="24"/>
          <w:szCs w:val="24"/>
        </w:rPr>
        <w:t xml:space="preserve"> Statements has been projected. And from the projected statements the </w:t>
      </w:r>
      <w:r w:rsidRPr="00D579E3">
        <w:rPr>
          <w:rFonts w:ascii="Times New Roman" w:hAnsi="Times New Roman" w:cs="Times New Roman"/>
          <w:sz w:val="24"/>
          <w:szCs w:val="24"/>
        </w:rPr>
        <w:t>EBIT (1-tax rate)</w:t>
      </w:r>
      <w:r>
        <w:rPr>
          <w:rFonts w:ascii="Times New Roman" w:hAnsi="Times New Roman" w:cs="Times New Roman"/>
          <w:sz w:val="24"/>
          <w:szCs w:val="24"/>
        </w:rPr>
        <w:t xml:space="preserve"> and changes in Net Working Capital has been calculated. The five years and terminal free cash </w:t>
      </w:r>
      <w:r w:rsidR="00171C55">
        <w:rPr>
          <w:rFonts w:ascii="Times New Roman" w:hAnsi="Times New Roman" w:cs="Times New Roman"/>
          <w:sz w:val="24"/>
          <w:szCs w:val="24"/>
        </w:rPr>
        <w:t>flow has been calculated.</w:t>
      </w:r>
    </w:p>
    <w:p w:rsidR="00BC04BE" w:rsidRDefault="00BC04BE" w:rsidP="00BC04BE">
      <w:pPr>
        <w:spacing w:line="360" w:lineRule="auto"/>
        <w:jc w:val="both"/>
        <w:rPr>
          <w:rFonts w:ascii="Times New Roman" w:hAnsi="Times New Roman" w:cs="Times New Roman"/>
          <w:sz w:val="24"/>
          <w:szCs w:val="24"/>
        </w:rPr>
      </w:pPr>
      <w:r>
        <w:rPr>
          <w:rFonts w:ascii="Times New Roman" w:hAnsi="Times New Roman" w:cs="Times New Roman"/>
          <w:sz w:val="24"/>
          <w:szCs w:val="24"/>
        </w:rPr>
        <w:t>Through using the FCFF model the enterprise value appears</w:t>
      </w:r>
      <w:r w:rsidR="00AB6628">
        <w:rPr>
          <w:rFonts w:ascii="Times New Roman" w:hAnsi="Times New Roman" w:cs="Times New Roman"/>
          <w:sz w:val="24"/>
          <w:szCs w:val="24"/>
        </w:rPr>
        <w:t xml:space="preserve"> BDT 521,899 million. </w:t>
      </w:r>
      <w:r w:rsidR="006B7955">
        <w:rPr>
          <w:rFonts w:ascii="Times New Roman" w:hAnsi="Times New Roman" w:cs="Times New Roman"/>
          <w:sz w:val="24"/>
          <w:szCs w:val="24"/>
        </w:rPr>
        <w:t>For determining the equity value, cash &amp; cash equivalent and interest bearing debt of 2017 has been taken.</w:t>
      </w:r>
      <w:r w:rsidR="009A73B7">
        <w:rPr>
          <w:rFonts w:ascii="Times New Roman" w:hAnsi="Times New Roman" w:cs="Times New Roman"/>
          <w:sz w:val="24"/>
          <w:szCs w:val="24"/>
        </w:rPr>
        <w:t xml:space="preserve"> Then the value per share appear Tk. 381.52.</w:t>
      </w:r>
    </w:p>
    <w:p w:rsidR="000A08CC" w:rsidRPr="001E39A0" w:rsidRDefault="005B081F" w:rsidP="001E39A0">
      <w:pPr>
        <w:pStyle w:val="Heading2"/>
        <w:spacing w:line="360" w:lineRule="auto"/>
        <w:jc w:val="center"/>
        <w:rPr>
          <w:rFonts w:ascii="Times New Roman" w:hAnsi="Times New Roman" w:cs="Times New Roman"/>
          <w:b/>
          <w:color w:val="auto"/>
          <w:sz w:val="28"/>
        </w:rPr>
      </w:pPr>
      <w:bookmarkStart w:id="23" w:name="_Toc9422062"/>
      <w:r w:rsidRPr="001E39A0">
        <w:rPr>
          <w:rFonts w:ascii="Times New Roman" w:hAnsi="Times New Roman" w:cs="Times New Roman"/>
          <w:b/>
          <w:color w:val="auto"/>
          <w:sz w:val="28"/>
        </w:rPr>
        <w:t xml:space="preserve">2. </w:t>
      </w:r>
      <w:r w:rsidR="006D45D8" w:rsidRPr="001E39A0">
        <w:rPr>
          <w:rFonts w:ascii="Times New Roman" w:hAnsi="Times New Roman" w:cs="Times New Roman"/>
          <w:b/>
          <w:color w:val="auto"/>
          <w:sz w:val="28"/>
        </w:rPr>
        <w:t>P/E multiple</w:t>
      </w:r>
      <w:r w:rsidRPr="001E39A0">
        <w:rPr>
          <w:rFonts w:ascii="Times New Roman" w:hAnsi="Times New Roman" w:cs="Times New Roman"/>
          <w:b/>
          <w:color w:val="auto"/>
          <w:sz w:val="28"/>
        </w:rPr>
        <w:t xml:space="preserve"> Method</w:t>
      </w:r>
      <w:r w:rsidR="006D45D8" w:rsidRPr="001E39A0">
        <w:rPr>
          <w:rFonts w:ascii="Times New Roman" w:hAnsi="Times New Roman" w:cs="Times New Roman"/>
          <w:b/>
          <w:color w:val="auto"/>
          <w:sz w:val="28"/>
        </w:rPr>
        <w:t>:</w:t>
      </w:r>
      <w:bookmarkEnd w:id="23"/>
    </w:p>
    <w:p w:rsidR="000A08CC" w:rsidRPr="000A08CC" w:rsidRDefault="000A08CC" w:rsidP="001E39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regional P/E multiples of the some telecommunication companies of Asia pacific has been taken to determine the </w:t>
      </w:r>
      <w:r w:rsidR="00485B7F">
        <w:rPr>
          <w:rFonts w:ascii="Times New Roman" w:hAnsi="Times New Roman" w:cs="Times New Roman"/>
          <w:sz w:val="24"/>
          <w:szCs w:val="24"/>
        </w:rPr>
        <w:t xml:space="preserve">regional median P/E and also the trailing P/E of GP has been calculated. Then the relative value of GP </w:t>
      </w:r>
      <w:r w:rsidR="0029464A">
        <w:rPr>
          <w:rFonts w:ascii="Times New Roman" w:hAnsi="Times New Roman" w:cs="Times New Roman"/>
          <w:sz w:val="24"/>
          <w:szCs w:val="24"/>
        </w:rPr>
        <w:t>has been calculated by giving .5 weight to regional median P/E and .5 weight to GP’s trailing P/E.</w:t>
      </w:r>
    </w:p>
    <w:tbl>
      <w:tblPr>
        <w:tblW w:w="5000" w:type="pct"/>
        <w:shd w:val="clear" w:color="auto" w:fill="F2F2F2" w:themeFill="background1" w:themeFillShade="F2"/>
        <w:tblLook w:val="04A0" w:firstRow="1" w:lastRow="0" w:firstColumn="1" w:lastColumn="0" w:noHBand="0" w:noVBand="1"/>
      </w:tblPr>
      <w:tblGrid>
        <w:gridCol w:w="6002"/>
        <w:gridCol w:w="1836"/>
        <w:gridCol w:w="1738"/>
      </w:tblGrid>
      <w:tr w:rsidR="00EE67CF" w:rsidRPr="006D45D8" w:rsidTr="006D45D8">
        <w:trPr>
          <w:trHeight w:val="315"/>
        </w:trPr>
        <w:tc>
          <w:tcPr>
            <w:tcW w:w="3135" w:type="pct"/>
            <w:tcBorders>
              <w:top w:val="single" w:sz="8" w:space="0" w:color="auto"/>
              <w:left w:val="single" w:sz="8" w:space="0" w:color="auto"/>
              <w:bottom w:val="single" w:sz="4" w:space="0" w:color="3F3F3F"/>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b/>
                <w:bCs/>
              </w:rPr>
            </w:pPr>
            <w:r w:rsidRPr="006D45D8">
              <w:rPr>
                <w:rFonts w:ascii="Calibri" w:eastAsia="Times New Roman" w:hAnsi="Calibri" w:cs="Calibri"/>
                <w:b/>
                <w:bCs/>
              </w:rPr>
              <w:t>Comparables [Regional]</w:t>
            </w:r>
          </w:p>
        </w:tc>
        <w:tc>
          <w:tcPr>
            <w:tcW w:w="928" w:type="pct"/>
            <w:tcBorders>
              <w:top w:val="single" w:sz="8" w:space="0" w:color="auto"/>
              <w:left w:val="nil"/>
              <w:bottom w:val="single" w:sz="4" w:space="0" w:color="3F3F3F"/>
              <w:right w:val="single" w:sz="4" w:space="0" w:color="3F3F3F"/>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b/>
                <w:bCs/>
              </w:rPr>
            </w:pPr>
            <w:r w:rsidRPr="006D45D8">
              <w:rPr>
                <w:rFonts w:ascii="Calibri" w:eastAsia="Times New Roman" w:hAnsi="Calibri" w:cs="Calibri"/>
                <w:b/>
                <w:bCs/>
              </w:rPr>
              <w:t>Regional P/E</w:t>
            </w:r>
            <w:r w:rsidR="00EE67CF">
              <w:rPr>
                <w:rFonts w:ascii="Calibri" w:eastAsia="Times New Roman" w:hAnsi="Calibri" w:cs="Calibri"/>
                <w:b/>
                <w:bCs/>
              </w:rPr>
              <w:t xml:space="preserve"> (2018)</w:t>
            </w:r>
          </w:p>
        </w:tc>
        <w:tc>
          <w:tcPr>
            <w:tcW w:w="937" w:type="pct"/>
            <w:tcBorders>
              <w:top w:val="single" w:sz="8" w:space="0" w:color="auto"/>
              <w:left w:val="nil"/>
              <w:bottom w:val="single" w:sz="4" w:space="0" w:color="3F3F3F"/>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b/>
                <w:bCs/>
              </w:rPr>
            </w:pPr>
            <w:r w:rsidRPr="006D45D8">
              <w:rPr>
                <w:rFonts w:ascii="Calibri" w:eastAsia="Times New Roman" w:hAnsi="Calibri" w:cs="Calibri"/>
                <w:b/>
                <w:bCs/>
              </w:rPr>
              <w:t xml:space="preserve">  Trailing P/E[Solo]</w:t>
            </w:r>
          </w:p>
        </w:tc>
      </w:tr>
      <w:tr w:rsidR="006D45D8" w:rsidRPr="006D45D8" w:rsidTr="006D45D8">
        <w:trPr>
          <w:trHeight w:val="300"/>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Dialog Axiata Plc (COSE:DIAL-N-0000)[Sri-Lanka]</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10.6</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00"/>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Axiata Group Berhad (KLSE:AXIATA)[Malaysia]</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22.17</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00"/>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Advanced Info Service Public Company Limited (SET:ADVANC)[Thailand]</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19.69</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00"/>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Maxis Berhad (KLSE:MAXIS)[Malaysia]</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21.48</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15"/>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Bharti Airtel[India]</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36.62</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15"/>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Reliance Communication[India]</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18.25</w:t>
            </w: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00"/>
        </w:trPr>
        <w:tc>
          <w:tcPr>
            <w:tcW w:w="3135" w:type="pct"/>
            <w:tcBorders>
              <w:top w:val="nil"/>
              <w:left w:val="single" w:sz="8" w:space="0" w:color="auto"/>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r w:rsidRPr="006D45D8">
              <w:rPr>
                <w:rFonts w:ascii="Calibri" w:eastAsia="Times New Roman" w:hAnsi="Calibri" w:cs="Calibri"/>
                <w:color w:val="000000"/>
              </w:rPr>
              <w:t> </w:t>
            </w:r>
          </w:p>
        </w:tc>
        <w:tc>
          <w:tcPr>
            <w:tcW w:w="928" w:type="pct"/>
            <w:tcBorders>
              <w:top w:val="nil"/>
              <w:left w:val="nil"/>
              <w:bottom w:val="nil"/>
              <w:right w:val="nil"/>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color w:val="000000"/>
              </w:rPr>
            </w:pPr>
          </w:p>
        </w:tc>
        <w:tc>
          <w:tcPr>
            <w:tcW w:w="937" w:type="pct"/>
            <w:tcBorders>
              <w:top w:val="nil"/>
              <w:left w:val="nil"/>
              <w:bottom w:val="nil"/>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 </w:t>
            </w:r>
          </w:p>
        </w:tc>
      </w:tr>
      <w:tr w:rsidR="006D45D8" w:rsidRPr="006D45D8" w:rsidTr="006D45D8">
        <w:trPr>
          <w:trHeight w:val="315"/>
        </w:trPr>
        <w:tc>
          <w:tcPr>
            <w:tcW w:w="3135" w:type="pct"/>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rPr>
                <w:rFonts w:ascii="Calibri" w:eastAsia="Times New Roman" w:hAnsi="Calibri" w:cs="Calibri"/>
                <w:b/>
                <w:bCs/>
                <w:color w:val="000000"/>
              </w:rPr>
            </w:pPr>
            <w:r w:rsidRPr="006D45D8">
              <w:rPr>
                <w:rFonts w:ascii="Calibri" w:eastAsia="Times New Roman" w:hAnsi="Calibri" w:cs="Calibri"/>
                <w:b/>
                <w:bCs/>
                <w:color w:val="000000"/>
              </w:rPr>
              <w:t>Regional Median P/E</w:t>
            </w:r>
          </w:p>
        </w:tc>
        <w:tc>
          <w:tcPr>
            <w:tcW w:w="928" w:type="pct"/>
            <w:tcBorders>
              <w:top w:val="nil"/>
              <w:left w:val="nil"/>
              <w:bottom w:val="single" w:sz="8" w:space="0" w:color="auto"/>
              <w:right w:val="nil"/>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20.59</w:t>
            </w:r>
          </w:p>
        </w:tc>
        <w:tc>
          <w:tcPr>
            <w:tcW w:w="937" w:type="pct"/>
            <w:tcBorders>
              <w:top w:val="nil"/>
              <w:left w:val="nil"/>
              <w:bottom w:val="single" w:sz="8" w:space="0" w:color="auto"/>
              <w:right w:val="single" w:sz="8" w:space="0" w:color="auto"/>
            </w:tcBorders>
            <w:shd w:val="clear" w:color="auto" w:fill="F2F2F2" w:themeFill="background1" w:themeFillShade="F2"/>
            <w:noWrap/>
            <w:vAlign w:val="center"/>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19.61</w:t>
            </w:r>
          </w:p>
        </w:tc>
      </w:tr>
    </w:tbl>
    <w:p w:rsidR="006D45D8" w:rsidRDefault="006D45D8" w:rsidP="00BC04BE">
      <w:pPr>
        <w:spacing w:line="360" w:lineRule="auto"/>
        <w:jc w:val="both"/>
        <w:rPr>
          <w:rFonts w:ascii="Times New Roman" w:hAnsi="Times New Roman" w:cs="Times New Roman"/>
          <w:sz w:val="24"/>
          <w:szCs w:val="24"/>
        </w:rPr>
      </w:pPr>
    </w:p>
    <w:tbl>
      <w:tblPr>
        <w:tblW w:w="5000" w:type="pct"/>
        <w:shd w:val="clear" w:color="auto" w:fill="F2F2F2" w:themeFill="background1" w:themeFillShade="F2"/>
        <w:tblLayout w:type="fixed"/>
        <w:tblLook w:val="04A0" w:firstRow="1" w:lastRow="0" w:firstColumn="1" w:lastColumn="0" w:noHBand="0" w:noVBand="1"/>
      </w:tblPr>
      <w:tblGrid>
        <w:gridCol w:w="1281"/>
        <w:gridCol w:w="2030"/>
        <w:gridCol w:w="2034"/>
        <w:gridCol w:w="2132"/>
        <w:gridCol w:w="2099"/>
      </w:tblGrid>
      <w:tr w:rsidR="006D45D8" w:rsidRPr="006D45D8" w:rsidTr="006D45D8">
        <w:trPr>
          <w:trHeight w:val="315"/>
        </w:trPr>
        <w:tc>
          <w:tcPr>
            <w:tcW w:w="669" w:type="pct"/>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bottom"/>
            <w:hideMark/>
          </w:tcPr>
          <w:p w:rsidR="006D45D8" w:rsidRPr="006D45D8" w:rsidRDefault="006D45D8" w:rsidP="006D45D8">
            <w:pPr>
              <w:spacing w:after="0" w:line="240" w:lineRule="auto"/>
              <w:rPr>
                <w:rFonts w:ascii="Calibri" w:eastAsia="Times New Roman" w:hAnsi="Calibri" w:cs="Calibri"/>
                <w:b/>
                <w:bCs/>
                <w:color w:val="000000"/>
              </w:rPr>
            </w:pPr>
            <w:r w:rsidRPr="006D45D8">
              <w:rPr>
                <w:rFonts w:ascii="Calibri" w:eastAsia="Times New Roman" w:hAnsi="Calibri" w:cs="Calibri"/>
                <w:b/>
                <w:bCs/>
                <w:color w:val="000000"/>
              </w:rPr>
              <w:t>Multiple</w:t>
            </w:r>
          </w:p>
        </w:tc>
        <w:tc>
          <w:tcPr>
            <w:tcW w:w="1060" w:type="pct"/>
            <w:tcBorders>
              <w:top w:val="single" w:sz="8" w:space="0" w:color="auto"/>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Regional Median P/E</w:t>
            </w:r>
          </w:p>
        </w:tc>
        <w:tc>
          <w:tcPr>
            <w:tcW w:w="1062" w:type="pct"/>
            <w:tcBorders>
              <w:top w:val="single" w:sz="8" w:space="0" w:color="auto"/>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 xml:space="preserve"> GP Trailing P/E[Solo]</w:t>
            </w:r>
          </w:p>
        </w:tc>
        <w:tc>
          <w:tcPr>
            <w:tcW w:w="1113" w:type="pct"/>
            <w:tcBorders>
              <w:top w:val="single" w:sz="8" w:space="0" w:color="auto"/>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 xml:space="preserve"> EPS 2018[Per Share]</w:t>
            </w:r>
          </w:p>
        </w:tc>
        <w:tc>
          <w:tcPr>
            <w:tcW w:w="1096" w:type="pct"/>
            <w:tcBorders>
              <w:top w:val="single" w:sz="8" w:space="0" w:color="auto"/>
              <w:left w:val="nil"/>
              <w:bottom w:val="single" w:sz="8" w:space="0" w:color="auto"/>
              <w:right w:val="single" w:sz="8" w:space="0" w:color="auto"/>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b/>
                <w:bCs/>
                <w:color w:val="000000"/>
              </w:rPr>
            </w:pPr>
            <w:r w:rsidRPr="006D45D8">
              <w:rPr>
                <w:rFonts w:ascii="Calibri" w:eastAsia="Times New Roman" w:hAnsi="Calibri" w:cs="Calibri"/>
                <w:b/>
                <w:bCs/>
                <w:color w:val="000000"/>
              </w:rPr>
              <w:t>Relative Value of GP</w:t>
            </w:r>
          </w:p>
        </w:tc>
      </w:tr>
      <w:tr w:rsidR="006D45D8" w:rsidRPr="006D45D8" w:rsidTr="006D45D8">
        <w:trPr>
          <w:trHeight w:val="315"/>
        </w:trPr>
        <w:tc>
          <w:tcPr>
            <w:tcW w:w="669" w:type="pct"/>
            <w:tcBorders>
              <w:top w:val="nil"/>
              <w:left w:val="single" w:sz="8" w:space="0" w:color="auto"/>
              <w:bottom w:val="single" w:sz="8" w:space="0" w:color="auto"/>
              <w:right w:val="single" w:sz="8" w:space="0" w:color="auto"/>
            </w:tcBorders>
            <w:shd w:val="clear" w:color="auto" w:fill="F2F2F2" w:themeFill="background1" w:themeFillShade="F2"/>
            <w:noWrap/>
            <w:vAlign w:val="bottom"/>
            <w:hideMark/>
          </w:tcPr>
          <w:p w:rsidR="006D45D8" w:rsidRPr="006D45D8" w:rsidRDefault="006D45D8" w:rsidP="006D45D8">
            <w:pPr>
              <w:spacing w:after="0" w:line="240" w:lineRule="auto"/>
              <w:rPr>
                <w:rFonts w:ascii="Calibri" w:eastAsia="Times New Roman" w:hAnsi="Calibri" w:cs="Calibri"/>
                <w:b/>
                <w:bCs/>
                <w:color w:val="000000"/>
              </w:rPr>
            </w:pPr>
            <w:r w:rsidRPr="006D45D8">
              <w:rPr>
                <w:rFonts w:ascii="Calibri" w:eastAsia="Times New Roman" w:hAnsi="Calibri" w:cs="Calibri"/>
                <w:b/>
                <w:bCs/>
                <w:color w:val="000000"/>
              </w:rPr>
              <w:t>Earnings</w:t>
            </w:r>
          </w:p>
        </w:tc>
        <w:tc>
          <w:tcPr>
            <w:tcW w:w="1060" w:type="pct"/>
            <w:tcBorders>
              <w:top w:val="nil"/>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20.59</w:t>
            </w:r>
          </w:p>
        </w:tc>
        <w:tc>
          <w:tcPr>
            <w:tcW w:w="1062" w:type="pct"/>
            <w:tcBorders>
              <w:top w:val="nil"/>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19.61</w:t>
            </w:r>
          </w:p>
        </w:tc>
        <w:tc>
          <w:tcPr>
            <w:tcW w:w="1113" w:type="pct"/>
            <w:tcBorders>
              <w:top w:val="nil"/>
              <w:left w:val="nil"/>
              <w:bottom w:val="single" w:sz="8" w:space="0" w:color="auto"/>
              <w:right w:val="nil"/>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26.04</w:t>
            </w:r>
          </w:p>
        </w:tc>
        <w:tc>
          <w:tcPr>
            <w:tcW w:w="1096" w:type="pct"/>
            <w:tcBorders>
              <w:top w:val="nil"/>
              <w:left w:val="nil"/>
              <w:bottom w:val="single" w:sz="8" w:space="0" w:color="auto"/>
              <w:right w:val="single" w:sz="8" w:space="0" w:color="auto"/>
            </w:tcBorders>
            <w:shd w:val="clear" w:color="auto" w:fill="F2F2F2" w:themeFill="background1" w:themeFillShade="F2"/>
            <w:noWrap/>
            <w:vAlign w:val="bottom"/>
            <w:hideMark/>
          </w:tcPr>
          <w:p w:rsidR="006D45D8" w:rsidRPr="006D45D8" w:rsidRDefault="006D45D8" w:rsidP="006D45D8">
            <w:pPr>
              <w:spacing w:after="0" w:line="240" w:lineRule="auto"/>
              <w:jc w:val="center"/>
              <w:rPr>
                <w:rFonts w:ascii="Calibri" w:eastAsia="Times New Roman" w:hAnsi="Calibri" w:cs="Calibri"/>
                <w:color w:val="000000"/>
              </w:rPr>
            </w:pPr>
            <w:r w:rsidRPr="006D45D8">
              <w:rPr>
                <w:rFonts w:ascii="Calibri" w:eastAsia="Times New Roman" w:hAnsi="Calibri" w:cs="Calibri"/>
                <w:color w:val="000000"/>
              </w:rPr>
              <w:t>523.39</w:t>
            </w:r>
          </w:p>
        </w:tc>
      </w:tr>
    </w:tbl>
    <w:p w:rsidR="00596751" w:rsidRDefault="00596751" w:rsidP="00BC04BE">
      <w:pPr>
        <w:spacing w:line="360" w:lineRule="auto"/>
        <w:jc w:val="both"/>
        <w:rPr>
          <w:rFonts w:ascii="Times New Roman" w:hAnsi="Times New Roman" w:cs="Times New Roman"/>
          <w:sz w:val="24"/>
          <w:szCs w:val="24"/>
        </w:rPr>
      </w:pPr>
    </w:p>
    <w:p w:rsidR="00596751" w:rsidRPr="00CE494E" w:rsidRDefault="00CE494E" w:rsidP="00CE494E">
      <w:pPr>
        <w:jc w:val="both"/>
        <w:rPr>
          <w:rFonts w:ascii="Times New Roman" w:hAnsi="Times New Roman" w:cs="Times New Roman"/>
          <w:sz w:val="24"/>
          <w:szCs w:val="24"/>
        </w:rPr>
      </w:pPr>
      <w:r w:rsidRPr="00CE494E">
        <w:rPr>
          <w:rFonts w:ascii="Times New Roman" w:hAnsi="Times New Roman" w:cs="Times New Roman"/>
          <w:sz w:val="24"/>
          <w:szCs w:val="24"/>
        </w:rPr>
        <w:t xml:space="preserve">Through </w:t>
      </w:r>
      <w:r>
        <w:rPr>
          <w:rFonts w:ascii="Times New Roman" w:hAnsi="Times New Roman" w:cs="Times New Roman"/>
          <w:sz w:val="24"/>
          <w:szCs w:val="24"/>
        </w:rPr>
        <w:t>P/E multiple</w:t>
      </w:r>
      <w:r w:rsidR="002561A0">
        <w:rPr>
          <w:rFonts w:ascii="Times New Roman" w:hAnsi="Times New Roman" w:cs="Times New Roman"/>
          <w:sz w:val="24"/>
          <w:szCs w:val="24"/>
        </w:rPr>
        <w:t>, the relative value per share of GP appeared BDT. 523.39.</w:t>
      </w:r>
      <w:r w:rsidR="00596751" w:rsidRPr="00CE494E">
        <w:rPr>
          <w:rFonts w:ascii="Times New Roman" w:hAnsi="Times New Roman" w:cs="Times New Roman"/>
          <w:sz w:val="24"/>
          <w:szCs w:val="24"/>
        </w:rPr>
        <w:br w:type="page"/>
      </w:r>
    </w:p>
    <w:p w:rsidR="00DD2995" w:rsidRPr="001E39A0" w:rsidRDefault="005B081F" w:rsidP="001E39A0">
      <w:pPr>
        <w:pStyle w:val="Heading2"/>
        <w:spacing w:line="360" w:lineRule="auto"/>
        <w:jc w:val="center"/>
        <w:rPr>
          <w:rFonts w:ascii="Times New Roman" w:hAnsi="Times New Roman" w:cs="Times New Roman"/>
          <w:b/>
          <w:color w:val="auto"/>
          <w:sz w:val="28"/>
        </w:rPr>
      </w:pPr>
      <w:bookmarkStart w:id="24" w:name="_Toc9422063"/>
      <w:r w:rsidRPr="001E39A0">
        <w:rPr>
          <w:rFonts w:ascii="Times New Roman" w:hAnsi="Times New Roman" w:cs="Times New Roman"/>
          <w:b/>
          <w:color w:val="auto"/>
          <w:sz w:val="28"/>
        </w:rPr>
        <w:lastRenderedPageBreak/>
        <w:t xml:space="preserve">3. </w:t>
      </w:r>
      <w:r w:rsidR="00DD2995" w:rsidRPr="001E39A0">
        <w:rPr>
          <w:rFonts w:ascii="Times New Roman" w:hAnsi="Times New Roman" w:cs="Times New Roman"/>
          <w:b/>
          <w:color w:val="auto"/>
          <w:sz w:val="28"/>
        </w:rPr>
        <w:t>EV/</w:t>
      </w:r>
      <w:r w:rsidR="000F1079" w:rsidRPr="001E39A0">
        <w:rPr>
          <w:rFonts w:ascii="Times New Roman" w:hAnsi="Times New Roman" w:cs="Times New Roman"/>
          <w:b/>
          <w:color w:val="auto"/>
          <w:sz w:val="28"/>
        </w:rPr>
        <w:t xml:space="preserve"> </w:t>
      </w:r>
      <w:r w:rsidR="00DD2995" w:rsidRPr="001E39A0">
        <w:rPr>
          <w:rFonts w:ascii="Times New Roman" w:hAnsi="Times New Roman" w:cs="Times New Roman"/>
          <w:b/>
          <w:color w:val="auto"/>
          <w:sz w:val="28"/>
        </w:rPr>
        <w:t>EBITDA Multiple</w:t>
      </w:r>
      <w:r w:rsidRPr="001E39A0">
        <w:rPr>
          <w:rFonts w:ascii="Times New Roman" w:hAnsi="Times New Roman" w:cs="Times New Roman"/>
          <w:b/>
          <w:color w:val="auto"/>
          <w:sz w:val="28"/>
        </w:rPr>
        <w:t xml:space="preserve"> method</w:t>
      </w:r>
      <w:r w:rsidR="00DD2995" w:rsidRPr="001E39A0">
        <w:rPr>
          <w:rFonts w:ascii="Times New Roman" w:hAnsi="Times New Roman" w:cs="Times New Roman"/>
          <w:b/>
          <w:color w:val="auto"/>
          <w:sz w:val="28"/>
        </w:rPr>
        <w:t>:</w:t>
      </w:r>
      <w:bookmarkEnd w:id="24"/>
    </w:p>
    <w:p w:rsidR="00596751" w:rsidRPr="00975822" w:rsidRDefault="00975822" w:rsidP="001E39A0">
      <w:pPr>
        <w:spacing w:line="360" w:lineRule="auto"/>
        <w:jc w:val="both"/>
        <w:rPr>
          <w:rFonts w:ascii="Times New Roman" w:hAnsi="Times New Roman" w:cs="Times New Roman"/>
          <w:sz w:val="24"/>
          <w:szCs w:val="24"/>
        </w:rPr>
      </w:pPr>
      <w:r w:rsidRPr="00975822">
        <w:rPr>
          <w:rFonts w:ascii="Times New Roman" w:hAnsi="Times New Roman" w:cs="Times New Roman"/>
          <w:sz w:val="24"/>
          <w:szCs w:val="24"/>
        </w:rPr>
        <w:t>For determining the regional median EV/EVITDA multiple some Asian telecommunication company’s ev/evitda multiples has been taken. The enterprise value and earnings before interest expense, tax, depreciation &amp; amortization of 2017 appeared BDT 561,834 million and 73,291 million respectively.</w:t>
      </w:r>
    </w:p>
    <w:tbl>
      <w:tblPr>
        <w:tblW w:w="5000" w:type="pct"/>
        <w:tblLook w:val="04A0" w:firstRow="1" w:lastRow="0" w:firstColumn="1" w:lastColumn="0" w:noHBand="0" w:noVBand="1"/>
      </w:tblPr>
      <w:tblGrid>
        <w:gridCol w:w="7877"/>
        <w:gridCol w:w="1699"/>
      </w:tblGrid>
      <w:tr w:rsidR="00F348E7" w:rsidRPr="00F348E7" w:rsidTr="00F348E7">
        <w:trPr>
          <w:trHeight w:val="615"/>
        </w:trPr>
        <w:tc>
          <w:tcPr>
            <w:tcW w:w="4113" w:type="pct"/>
            <w:tcBorders>
              <w:top w:val="single" w:sz="8" w:space="0" w:color="auto"/>
              <w:left w:val="single" w:sz="8" w:space="0" w:color="auto"/>
              <w:bottom w:val="nil"/>
              <w:right w:val="nil"/>
            </w:tcBorders>
            <w:shd w:val="clear" w:color="000000" w:fill="D9D9D9"/>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Comparables[Regional]</w:t>
            </w:r>
          </w:p>
        </w:tc>
        <w:tc>
          <w:tcPr>
            <w:tcW w:w="887" w:type="pct"/>
            <w:tcBorders>
              <w:top w:val="single" w:sz="8" w:space="0" w:color="auto"/>
              <w:left w:val="nil"/>
              <w:bottom w:val="nil"/>
              <w:right w:val="single" w:sz="8" w:space="0" w:color="auto"/>
            </w:tcBorders>
            <w:shd w:val="clear" w:color="000000" w:fill="D9D9D9"/>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EV/EBITDA multiple</w:t>
            </w:r>
            <w:r w:rsidR="00B40A4E">
              <w:rPr>
                <w:rFonts w:ascii="Calibri" w:eastAsia="Times New Roman" w:hAnsi="Calibri" w:cs="Calibri"/>
                <w:color w:val="000000"/>
              </w:rPr>
              <w:t xml:space="preserve"> (2018)</w:t>
            </w:r>
          </w:p>
        </w:tc>
      </w:tr>
      <w:tr w:rsidR="00F348E7" w:rsidRPr="00F348E7" w:rsidTr="00F348E7">
        <w:trPr>
          <w:trHeight w:val="300"/>
        </w:trPr>
        <w:tc>
          <w:tcPr>
            <w:tcW w:w="4113" w:type="pct"/>
            <w:tcBorders>
              <w:top w:val="single" w:sz="8" w:space="0" w:color="auto"/>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StarHub Ltd. (SGX:CC3)</w:t>
            </w:r>
          </w:p>
        </w:tc>
        <w:tc>
          <w:tcPr>
            <w:tcW w:w="887" w:type="pct"/>
            <w:tcBorders>
              <w:top w:val="single" w:sz="8" w:space="0" w:color="auto"/>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5.91</w:t>
            </w:r>
          </w:p>
        </w:tc>
      </w:tr>
      <w:tr w:rsidR="00F348E7" w:rsidRPr="00F348E7" w:rsidTr="00F348E7">
        <w:trPr>
          <w:trHeight w:val="300"/>
        </w:trPr>
        <w:tc>
          <w:tcPr>
            <w:tcW w:w="4113" w:type="pct"/>
            <w:tcBorders>
              <w:top w:val="nil"/>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Axiata Group Berhad (KLSE:AXIATA)[Malaysia]</w:t>
            </w:r>
          </w:p>
        </w:tc>
        <w:tc>
          <w:tcPr>
            <w:tcW w:w="887" w:type="pct"/>
            <w:tcBorders>
              <w:top w:val="nil"/>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10.75</w:t>
            </w:r>
          </w:p>
        </w:tc>
      </w:tr>
      <w:tr w:rsidR="00F348E7" w:rsidRPr="00F348E7" w:rsidTr="00F348E7">
        <w:trPr>
          <w:trHeight w:val="300"/>
        </w:trPr>
        <w:tc>
          <w:tcPr>
            <w:tcW w:w="4113" w:type="pct"/>
            <w:tcBorders>
              <w:top w:val="nil"/>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Advanced Info Service Public Company Limited (SET:ADVANC)[Thailand]</w:t>
            </w:r>
          </w:p>
        </w:tc>
        <w:tc>
          <w:tcPr>
            <w:tcW w:w="887" w:type="pct"/>
            <w:tcBorders>
              <w:top w:val="nil"/>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9.57</w:t>
            </w:r>
          </w:p>
        </w:tc>
      </w:tr>
      <w:tr w:rsidR="00F348E7" w:rsidRPr="00F348E7" w:rsidTr="00F348E7">
        <w:trPr>
          <w:trHeight w:val="300"/>
        </w:trPr>
        <w:tc>
          <w:tcPr>
            <w:tcW w:w="4113" w:type="pct"/>
            <w:tcBorders>
              <w:top w:val="nil"/>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Maxis Berhad (KLSE:MAXIS)[Malaysia]</w:t>
            </w:r>
          </w:p>
        </w:tc>
        <w:tc>
          <w:tcPr>
            <w:tcW w:w="887" w:type="pct"/>
            <w:tcBorders>
              <w:top w:val="nil"/>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13.72</w:t>
            </w:r>
          </w:p>
        </w:tc>
      </w:tr>
      <w:tr w:rsidR="00F348E7" w:rsidRPr="00F348E7" w:rsidTr="00F348E7">
        <w:trPr>
          <w:trHeight w:val="300"/>
        </w:trPr>
        <w:tc>
          <w:tcPr>
            <w:tcW w:w="4113" w:type="pct"/>
            <w:tcBorders>
              <w:top w:val="nil"/>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Bharti Airtel[India]</w:t>
            </w:r>
          </w:p>
        </w:tc>
        <w:tc>
          <w:tcPr>
            <w:tcW w:w="887" w:type="pct"/>
            <w:tcBorders>
              <w:top w:val="nil"/>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7.3</w:t>
            </w:r>
          </w:p>
        </w:tc>
      </w:tr>
      <w:tr w:rsidR="00F348E7" w:rsidRPr="00F348E7" w:rsidTr="00F348E7">
        <w:trPr>
          <w:trHeight w:val="300"/>
        </w:trPr>
        <w:tc>
          <w:tcPr>
            <w:tcW w:w="4113" w:type="pct"/>
            <w:tcBorders>
              <w:top w:val="nil"/>
              <w:left w:val="single" w:sz="8" w:space="0" w:color="auto"/>
              <w:bottom w:val="nil"/>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color w:val="000000"/>
              </w:rPr>
            </w:pPr>
            <w:r w:rsidRPr="00F348E7">
              <w:rPr>
                <w:rFonts w:ascii="Calibri" w:eastAsia="Times New Roman" w:hAnsi="Calibri" w:cs="Calibri"/>
                <w:color w:val="000000"/>
              </w:rPr>
              <w:t> </w:t>
            </w:r>
          </w:p>
        </w:tc>
        <w:tc>
          <w:tcPr>
            <w:tcW w:w="887" w:type="pct"/>
            <w:tcBorders>
              <w:top w:val="nil"/>
              <w:left w:val="nil"/>
              <w:bottom w:val="nil"/>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color w:val="000000"/>
              </w:rPr>
            </w:pPr>
            <w:r w:rsidRPr="00F348E7">
              <w:rPr>
                <w:rFonts w:ascii="Calibri" w:eastAsia="Times New Roman" w:hAnsi="Calibri" w:cs="Calibri"/>
                <w:color w:val="000000"/>
              </w:rPr>
              <w:t> </w:t>
            </w:r>
          </w:p>
        </w:tc>
      </w:tr>
      <w:tr w:rsidR="00F348E7" w:rsidRPr="00F348E7" w:rsidTr="00F348E7">
        <w:trPr>
          <w:trHeight w:val="315"/>
        </w:trPr>
        <w:tc>
          <w:tcPr>
            <w:tcW w:w="4113" w:type="pct"/>
            <w:tcBorders>
              <w:top w:val="nil"/>
              <w:left w:val="single" w:sz="8" w:space="0" w:color="auto"/>
              <w:bottom w:val="single" w:sz="8" w:space="0" w:color="auto"/>
              <w:right w:val="nil"/>
            </w:tcBorders>
            <w:shd w:val="clear" w:color="000000" w:fill="F2F2F2"/>
            <w:noWrap/>
            <w:vAlign w:val="center"/>
            <w:hideMark/>
          </w:tcPr>
          <w:p w:rsidR="00F348E7" w:rsidRPr="00F348E7" w:rsidRDefault="00F348E7" w:rsidP="002C5559">
            <w:pPr>
              <w:spacing w:after="0" w:line="276" w:lineRule="auto"/>
              <w:rPr>
                <w:rFonts w:ascii="Calibri" w:eastAsia="Times New Roman" w:hAnsi="Calibri" w:cs="Calibri"/>
                <w:b/>
                <w:bCs/>
                <w:color w:val="000000"/>
              </w:rPr>
            </w:pPr>
            <w:r w:rsidRPr="00F348E7">
              <w:rPr>
                <w:rFonts w:ascii="Calibri" w:eastAsia="Times New Roman" w:hAnsi="Calibri" w:cs="Calibri"/>
                <w:b/>
                <w:bCs/>
                <w:color w:val="000000"/>
              </w:rPr>
              <w:t>Regional Median EV/ebitda</w:t>
            </w:r>
          </w:p>
        </w:tc>
        <w:tc>
          <w:tcPr>
            <w:tcW w:w="887" w:type="pct"/>
            <w:tcBorders>
              <w:top w:val="nil"/>
              <w:left w:val="nil"/>
              <w:bottom w:val="single" w:sz="8" w:space="0" w:color="auto"/>
              <w:right w:val="single" w:sz="8" w:space="0" w:color="auto"/>
            </w:tcBorders>
            <w:shd w:val="clear" w:color="000000" w:fill="F2F2F2"/>
            <w:noWrap/>
            <w:vAlign w:val="center"/>
            <w:hideMark/>
          </w:tcPr>
          <w:p w:rsidR="00F348E7" w:rsidRPr="00F348E7" w:rsidRDefault="00F348E7" w:rsidP="002C5559">
            <w:pPr>
              <w:spacing w:after="0" w:line="276" w:lineRule="auto"/>
              <w:jc w:val="center"/>
              <w:rPr>
                <w:rFonts w:ascii="Calibri" w:eastAsia="Times New Roman" w:hAnsi="Calibri" w:cs="Calibri"/>
                <w:b/>
                <w:bCs/>
                <w:color w:val="000000"/>
              </w:rPr>
            </w:pPr>
            <w:r w:rsidRPr="00F348E7">
              <w:rPr>
                <w:rFonts w:ascii="Calibri" w:eastAsia="Times New Roman" w:hAnsi="Calibri" w:cs="Calibri"/>
                <w:b/>
                <w:bCs/>
                <w:color w:val="000000"/>
              </w:rPr>
              <w:t>9.57</w:t>
            </w:r>
          </w:p>
        </w:tc>
      </w:tr>
    </w:tbl>
    <w:p w:rsidR="00F348E7" w:rsidRDefault="00F348E7" w:rsidP="00BC04BE">
      <w:pPr>
        <w:spacing w:line="360" w:lineRule="auto"/>
        <w:jc w:val="both"/>
        <w:rPr>
          <w:rFonts w:ascii="Times New Roman" w:hAnsi="Times New Roman" w:cs="Times New Roman"/>
          <w:b/>
          <w:sz w:val="24"/>
          <w:szCs w:val="24"/>
        </w:rPr>
      </w:pPr>
    </w:p>
    <w:tbl>
      <w:tblPr>
        <w:tblW w:w="4515" w:type="dxa"/>
        <w:tblLook w:val="04A0" w:firstRow="1" w:lastRow="0" w:firstColumn="1" w:lastColumn="0" w:noHBand="0" w:noVBand="1"/>
      </w:tblPr>
      <w:tblGrid>
        <w:gridCol w:w="3161"/>
        <w:gridCol w:w="1354"/>
      </w:tblGrid>
      <w:tr w:rsidR="002247B5" w:rsidRPr="002247B5" w:rsidTr="002C5559">
        <w:trPr>
          <w:trHeight w:val="344"/>
        </w:trPr>
        <w:tc>
          <w:tcPr>
            <w:tcW w:w="3161" w:type="dxa"/>
            <w:tcBorders>
              <w:top w:val="single" w:sz="8" w:space="0" w:color="auto"/>
              <w:left w:val="single" w:sz="8" w:space="0" w:color="auto"/>
              <w:bottom w:val="single" w:sz="8" w:space="0" w:color="auto"/>
              <w:right w:val="nil"/>
            </w:tcBorders>
            <w:shd w:val="clear" w:color="000000" w:fill="D9D9D9"/>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Particulars</w:t>
            </w:r>
          </w:p>
        </w:tc>
        <w:tc>
          <w:tcPr>
            <w:tcW w:w="1354" w:type="dxa"/>
            <w:tcBorders>
              <w:top w:val="single" w:sz="8" w:space="0" w:color="auto"/>
              <w:left w:val="nil"/>
              <w:bottom w:val="single" w:sz="8" w:space="0" w:color="auto"/>
              <w:right w:val="single" w:sz="8" w:space="0" w:color="auto"/>
            </w:tcBorders>
            <w:shd w:val="clear" w:color="000000" w:fill="D9D9D9"/>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Amount</w:t>
            </w:r>
          </w:p>
        </w:tc>
      </w:tr>
      <w:tr w:rsidR="002247B5" w:rsidRPr="002247B5" w:rsidTr="002C5559">
        <w:trPr>
          <w:trHeight w:val="327"/>
        </w:trPr>
        <w:tc>
          <w:tcPr>
            <w:tcW w:w="3161" w:type="dxa"/>
            <w:tcBorders>
              <w:top w:val="nil"/>
              <w:left w:val="single" w:sz="8" w:space="0" w:color="auto"/>
              <w:bottom w:val="nil"/>
              <w:right w:val="nil"/>
            </w:tcBorders>
            <w:shd w:val="clear" w:color="000000" w:fill="F2F2F2"/>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Price per share in sept 2017</w:t>
            </w:r>
          </w:p>
        </w:tc>
        <w:tc>
          <w:tcPr>
            <w:tcW w:w="1354"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 xml:space="preserve">           415.30 </w:t>
            </w:r>
          </w:p>
        </w:tc>
      </w:tr>
      <w:tr w:rsidR="002247B5" w:rsidRPr="002247B5" w:rsidTr="002C5559">
        <w:trPr>
          <w:trHeight w:val="327"/>
        </w:trPr>
        <w:tc>
          <w:tcPr>
            <w:tcW w:w="3161" w:type="dxa"/>
            <w:tcBorders>
              <w:top w:val="nil"/>
              <w:left w:val="single" w:sz="8" w:space="0" w:color="auto"/>
              <w:bottom w:val="nil"/>
              <w:right w:val="nil"/>
            </w:tcBorders>
            <w:shd w:val="clear" w:color="000000" w:fill="F2F2F2"/>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Market Value of Common Stock</w:t>
            </w:r>
          </w:p>
        </w:tc>
        <w:tc>
          <w:tcPr>
            <w:tcW w:w="1354"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 xml:space="preserve">   560,779.60 </w:t>
            </w:r>
          </w:p>
        </w:tc>
      </w:tr>
      <w:tr w:rsidR="002247B5" w:rsidRPr="002247B5" w:rsidTr="002C5559">
        <w:trPr>
          <w:trHeight w:val="327"/>
        </w:trPr>
        <w:tc>
          <w:tcPr>
            <w:tcW w:w="3161" w:type="dxa"/>
            <w:tcBorders>
              <w:top w:val="nil"/>
              <w:left w:val="single" w:sz="8" w:space="0" w:color="auto"/>
              <w:bottom w:val="nil"/>
              <w:right w:val="nil"/>
            </w:tcBorders>
            <w:shd w:val="clear" w:color="000000" w:fill="F2F2F2"/>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Market Value of Debt 2017</w:t>
            </w:r>
          </w:p>
        </w:tc>
        <w:tc>
          <w:tcPr>
            <w:tcW w:w="1354"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 xml:space="preserve">     13,469.48 </w:t>
            </w:r>
          </w:p>
        </w:tc>
      </w:tr>
      <w:tr w:rsidR="002247B5" w:rsidRPr="002247B5" w:rsidTr="002C5559">
        <w:trPr>
          <w:trHeight w:val="327"/>
        </w:trPr>
        <w:tc>
          <w:tcPr>
            <w:tcW w:w="3161" w:type="dxa"/>
            <w:tcBorders>
              <w:top w:val="nil"/>
              <w:left w:val="single" w:sz="8" w:space="0" w:color="auto"/>
              <w:bottom w:val="nil"/>
              <w:right w:val="nil"/>
            </w:tcBorders>
            <w:shd w:val="clear" w:color="000000" w:fill="F2F2F2"/>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Cash and cash equivalent</w:t>
            </w:r>
          </w:p>
        </w:tc>
        <w:tc>
          <w:tcPr>
            <w:tcW w:w="1354"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 xml:space="preserve">     12,414.67 </w:t>
            </w:r>
          </w:p>
        </w:tc>
      </w:tr>
      <w:tr w:rsidR="002247B5" w:rsidRPr="002247B5" w:rsidTr="002C5559">
        <w:trPr>
          <w:trHeight w:val="433"/>
        </w:trPr>
        <w:tc>
          <w:tcPr>
            <w:tcW w:w="3161" w:type="dxa"/>
            <w:tcBorders>
              <w:top w:val="nil"/>
              <w:left w:val="single" w:sz="8" w:space="0" w:color="auto"/>
              <w:bottom w:val="single" w:sz="8" w:space="0" w:color="auto"/>
              <w:right w:val="nil"/>
            </w:tcBorders>
            <w:shd w:val="clear" w:color="000000" w:fill="F2F2F2"/>
            <w:noWrap/>
            <w:vAlign w:val="bottom"/>
            <w:hideMark/>
          </w:tcPr>
          <w:p w:rsidR="002247B5" w:rsidRPr="002247B5" w:rsidRDefault="002247B5" w:rsidP="002247B5">
            <w:pPr>
              <w:spacing w:after="0" w:line="240" w:lineRule="auto"/>
              <w:rPr>
                <w:rFonts w:ascii="Calibri" w:eastAsia="Times New Roman" w:hAnsi="Calibri" w:cs="Calibri"/>
                <w:color w:val="000000"/>
              </w:rPr>
            </w:pPr>
            <w:r w:rsidRPr="002247B5">
              <w:rPr>
                <w:rFonts w:ascii="Calibri" w:eastAsia="Times New Roman" w:hAnsi="Calibri" w:cs="Calibri"/>
                <w:color w:val="000000"/>
              </w:rPr>
              <w:t>Enterprise Value(EV)</w:t>
            </w:r>
          </w:p>
        </w:tc>
        <w:tc>
          <w:tcPr>
            <w:tcW w:w="1354" w:type="dxa"/>
            <w:tcBorders>
              <w:top w:val="nil"/>
              <w:left w:val="nil"/>
              <w:bottom w:val="single" w:sz="8" w:space="0" w:color="auto"/>
              <w:right w:val="single" w:sz="8" w:space="0" w:color="auto"/>
            </w:tcBorders>
            <w:shd w:val="clear" w:color="000000" w:fill="F2F2F2"/>
            <w:noWrap/>
            <w:vAlign w:val="center"/>
            <w:hideMark/>
          </w:tcPr>
          <w:p w:rsidR="002247B5" w:rsidRPr="002247B5" w:rsidRDefault="002247B5" w:rsidP="002247B5">
            <w:pPr>
              <w:spacing w:after="0" w:line="240" w:lineRule="auto"/>
              <w:jc w:val="center"/>
              <w:rPr>
                <w:rFonts w:ascii="Calibri" w:eastAsia="Times New Roman" w:hAnsi="Calibri" w:cs="Calibri"/>
                <w:color w:val="000000"/>
              </w:rPr>
            </w:pPr>
            <w:r w:rsidRPr="002247B5">
              <w:rPr>
                <w:rFonts w:ascii="Calibri" w:eastAsia="Times New Roman" w:hAnsi="Calibri" w:cs="Calibri"/>
                <w:color w:val="000000"/>
              </w:rPr>
              <w:t xml:space="preserve">   561,834.42 </w:t>
            </w:r>
          </w:p>
        </w:tc>
      </w:tr>
    </w:tbl>
    <w:tbl>
      <w:tblPr>
        <w:tblpPr w:leftFromText="180" w:rightFromText="180" w:vertAnchor="text" w:horzAnchor="page" w:tblpX="6481" w:tblpY="-3062"/>
        <w:tblW w:w="4344" w:type="dxa"/>
        <w:tblLook w:val="04A0" w:firstRow="1" w:lastRow="0" w:firstColumn="1" w:lastColumn="0" w:noHBand="0" w:noVBand="1"/>
      </w:tblPr>
      <w:tblGrid>
        <w:gridCol w:w="2893"/>
        <w:gridCol w:w="1451"/>
      </w:tblGrid>
      <w:tr w:rsidR="002247B5" w:rsidRPr="002247B5" w:rsidTr="002247B5">
        <w:trPr>
          <w:trHeight w:val="240"/>
        </w:trPr>
        <w:tc>
          <w:tcPr>
            <w:tcW w:w="289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Particulars</w:t>
            </w:r>
          </w:p>
        </w:tc>
        <w:tc>
          <w:tcPr>
            <w:tcW w:w="1451" w:type="dxa"/>
            <w:tcBorders>
              <w:top w:val="single" w:sz="8" w:space="0" w:color="auto"/>
              <w:left w:val="nil"/>
              <w:bottom w:val="single" w:sz="8" w:space="0" w:color="auto"/>
              <w:right w:val="single" w:sz="8" w:space="0" w:color="auto"/>
            </w:tcBorders>
            <w:shd w:val="clear" w:color="000000" w:fill="D9D9D9"/>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Amount</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EV</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561,834.42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EBITDA (2017)</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73,290.98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 xml:space="preserve">EV/EBITDA </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7.67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EBITDA (forecasted 2018E)</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79,124.78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EV</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757,224.12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Cash and cash equivalent</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12,414.67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 xml:space="preserve">Interest-bearing debt </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19,149.11 </w:t>
            </w:r>
          </w:p>
        </w:tc>
      </w:tr>
      <w:tr w:rsidR="002247B5" w:rsidRPr="002247B5" w:rsidTr="002247B5">
        <w:trPr>
          <w:trHeight w:val="229"/>
        </w:trPr>
        <w:tc>
          <w:tcPr>
            <w:tcW w:w="2893" w:type="dxa"/>
            <w:tcBorders>
              <w:top w:val="nil"/>
              <w:left w:val="single" w:sz="8" w:space="0" w:color="auto"/>
              <w:bottom w:val="nil"/>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color w:val="000000"/>
              </w:rPr>
            </w:pPr>
            <w:r w:rsidRPr="002247B5">
              <w:rPr>
                <w:rFonts w:ascii="Calibri" w:eastAsia="Times New Roman" w:hAnsi="Calibri" w:cs="Calibri"/>
                <w:color w:val="000000"/>
              </w:rPr>
              <w:t>Equity Value</w:t>
            </w:r>
          </w:p>
        </w:tc>
        <w:tc>
          <w:tcPr>
            <w:tcW w:w="1451" w:type="dxa"/>
            <w:tcBorders>
              <w:top w:val="nil"/>
              <w:left w:val="nil"/>
              <w:bottom w:val="nil"/>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color w:val="000000"/>
              </w:rPr>
            </w:pPr>
            <w:r w:rsidRPr="002247B5">
              <w:rPr>
                <w:rFonts w:ascii="Calibri" w:eastAsia="Times New Roman" w:hAnsi="Calibri" w:cs="Calibri"/>
                <w:color w:val="000000"/>
              </w:rPr>
              <w:t xml:space="preserve">   750,489.67 </w:t>
            </w:r>
          </w:p>
        </w:tc>
      </w:tr>
      <w:tr w:rsidR="002247B5" w:rsidRPr="002247B5" w:rsidTr="002247B5">
        <w:trPr>
          <w:trHeight w:val="240"/>
        </w:trPr>
        <w:tc>
          <w:tcPr>
            <w:tcW w:w="2893" w:type="dxa"/>
            <w:tcBorders>
              <w:top w:val="nil"/>
              <w:left w:val="single" w:sz="8" w:space="0" w:color="auto"/>
              <w:bottom w:val="single" w:sz="8" w:space="0" w:color="auto"/>
              <w:right w:val="nil"/>
            </w:tcBorders>
            <w:shd w:val="clear" w:color="000000" w:fill="F2F2F2"/>
            <w:noWrap/>
            <w:vAlign w:val="center"/>
            <w:hideMark/>
          </w:tcPr>
          <w:p w:rsidR="002247B5" w:rsidRPr="002247B5" w:rsidRDefault="002247B5" w:rsidP="002247B5">
            <w:pPr>
              <w:spacing w:after="0" w:line="276" w:lineRule="auto"/>
              <w:rPr>
                <w:rFonts w:ascii="Calibri" w:eastAsia="Times New Roman" w:hAnsi="Calibri" w:cs="Calibri"/>
                <w:b/>
                <w:bCs/>
                <w:color w:val="000000"/>
              </w:rPr>
            </w:pPr>
            <w:r w:rsidRPr="002247B5">
              <w:rPr>
                <w:rFonts w:ascii="Calibri" w:eastAsia="Times New Roman" w:hAnsi="Calibri" w:cs="Calibri"/>
                <w:b/>
                <w:bCs/>
                <w:color w:val="000000"/>
              </w:rPr>
              <w:t>Value Per Share</w:t>
            </w:r>
          </w:p>
        </w:tc>
        <w:tc>
          <w:tcPr>
            <w:tcW w:w="1451" w:type="dxa"/>
            <w:tcBorders>
              <w:top w:val="nil"/>
              <w:left w:val="nil"/>
              <w:bottom w:val="single" w:sz="8" w:space="0" w:color="auto"/>
              <w:right w:val="single" w:sz="8" w:space="0" w:color="auto"/>
            </w:tcBorders>
            <w:shd w:val="clear" w:color="000000" w:fill="F2F2F2"/>
            <w:noWrap/>
            <w:vAlign w:val="center"/>
            <w:hideMark/>
          </w:tcPr>
          <w:p w:rsidR="002247B5" w:rsidRPr="002247B5" w:rsidRDefault="002247B5" w:rsidP="002247B5">
            <w:pPr>
              <w:spacing w:after="0" w:line="276" w:lineRule="auto"/>
              <w:jc w:val="center"/>
              <w:rPr>
                <w:rFonts w:ascii="Calibri" w:eastAsia="Times New Roman" w:hAnsi="Calibri" w:cs="Calibri"/>
                <w:b/>
                <w:bCs/>
                <w:color w:val="000000"/>
              </w:rPr>
            </w:pPr>
            <w:r w:rsidRPr="002247B5">
              <w:rPr>
                <w:rFonts w:ascii="Calibri" w:eastAsia="Times New Roman" w:hAnsi="Calibri" w:cs="Calibri"/>
                <w:b/>
                <w:bCs/>
                <w:color w:val="000000"/>
              </w:rPr>
              <w:t xml:space="preserve">            555.79 </w:t>
            </w:r>
          </w:p>
        </w:tc>
      </w:tr>
    </w:tbl>
    <w:p w:rsidR="00A90455" w:rsidRDefault="00A90455" w:rsidP="00BC04BE">
      <w:pPr>
        <w:spacing w:line="360" w:lineRule="auto"/>
        <w:jc w:val="both"/>
        <w:rPr>
          <w:rFonts w:ascii="Times New Roman" w:hAnsi="Times New Roman" w:cs="Times New Roman"/>
          <w:sz w:val="24"/>
          <w:szCs w:val="24"/>
        </w:rPr>
      </w:pPr>
    </w:p>
    <w:p w:rsidR="00837EA1" w:rsidRDefault="00837EA1" w:rsidP="00BC04BE">
      <w:pPr>
        <w:spacing w:line="360" w:lineRule="auto"/>
        <w:jc w:val="both"/>
        <w:rPr>
          <w:rFonts w:ascii="Times New Roman" w:hAnsi="Times New Roman" w:cs="Times New Roman"/>
          <w:sz w:val="24"/>
          <w:szCs w:val="24"/>
        </w:rPr>
      </w:pPr>
      <w:r>
        <w:rPr>
          <w:rFonts w:ascii="Times New Roman" w:hAnsi="Times New Roman" w:cs="Times New Roman"/>
          <w:sz w:val="24"/>
          <w:szCs w:val="24"/>
        </w:rPr>
        <w:t>The enterprise value of 757,224 has been calculated by multiplying the forecasted EBITDA</w:t>
      </w:r>
      <w:r w:rsidR="001B3E0B">
        <w:rPr>
          <w:rFonts w:ascii="Times New Roman" w:hAnsi="Times New Roman" w:cs="Times New Roman"/>
          <w:sz w:val="24"/>
          <w:szCs w:val="24"/>
        </w:rPr>
        <w:t xml:space="preserve"> of 2018</w:t>
      </w:r>
      <w:r>
        <w:rPr>
          <w:rFonts w:ascii="Times New Roman" w:hAnsi="Times New Roman" w:cs="Times New Roman"/>
          <w:sz w:val="24"/>
          <w:szCs w:val="24"/>
        </w:rPr>
        <w:t xml:space="preserve"> with regional median </w:t>
      </w:r>
      <w:r w:rsidRPr="00837EA1">
        <w:rPr>
          <w:rFonts w:ascii="Times New Roman" w:hAnsi="Times New Roman" w:cs="Times New Roman"/>
          <w:sz w:val="24"/>
          <w:szCs w:val="24"/>
        </w:rPr>
        <w:t>ev/evitda</w:t>
      </w:r>
      <w:r w:rsidR="00164CE5">
        <w:rPr>
          <w:rFonts w:ascii="Times New Roman" w:hAnsi="Times New Roman" w:cs="Times New Roman"/>
          <w:sz w:val="24"/>
          <w:szCs w:val="24"/>
        </w:rPr>
        <w:t>. On the basis of EV/ EBITDA m</w:t>
      </w:r>
      <w:r w:rsidR="00164CE5" w:rsidRPr="00164CE5">
        <w:rPr>
          <w:rFonts w:ascii="Times New Roman" w:hAnsi="Times New Roman" w:cs="Times New Roman"/>
          <w:sz w:val="24"/>
          <w:szCs w:val="24"/>
        </w:rPr>
        <w:t>ultiple</w:t>
      </w:r>
      <w:r w:rsidR="00164CE5">
        <w:rPr>
          <w:rFonts w:ascii="Times New Roman" w:hAnsi="Times New Roman" w:cs="Times New Roman"/>
          <w:sz w:val="24"/>
          <w:szCs w:val="24"/>
        </w:rPr>
        <w:t xml:space="preserve">, the value per share of GP stands BDT 555.79. </w:t>
      </w:r>
    </w:p>
    <w:p w:rsidR="00BC7804" w:rsidRDefault="00BC7804">
      <w:pPr>
        <w:rPr>
          <w:rFonts w:ascii="Times New Roman" w:hAnsi="Times New Roman" w:cs="Times New Roman"/>
          <w:sz w:val="24"/>
          <w:szCs w:val="24"/>
        </w:rPr>
      </w:pPr>
      <w:r>
        <w:rPr>
          <w:rFonts w:ascii="Times New Roman" w:hAnsi="Times New Roman" w:cs="Times New Roman"/>
          <w:sz w:val="24"/>
          <w:szCs w:val="24"/>
        </w:rPr>
        <w:br w:type="page"/>
      </w:r>
    </w:p>
    <w:p w:rsidR="00596751" w:rsidRDefault="00BC7804" w:rsidP="00BC04BE">
      <w:pPr>
        <w:spacing w:line="360" w:lineRule="auto"/>
        <w:jc w:val="both"/>
        <w:rPr>
          <w:rFonts w:ascii="Times New Roman" w:hAnsi="Times New Roman" w:cs="Times New Roman"/>
          <w:b/>
          <w:sz w:val="24"/>
          <w:szCs w:val="24"/>
        </w:rPr>
      </w:pPr>
      <w:r w:rsidRPr="00BC7804">
        <w:rPr>
          <w:rFonts w:ascii="Times New Roman" w:hAnsi="Times New Roman" w:cs="Times New Roman"/>
          <w:b/>
          <w:sz w:val="24"/>
          <w:szCs w:val="24"/>
        </w:rPr>
        <w:lastRenderedPageBreak/>
        <w:t xml:space="preserve">Target Price of GP’s share: </w:t>
      </w:r>
    </w:p>
    <w:p w:rsidR="001704C5" w:rsidRPr="001704C5" w:rsidRDefault="001704C5" w:rsidP="00BC04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target price of GP’s share has been determined by giving 60% weight to FCFF value per share, 20% weight to P/E multiple value per share and 20% weight to </w:t>
      </w:r>
      <w:r w:rsidR="007A0BE0" w:rsidRPr="007A0BE0">
        <w:rPr>
          <w:rFonts w:ascii="Times New Roman" w:hAnsi="Times New Roman" w:cs="Times New Roman"/>
          <w:sz w:val="24"/>
          <w:szCs w:val="24"/>
        </w:rPr>
        <w:t>EV/EBITDA</w:t>
      </w:r>
      <w:r w:rsidR="007A0BE0" w:rsidRPr="007A0BE0">
        <w:t xml:space="preserve"> </w:t>
      </w:r>
      <w:r w:rsidR="007A0BE0" w:rsidRPr="007A0BE0">
        <w:rPr>
          <w:rFonts w:ascii="Times New Roman" w:hAnsi="Times New Roman" w:cs="Times New Roman"/>
          <w:sz w:val="24"/>
          <w:szCs w:val="24"/>
        </w:rPr>
        <w:t>multiple value per share</w:t>
      </w:r>
      <w:r w:rsidR="007A0BE0">
        <w:rPr>
          <w:rFonts w:ascii="Times New Roman" w:hAnsi="Times New Roman" w:cs="Times New Roman"/>
          <w:sz w:val="24"/>
          <w:szCs w:val="24"/>
        </w:rPr>
        <w:t>.</w:t>
      </w:r>
      <w:r w:rsidR="004342C2">
        <w:rPr>
          <w:rFonts w:ascii="Times New Roman" w:hAnsi="Times New Roman" w:cs="Times New Roman"/>
          <w:sz w:val="24"/>
          <w:szCs w:val="24"/>
        </w:rPr>
        <w:t xml:space="preserve"> And it is forecasted that the share price of GP in December 2019 will BDT 444.75.</w:t>
      </w:r>
    </w:p>
    <w:tbl>
      <w:tblPr>
        <w:tblW w:w="7140" w:type="dxa"/>
        <w:tblLook w:val="04A0" w:firstRow="1" w:lastRow="0" w:firstColumn="1" w:lastColumn="0" w:noHBand="0" w:noVBand="1"/>
      </w:tblPr>
      <w:tblGrid>
        <w:gridCol w:w="3080"/>
        <w:gridCol w:w="1580"/>
        <w:gridCol w:w="2480"/>
      </w:tblGrid>
      <w:tr w:rsidR="00BC7804" w:rsidRPr="00BC7804" w:rsidTr="00BC7804">
        <w:trPr>
          <w:trHeight w:val="315"/>
        </w:trPr>
        <w:tc>
          <w:tcPr>
            <w:tcW w:w="3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BC7804" w:rsidRPr="00BC7804" w:rsidRDefault="00BC7804" w:rsidP="00BC7804">
            <w:pPr>
              <w:spacing w:after="0" w:line="240" w:lineRule="auto"/>
              <w:rPr>
                <w:rFonts w:ascii="Calibri" w:eastAsia="Times New Roman" w:hAnsi="Calibri" w:cs="Calibri"/>
                <w:b/>
                <w:color w:val="000000"/>
              </w:rPr>
            </w:pPr>
            <w:r w:rsidRPr="00BC7804">
              <w:rPr>
                <w:rFonts w:ascii="Calibri" w:eastAsia="Times New Roman" w:hAnsi="Calibri" w:cs="Calibri"/>
                <w:b/>
                <w:color w:val="000000"/>
              </w:rPr>
              <w:t>Target Price:</w:t>
            </w:r>
          </w:p>
        </w:tc>
        <w:tc>
          <w:tcPr>
            <w:tcW w:w="1580" w:type="dxa"/>
            <w:tcBorders>
              <w:top w:val="nil"/>
              <w:left w:val="nil"/>
              <w:bottom w:val="nil"/>
              <w:right w:val="nil"/>
            </w:tcBorders>
            <w:shd w:val="clear" w:color="auto" w:fill="auto"/>
            <w:noWrap/>
            <w:vAlign w:val="bottom"/>
            <w:hideMark/>
          </w:tcPr>
          <w:p w:rsidR="00BC7804" w:rsidRPr="00BC7804" w:rsidRDefault="00BC7804" w:rsidP="00BC7804">
            <w:pPr>
              <w:spacing w:after="0" w:line="240" w:lineRule="auto"/>
              <w:rPr>
                <w:rFonts w:ascii="Calibri" w:eastAsia="Times New Roman" w:hAnsi="Calibri" w:cs="Calibri"/>
                <w:color w:val="000000"/>
              </w:rPr>
            </w:pPr>
          </w:p>
        </w:tc>
        <w:tc>
          <w:tcPr>
            <w:tcW w:w="2480" w:type="dxa"/>
            <w:tcBorders>
              <w:top w:val="nil"/>
              <w:left w:val="nil"/>
              <w:bottom w:val="nil"/>
              <w:right w:val="nil"/>
            </w:tcBorders>
            <w:shd w:val="clear" w:color="auto" w:fill="auto"/>
            <w:noWrap/>
            <w:vAlign w:val="bottom"/>
            <w:hideMark/>
          </w:tcPr>
          <w:p w:rsidR="00BC7804" w:rsidRPr="00BC7804" w:rsidRDefault="00BC7804" w:rsidP="00BC7804">
            <w:pPr>
              <w:spacing w:after="0" w:line="240" w:lineRule="auto"/>
              <w:rPr>
                <w:rFonts w:ascii="Times New Roman" w:eastAsia="Times New Roman" w:hAnsi="Times New Roman" w:cs="Times New Roman"/>
                <w:sz w:val="20"/>
                <w:szCs w:val="20"/>
              </w:rPr>
            </w:pPr>
          </w:p>
        </w:tc>
      </w:tr>
      <w:tr w:rsidR="00BC7804" w:rsidRPr="00BC7804" w:rsidTr="00BC7804">
        <w:trPr>
          <w:trHeight w:val="315"/>
        </w:trPr>
        <w:tc>
          <w:tcPr>
            <w:tcW w:w="3080" w:type="dxa"/>
            <w:tcBorders>
              <w:top w:val="nil"/>
              <w:left w:val="single" w:sz="8" w:space="0" w:color="auto"/>
              <w:bottom w:val="single" w:sz="8" w:space="0" w:color="auto"/>
              <w:right w:val="nil"/>
            </w:tcBorders>
            <w:shd w:val="clear" w:color="auto" w:fill="D9D9D9" w:themeFill="background1" w:themeFillShade="D9"/>
            <w:noWrap/>
            <w:vAlign w:val="center"/>
            <w:hideMark/>
          </w:tcPr>
          <w:p w:rsidR="00BC7804" w:rsidRPr="00BC7804" w:rsidRDefault="00BC7804" w:rsidP="00BC7804">
            <w:pPr>
              <w:spacing w:after="0" w:line="240" w:lineRule="auto"/>
              <w:rPr>
                <w:rFonts w:ascii="Calibri" w:eastAsia="Times New Roman" w:hAnsi="Calibri" w:cs="Calibri"/>
                <w:b/>
                <w:color w:val="000000"/>
              </w:rPr>
            </w:pPr>
            <w:r w:rsidRPr="00BC7804">
              <w:rPr>
                <w:rFonts w:ascii="Calibri" w:eastAsia="Times New Roman" w:hAnsi="Calibri" w:cs="Calibri"/>
                <w:b/>
                <w:color w:val="000000"/>
              </w:rPr>
              <w:t>Particulars</w:t>
            </w:r>
          </w:p>
        </w:tc>
        <w:tc>
          <w:tcPr>
            <w:tcW w:w="1580" w:type="dxa"/>
            <w:tcBorders>
              <w:top w:val="single" w:sz="8" w:space="0" w:color="auto"/>
              <w:left w:val="nil"/>
              <w:bottom w:val="single" w:sz="8" w:space="0" w:color="auto"/>
              <w:right w:val="nil"/>
            </w:tcBorders>
            <w:shd w:val="clear" w:color="auto" w:fill="D9D9D9" w:themeFill="background1" w:themeFillShade="D9"/>
            <w:noWrap/>
            <w:vAlign w:val="center"/>
            <w:hideMark/>
          </w:tcPr>
          <w:p w:rsidR="00BC7804" w:rsidRPr="00BC7804" w:rsidRDefault="00BC7804" w:rsidP="00BC7804">
            <w:pPr>
              <w:spacing w:after="0" w:line="240" w:lineRule="auto"/>
              <w:jc w:val="center"/>
              <w:rPr>
                <w:rFonts w:ascii="Calibri" w:eastAsia="Times New Roman" w:hAnsi="Calibri" w:cs="Calibri"/>
                <w:b/>
                <w:color w:val="000000"/>
              </w:rPr>
            </w:pPr>
            <w:r w:rsidRPr="00BC7804">
              <w:rPr>
                <w:rFonts w:ascii="Calibri" w:eastAsia="Times New Roman" w:hAnsi="Calibri" w:cs="Calibri"/>
                <w:b/>
                <w:color w:val="000000"/>
              </w:rPr>
              <w:t>Value per share</w:t>
            </w:r>
          </w:p>
        </w:tc>
        <w:tc>
          <w:tcPr>
            <w:tcW w:w="248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BC7804" w:rsidRPr="00BC7804" w:rsidRDefault="00BC7804" w:rsidP="00BC7804">
            <w:pPr>
              <w:spacing w:after="0" w:line="240" w:lineRule="auto"/>
              <w:jc w:val="center"/>
              <w:rPr>
                <w:rFonts w:ascii="Calibri" w:eastAsia="Times New Roman" w:hAnsi="Calibri" w:cs="Calibri"/>
                <w:b/>
                <w:color w:val="000000"/>
              </w:rPr>
            </w:pPr>
            <w:r w:rsidRPr="00BC7804">
              <w:rPr>
                <w:rFonts w:ascii="Calibri" w:eastAsia="Times New Roman" w:hAnsi="Calibri" w:cs="Calibri"/>
                <w:b/>
                <w:color w:val="000000"/>
              </w:rPr>
              <w:t>Weight</w:t>
            </w:r>
          </w:p>
        </w:tc>
      </w:tr>
      <w:tr w:rsidR="00BC7804" w:rsidRPr="00BC7804" w:rsidTr="00BC7804">
        <w:trPr>
          <w:trHeight w:val="300"/>
        </w:trPr>
        <w:tc>
          <w:tcPr>
            <w:tcW w:w="3080" w:type="dxa"/>
            <w:tcBorders>
              <w:top w:val="nil"/>
              <w:left w:val="single" w:sz="8" w:space="0" w:color="auto"/>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rPr>
                <w:rFonts w:ascii="Calibri" w:eastAsia="Times New Roman" w:hAnsi="Calibri" w:cs="Calibri"/>
                <w:color w:val="000000"/>
              </w:rPr>
            </w:pPr>
            <w:r w:rsidRPr="00BC7804">
              <w:rPr>
                <w:rFonts w:ascii="Calibri" w:eastAsia="Times New Roman" w:hAnsi="Calibri" w:cs="Calibri"/>
                <w:color w:val="000000"/>
              </w:rPr>
              <w:t>Free Cash flow to Firm (FCFF)</w:t>
            </w:r>
          </w:p>
        </w:tc>
        <w:tc>
          <w:tcPr>
            <w:tcW w:w="1580" w:type="dxa"/>
            <w:tcBorders>
              <w:top w:val="nil"/>
              <w:left w:val="nil"/>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381.52</w:t>
            </w:r>
          </w:p>
        </w:tc>
        <w:tc>
          <w:tcPr>
            <w:tcW w:w="2480" w:type="dxa"/>
            <w:tcBorders>
              <w:top w:val="nil"/>
              <w:left w:val="nil"/>
              <w:bottom w:val="nil"/>
              <w:right w:val="single" w:sz="8" w:space="0" w:color="auto"/>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0.6</w:t>
            </w:r>
          </w:p>
        </w:tc>
      </w:tr>
      <w:tr w:rsidR="00BC7804" w:rsidRPr="00BC7804" w:rsidTr="00BC7804">
        <w:trPr>
          <w:trHeight w:val="300"/>
        </w:trPr>
        <w:tc>
          <w:tcPr>
            <w:tcW w:w="3080" w:type="dxa"/>
            <w:tcBorders>
              <w:top w:val="nil"/>
              <w:left w:val="single" w:sz="8" w:space="0" w:color="auto"/>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rPr>
                <w:rFonts w:ascii="Calibri" w:eastAsia="Times New Roman" w:hAnsi="Calibri" w:cs="Calibri"/>
                <w:color w:val="000000"/>
              </w:rPr>
            </w:pPr>
            <w:r w:rsidRPr="00BC7804">
              <w:rPr>
                <w:rFonts w:ascii="Calibri" w:eastAsia="Times New Roman" w:hAnsi="Calibri" w:cs="Calibri"/>
                <w:color w:val="000000"/>
              </w:rPr>
              <w:t>P/E</w:t>
            </w:r>
          </w:p>
        </w:tc>
        <w:tc>
          <w:tcPr>
            <w:tcW w:w="1580" w:type="dxa"/>
            <w:tcBorders>
              <w:top w:val="nil"/>
              <w:left w:val="nil"/>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523.39</w:t>
            </w:r>
          </w:p>
        </w:tc>
        <w:tc>
          <w:tcPr>
            <w:tcW w:w="2480" w:type="dxa"/>
            <w:tcBorders>
              <w:top w:val="nil"/>
              <w:left w:val="nil"/>
              <w:bottom w:val="nil"/>
              <w:right w:val="single" w:sz="8" w:space="0" w:color="auto"/>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0.2</w:t>
            </w:r>
          </w:p>
        </w:tc>
      </w:tr>
      <w:tr w:rsidR="00BC7804" w:rsidRPr="00BC7804" w:rsidTr="00BC7804">
        <w:trPr>
          <w:trHeight w:val="300"/>
        </w:trPr>
        <w:tc>
          <w:tcPr>
            <w:tcW w:w="3080" w:type="dxa"/>
            <w:tcBorders>
              <w:top w:val="nil"/>
              <w:left w:val="single" w:sz="8" w:space="0" w:color="auto"/>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rPr>
                <w:rFonts w:ascii="Calibri" w:eastAsia="Times New Roman" w:hAnsi="Calibri" w:cs="Calibri"/>
                <w:color w:val="000000"/>
              </w:rPr>
            </w:pPr>
            <w:r w:rsidRPr="00BC7804">
              <w:rPr>
                <w:rFonts w:ascii="Calibri" w:eastAsia="Times New Roman" w:hAnsi="Calibri" w:cs="Calibri"/>
                <w:color w:val="000000"/>
              </w:rPr>
              <w:t>EV/EBITDA</w:t>
            </w:r>
          </w:p>
        </w:tc>
        <w:tc>
          <w:tcPr>
            <w:tcW w:w="1580" w:type="dxa"/>
            <w:tcBorders>
              <w:top w:val="nil"/>
              <w:left w:val="nil"/>
              <w:bottom w:val="nil"/>
              <w:right w:val="nil"/>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555.79</w:t>
            </w:r>
          </w:p>
        </w:tc>
        <w:tc>
          <w:tcPr>
            <w:tcW w:w="2480" w:type="dxa"/>
            <w:tcBorders>
              <w:top w:val="nil"/>
              <w:left w:val="nil"/>
              <w:bottom w:val="nil"/>
              <w:right w:val="single" w:sz="8" w:space="0" w:color="auto"/>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0.2</w:t>
            </w:r>
          </w:p>
        </w:tc>
      </w:tr>
      <w:tr w:rsidR="00BC7804" w:rsidRPr="00BC7804" w:rsidTr="00BC7804">
        <w:trPr>
          <w:trHeight w:val="315"/>
        </w:trPr>
        <w:tc>
          <w:tcPr>
            <w:tcW w:w="3080" w:type="dxa"/>
            <w:tcBorders>
              <w:top w:val="nil"/>
              <w:left w:val="single" w:sz="8" w:space="0" w:color="auto"/>
              <w:bottom w:val="single" w:sz="8" w:space="0" w:color="auto"/>
              <w:right w:val="nil"/>
            </w:tcBorders>
            <w:shd w:val="clear" w:color="auto" w:fill="F2F2F2" w:themeFill="background1" w:themeFillShade="F2"/>
            <w:noWrap/>
            <w:vAlign w:val="center"/>
            <w:hideMark/>
          </w:tcPr>
          <w:p w:rsidR="00BC7804" w:rsidRPr="00BC7804" w:rsidRDefault="00BC7804" w:rsidP="00BC7804">
            <w:pPr>
              <w:spacing w:after="0" w:line="240" w:lineRule="auto"/>
              <w:rPr>
                <w:rFonts w:ascii="Calibri" w:eastAsia="Times New Roman" w:hAnsi="Calibri" w:cs="Calibri"/>
                <w:color w:val="000000"/>
              </w:rPr>
            </w:pPr>
            <w:r w:rsidRPr="00BC7804">
              <w:rPr>
                <w:rFonts w:ascii="Calibri" w:eastAsia="Times New Roman" w:hAnsi="Calibri" w:cs="Calibri"/>
                <w:color w:val="000000"/>
              </w:rPr>
              <w:t>Target Price</w:t>
            </w:r>
          </w:p>
        </w:tc>
        <w:tc>
          <w:tcPr>
            <w:tcW w:w="1580" w:type="dxa"/>
            <w:tcBorders>
              <w:top w:val="nil"/>
              <w:left w:val="nil"/>
              <w:bottom w:val="single" w:sz="8" w:space="0" w:color="auto"/>
              <w:right w:val="nil"/>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444.75</w:t>
            </w:r>
          </w:p>
        </w:tc>
        <w:tc>
          <w:tcPr>
            <w:tcW w:w="2480" w:type="dxa"/>
            <w:tcBorders>
              <w:top w:val="nil"/>
              <w:left w:val="nil"/>
              <w:bottom w:val="single" w:sz="8" w:space="0" w:color="auto"/>
              <w:right w:val="single" w:sz="8" w:space="0" w:color="auto"/>
            </w:tcBorders>
            <w:shd w:val="clear" w:color="auto" w:fill="F2F2F2" w:themeFill="background1" w:themeFillShade="F2"/>
            <w:noWrap/>
            <w:vAlign w:val="center"/>
            <w:hideMark/>
          </w:tcPr>
          <w:p w:rsidR="00BC7804" w:rsidRPr="00BC7804" w:rsidRDefault="00BC7804" w:rsidP="00BC7804">
            <w:pPr>
              <w:spacing w:after="0" w:line="240" w:lineRule="auto"/>
              <w:jc w:val="center"/>
              <w:rPr>
                <w:rFonts w:ascii="Calibri" w:eastAsia="Times New Roman" w:hAnsi="Calibri" w:cs="Calibri"/>
                <w:color w:val="000000"/>
              </w:rPr>
            </w:pPr>
            <w:r w:rsidRPr="00BC7804">
              <w:rPr>
                <w:rFonts w:ascii="Calibri" w:eastAsia="Times New Roman" w:hAnsi="Calibri" w:cs="Calibri"/>
                <w:color w:val="000000"/>
              </w:rPr>
              <w:t>1</w:t>
            </w:r>
          </w:p>
        </w:tc>
      </w:tr>
    </w:tbl>
    <w:p w:rsidR="00BC7804" w:rsidRDefault="00BC7804" w:rsidP="00BC04BE">
      <w:pPr>
        <w:spacing w:line="360" w:lineRule="auto"/>
        <w:jc w:val="both"/>
        <w:rPr>
          <w:rFonts w:ascii="Times New Roman" w:hAnsi="Times New Roman" w:cs="Times New Roman"/>
          <w:b/>
          <w:sz w:val="24"/>
          <w:szCs w:val="24"/>
        </w:rPr>
      </w:pPr>
    </w:p>
    <w:tbl>
      <w:tblPr>
        <w:tblW w:w="4660" w:type="dxa"/>
        <w:tblLook w:val="04A0" w:firstRow="1" w:lastRow="0" w:firstColumn="1" w:lastColumn="0" w:noHBand="0" w:noVBand="1"/>
      </w:tblPr>
      <w:tblGrid>
        <w:gridCol w:w="3080"/>
        <w:gridCol w:w="1580"/>
      </w:tblGrid>
      <w:tr w:rsidR="002B5C1A" w:rsidRPr="002B5C1A" w:rsidTr="002B5C1A">
        <w:trPr>
          <w:trHeight w:val="300"/>
        </w:trPr>
        <w:tc>
          <w:tcPr>
            <w:tcW w:w="3080" w:type="dxa"/>
            <w:tcBorders>
              <w:top w:val="single" w:sz="8" w:space="0" w:color="auto"/>
              <w:left w:val="single" w:sz="8" w:space="0" w:color="auto"/>
              <w:bottom w:val="nil"/>
              <w:right w:val="single" w:sz="8" w:space="0" w:color="auto"/>
            </w:tcBorders>
            <w:shd w:val="clear" w:color="000000" w:fill="F2F2F2"/>
            <w:noWrap/>
            <w:vAlign w:val="bottom"/>
            <w:hideMark/>
          </w:tcPr>
          <w:p w:rsidR="002B5C1A" w:rsidRPr="002B5C1A" w:rsidRDefault="002B5C1A" w:rsidP="002B5C1A">
            <w:pPr>
              <w:spacing w:after="0" w:line="240" w:lineRule="auto"/>
              <w:rPr>
                <w:rFonts w:ascii="Calibri" w:eastAsia="Times New Roman" w:hAnsi="Calibri" w:cs="Calibri"/>
                <w:color w:val="000000"/>
              </w:rPr>
            </w:pPr>
            <w:r w:rsidRPr="002B5C1A">
              <w:rPr>
                <w:rFonts w:ascii="Calibri" w:eastAsia="Times New Roman" w:hAnsi="Calibri" w:cs="Calibri"/>
                <w:color w:val="000000"/>
              </w:rPr>
              <w:t>Current price (27.12.2018)</w:t>
            </w:r>
          </w:p>
        </w:tc>
        <w:tc>
          <w:tcPr>
            <w:tcW w:w="1580" w:type="dxa"/>
            <w:tcBorders>
              <w:top w:val="single" w:sz="8" w:space="0" w:color="auto"/>
              <w:left w:val="nil"/>
              <w:bottom w:val="nil"/>
              <w:right w:val="single" w:sz="8" w:space="0" w:color="auto"/>
            </w:tcBorders>
            <w:shd w:val="clear" w:color="000000" w:fill="F2F2F2"/>
            <w:noWrap/>
            <w:vAlign w:val="bottom"/>
            <w:hideMark/>
          </w:tcPr>
          <w:p w:rsidR="002B5C1A" w:rsidRPr="002B5C1A" w:rsidRDefault="002B5C1A" w:rsidP="002B5C1A">
            <w:pPr>
              <w:spacing w:after="0" w:line="240" w:lineRule="auto"/>
              <w:jc w:val="right"/>
              <w:rPr>
                <w:rFonts w:ascii="Calibri" w:eastAsia="Times New Roman" w:hAnsi="Calibri" w:cs="Calibri"/>
                <w:color w:val="000000"/>
              </w:rPr>
            </w:pPr>
            <w:r w:rsidRPr="002B5C1A">
              <w:rPr>
                <w:rFonts w:ascii="Calibri" w:eastAsia="Times New Roman" w:hAnsi="Calibri" w:cs="Calibri"/>
                <w:color w:val="000000"/>
              </w:rPr>
              <w:t>367.30</w:t>
            </w:r>
          </w:p>
        </w:tc>
      </w:tr>
      <w:tr w:rsidR="002B5C1A" w:rsidRPr="002B5C1A" w:rsidTr="002B5C1A">
        <w:trPr>
          <w:trHeight w:val="300"/>
        </w:trPr>
        <w:tc>
          <w:tcPr>
            <w:tcW w:w="3080" w:type="dxa"/>
            <w:tcBorders>
              <w:top w:val="nil"/>
              <w:left w:val="single" w:sz="8" w:space="0" w:color="auto"/>
              <w:bottom w:val="nil"/>
              <w:right w:val="single" w:sz="8" w:space="0" w:color="auto"/>
            </w:tcBorders>
            <w:shd w:val="clear" w:color="000000" w:fill="F2F2F2"/>
            <w:noWrap/>
            <w:vAlign w:val="bottom"/>
            <w:hideMark/>
          </w:tcPr>
          <w:p w:rsidR="002B5C1A" w:rsidRPr="002B5C1A" w:rsidRDefault="002B5C1A" w:rsidP="002B5C1A">
            <w:pPr>
              <w:spacing w:after="0" w:line="240" w:lineRule="auto"/>
              <w:rPr>
                <w:rFonts w:ascii="Calibri" w:eastAsia="Times New Roman" w:hAnsi="Calibri" w:cs="Calibri"/>
                <w:color w:val="000000"/>
              </w:rPr>
            </w:pPr>
            <w:r w:rsidRPr="002B5C1A">
              <w:rPr>
                <w:rFonts w:ascii="Calibri" w:eastAsia="Times New Roman" w:hAnsi="Calibri" w:cs="Calibri"/>
                <w:color w:val="000000"/>
              </w:rPr>
              <w:t>Holding period</w:t>
            </w:r>
            <w:r>
              <w:rPr>
                <w:rFonts w:ascii="Calibri" w:eastAsia="Times New Roman" w:hAnsi="Calibri" w:cs="Calibri"/>
                <w:color w:val="000000"/>
              </w:rPr>
              <w:t>, n</w:t>
            </w:r>
          </w:p>
        </w:tc>
        <w:tc>
          <w:tcPr>
            <w:tcW w:w="1580" w:type="dxa"/>
            <w:tcBorders>
              <w:top w:val="nil"/>
              <w:left w:val="nil"/>
              <w:bottom w:val="nil"/>
              <w:right w:val="single" w:sz="8" w:space="0" w:color="auto"/>
            </w:tcBorders>
            <w:shd w:val="clear" w:color="000000" w:fill="F2F2F2"/>
            <w:noWrap/>
            <w:vAlign w:val="bottom"/>
            <w:hideMark/>
          </w:tcPr>
          <w:p w:rsidR="002B5C1A" w:rsidRPr="002B5C1A" w:rsidRDefault="002B5C1A" w:rsidP="002B5C1A">
            <w:pPr>
              <w:spacing w:after="0" w:line="240" w:lineRule="auto"/>
              <w:jc w:val="right"/>
              <w:rPr>
                <w:rFonts w:ascii="Calibri" w:eastAsia="Times New Roman" w:hAnsi="Calibri" w:cs="Calibri"/>
                <w:color w:val="000000"/>
              </w:rPr>
            </w:pPr>
            <w:r w:rsidRPr="002B5C1A">
              <w:rPr>
                <w:rFonts w:ascii="Calibri" w:eastAsia="Times New Roman" w:hAnsi="Calibri" w:cs="Calibri"/>
                <w:color w:val="000000"/>
              </w:rPr>
              <w:t>1 Year</w:t>
            </w:r>
          </w:p>
        </w:tc>
      </w:tr>
      <w:tr w:rsidR="002B5C1A" w:rsidRPr="002B5C1A" w:rsidTr="002B5C1A">
        <w:trPr>
          <w:trHeight w:val="300"/>
        </w:trPr>
        <w:tc>
          <w:tcPr>
            <w:tcW w:w="3080" w:type="dxa"/>
            <w:tcBorders>
              <w:top w:val="nil"/>
              <w:left w:val="single" w:sz="8" w:space="0" w:color="auto"/>
              <w:bottom w:val="nil"/>
              <w:right w:val="single" w:sz="8" w:space="0" w:color="auto"/>
            </w:tcBorders>
            <w:shd w:val="clear" w:color="000000" w:fill="F2F2F2"/>
            <w:noWrap/>
            <w:vAlign w:val="bottom"/>
            <w:hideMark/>
          </w:tcPr>
          <w:p w:rsidR="002B5C1A" w:rsidRPr="002B5C1A" w:rsidRDefault="002B5C1A" w:rsidP="002B5C1A">
            <w:pPr>
              <w:spacing w:after="0" w:line="240" w:lineRule="auto"/>
              <w:rPr>
                <w:rFonts w:ascii="Calibri" w:eastAsia="Times New Roman" w:hAnsi="Calibri" w:cs="Calibri"/>
                <w:b/>
                <w:bCs/>
                <w:color w:val="000000"/>
              </w:rPr>
            </w:pPr>
            <w:r w:rsidRPr="002B5C1A">
              <w:rPr>
                <w:rFonts w:ascii="Calibri" w:eastAsia="Times New Roman" w:hAnsi="Calibri" w:cs="Calibri"/>
                <w:b/>
                <w:bCs/>
                <w:color w:val="000000"/>
              </w:rPr>
              <w:t>Target Price</w:t>
            </w:r>
          </w:p>
        </w:tc>
        <w:tc>
          <w:tcPr>
            <w:tcW w:w="1580" w:type="dxa"/>
            <w:tcBorders>
              <w:top w:val="nil"/>
              <w:left w:val="nil"/>
              <w:bottom w:val="nil"/>
              <w:right w:val="single" w:sz="8" w:space="0" w:color="auto"/>
            </w:tcBorders>
            <w:shd w:val="clear" w:color="000000" w:fill="F2F2F2"/>
            <w:noWrap/>
            <w:vAlign w:val="bottom"/>
            <w:hideMark/>
          </w:tcPr>
          <w:p w:rsidR="002B5C1A" w:rsidRPr="002B5C1A" w:rsidRDefault="002B5C1A" w:rsidP="002B5C1A">
            <w:pPr>
              <w:spacing w:after="0" w:line="240" w:lineRule="auto"/>
              <w:jc w:val="right"/>
              <w:rPr>
                <w:rFonts w:ascii="Calibri" w:eastAsia="Times New Roman" w:hAnsi="Calibri" w:cs="Calibri"/>
                <w:b/>
                <w:bCs/>
                <w:color w:val="000000"/>
              </w:rPr>
            </w:pPr>
            <w:r w:rsidRPr="002B5C1A">
              <w:rPr>
                <w:rFonts w:ascii="Calibri" w:eastAsia="Times New Roman" w:hAnsi="Calibri" w:cs="Calibri"/>
                <w:b/>
                <w:bCs/>
                <w:color w:val="000000"/>
              </w:rPr>
              <w:t>444.75</w:t>
            </w:r>
          </w:p>
        </w:tc>
      </w:tr>
      <w:tr w:rsidR="002B5C1A" w:rsidRPr="002B5C1A" w:rsidTr="002B5C1A">
        <w:trPr>
          <w:trHeight w:val="315"/>
        </w:trPr>
        <w:tc>
          <w:tcPr>
            <w:tcW w:w="3080" w:type="dxa"/>
            <w:tcBorders>
              <w:top w:val="nil"/>
              <w:left w:val="single" w:sz="8" w:space="0" w:color="auto"/>
              <w:bottom w:val="single" w:sz="8" w:space="0" w:color="auto"/>
              <w:right w:val="single" w:sz="8" w:space="0" w:color="auto"/>
            </w:tcBorders>
            <w:shd w:val="clear" w:color="000000" w:fill="F2F2F2"/>
            <w:noWrap/>
            <w:vAlign w:val="bottom"/>
            <w:hideMark/>
          </w:tcPr>
          <w:p w:rsidR="002B5C1A" w:rsidRPr="002B5C1A" w:rsidRDefault="002B5C1A" w:rsidP="002B5C1A">
            <w:pPr>
              <w:spacing w:after="0" w:line="240" w:lineRule="auto"/>
              <w:rPr>
                <w:rFonts w:ascii="Calibri" w:eastAsia="Times New Roman" w:hAnsi="Calibri" w:cs="Calibri"/>
                <w:b/>
                <w:bCs/>
                <w:color w:val="000000"/>
              </w:rPr>
            </w:pPr>
            <w:r w:rsidRPr="002B5C1A">
              <w:rPr>
                <w:rFonts w:ascii="Calibri" w:eastAsia="Times New Roman" w:hAnsi="Calibri" w:cs="Calibri"/>
                <w:b/>
                <w:bCs/>
                <w:color w:val="000000"/>
              </w:rPr>
              <w:t>Holding period Yield</w:t>
            </w:r>
          </w:p>
        </w:tc>
        <w:tc>
          <w:tcPr>
            <w:tcW w:w="1580" w:type="dxa"/>
            <w:tcBorders>
              <w:top w:val="nil"/>
              <w:left w:val="nil"/>
              <w:bottom w:val="single" w:sz="8" w:space="0" w:color="auto"/>
              <w:right w:val="single" w:sz="8" w:space="0" w:color="auto"/>
            </w:tcBorders>
            <w:shd w:val="clear" w:color="000000" w:fill="F2F2F2"/>
            <w:noWrap/>
            <w:vAlign w:val="bottom"/>
            <w:hideMark/>
          </w:tcPr>
          <w:p w:rsidR="002B5C1A" w:rsidRPr="002B5C1A" w:rsidRDefault="002B5C1A" w:rsidP="002B5C1A">
            <w:pPr>
              <w:spacing w:after="0" w:line="240" w:lineRule="auto"/>
              <w:jc w:val="right"/>
              <w:rPr>
                <w:rFonts w:ascii="Calibri" w:eastAsia="Times New Roman" w:hAnsi="Calibri" w:cs="Calibri"/>
                <w:b/>
                <w:bCs/>
                <w:color w:val="000000"/>
              </w:rPr>
            </w:pPr>
            <w:r w:rsidRPr="002B5C1A">
              <w:rPr>
                <w:rFonts w:ascii="Calibri" w:eastAsia="Times New Roman" w:hAnsi="Calibri" w:cs="Calibri"/>
                <w:b/>
                <w:bCs/>
                <w:color w:val="000000"/>
              </w:rPr>
              <w:t>21%</w:t>
            </w:r>
          </w:p>
        </w:tc>
      </w:tr>
    </w:tbl>
    <w:p w:rsidR="002B5C1A" w:rsidRDefault="002B5C1A" w:rsidP="00BC04BE">
      <w:pPr>
        <w:spacing w:line="360" w:lineRule="auto"/>
        <w:jc w:val="both"/>
        <w:rPr>
          <w:rFonts w:ascii="Times New Roman" w:hAnsi="Times New Roman" w:cs="Times New Roman"/>
          <w:b/>
          <w:sz w:val="24"/>
          <w:szCs w:val="24"/>
        </w:rPr>
      </w:pPr>
    </w:p>
    <w:p w:rsidR="00124775" w:rsidRDefault="0053136D" w:rsidP="00BC04BE">
      <w:pPr>
        <w:spacing w:line="360" w:lineRule="auto"/>
        <w:jc w:val="both"/>
        <w:rPr>
          <w:rFonts w:ascii="Times New Roman" w:hAnsi="Times New Roman" w:cs="Times New Roman"/>
          <w:sz w:val="24"/>
          <w:szCs w:val="24"/>
        </w:rPr>
      </w:pPr>
      <w:r>
        <w:rPr>
          <w:rFonts w:ascii="Times New Roman" w:hAnsi="Times New Roman" w:cs="Times New Roman"/>
          <w:sz w:val="24"/>
          <w:szCs w:val="24"/>
        </w:rPr>
        <w:t>From my perspective GP is currently undervalued, so I recommend that buying GP’s share now would be beneficial. Because, from the valuation I expect that in t</w:t>
      </w:r>
      <w:r w:rsidR="00437913">
        <w:rPr>
          <w:rFonts w:ascii="Times New Roman" w:hAnsi="Times New Roman" w:cs="Times New Roman"/>
          <w:sz w:val="24"/>
          <w:szCs w:val="24"/>
        </w:rPr>
        <w:t xml:space="preserve">he future the share price of </w:t>
      </w:r>
      <w:r>
        <w:rPr>
          <w:rFonts w:ascii="Times New Roman" w:hAnsi="Times New Roman" w:cs="Times New Roman"/>
          <w:sz w:val="24"/>
          <w:szCs w:val="24"/>
        </w:rPr>
        <w:t>GP may rise.</w:t>
      </w:r>
    </w:p>
    <w:p w:rsidR="00124775" w:rsidRDefault="00124775">
      <w:pPr>
        <w:rPr>
          <w:rFonts w:ascii="Times New Roman" w:hAnsi="Times New Roman" w:cs="Times New Roman"/>
          <w:sz w:val="24"/>
          <w:szCs w:val="24"/>
        </w:rPr>
      </w:pPr>
      <w:r>
        <w:rPr>
          <w:rFonts w:ascii="Times New Roman" w:hAnsi="Times New Roman" w:cs="Times New Roman"/>
          <w:sz w:val="24"/>
          <w:szCs w:val="24"/>
        </w:rPr>
        <w:br w:type="page"/>
      </w:r>
    </w:p>
    <w:p w:rsidR="002F43A7" w:rsidRPr="001E642E" w:rsidRDefault="00124775" w:rsidP="002F43A7">
      <w:pPr>
        <w:pStyle w:val="Heading1"/>
        <w:spacing w:line="360" w:lineRule="auto"/>
        <w:jc w:val="center"/>
        <w:rPr>
          <w:rFonts w:ascii="Times New Roman" w:hAnsi="Times New Roman" w:cs="Times New Roman"/>
          <w:b/>
          <w:sz w:val="200"/>
        </w:rPr>
      </w:pPr>
      <w:bookmarkStart w:id="25" w:name="_Toc9422064"/>
      <w:r w:rsidRPr="001E642E">
        <w:rPr>
          <w:rFonts w:ascii="Times New Roman" w:hAnsi="Times New Roman" w:cs="Times New Roman"/>
          <w:b/>
          <w:sz w:val="200"/>
        </w:rPr>
        <w:lastRenderedPageBreak/>
        <w:t>Chapter: Four</w:t>
      </w:r>
      <w:bookmarkEnd w:id="25"/>
    </w:p>
    <w:p w:rsidR="002F43A7" w:rsidRDefault="002F43A7">
      <w:pPr>
        <w:rPr>
          <w:rFonts w:ascii="Times New Roman" w:eastAsiaTheme="majorEastAsia" w:hAnsi="Times New Roman" w:cs="Times New Roman"/>
          <w:color w:val="1F4E79" w:themeColor="accent1" w:themeShade="80"/>
          <w:sz w:val="220"/>
          <w:szCs w:val="36"/>
        </w:rPr>
      </w:pPr>
      <w:r>
        <w:rPr>
          <w:rFonts w:ascii="Times New Roman" w:hAnsi="Times New Roman" w:cs="Times New Roman"/>
          <w:sz w:val="220"/>
        </w:rPr>
        <w:br w:type="page"/>
      </w:r>
    </w:p>
    <w:p w:rsidR="0053136D" w:rsidRPr="004E50ED" w:rsidRDefault="00FC0DDB" w:rsidP="001E5252">
      <w:pPr>
        <w:pStyle w:val="Heading2"/>
        <w:spacing w:line="360" w:lineRule="auto"/>
        <w:jc w:val="both"/>
        <w:rPr>
          <w:rFonts w:ascii="Times New Roman" w:hAnsi="Times New Roman" w:cs="Times New Roman"/>
          <w:b/>
          <w:color w:val="auto"/>
        </w:rPr>
      </w:pPr>
      <w:bookmarkStart w:id="26" w:name="_Toc9422065"/>
      <w:r w:rsidRPr="004E50ED">
        <w:rPr>
          <w:rFonts w:ascii="Times New Roman" w:hAnsi="Times New Roman" w:cs="Times New Roman"/>
          <w:b/>
          <w:color w:val="auto"/>
        </w:rPr>
        <w:lastRenderedPageBreak/>
        <w:t>Conclusion:</w:t>
      </w:r>
      <w:bookmarkEnd w:id="26"/>
      <w:r w:rsidRPr="004E50ED">
        <w:rPr>
          <w:rFonts w:ascii="Times New Roman" w:hAnsi="Times New Roman" w:cs="Times New Roman"/>
          <w:b/>
          <w:color w:val="auto"/>
        </w:rPr>
        <w:t xml:space="preserve"> </w:t>
      </w:r>
    </w:p>
    <w:p w:rsidR="00747FBC" w:rsidRPr="00534431" w:rsidRDefault="00747FBC" w:rsidP="00534431">
      <w:pPr>
        <w:spacing w:line="360" w:lineRule="auto"/>
        <w:jc w:val="both"/>
        <w:rPr>
          <w:rFonts w:ascii="Times New Roman" w:hAnsi="Times New Roman" w:cs="Times New Roman"/>
          <w:sz w:val="24"/>
          <w:szCs w:val="24"/>
        </w:rPr>
      </w:pPr>
    </w:p>
    <w:p w:rsidR="00E94226" w:rsidRDefault="00786395" w:rsidP="001A0695">
      <w:pPr>
        <w:spacing w:line="360" w:lineRule="auto"/>
        <w:jc w:val="both"/>
        <w:rPr>
          <w:rFonts w:ascii="Times New Roman" w:hAnsi="Times New Roman" w:cs="Times New Roman"/>
          <w:sz w:val="24"/>
        </w:rPr>
      </w:pPr>
      <w:r>
        <w:rPr>
          <w:rFonts w:ascii="Times New Roman" w:hAnsi="Times New Roman" w:cs="Times New Roman"/>
          <w:sz w:val="24"/>
        </w:rPr>
        <w:t xml:space="preserve">The internship report is a result of what I have learnt during my </w:t>
      </w:r>
      <w:r w:rsidR="000E6717">
        <w:rPr>
          <w:rFonts w:ascii="Times New Roman" w:hAnsi="Times New Roman" w:cs="Times New Roman"/>
          <w:sz w:val="24"/>
        </w:rPr>
        <w:t xml:space="preserve">internship period at UCB Capital Management Ltd. </w:t>
      </w:r>
      <w:r w:rsidR="00B55A51">
        <w:rPr>
          <w:rFonts w:ascii="Times New Roman" w:hAnsi="Times New Roman" w:cs="Times New Roman"/>
          <w:sz w:val="24"/>
        </w:rPr>
        <w:t xml:space="preserve">My supervisor helped me developing the valuation model. </w:t>
      </w:r>
      <w:r w:rsidR="00D712D4">
        <w:rPr>
          <w:rFonts w:ascii="Times New Roman" w:hAnsi="Times New Roman" w:cs="Times New Roman"/>
          <w:sz w:val="24"/>
        </w:rPr>
        <w:t xml:space="preserve">The valuation of GP has been </w:t>
      </w:r>
      <w:r w:rsidR="00CB565C">
        <w:rPr>
          <w:rFonts w:ascii="Times New Roman" w:hAnsi="Times New Roman" w:cs="Times New Roman"/>
          <w:sz w:val="24"/>
        </w:rPr>
        <w:t>done on the basis of assumption, so there may be lack of accuracy in the valuation.</w:t>
      </w:r>
      <w:r w:rsidR="00D712D4">
        <w:rPr>
          <w:rFonts w:ascii="Times New Roman" w:hAnsi="Times New Roman" w:cs="Times New Roman"/>
          <w:sz w:val="24"/>
        </w:rPr>
        <w:t xml:space="preserve"> </w:t>
      </w:r>
      <w:r w:rsidR="000D109B">
        <w:rPr>
          <w:rFonts w:ascii="Times New Roman" w:hAnsi="Times New Roman" w:cs="Times New Roman"/>
          <w:sz w:val="24"/>
        </w:rPr>
        <w:t xml:space="preserve">Among the three valuation method </w:t>
      </w:r>
      <w:r w:rsidR="00D66ADF">
        <w:rPr>
          <w:rFonts w:ascii="Times New Roman" w:hAnsi="Times New Roman" w:cs="Times New Roman"/>
          <w:sz w:val="24"/>
        </w:rPr>
        <w:t>most</w:t>
      </w:r>
      <w:r w:rsidR="000D109B">
        <w:rPr>
          <w:rFonts w:ascii="Times New Roman" w:hAnsi="Times New Roman" w:cs="Times New Roman"/>
          <w:sz w:val="24"/>
        </w:rPr>
        <w:t xml:space="preserve"> emphasis given on the DCF valuation. </w:t>
      </w:r>
      <w:r w:rsidR="00F11FA3">
        <w:rPr>
          <w:rFonts w:ascii="Times New Roman" w:hAnsi="Times New Roman" w:cs="Times New Roman"/>
          <w:sz w:val="24"/>
        </w:rPr>
        <w:t xml:space="preserve">GP is one of the dominating telecommunication company in Bangladesh. </w:t>
      </w:r>
      <w:r w:rsidR="004C5BA6">
        <w:rPr>
          <w:rFonts w:ascii="Times New Roman" w:hAnsi="Times New Roman" w:cs="Times New Roman"/>
          <w:sz w:val="24"/>
        </w:rPr>
        <w:t xml:space="preserve">Because of the 4G/LTE adaption the revenue of GP may increase as a result of increase in subscriber base. </w:t>
      </w:r>
      <w:r w:rsidR="00E94226">
        <w:rPr>
          <w:rFonts w:ascii="Times New Roman" w:hAnsi="Times New Roman" w:cs="Times New Roman"/>
          <w:sz w:val="24"/>
        </w:rPr>
        <w:t xml:space="preserve">The return on equity of GP may increase in the future. </w:t>
      </w:r>
      <w:r w:rsidR="00412706">
        <w:rPr>
          <w:rFonts w:ascii="Times New Roman" w:hAnsi="Times New Roman" w:cs="Times New Roman"/>
          <w:sz w:val="24"/>
        </w:rPr>
        <w:t>GP is continuously upgrading their network coverage and taking all the steps to improve their services.</w:t>
      </w:r>
      <w:r w:rsidR="000254E3">
        <w:rPr>
          <w:rFonts w:ascii="Times New Roman" w:hAnsi="Times New Roman" w:cs="Times New Roman"/>
          <w:sz w:val="24"/>
        </w:rPr>
        <w:t xml:space="preserve"> </w:t>
      </w:r>
      <w:r w:rsidR="00CC2BC1">
        <w:rPr>
          <w:rFonts w:ascii="Times New Roman" w:hAnsi="Times New Roman" w:cs="Times New Roman"/>
          <w:sz w:val="24"/>
        </w:rPr>
        <w:t>But GP may face many obstacles because of the SMP declaration.</w:t>
      </w:r>
      <w:r w:rsidR="00747FBC">
        <w:rPr>
          <w:rFonts w:ascii="Times New Roman" w:hAnsi="Times New Roman" w:cs="Times New Roman"/>
          <w:sz w:val="24"/>
        </w:rPr>
        <w:t xml:space="preserve"> </w:t>
      </w:r>
      <w:r w:rsidR="00FA57D5">
        <w:rPr>
          <w:rFonts w:ascii="Times New Roman" w:hAnsi="Times New Roman" w:cs="Times New Roman"/>
          <w:sz w:val="24"/>
        </w:rPr>
        <w:t xml:space="preserve">GP should take all the necessary steps to </w:t>
      </w:r>
      <w:r w:rsidR="00402C81">
        <w:rPr>
          <w:rFonts w:ascii="Times New Roman" w:hAnsi="Times New Roman" w:cs="Times New Roman"/>
          <w:sz w:val="24"/>
        </w:rPr>
        <w:t>stay strong at their place in the competitive market</w:t>
      </w:r>
      <w:r w:rsidR="00FA57D5">
        <w:rPr>
          <w:rFonts w:ascii="Times New Roman" w:hAnsi="Times New Roman" w:cs="Times New Roman"/>
          <w:sz w:val="24"/>
        </w:rPr>
        <w:t>.</w:t>
      </w:r>
      <w:r w:rsidR="0052641A">
        <w:rPr>
          <w:rFonts w:ascii="Times New Roman" w:hAnsi="Times New Roman" w:cs="Times New Roman"/>
          <w:sz w:val="24"/>
        </w:rPr>
        <w:t xml:space="preserve"> </w:t>
      </w:r>
      <w:r w:rsidR="00075156">
        <w:rPr>
          <w:rFonts w:ascii="Times New Roman" w:hAnsi="Times New Roman" w:cs="Times New Roman"/>
          <w:sz w:val="24"/>
        </w:rPr>
        <w:t xml:space="preserve">On the basis of valuation of GP, I expect that the target of GP on December 2019 will be BDT </w:t>
      </w:r>
      <w:r w:rsidR="00075156" w:rsidRPr="00075156">
        <w:rPr>
          <w:rFonts w:ascii="Times New Roman" w:hAnsi="Times New Roman" w:cs="Times New Roman"/>
          <w:sz w:val="24"/>
        </w:rPr>
        <w:t>444.75</w:t>
      </w:r>
      <w:r w:rsidR="00075156">
        <w:rPr>
          <w:rFonts w:ascii="Times New Roman" w:hAnsi="Times New Roman" w:cs="Times New Roman"/>
          <w:sz w:val="24"/>
        </w:rPr>
        <w:t>.</w:t>
      </w:r>
      <w:r w:rsidR="006D2B2B">
        <w:rPr>
          <w:rFonts w:ascii="Times New Roman" w:hAnsi="Times New Roman" w:cs="Times New Roman"/>
          <w:sz w:val="24"/>
        </w:rPr>
        <w:t xml:space="preserve"> </w:t>
      </w:r>
      <w:r w:rsidR="006D2B2B" w:rsidRPr="006D2B2B">
        <w:rPr>
          <w:rFonts w:ascii="Times New Roman" w:hAnsi="Times New Roman" w:cs="Times New Roman"/>
          <w:sz w:val="24"/>
        </w:rPr>
        <w:t>From my perspective GP is currently undervalued, so I recommend that buying GP’s share now would be beneficial</w:t>
      </w:r>
      <w:r w:rsidR="006D2B2B">
        <w:rPr>
          <w:rFonts w:ascii="Times New Roman" w:hAnsi="Times New Roman" w:cs="Times New Roman"/>
          <w:sz w:val="24"/>
        </w:rPr>
        <w:t>.</w:t>
      </w:r>
      <w:r w:rsidR="00455C57">
        <w:rPr>
          <w:rFonts w:ascii="Times New Roman" w:hAnsi="Times New Roman" w:cs="Times New Roman"/>
          <w:sz w:val="24"/>
        </w:rPr>
        <w:t xml:space="preserve"> </w:t>
      </w:r>
      <w:r w:rsidR="00455C57" w:rsidRPr="00455C57">
        <w:rPr>
          <w:rFonts w:ascii="Times New Roman" w:hAnsi="Times New Roman" w:cs="Times New Roman"/>
          <w:sz w:val="24"/>
        </w:rPr>
        <w:t>Because, from the valuation I expect that in the future the share price of GP may rise.</w:t>
      </w:r>
      <w:r w:rsidR="00BB7B15">
        <w:rPr>
          <w:rFonts w:ascii="Times New Roman" w:hAnsi="Times New Roman" w:cs="Times New Roman"/>
          <w:sz w:val="24"/>
        </w:rPr>
        <w:t xml:space="preserve"> </w:t>
      </w:r>
    </w:p>
    <w:p w:rsidR="00194148" w:rsidRDefault="00194148" w:rsidP="001A0695">
      <w:pPr>
        <w:spacing w:line="360" w:lineRule="auto"/>
        <w:jc w:val="both"/>
        <w:rPr>
          <w:rFonts w:ascii="Times New Roman" w:hAnsi="Times New Roman" w:cs="Times New Roman"/>
          <w:sz w:val="24"/>
        </w:rPr>
      </w:pPr>
    </w:p>
    <w:p w:rsidR="00E94226" w:rsidRDefault="00E94226">
      <w:pPr>
        <w:rPr>
          <w:rFonts w:ascii="Times New Roman" w:hAnsi="Times New Roman" w:cs="Times New Roman"/>
          <w:sz w:val="24"/>
        </w:rPr>
      </w:pPr>
      <w:r>
        <w:rPr>
          <w:rFonts w:ascii="Times New Roman" w:hAnsi="Times New Roman" w:cs="Times New Roman"/>
          <w:sz w:val="24"/>
        </w:rPr>
        <w:br w:type="page"/>
      </w:r>
    </w:p>
    <w:p w:rsidR="00E94226" w:rsidRDefault="003439AC" w:rsidP="009842E1">
      <w:pPr>
        <w:pStyle w:val="Heading2"/>
        <w:spacing w:line="360" w:lineRule="auto"/>
        <w:jc w:val="both"/>
        <w:rPr>
          <w:rFonts w:ascii="Times New Roman" w:hAnsi="Times New Roman" w:cs="Times New Roman"/>
          <w:b/>
          <w:color w:val="auto"/>
        </w:rPr>
      </w:pPr>
      <w:bookmarkStart w:id="27" w:name="_Toc9422066"/>
      <w:r w:rsidRPr="004E50ED">
        <w:rPr>
          <w:rFonts w:ascii="Times New Roman" w:hAnsi="Times New Roman" w:cs="Times New Roman"/>
          <w:b/>
          <w:color w:val="auto"/>
        </w:rPr>
        <w:lastRenderedPageBreak/>
        <w:t>References:</w:t>
      </w:r>
      <w:bookmarkEnd w:id="27"/>
      <w:r w:rsidRPr="004E50ED">
        <w:rPr>
          <w:rFonts w:ascii="Times New Roman" w:hAnsi="Times New Roman" w:cs="Times New Roman"/>
          <w:b/>
          <w:color w:val="auto"/>
        </w:rPr>
        <w:t xml:space="preserve"> </w:t>
      </w:r>
    </w:p>
    <w:p w:rsidR="004E50ED" w:rsidRPr="00534431" w:rsidRDefault="004E50ED" w:rsidP="00534431">
      <w:pPr>
        <w:spacing w:line="360" w:lineRule="auto"/>
        <w:jc w:val="both"/>
        <w:rPr>
          <w:rFonts w:ascii="Times New Roman" w:hAnsi="Times New Roman" w:cs="Times New Roman"/>
          <w:sz w:val="24"/>
          <w:szCs w:val="24"/>
        </w:rPr>
      </w:pPr>
    </w:p>
    <w:p w:rsidR="008332E1" w:rsidRPr="009842E1" w:rsidRDefault="00EF3FB4" w:rsidP="009842E1">
      <w:pPr>
        <w:spacing w:line="360" w:lineRule="auto"/>
        <w:jc w:val="both"/>
        <w:rPr>
          <w:rFonts w:ascii="Times New Roman" w:hAnsi="Times New Roman" w:cs="Times New Roman"/>
          <w:sz w:val="24"/>
        </w:rPr>
      </w:pPr>
      <w:hyperlink r:id="rId32" w:history="1">
        <w:r w:rsidR="008332E1" w:rsidRPr="008332E1">
          <w:rPr>
            <w:rStyle w:val="Hyperlink"/>
            <w:rFonts w:ascii="Times New Roman" w:hAnsi="Times New Roman" w:cs="Times New Roman"/>
            <w:color w:val="auto"/>
            <w:sz w:val="24"/>
            <w:u w:val="none"/>
          </w:rPr>
          <w:t>www.grameenphone.com</w:t>
        </w:r>
      </w:hyperlink>
    </w:p>
    <w:p w:rsidR="00326D27" w:rsidRDefault="00EF3FB4" w:rsidP="00C759AF">
      <w:pPr>
        <w:spacing w:line="360" w:lineRule="auto"/>
        <w:jc w:val="both"/>
        <w:rPr>
          <w:rStyle w:val="Hyperlink"/>
          <w:rFonts w:ascii="Times New Roman" w:hAnsi="Times New Roman" w:cs="Times New Roman"/>
          <w:color w:val="auto"/>
          <w:sz w:val="24"/>
          <w:szCs w:val="24"/>
          <w:u w:val="none"/>
        </w:rPr>
      </w:pPr>
      <w:hyperlink r:id="rId33" w:history="1">
        <w:r w:rsidR="00326D27" w:rsidRPr="00AD2642">
          <w:rPr>
            <w:rStyle w:val="Hyperlink"/>
            <w:rFonts w:ascii="Times New Roman" w:hAnsi="Times New Roman" w:cs="Times New Roman"/>
            <w:color w:val="auto"/>
            <w:sz w:val="24"/>
            <w:szCs w:val="24"/>
            <w:u w:val="none"/>
          </w:rPr>
          <w:t>http://pages.stern.nyu.edu/~adamodar/New_Home_Page/datafile/ctryprem.html</w:t>
        </w:r>
      </w:hyperlink>
    </w:p>
    <w:p w:rsidR="004E0B68" w:rsidRPr="007018C6" w:rsidRDefault="00EF3FB4" w:rsidP="00C759AF">
      <w:pPr>
        <w:spacing w:line="360" w:lineRule="auto"/>
        <w:jc w:val="both"/>
        <w:rPr>
          <w:rStyle w:val="Hyperlink"/>
          <w:rFonts w:ascii="Times New Roman" w:hAnsi="Times New Roman" w:cs="Times New Roman"/>
          <w:color w:val="auto"/>
          <w:sz w:val="24"/>
          <w:szCs w:val="24"/>
          <w:u w:val="none"/>
        </w:rPr>
      </w:pPr>
      <w:hyperlink r:id="rId34" w:history="1">
        <w:r w:rsidR="007018C6" w:rsidRPr="007018C6">
          <w:rPr>
            <w:rStyle w:val="Hyperlink"/>
            <w:rFonts w:ascii="Times New Roman" w:hAnsi="Times New Roman" w:cs="Times New Roman"/>
            <w:color w:val="auto"/>
            <w:sz w:val="24"/>
            <w:szCs w:val="24"/>
            <w:u w:val="none"/>
          </w:rPr>
          <w:t>https://www.bb.org.bd/monetaryactivity/treasury.php</w:t>
        </w:r>
      </w:hyperlink>
    </w:p>
    <w:p w:rsidR="007018C6" w:rsidRPr="00E24BD9" w:rsidRDefault="00EF3FB4" w:rsidP="00C759AF">
      <w:pPr>
        <w:spacing w:line="360" w:lineRule="auto"/>
        <w:jc w:val="both"/>
        <w:rPr>
          <w:rStyle w:val="Hyperlink"/>
          <w:rFonts w:ascii="Times New Roman" w:hAnsi="Times New Roman" w:cs="Times New Roman"/>
          <w:color w:val="auto"/>
          <w:sz w:val="24"/>
          <w:szCs w:val="24"/>
          <w:u w:val="none"/>
        </w:rPr>
      </w:pPr>
      <w:hyperlink r:id="rId35" w:history="1">
        <w:r w:rsidR="00E24BD9" w:rsidRPr="00E24BD9">
          <w:rPr>
            <w:rStyle w:val="Hyperlink"/>
            <w:rFonts w:ascii="Times New Roman" w:hAnsi="Times New Roman" w:cs="Times New Roman"/>
            <w:color w:val="auto"/>
            <w:sz w:val="24"/>
            <w:szCs w:val="24"/>
            <w:u w:val="none"/>
          </w:rPr>
          <w:t>http://www.eblsecurities.com/AM_Resources/AM_ResearchReports/EquityReport/Equity%20Valuation%20Report-%20Grameenphone%20Ltd..pdf</w:t>
        </w:r>
      </w:hyperlink>
    </w:p>
    <w:p w:rsidR="00E24BD9" w:rsidRDefault="00E24BD9" w:rsidP="00C759AF">
      <w:pPr>
        <w:spacing w:line="360" w:lineRule="auto"/>
        <w:jc w:val="both"/>
        <w:rPr>
          <w:rStyle w:val="Hyperlink"/>
          <w:rFonts w:ascii="Times New Roman" w:hAnsi="Times New Roman" w:cs="Times New Roman"/>
          <w:color w:val="auto"/>
          <w:sz w:val="24"/>
          <w:szCs w:val="24"/>
          <w:u w:val="none"/>
        </w:rPr>
      </w:pPr>
      <w:r w:rsidRPr="00E24BD9">
        <w:rPr>
          <w:rStyle w:val="Hyperlink"/>
          <w:rFonts w:ascii="Times New Roman" w:hAnsi="Times New Roman" w:cs="Times New Roman"/>
          <w:color w:val="auto"/>
          <w:sz w:val="24"/>
          <w:szCs w:val="24"/>
          <w:u w:val="none"/>
        </w:rPr>
        <w:t>http://www.ucbcapital.com/about/profile</w:t>
      </w:r>
    </w:p>
    <w:p w:rsidR="00326D27" w:rsidRPr="00AD2642" w:rsidRDefault="00EF3FB4" w:rsidP="00C759AF">
      <w:pPr>
        <w:spacing w:line="360" w:lineRule="auto"/>
        <w:jc w:val="both"/>
        <w:rPr>
          <w:rFonts w:ascii="Times New Roman" w:hAnsi="Times New Roman" w:cs="Times New Roman"/>
          <w:sz w:val="24"/>
          <w:szCs w:val="24"/>
        </w:rPr>
      </w:pPr>
      <w:hyperlink r:id="rId36" w:history="1">
        <w:r w:rsidR="00C759AF" w:rsidRPr="00AD2642">
          <w:rPr>
            <w:rStyle w:val="Hyperlink"/>
            <w:rFonts w:ascii="Times New Roman" w:hAnsi="Times New Roman" w:cs="Times New Roman"/>
            <w:color w:val="auto"/>
            <w:sz w:val="24"/>
            <w:szCs w:val="24"/>
            <w:u w:val="none"/>
          </w:rPr>
          <w:t>https://quotes.wsj.com/MY/XKLS/MAXIS/advanced-chart</w:t>
        </w:r>
      </w:hyperlink>
    </w:p>
    <w:p w:rsidR="00C759AF" w:rsidRPr="00AD2642" w:rsidRDefault="00EF3FB4" w:rsidP="00C759AF">
      <w:pPr>
        <w:spacing w:line="360" w:lineRule="auto"/>
        <w:jc w:val="both"/>
        <w:rPr>
          <w:rFonts w:ascii="Times New Roman" w:hAnsi="Times New Roman" w:cs="Times New Roman"/>
          <w:sz w:val="24"/>
          <w:szCs w:val="24"/>
        </w:rPr>
      </w:pPr>
      <w:hyperlink r:id="rId37" w:history="1">
        <w:r w:rsidR="00C759AF" w:rsidRPr="00AD2642">
          <w:rPr>
            <w:rStyle w:val="Hyperlink"/>
            <w:rFonts w:ascii="Times New Roman" w:hAnsi="Times New Roman" w:cs="Times New Roman"/>
            <w:color w:val="auto"/>
            <w:sz w:val="24"/>
            <w:szCs w:val="24"/>
            <w:u w:val="none"/>
          </w:rPr>
          <w:t>https://www.gurufocus.com/term/pettm/AXXTF/PE-Ratiottm/Axiata-Group-Bhd</w:t>
        </w:r>
      </w:hyperlink>
    </w:p>
    <w:p w:rsidR="00C759AF" w:rsidRPr="00AD2642" w:rsidRDefault="00EF3FB4" w:rsidP="00C759AF">
      <w:pPr>
        <w:spacing w:line="360" w:lineRule="auto"/>
        <w:jc w:val="both"/>
        <w:rPr>
          <w:rFonts w:ascii="Times New Roman" w:hAnsi="Times New Roman" w:cs="Times New Roman"/>
          <w:sz w:val="24"/>
          <w:szCs w:val="24"/>
        </w:rPr>
      </w:pPr>
      <w:hyperlink r:id="rId38" w:history="1">
        <w:r w:rsidR="00C759AF" w:rsidRPr="00AD2642">
          <w:rPr>
            <w:rStyle w:val="Hyperlink"/>
            <w:rFonts w:ascii="Times New Roman" w:hAnsi="Times New Roman" w:cs="Times New Roman"/>
            <w:color w:val="auto"/>
            <w:sz w:val="24"/>
            <w:szCs w:val="24"/>
            <w:u w:val="none"/>
          </w:rPr>
          <w:t>https://market.sec.or.th/public/idisc/en/CompanyProfile/Listed/ADVANC</w:t>
        </w:r>
      </w:hyperlink>
    </w:p>
    <w:p w:rsidR="00C759AF" w:rsidRPr="00AD2642" w:rsidRDefault="00EF3FB4" w:rsidP="00C759AF">
      <w:pPr>
        <w:spacing w:line="360" w:lineRule="auto"/>
        <w:jc w:val="both"/>
        <w:rPr>
          <w:rFonts w:ascii="Times New Roman" w:hAnsi="Times New Roman" w:cs="Times New Roman"/>
          <w:sz w:val="24"/>
          <w:szCs w:val="24"/>
        </w:rPr>
      </w:pPr>
      <w:hyperlink r:id="rId39" w:history="1">
        <w:r w:rsidR="00C759AF" w:rsidRPr="00AD2642">
          <w:rPr>
            <w:rStyle w:val="Hyperlink"/>
            <w:rFonts w:ascii="Times New Roman" w:hAnsi="Times New Roman" w:cs="Times New Roman"/>
            <w:color w:val="auto"/>
            <w:sz w:val="24"/>
            <w:szCs w:val="24"/>
            <w:u w:val="none"/>
          </w:rPr>
          <w:t>https://www.bloomberg.com/quote/MAXIS:MK</w:t>
        </w:r>
      </w:hyperlink>
    </w:p>
    <w:p w:rsidR="00C759AF" w:rsidRPr="00AD2642" w:rsidRDefault="00EF3FB4" w:rsidP="00C759AF">
      <w:pPr>
        <w:spacing w:line="360" w:lineRule="auto"/>
        <w:jc w:val="both"/>
        <w:rPr>
          <w:rFonts w:ascii="Times New Roman" w:hAnsi="Times New Roman" w:cs="Times New Roman"/>
          <w:sz w:val="24"/>
          <w:szCs w:val="24"/>
        </w:rPr>
      </w:pPr>
      <w:hyperlink r:id="rId40" w:history="1">
        <w:r w:rsidR="00C759AF" w:rsidRPr="00AD2642">
          <w:rPr>
            <w:rStyle w:val="Hyperlink"/>
            <w:rFonts w:ascii="Times New Roman" w:hAnsi="Times New Roman" w:cs="Times New Roman"/>
            <w:color w:val="auto"/>
            <w:sz w:val="24"/>
            <w:szCs w:val="24"/>
            <w:u w:val="none"/>
          </w:rPr>
          <w:t>https://www.marketscreener.com/BHARTI-AIRTEL-9059084/financials/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1" w:history="1">
        <w:r w:rsidR="00C759AF" w:rsidRPr="00AD2642">
          <w:rPr>
            <w:rStyle w:val="Hyperlink"/>
            <w:rFonts w:ascii="Times New Roman" w:hAnsi="Times New Roman" w:cs="Times New Roman"/>
            <w:color w:val="auto"/>
            <w:sz w:val="24"/>
            <w:szCs w:val="24"/>
            <w:u w:val="none"/>
          </w:rPr>
          <w:t>https://www.marketscreener.com/RELIANCE-COMMUNICATIONS-9059624/financials/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2" w:history="1">
        <w:r w:rsidR="00C759AF" w:rsidRPr="00AD2642">
          <w:rPr>
            <w:rStyle w:val="Hyperlink"/>
            <w:rFonts w:ascii="Times New Roman" w:hAnsi="Times New Roman" w:cs="Times New Roman"/>
            <w:color w:val="auto"/>
            <w:sz w:val="24"/>
            <w:szCs w:val="24"/>
            <w:u w:val="none"/>
          </w:rPr>
          <w:t>https://quotes.wsj.com/SG/CC3/financials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3" w:history="1">
        <w:r w:rsidR="00C759AF" w:rsidRPr="00AD2642">
          <w:rPr>
            <w:rStyle w:val="Hyperlink"/>
            <w:rFonts w:ascii="Times New Roman" w:hAnsi="Times New Roman" w:cs="Times New Roman"/>
            <w:color w:val="auto"/>
            <w:sz w:val="24"/>
            <w:szCs w:val="24"/>
            <w:u w:val="none"/>
          </w:rPr>
          <w:t>https://quotes.wsj.com/TH/ADVANC/financials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4" w:history="1">
        <w:r w:rsidR="00C759AF" w:rsidRPr="00AD2642">
          <w:rPr>
            <w:rStyle w:val="Hyperlink"/>
            <w:rFonts w:ascii="Times New Roman" w:hAnsi="Times New Roman" w:cs="Times New Roman"/>
            <w:color w:val="auto"/>
            <w:sz w:val="24"/>
            <w:szCs w:val="24"/>
            <w:u w:val="none"/>
          </w:rPr>
          <w:t>https://quotes.wsj.com/MY/XKLS/MAXIS/financials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5" w:history="1">
        <w:r w:rsidR="00C759AF" w:rsidRPr="00AD2642">
          <w:rPr>
            <w:rStyle w:val="Hyperlink"/>
            <w:rFonts w:ascii="Times New Roman" w:hAnsi="Times New Roman" w:cs="Times New Roman"/>
            <w:color w:val="auto"/>
            <w:sz w:val="24"/>
            <w:szCs w:val="24"/>
            <w:u w:val="none"/>
          </w:rPr>
          <w:t>https://quotes.wsj.com/IN/XBOM/532454/financials</w:t>
        </w:r>
      </w:hyperlink>
    </w:p>
    <w:p w:rsidR="00C759AF" w:rsidRPr="00AD2642" w:rsidRDefault="00EF3FB4" w:rsidP="00C759AF">
      <w:pPr>
        <w:spacing w:line="360" w:lineRule="auto"/>
        <w:jc w:val="both"/>
        <w:rPr>
          <w:rFonts w:ascii="Times New Roman" w:hAnsi="Times New Roman" w:cs="Times New Roman"/>
          <w:sz w:val="24"/>
          <w:szCs w:val="24"/>
        </w:rPr>
      </w:pPr>
      <w:hyperlink r:id="rId46" w:history="1">
        <w:r w:rsidR="00C759AF" w:rsidRPr="00AD2642">
          <w:rPr>
            <w:rStyle w:val="Hyperlink"/>
            <w:rFonts w:ascii="Times New Roman" w:hAnsi="Times New Roman" w:cs="Times New Roman"/>
            <w:color w:val="auto"/>
            <w:sz w:val="24"/>
            <w:szCs w:val="24"/>
            <w:u w:val="none"/>
          </w:rPr>
          <w:t>https://quotes.wsj.com/IN/XNSE/EQRCOM/financials</w:t>
        </w:r>
      </w:hyperlink>
    </w:p>
    <w:p w:rsidR="003439AC" w:rsidRPr="00AD2642" w:rsidRDefault="00EF3FB4" w:rsidP="00C759AF">
      <w:pPr>
        <w:spacing w:line="360" w:lineRule="auto"/>
        <w:jc w:val="both"/>
        <w:rPr>
          <w:rFonts w:ascii="Times New Roman" w:hAnsi="Times New Roman" w:cs="Times New Roman"/>
          <w:sz w:val="24"/>
          <w:szCs w:val="24"/>
        </w:rPr>
      </w:pPr>
      <w:hyperlink r:id="rId47" w:history="1">
        <w:r w:rsidR="003439AC" w:rsidRPr="00AD2642">
          <w:rPr>
            <w:rStyle w:val="Hyperlink"/>
            <w:rFonts w:ascii="Times New Roman" w:hAnsi="Times New Roman" w:cs="Times New Roman"/>
            <w:color w:val="auto"/>
            <w:sz w:val="24"/>
            <w:szCs w:val="24"/>
            <w:u w:val="none"/>
          </w:rPr>
          <w:t>https://thefinancialexpress.com.bd/views/addressing-governance-issues-of-the-telecom-industry-1516807551</w:t>
        </w:r>
      </w:hyperlink>
    </w:p>
    <w:p w:rsidR="003439AC" w:rsidRPr="00AD2642" w:rsidRDefault="00EF3FB4" w:rsidP="00C759AF">
      <w:pPr>
        <w:spacing w:line="360" w:lineRule="auto"/>
        <w:jc w:val="both"/>
        <w:rPr>
          <w:rFonts w:ascii="Times New Roman" w:hAnsi="Times New Roman" w:cs="Times New Roman"/>
          <w:sz w:val="24"/>
          <w:szCs w:val="24"/>
        </w:rPr>
      </w:pPr>
      <w:hyperlink r:id="rId48" w:history="1">
        <w:r w:rsidR="003439AC" w:rsidRPr="00AD2642">
          <w:rPr>
            <w:rStyle w:val="Hyperlink"/>
            <w:rFonts w:ascii="Times New Roman" w:hAnsi="Times New Roman" w:cs="Times New Roman"/>
            <w:color w:val="auto"/>
            <w:sz w:val="24"/>
            <w:szCs w:val="24"/>
            <w:u w:val="none"/>
          </w:rPr>
          <w:t>https://www.dhakatribune.com/business/2019/02/03/fdi-posts-over-32-growth-in-january-november-of-2018</w:t>
        </w:r>
      </w:hyperlink>
    </w:p>
    <w:p w:rsidR="003439AC" w:rsidRPr="00AD2642" w:rsidRDefault="00EF3FB4" w:rsidP="00C759AF">
      <w:pPr>
        <w:spacing w:line="360" w:lineRule="auto"/>
        <w:jc w:val="both"/>
        <w:rPr>
          <w:rFonts w:ascii="Times New Roman" w:hAnsi="Times New Roman" w:cs="Times New Roman"/>
          <w:sz w:val="24"/>
          <w:szCs w:val="24"/>
        </w:rPr>
      </w:pPr>
      <w:hyperlink r:id="rId49" w:history="1">
        <w:r w:rsidR="003439AC" w:rsidRPr="00AD2642">
          <w:rPr>
            <w:rStyle w:val="Hyperlink"/>
            <w:rFonts w:ascii="Times New Roman" w:hAnsi="Times New Roman" w:cs="Times New Roman"/>
            <w:color w:val="auto"/>
            <w:sz w:val="24"/>
            <w:szCs w:val="24"/>
            <w:u w:val="none"/>
          </w:rPr>
          <w:t>https://www.thedailystar.net/business/fdi-hit-record-245b-last-fiscal-year-1481347</w:t>
        </w:r>
      </w:hyperlink>
    </w:p>
    <w:p w:rsidR="003439AC" w:rsidRPr="00AD2642" w:rsidRDefault="00EF3FB4" w:rsidP="00C759AF">
      <w:pPr>
        <w:spacing w:line="360" w:lineRule="auto"/>
        <w:jc w:val="both"/>
        <w:rPr>
          <w:rFonts w:ascii="Times New Roman" w:hAnsi="Times New Roman" w:cs="Times New Roman"/>
          <w:sz w:val="24"/>
          <w:szCs w:val="24"/>
        </w:rPr>
      </w:pPr>
      <w:hyperlink r:id="rId50" w:history="1">
        <w:r w:rsidR="003439AC" w:rsidRPr="00AD2642">
          <w:rPr>
            <w:rStyle w:val="Hyperlink"/>
            <w:rFonts w:ascii="Times New Roman" w:hAnsi="Times New Roman" w:cs="Times New Roman"/>
            <w:color w:val="auto"/>
            <w:sz w:val="24"/>
            <w:szCs w:val="24"/>
            <w:u w:val="none"/>
          </w:rPr>
          <w:t>https://thefinancialexpress.com.bd/economy/bangladesh-attracts-nearly-3b-fdi-in-2017-18-fiscal-year-1536149782</w:t>
        </w:r>
      </w:hyperlink>
    </w:p>
    <w:p w:rsidR="003439AC" w:rsidRPr="00AD2642" w:rsidRDefault="00EF3FB4" w:rsidP="00C759AF">
      <w:pPr>
        <w:spacing w:line="360" w:lineRule="auto"/>
        <w:jc w:val="both"/>
        <w:rPr>
          <w:rFonts w:ascii="Times New Roman" w:hAnsi="Times New Roman" w:cs="Times New Roman"/>
          <w:sz w:val="24"/>
          <w:szCs w:val="24"/>
        </w:rPr>
      </w:pPr>
      <w:hyperlink r:id="rId51" w:history="1">
        <w:r w:rsidR="003439AC" w:rsidRPr="00AD2642">
          <w:rPr>
            <w:rStyle w:val="Hyperlink"/>
            <w:rFonts w:ascii="Times New Roman" w:hAnsi="Times New Roman" w:cs="Times New Roman"/>
            <w:color w:val="auto"/>
            <w:sz w:val="24"/>
            <w:szCs w:val="24"/>
            <w:u w:val="none"/>
          </w:rPr>
          <w:t>https://www.thedailystar.net/business/news/fdi-picking-slowly-1660810</w:t>
        </w:r>
      </w:hyperlink>
    </w:p>
    <w:p w:rsidR="003439AC" w:rsidRPr="00AD2642" w:rsidRDefault="00EF3FB4" w:rsidP="00C759AF">
      <w:pPr>
        <w:spacing w:line="360" w:lineRule="auto"/>
        <w:jc w:val="both"/>
        <w:rPr>
          <w:rFonts w:ascii="Times New Roman" w:hAnsi="Times New Roman" w:cs="Times New Roman"/>
          <w:sz w:val="24"/>
          <w:szCs w:val="24"/>
        </w:rPr>
      </w:pPr>
      <w:hyperlink r:id="rId52" w:history="1">
        <w:r w:rsidR="003439AC" w:rsidRPr="00AD2642">
          <w:rPr>
            <w:rStyle w:val="Hyperlink"/>
            <w:rFonts w:ascii="Times New Roman" w:hAnsi="Times New Roman" w:cs="Times New Roman"/>
            <w:color w:val="auto"/>
            <w:sz w:val="24"/>
            <w:szCs w:val="24"/>
            <w:u w:val="none"/>
          </w:rPr>
          <w:t>https://thefinancialexpress.com.bd/trade/bd-mobile-industry-fifth-largest-in-asia-pacific-1537287451</w:t>
        </w:r>
      </w:hyperlink>
    </w:p>
    <w:p w:rsidR="003439AC" w:rsidRPr="00AD2642" w:rsidRDefault="00EF3FB4" w:rsidP="00C759AF">
      <w:pPr>
        <w:spacing w:line="360" w:lineRule="auto"/>
        <w:jc w:val="both"/>
        <w:rPr>
          <w:rFonts w:ascii="Times New Roman" w:hAnsi="Times New Roman" w:cs="Times New Roman"/>
          <w:sz w:val="24"/>
          <w:szCs w:val="24"/>
        </w:rPr>
      </w:pPr>
      <w:hyperlink r:id="rId53" w:history="1">
        <w:r w:rsidR="003439AC" w:rsidRPr="00AD2642">
          <w:rPr>
            <w:rStyle w:val="Hyperlink"/>
            <w:rFonts w:ascii="Times New Roman" w:hAnsi="Times New Roman" w:cs="Times New Roman"/>
            <w:color w:val="auto"/>
            <w:sz w:val="24"/>
            <w:szCs w:val="24"/>
            <w:u w:val="none"/>
          </w:rPr>
          <w:t>https://bdnews24.com/business/2018/11/07/grameenphone-first-to-reach-5-million-4g-customer-mark-in-bangladesh</w:t>
        </w:r>
      </w:hyperlink>
    </w:p>
    <w:p w:rsidR="003439AC" w:rsidRPr="00AD2642" w:rsidRDefault="00EF3FB4" w:rsidP="00C759AF">
      <w:pPr>
        <w:spacing w:line="360" w:lineRule="auto"/>
        <w:jc w:val="both"/>
        <w:rPr>
          <w:rFonts w:ascii="Times New Roman" w:hAnsi="Times New Roman" w:cs="Times New Roman"/>
          <w:sz w:val="24"/>
          <w:szCs w:val="24"/>
        </w:rPr>
      </w:pPr>
      <w:hyperlink r:id="rId54" w:history="1">
        <w:r w:rsidR="003439AC" w:rsidRPr="00AD2642">
          <w:rPr>
            <w:rStyle w:val="Hyperlink"/>
            <w:rFonts w:ascii="Times New Roman" w:hAnsi="Times New Roman" w:cs="Times New Roman"/>
            <w:color w:val="auto"/>
            <w:sz w:val="24"/>
            <w:szCs w:val="24"/>
            <w:u w:val="none"/>
          </w:rPr>
          <w:t>http://www.newagebd.net/article/34673/only-2-operators-to-participate-in-4g-spectrum-auction-today</w:t>
        </w:r>
      </w:hyperlink>
    </w:p>
    <w:p w:rsidR="003439AC" w:rsidRPr="00AD2642" w:rsidRDefault="00EF3FB4" w:rsidP="00C759AF">
      <w:pPr>
        <w:spacing w:line="360" w:lineRule="auto"/>
        <w:jc w:val="both"/>
        <w:rPr>
          <w:rFonts w:ascii="Times New Roman" w:hAnsi="Times New Roman" w:cs="Times New Roman"/>
          <w:sz w:val="24"/>
          <w:szCs w:val="24"/>
        </w:rPr>
      </w:pPr>
      <w:hyperlink r:id="rId55" w:history="1">
        <w:r w:rsidR="003439AC" w:rsidRPr="00AD2642">
          <w:rPr>
            <w:rStyle w:val="Hyperlink"/>
            <w:rFonts w:ascii="Times New Roman" w:hAnsi="Times New Roman" w:cs="Times New Roman"/>
            <w:color w:val="auto"/>
            <w:sz w:val="24"/>
            <w:szCs w:val="24"/>
            <w:u w:val="none"/>
          </w:rPr>
          <w:t>https://www.dhakatribune.com/business/2018/02/14/gp-banglalink-buy-4g-spectrum</w:t>
        </w:r>
      </w:hyperlink>
    </w:p>
    <w:p w:rsidR="003439AC" w:rsidRPr="00AD2642" w:rsidRDefault="00EF3FB4" w:rsidP="00C759AF">
      <w:pPr>
        <w:spacing w:line="360" w:lineRule="auto"/>
        <w:jc w:val="both"/>
        <w:rPr>
          <w:rFonts w:ascii="Times New Roman" w:hAnsi="Times New Roman" w:cs="Times New Roman"/>
          <w:sz w:val="24"/>
          <w:szCs w:val="24"/>
        </w:rPr>
      </w:pPr>
      <w:hyperlink r:id="rId56" w:history="1">
        <w:r w:rsidR="003439AC" w:rsidRPr="00AD2642">
          <w:rPr>
            <w:rStyle w:val="Hyperlink"/>
            <w:rFonts w:ascii="Times New Roman" w:hAnsi="Times New Roman" w:cs="Times New Roman"/>
            <w:color w:val="auto"/>
            <w:sz w:val="24"/>
            <w:szCs w:val="24"/>
            <w:u w:val="none"/>
          </w:rPr>
          <w:t>https://thefinancialexpress.com.bd/national/bangladesh-successfully-completes-5g-demo-highest-speed-hits-417gbps-1532522770</w:t>
        </w:r>
      </w:hyperlink>
    </w:p>
    <w:p w:rsidR="003439AC" w:rsidRPr="00AD2642" w:rsidRDefault="00EF3FB4" w:rsidP="00C759AF">
      <w:pPr>
        <w:spacing w:line="360" w:lineRule="auto"/>
        <w:jc w:val="both"/>
        <w:rPr>
          <w:rFonts w:ascii="Times New Roman" w:hAnsi="Times New Roman" w:cs="Times New Roman"/>
          <w:sz w:val="24"/>
          <w:szCs w:val="24"/>
        </w:rPr>
      </w:pPr>
      <w:hyperlink r:id="rId57" w:history="1">
        <w:r w:rsidR="003439AC" w:rsidRPr="00AD2642">
          <w:rPr>
            <w:rStyle w:val="Hyperlink"/>
            <w:rFonts w:ascii="Times New Roman" w:hAnsi="Times New Roman" w:cs="Times New Roman"/>
            <w:color w:val="auto"/>
            <w:sz w:val="24"/>
            <w:szCs w:val="24"/>
            <w:u w:val="none"/>
          </w:rPr>
          <w:t>https://www.dhakatribune.com/uncategorized/2014/10/29/grameenphone-q3-earnings-decline</w:t>
        </w:r>
      </w:hyperlink>
    </w:p>
    <w:p w:rsidR="003439AC" w:rsidRPr="00AD2642" w:rsidRDefault="00EF3FB4" w:rsidP="00C759AF">
      <w:pPr>
        <w:spacing w:line="360" w:lineRule="auto"/>
        <w:jc w:val="both"/>
        <w:rPr>
          <w:rFonts w:ascii="Times New Roman" w:hAnsi="Times New Roman" w:cs="Times New Roman"/>
          <w:sz w:val="24"/>
          <w:szCs w:val="24"/>
        </w:rPr>
      </w:pPr>
      <w:hyperlink r:id="rId58" w:history="1">
        <w:r w:rsidR="003439AC" w:rsidRPr="00AD2642">
          <w:rPr>
            <w:rStyle w:val="Hyperlink"/>
            <w:rFonts w:ascii="Times New Roman" w:hAnsi="Times New Roman" w:cs="Times New Roman"/>
            <w:color w:val="auto"/>
            <w:sz w:val="24"/>
            <w:szCs w:val="24"/>
            <w:u w:val="none"/>
          </w:rPr>
          <w:t>https://www.dhakatribune.com/bangladesh/election/2018/12/29/3g-4g-services-blocked-again</w:t>
        </w:r>
      </w:hyperlink>
    </w:p>
    <w:p w:rsidR="003439AC" w:rsidRPr="00AD2642" w:rsidRDefault="00EF3FB4" w:rsidP="00C759AF">
      <w:pPr>
        <w:spacing w:line="360" w:lineRule="auto"/>
        <w:jc w:val="both"/>
        <w:rPr>
          <w:rFonts w:ascii="Times New Roman" w:hAnsi="Times New Roman" w:cs="Times New Roman"/>
          <w:sz w:val="24"/>
          <w:szCs w:val="24"/>
        </w:rPr>
      </w:pPr>
      <w:hyperlink r:id="rId59" w:history="1">
        <w:r w:rsidR="003439AC" w:rsidRPr="00AD2642">
          <w:rPr>
            <w:rStyle w:val="Hyperlink"/>
            <w:rFonts w:ascii="Times New Roman" w:hAnsi="Times New Roman" w:cs="Times New Roman"/>
            <w:color w:val="auto"/>
            <w:sz w:val="24"/>
            <w:szCs w:val="24"/>
            <w:u w:val="none"/>
          </w:rPr>
          <w:t>https://www.thedailystar.net/business/bangladesh-election-2018-digital-service-business-hit-election-nerves-1678975</w:t>
        </w:r>
      </w:hyperlink>
    </w:p>
    <w:p w:rsidR="008C4AEA" w:rsidRDefault="008C4AEA">
      <w:pPr>
        <w:rPr>
          <w:rFonts w:ascii="Times New Roman" w:hAnsi="Times New Roman" w:cs="Times New Roman"/>
          <w:sz w:val="24"/>
          <w:szCs w:val="24"/>
        </w:rPr>
      </w:pPr>
      <w:r>
        <w:rPr>
          <w:rFonts w:ascii="Times New Roman" w:hAnsi="Times New Roman" w:cs="Times New Roman"/>
          <w:sz w:val="24"/>
          <w:szCs w:val="24"/>
        </w:rPr>
        <w:br w:type="page"/>
      </w:r>
    </w:p>
    <w:p w:rsidR="00A55E55" w:rsidRDefault="00A55E55" w:rsidP="00507B5C">
      <w:pPr>
        <w:pStyle w:val="Heading1"/>
        <w:spacing w:line="360" w:lineRule="auto"/>
        <w:jc w:val="both"/>
        <w:rPr>
          <w:rFonts w:ascii="Times New Roman" w:hAnsi="Times New Roman" w:cs="Times New Roman"/>
          <w:b/>
          <w:color w:val="auto"/>
          <w:sz w:val="28"/>
        </w:rPr>
      </w:pPr>
      <w:bookmarkStart w:id="28" w:name="_Toc9422067"/>
      <w:r w:rsidRPr="00A55E55">
        <w:rPr>
          <w:rFonts w:ascii="Times New Roman" w:hAnsi="Times New Roman" w:cs="Times New Roman"/>
          <w:b/>
          <w:color w:val="auto"/>
          <w:sz w:val="28"/>
        </w:rPr>
        <w:lastRenderedPageBreak/>
        <w:t>Appendix:</w:t>
      </w:r>
      <w:bookmarkEnd w:id="28"/>
    </w:p>
    <w:p w:rsidR="00B6513F" w:rsidRPr="00B6513F" w:rsidRDefault="00B6513F" w:rsidP="00B6513F"/>
    <w:tbl>
      <w:tblPr>
        <w:tblW w:w="5000" w:type="pct"/>
        <w:tblLayout w:type="fixed"/>
        <w:tblLook w:val="04A0" w:firstRow="1" w:lastRow="0" w:firstColumn="1" w:lastColumn="0" w:noHBand="0" w:noVBand="1"/>
      </w:tblPr>
      <w:tblGrid>
        <w:gridCol w:w="3402"/>
        <w:gridCol w:w="1333"/>
        <w:gridCol w:w="1423"/>
        <w:gridCol w:w="1140"/>
        <w:gridCol w:w="1140"/>
        <w:gridCol w:w="1138"/>
      </w:tblGrid>
      <w:tr w:rsidR="00B6513F" w:rsidRPr="00B6513F" w:rsidTr="00EB697D">
        <w:trPr>
          <w:trHeight w:val="300"/>
        </w:trPr>
        <w:tc>
          <w:tcPr>
            <w:tcW w:w="1777" w:type="pct"/>
            <w:tcBorders>
              <w:top w:val="single" w:sz="8" w:space="0" w:color="auto"/>
              <w:left w:val="single" w:sz="8" w:space="0" w:color="auto"/>
              <w:bottom w:val="single" w:sz="4" w:space="0" w:color="auto"/>
              <w:right w:val="single" w:sz="4" w:space="0" w:color="B2B2B2"/>
            </w:tcBorders>
            <w:shd w:val="clear" w:color="auto" w:fill="FFE599" w:themeFill="accent4" w:themeFillTint="66"/>
            <w:noWrap/>
            <w:vAlign w:val="center"/>
            <w:hideMark/>
          </w:tcPr>
          <w:p w:rsidR="00B163FC" w:rsidRDefault="00B6513F" w:rsidP="00B6513F">
            <w:pPr>
              <w:spacing w:after="0" w:line="240" w:lineRule="auto"/>
              <w:rPr>
                <w:rFonts w:ascii="Calibri" w:eastAsia="Times New Roman" w:hAnsi="Calibri" w:cs="Calibri"/>
                <w:b/>
                <w:color w:val="000000"/>
              </w:rPr>
            </w:pPr>
            <w:r w:rsidRPr="0041053E">
              <w:rPr>
                <w:rFonts w:ascii="Calibri" w:eastAsia="Times New Roman" w:hAnsi="Calibri" w:cs="Calibri"/>
                <w:b/>
                <w:color w:val="000000"/>
              </w:rPr>
              <w:t>Balance Sheet</w:t>
            </w:r>
            <w:r w:rsidR="00EE0E13">
              <w:rPr>
                <w:rFonts w:ascii="Calibri" w:eastAsia="Times New Roman" w:hAnsi="Calibri" w:cs="Calibri"/>
                <w:b/>
                <w:color w:val="000000"/>
              </w:rPr>
              <w:t xml:space="preserve"> </w:t>
            </w:r>
          </w:p>
          <w:p w:rsidR="00B6513F" w:rsidRPr="0041053E" w:rsidRDefault="00EE0E13" w:rsidP="00B6513F">
            <w:pPr>
              <w:spacing w:after="0" w:line="240" w:lineRule="auto"/>
              <w:rPr>
                <w:rFonts w:ascii="Calibri" w:eastAsia="Times New Roman" w:hAnsi="Calibri" w:cs="Calibri"/>
                <w:b/>
                <w:color w:val="000000"/>
              </w:rPr>
            </w:pPr>
            <w:r>
              <w:rPr>
                <w:rFonts w:ascii="Calibri" w:eastAsia="Times New Roman" w:hAnsi="Calibri" w:cs="Calibri"/>
                <w:b/>
                <w:color w:val="000000"/>
              </w:rPr>
              <w:t>(</w:t>
            </w:r>
            <w:r w:rsidR="00B163FC">
              <w:rPr>
                <w:rFonts w:ascii="Calibri" w:eastAsia="Times New Roman" w:hAnsi="Calibri" w:cs="Calibri"/>
                <w:b/>
                <w:color w:val="000000"/>
              </w:rPr>
              <w:t xml:space="preserve"> </w:t>
            </w:r>
            <w:r>
              <w:rPr>
                <w:rFonts w:ascii="Calibri" w:eastAsia="Times New Roman" w:hAnsi="Calibri" w:cs="Calibri"/>
                <w:b/>
                <w:color w:val="000000"/>
              </w:rPr>
              <w:t>Forecasted</w:t>
            </w:r>
            <w:r w:rsidR="00B163FC">
              <w:rPr>
                <w:rFonts w:ascii="Calibri" w:eastAsia="Times New Roman" w:hAnsi="Calibri" w:cs="Calibri"/>
                <w:b/>
                <w:color w:val="000000"/>
              </w:rPr>
              <w:t xml:space="preserve"> </w:t>
            </w:r>
            <w:r>
              <w:rPr>
                <w:rFonts w:ascii="Calibri" w:eastAsia="Times New Roman" w:hAnsi="Calibri" w:cs="Calibri"/>
                <w:b/>
                <w:color w:val="000000"/>
              </w:rPr>
              <w:t>)</w:t>
            </w:r>
          </w:p>
        </w:tc>
        <w:tc>
          <w:tcPr>
            <w:tcW w:w="696" w:type="pct"/>
            <w:tcBorders>
              <w:top w:val="single" w:sz="8" w:space="0" w:color="auto"/>
              <w:left w:val="single" w:sz="4" w:space="0" w:color="7F7F7F"/>
              <w:bottom w:val="single" w:sz="4" w:space="0" w:color="auto"/>
              <w:right w:val="single" w:sz="4" w:space="0" w:color="7F7F7F"/>
            </w:tcBorders>
            <w:shd w:val="clear" w:color="000000" w:fill="F2F2F2"/>
            <w:noWrap/>
            <w:vAlign w:val="center"/>
            <w:hideMark/>
          </w:tcPr>
          <w:p w:rsidR="00B6513F" w:rsidRPr="00B6513F" w:rsidRDefault="00B6513F" w:rsidP="00B6513F">
            <w:pPr>
              <w:spacing w:after="0" w:line="240" w:lineRule="auto"/>
              <w:jc w:val="center"/>
              <w:rPr>
                <w:rFonts w:ascii="Calibri" w:eastAsia="Times New Roman" w:hAnsi="Calibri" w:cs="Calibri"/>
                <w:b/>
                <w:bCs/>
                <w:color w:val="FA7D00"/>
              </w:rPr>
            </w:pPr>
            <w:r w:rsidRPr="00B6513F">
              <w:rPr>
                <w:rFonts w:ascii="Calibri" w:eastAsia="Times New Roman" w:hAnsi="Calibri" w:cs="Calibri"/>
                <w:b/>
                <w:bCs/>
                <w:color w:val="FA7D00"/>
              </w:rPr>
              <w:t>2018E</w:t>
            </w:r>
          </w:p>
        </w:tc>
        <w:tc>
          <w:tcPr>
            <w:tcW w:w="743" w:type="pct"/>
            <w:tcBorders>
              <w:top w:val="single" w:sz="8" w:space="0" w:color="auto"/>
              <w:left w:val="nil"/>
              <w:bottom w:val="single" w:sz="4" w:space="0" w:color="auto"/>
              <w:right w:val="single" w:sz="4" w:space="0" w:color="7F7F7F"/>
            </w:tcBorders>
            <w:shd w:val="clear" w:color="000000" w:fill="F2F2F2"/>
            <w:noWrap/>
            <w:vAlign w:val="center"/>
            <w:hideMark/>
          </w:tcPr>
          <w:p w:rsidR="00B6513F" w:rsidRPr="00B6513F" w:rsidRDefault="00B6513F" w:rsidP="00B6513F">
            <w:pPr>
              <w:spacing w:after="0" w:line="240" w:lineRule="auto"/>
              <w:jc w:val="center"/>
              <w:rPr>
                <w:rFonts w:ascii="Calibri" w:eastAsia="Times New Roman" w:hAnsi="Calibri" w:cs="Calibri"/>
                <w:b/>
                <w:bCs/>
                <w:color w:val="FA7D00"/>
              </w:rPr>
            </w:pPr>
            <w:r w:rsidRPr="00B6513F">
              <w:rPr>
                <w:rFonts w:ascii="Calibri" w:eastAsia="Times New Roman" w:hAnsi="Calibri" w:cs="Calibri"/>
                <w:b/>
                <w:bCs/>
                <w:color w:val="FA7D00"/>
              </w:rPr>
              <w:t>2019E</w:t>
            </w:r>
          </w:p>
        </w:tc>
        <w:tc>
          <w:tcPr>
            <w:tcW w:w="595" w:type="pct"/>
            <w:tcBorders>
              <w:top w:val="single" w:sz="8" w:space="0" w:color="auto"/>
              <w:left w:val="nil"/>
              <w:bottom w:val="single" w:sz="4" w:space="0" w:color="auto"/>
              <w:right w:val="single" w:sz="4" w:space="0" w:color="7F7F7F"/>
            </w:tcBorders>
            <w:shd w:val="clear" w:color="000000" w:fill="F2F2F2"/>
            <w:noWrap/>
            <w:vAlign w:val="center"/>
            <w:hideMark/>
          </w:tcPr>
          <w:p w:rsidR="00B6513F" w:rsidRPr="00B6513F" w:rsidRDefault="00B6513F" w:rsidP="00B6513F">
            <w:pPr>
              <w:spacing w:after="0" w:line="240" w:lineRule="auto"/>
              <w:jc w:val="center"/>
              <w:rPr>
                <w:rFonts w:ascii="Calibri" w:eastAsia="Times New Roman" w:hAnsi="Calibri" w:cs="Calibri"/>
                <w:b/>
                <w:bCs/>
                <w:color w:val="FA7D00"/>
              </w:rPr>
            </w:pPr>
            <w:r w:rsidRPr="00B6513F">
              <w:rPr>
                <w:rFonts w:ascii="Calibri" w:eastAsia="Times New Roman" w:hAnsi="Calibri" w:cs="Calibri"/>
                <w:b/>
                <w:bCs/>
                <w:color w:val="FA7D00"/>
              </w:rPr>
              <w:t>2020E</w:t>
            </w:r>
          </w:p>
        </w:tc>
        <w:tc>
          <w:tcPr>
            <w:tcW w:w="595" w:type="pct"/>
            <w:tcBorders>
              <w:top w:val="single" w:sz="8" w:space="0" w:color="auto"/>
              <w:left w:val="nil"/>
              <w:bottom w:val="single" w:sz="4" w:space="0" w:color="auto"/>
              <w:right w:val="single" w:sz="4" w:space="0" w:color="7F7F7F"/>
            </w:tcBorders>
            <w:shd w:val="clear" w:color="000000" w:fill="F2F2F2"/>
            <w:noWrap/>
            <w:vAlign w:val="center"/>
            <w:hideMark/>
          </w:tcPr>
          <w:p w:rsidR="00B6513F" w:rsidRPr="00B6513F" w:rsidRDefault="00B6513F" w:rsidP="00B6513F">
            <w:pPr>
              <w:spacing w:after="0" w:line="240" w:lineRule="auto"/>
              <w:jc w:val="center"/>
              <w:rPr>
                <w:rFonts w:ascii="Calibri" w:eastAsia="Times New Roman" w:hAnsi="Calibri" w:cs="Calibri"/>
                <w:b/>
                <w:bCs/>
                <w:color w:val="FA7D00"/>
              </w:rPr>
            </w:pPr>
            <w:r w:rsidRPr="00B6513F">
              <w:rPr>
                <w:rFonts w:ascii="Calibri" w:eastAsia="Times New Roman" w:hAnsi="Calibri" w:cs="Calibri"/>
                <w:b/>
                <w:bCs/>
                <w:color w:val="FA7D00"/>
              </w:rPr>
              <w:t>2021E</w:t>
            </w:r>
          </w:p>
        </w:tc>
        <w:tc>
          <w:tcPr>
            <w:tcW w:w="594" w:type="pct"/>
            <w:tcBorders>
              <w:top w:val="single" w:sz="8" w:space="0" w:color="auto"/>
              <w:left w:val="nil"/>
              <w:bottom w:val="single" w:sz="4" w:space="0" w:color="auto"/>
              <w:right w:val="single" w:sz="8" w:space="0" w:color="auto"/>
            </w:tcBorders>
            <w:shd w:val="clear" w:color="000000" w:fill="F2F2F2"/>
            <w:noWrap/>
            <w:vAlign w:val="center"/>
            <w:hideMark/>
          </w:tcPr>
          <w:p w:rsidR="00B6513F" w:rsidRPr="00B6513F" w:rsidRDefault="00B6513F" w:rsidP="00B6513F">
            <w:pPr>
              <w:spacing w:after="0" w:line="240" w:lineRule="auto"/>
              <w:jc w:val="center"/>
              <w:rPr>
                <w:rFonts w:ascii="Calibri" w:eastAsia="Times New Roman" w:hAnsi="Calibri" w:cs="Calibri"/>
                <w:b/>
                <w:bCs/>
                <w:color w:val="FA7D00"/>
              </w:rPr>
            </w:pPr>
            <w:r w:rsidRPr="00B6513F">
              <w:rPr>
                <w:rFonts w:ascii="Calibri" w:eastAsia="Times New Roman" w:hAnsi="Calibri" w:cs="Calibri"/>
                <w:b/>
                <w:bCs/>
                <w:color w:val="FA7D00"/>
              </w:rPr>
              <w:t>2022E</w:t>
            </w:r>
          </w:p>
        </w:tc>
      </w:tr>
      <w:tr w:rsidR="00986288" w:rsidRPr="00B6513F" w:rsidTr="00EB697D">
        <w:trPr>
          <w:trHeight w:val="300"/>
        </w:trPr>
        <w:tc>
          <w:tcPr>
            <w:tcW w:w="1777" w:type="pct"/>
            <w:tcBorders>
              <w:top w:val="single" w:sz="4" w:space="0" w:color="auto"/>
              <w:left w:val="single" w:sz="8" w:space="0" w:color="auto"/>
              <w:bottom w:val="single" w:sz="4" w:space="0" w:color="auto"/>
              <w:right w:val="single" w:sz="4" w:space="0" w:color="auto"/>
            </w:tcBorders>
            <w:shd w:val="clear" w:color="auto" w:fill="FFE599" w:themeFill="accent4" w:themeFillTint="66"/>
            <w:noWrap/>
            <w:vAlign w:val="center"/>
          </w:tcPr>
          <w:p w:rsidR="00986288" w:rsidRPr="0041053E" w:rsidRDefault="00986288" w:rsidP="00B6513F">
            <w:pPr>
              <w:spacing w:after="0" w:line="240" w:lineRule="auto"/>
              <w:rPr>
                <w:rFonts w:ascii="Calibri" w:eastAsia="Times New Roman" w:hAnsi="Calibri" w:cs="Calibri"/>
                <w:b/>
                <w:color w:val="000000"/>
              </w:rPr>
            </w:pPr>
            <w:r w:rsidRPr="00986288">
              <w:rPr>
                <w:rFonts w:ascii="Calibri" w:eastAsia="Times New Roman" w:hAnsi="Calibri" w:cs="Calibri"/>
                <w:b/>
                <w:color w:val="000000"/>
              </w:rPr>
              <w:t>Amounts are in million BDT</w:t>
            </w:r>
          </w:p>
        </w:tc>
        <w:tc>
          <w:tcPr>
            <w:tcW w:w="696" w:type="pct"/>
            <w:tcBorders>
              <w:top w:val="single" w:sz="4" w:space="0" w:color="auto"/>
              <w:left w:val="single" w:sz="4" w:space="0" w:color="auto"/>
            </w:tcBorders>
            <w:shd w:val="clear" w:color="000000" w:fill="F2F2F2"/>
            <w:noWrap/>
            <w:vAlign w:val="center"/>
          </w:tcPr>
          <w:p w:rsidR="00986288" w:rsidRPr="00B6513F" w:rsidRDefault="00986288" w:rsidP="00B6513F">
            <w:pPr>
              <w:spacing w:after="0" w:line="240" w:lineRule="auto"/>
              <w:jc w:val="center"/>
              <w:rPr>
                <w:rFonts w:ascii="Calibri" w:eastAsia="Times New Roman" w:hAnsi="Calibri" w:cs="Calibri"/>
                <w:b/>
                <w:bCs/>
                <w:color w:val="FA7D00"/>
              </w:rPr>
            </w:pPr>
          </w:p>
        </w:tc>
        <w:tc>
          <w:tcPr>
            <w:tcW w:w="743" w:type="pct"/>
            <w:tcBorders>
              <w:top w:val="single" w:sz="4" w:space="0" w:color="auto"/>
            </w:tcBorders>
            <w:shd w:val="clear" w:color="000000" w:fill="F2F2F2"/>
            <w:noWrap/>
            <w:vAlign w:val="center"/>
          </w:tcPr>
          <w:p w:rsidR="00986288" w:rsidRPr="00B6513F" w:rsidRDefault="00986288" w:rsidP="00B6513F">
            <w:pPr>
              <w:spacing w:after="0" w:line="240" w:lineRule="auto"/>
              <w:jc w:val="center"/>
              <w:rPr>
                <w:rFonts w:ascii="Calibri" w:eastAsia="Times New Roman" w:hAnsi="Calibri" w:cs="Calibri"/>
                <w:b/>
                <w:bCs/>
                <w:color w:val="FA7D00"/>
              </w:rPr>
            </w:pPr>
          </w:p>
        </w:tc>
        <w:tc>
          <w:tcPr>
            <w:tcW w:w="595" w:type="pct"/>
            <w:tcBorders>
              <w:top w:val="single" w:sz="4" w:space="0" w:color="auto"/>
            </w:tcBorders>
            <w:shd w:val="clear" w:color="000000" w:fill="F2F2F2"/>
            <w:noWrap/>
            <w:vAlign w:val="center"/>
          </w:tcPr>
          <w:p w:rsidR="00986288" w:rsidRPr="00B6513F" w:rsidRDefault="00986288" w:rsidP="00B6513F">
            <w:pPr>
              <w:spacing w:after="0" w:line="240" w:lineRule="auto"/>
              <w:jc w:val="center"/>
              <w:rPr>
                <w:rFonts w:ascii="Calibri" w:eastAsia="Times New Roman" w:hAnsi="Calibri" w:cs="Calibri"/>
                <w:b/>
                <w:bCs/>
                <w:color w:val="FA7D00"/>
              </w:rPr>
            </w:pPr>
          </w:p>
        </w:tc>
        <w:tc>
          <w:tcPr>
            <w:tcW w:w="595" w:type="pct"/>
            <w:tcBorders>
              <w:top w:val="single" w:sz="4" w:space="0" w:color="auto"/>
            </w:tcBorders>
            <w:shd w:val="clear" w:color="000000" w:fill="F2F2F2"/>
            <w:noWrap/>
            <w:vAlign w:val="center"/>
          </w:tcPr>
          <w:p w:rsidR="00986288" w:rsidRPr="00B6513F" w:rsidRDefault="00986288" w:rsidP="00B6513F">
            <w:pPr>
              <w:spacing w:after="0" w:line="240" w:lineRule="auto"/>
              <w:jc w:val="center"/>
              <w:rPr>
                <w:rFonts w:ascii="Calibri" w:eastAsia="Times New Roman" w:hAnsi="Calibri" w:cs="Calibri"/>
                <w:b/>
                <w:bCs/>
                <w:color w:val="FA7D00"/>
              </w:rPr>
            </w:pPr>
          </w:p>
        </w:tc>
        <w:tc>
          <w:tcPr>
            <w:tcW w:w="594" w:type="pct"/>
            <w:tcBorders>
              <w:top w:val="single" w:sz="4" w:space="0" w:color="auto"/>
              <w:right w:val="single" w:sz="4" w:space="0" w:color="auto"/>
            </w:tcBorders>
            <w:shd w:val="clear" w:color="000000" w:fill="F2F2F2"/>
            <w:noWrap/>
            <w:vAlign w:val="center"/>
          </w:tcPr>
          <w:p w:rsidR="00986288" w:rsidRPr="00B6513F" w:rsidRDefault="00986288" w:rsidP="00B6513F">
            <w:pPr>
              <w:spacing w:after="0" w:line="240" w:lineRule="auto"/>
              <w:jc w:val="center"/>
              <w:rPr>
                <w:rFonts w:ascii="Calibri" w:eastAsia="Times New Roman" w:hAnsi="Calibri" w:cs="Calibri"/>
                <w:b/>
                <w:bCs/>
                <w:color w:val="FA7D00"/>
              </w:rPr>
            </w:pPr>
          </w:p>
        </w:tc>
      </w:tr>
      <w:tr w:rsidR="00B6513F" w:rsidRPr="00B6513F" w:rsidTr="00EB697D">
        <w:trPr>
          <w:trHeight w:val="300"/>
        </w:trPr>
        <w:tc>
          <w:tcPr>
            <w:tcW w:w="1777" w:type="pct"/>
            <w:tcBorders>
              <w:top w:val="single" w:sz="4" w:space="0" w:color="auto"/>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Asset</w:t>
            </w:r>
          </w:p>
        </w:tc>
        <w:tc>
          <w:tcPr>
            <w:tcW w:w="696" w:type="pct"/>
            <w:tcBorders>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743" w:type="pct"/>
            <w:tcBorders>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595" w:type="pct"/>
            <w:tcBorders>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594" w:type="pct"/>
            <w:tcBorders>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 </w:t>
            </w:r>
          </w:p>
        </w:tc>
      </w:tr>
      <w:tr w:rsidR="00B6513F" w:rsidRPr="00B6513F" w:rsidTr="00EB697D">
        <w:trPr>
          <w:trHeight w:val="414"/>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Non-current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rPr>
                <w:rFonts w:ascii="Times New Roman" w:eastAsia="Times New Roman" w:hAnsi="Times New Roman" w:cs="Times New Roman"/>
                <w:sz w:val="20"/>
                <w:szCs w:val="20"/>
              </w:rPr>
            </w:pP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Property, plant and equipment, net</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69,281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73,695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77,837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82,759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86,626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Intangible assets, net</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49,552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46,852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67,799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63,654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59,881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Investment in associate</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Other non-current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3,848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3,848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3,848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3,848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3,848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non-current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122,681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124,396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149,484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150,261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150,355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Current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Inventories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596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645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689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731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762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Trade and other receivables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8,115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8,781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9,376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9,950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10,371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Short-term investment</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0.00</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Cash and cash equivalents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rPr>
            </w:pPr>
            <w:r w:rsidRPr="00B6513F">
              <w:rPr>
                <w:rFonts w:ascii="Calibri" w:eastAsia="Times New Roman" w:hAnsi="Calibri" w:cs="Calibri"/>
              </w:rPr>
              <w:t xml:space="preserve">                                     12,575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rPr>
            </w:pPr>
            <w:r w:rsidRPr="00B6513F">
              <w:rPr>
                <w:rFonts w:ascii="Calibri" w:eastAsia="Times New Roman" w:hAnsi="Calibri" w:cs="Calibri"/>
              </w:rPr>
              <w:t xml:space="preserve">                     9,754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rPr>
            </w:pPr>
            <w:r w:rsidRPr="00B6513F">
              <w:rPr>
                <w:rFonts w:ascii="Calibri" w:eastAsia="Times New Roman" w:hAnsi="Calibri" w:cs="Calibri"/>
              </w:rPr>
              <w:t xml:space="preserve">             3,890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4,296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4,770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current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21,286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19,180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13,954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14,977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15,903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assets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143,967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143,576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163,438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165,238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166,258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Equity and liabilities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Shareholders’ equity</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Share capital</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13,503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13,503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13,503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13,503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13,503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Share premium</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7,840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7,840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7,840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7,840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7,840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Capital reserve</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14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14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14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14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14 </w:t>
            </w:r>
          </w:p>
        </w:tc>
      </w:tr>
      <w:tr w:rsidR="00B6513F" w:rsidRPr="00B6513F" w:rsidTr="00EB697D">
        <w:trPr>
          <w:trHeight w:val="300"/>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Deposit from shareholders</w:t>
            </w:r>
          </w:p>
        </w:tc>
        <w:tc>
          <w:tcPr>
            <w:tcW w:w="696"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 </w:t>
            </w:r>
          </w:p>
        </w:tc>
        <w:tc>
          <w:tcPr>
            <w:tcW w:w="74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 </w:t>
            </w:r>
          </w:p>
        </w:tc>
        <w:tc>
          <w:tcPr>
            <w:tcW w:w="595"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 </w:t>
            </w:r>
          </w:p>
        </w:tc>
        <w:tc>
          <w:tcPr>
            <w:tcW w:w="594"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 </w:t>
            </w:r>
          </w:p>
        </w:tc>
      </w:tr>
      <w:tr w:rsidR="00B6513F" w:rsidRPr="00B6513F" w:rsidTr="00EB697D">
        <w:trPr>
          <w:trHeight w:val="300"/>
        </w:trPr>
        <w:tc>
          <w:tcPr>
            <w:tcW w:w="1777" w:type="pct"/>
            <w:tcBorders>
              <w:top w:val="nil"/>
              <w:left w:val="single" w:sz="8" w:space="0" w:color="auto"/>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Retained earnings</w:t>
            </w:r>
          </w:p>
        </w:tc>
        <w:tc>
          <w:tcPr>
            <w:tcW w:w="696" w:type="pct"/>
            <w:tcBorders>
              <w:top w:val="nil"/>
              <w:left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13,424 </w:t>
            </w:r>
          </w:p>
        </w:tc>
        <w:tc>
          <w:tcPr>
            <w:tcW w:w="743" w:type="pct"/>
            <w:tcBorders>
              <w:top w:val="nil"/>
              <w:left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13,047 </w:t>
            </w:r>
          </w:p>
        </w:tc>
        <w:tc>
          <w:tcPr>
            <w:tcW w:w="595" w:type="pct"/>
            <w:tcBorders>
              <w:top w:val="nil"/>
              <w:left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12,637 </w:t>
            </w:r>
          </w:p>
        </w:tc>
        <w:tc>
          <w:tcPr>
            <w:tcW w:w="595" w:type="pct"/>
            <w:tcBorders>
              <w:top w:val="nil"/>
              <w:left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12,216 </w:t>
            </w:r>
          </w:p>
        </w:tc>
        <w:tc>
          <w:tcPr>
            <w:tcW w:w="594" w:type="pct"/>
            <w:tcBorders>
              <w:top w:val="nil"/>
              <w:left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11,774 </w:t>
            </w:r>
          </w:p>
        </w:tc>
      </w:tr>
      <w:tr w:rsidR="00B6513F" w:rsidRPr="00B6513F" w:rsidTr="00EB697D">
        <w:trPr>
          <w:trHeight w:val="300"/>
        </w:trPr>
        <w:tc>
          <w:tcPr>
            <w:tcW w:w="1777" w:type="pct"/>
            <w:tcBorders>
              <w:top w:val="nil"/>
              <w:left w:val="single" w:sz="8" w:space="0" w:color="auto"/>
              <w:bottom w:val="single" w:sz="4" w:space="0" w:color="auto"/>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equity</w:t>
            </w:r>
          </w:p>
        </w:tc>
        <w:tc>
          <w:tcPr>
            <w:tcW w:w="696" w:type="pct"/>
            <w:tcBorders>
              <w:top w:val="nil"/>
              <w:left w:val="nil"/>
              <w:bottom w:val="single" w:sz="4"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34,783 </w:t>
            </w:r>
          </w:p>
        </w:tc>
        <w:tc>
          <w:tcPr>
            <w:tcW w:w="743" w:type="pct"/>
            <w:tcBorders>
              <w:top w:val="nil"/>
              <w:left w:val="nil"/>
              <w:bottom w:val="single" w:sz="4"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34,407 </w:t>
            </w:r>
          </w:p>
        </w:tc>
        <w:tc>
          <w:tcPr>
            <w:tcW w:w="595" w:type="pct"/>
            <w:tcBorders>
              <w:top w:val="nil"/>
              <w:left w:val="nil"/>
              <w:bottom w:val="single" w:sz="4"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33,997 </w:t>
            </w:r>
          </w:p>
        </w:tc>
        <w:tc>
          <w:tcPr>
            <w:tcW w:w="595" w:type="pct"/>
            <w:tcBorders>
              <w:top w:val="nil"/>
              <w:left w:val="nil"/>
              <w:bottom w:val="single" w:sz="4"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33,576 </w:t>
            </w:r>
          </w:p>
        </w:tc>
        <w:tc>
          <w:tcPr>
            <w:tcW w:w="594" w:type="pct"/>
            <w:tcBorders>
              <w:top w:val="nil"/>
              <w:left w:val="nil"/>
              <w:bottom w:val="single" w:sz="4" w:space="0" w:color="auto"/>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33,134 </w:t>
            </w:r>
          </w:p>
        </w:tc>
      </w:tr>
    </w:tbl>
    <w:p w:rsidR="00BB4587" w:rsidRDefault="00BB4587">
      <w:r>
        <w:br w:type="page"/>
      </w:r>
    </w:p>
    <w:tbl>
      <w:tblPr>
        <w:tblW w:w="5000" w:type="pct"/>
        <w:tblLayout w:type="fixed"/>
        <w:tblLook w:val="04A0" w:firstRow="1" w:lastRow="0" w:firstColumn="1" w:lastColumn="0" w:noHBand="0" w:noVBand="1"/>
      </w:tblPr>
      <w:tblGrid>
        <w:gridCol w:w="3404"/>
        <w:gridCol w:w="1098"/>
        <w:gridCol w:w="1513"/>
        <w:gridCol w:w="1187"/>
        <w:gridCol w:w="1187"/>
        <w:gridCol w:w="1187"/>
      </w:tblGrid>
      <w:tr w:rsidR="00EB697D" w:rsidRPr="00B6513F" w:rsidTr="00EB697D">
        <w:trPr>
          <w:trHeight w:val="431"/>
        </w:trPr>
        <w:tc>
          <w:tcPr>
            <w:tcW w:w="1777" w:type="pct"/>
            <w:tcBorders>
              <w:top w:val="single" w:sz="4" w:space="0" w:color="auto"/>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lastRenderedPageBreak/>
              <w:t>Non-current liabilities</w:t>
            </w:r>
          </w:p>
        </w:tc>
        <w:tc>
          <w:tcPr>
            <w:tcW w:w="573" w:type="pct"/>
            <w:tcBorders>
              <w:top w:val="single" w:sz="4" w:space="0" w:color="auto"/>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790" w:type="pct"/>
            <w:tcBorders>
              <w:top w:val="single" w:sz="4" w:space="0" w:color="auto"/>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single" w:sz="4" w:space="0" w:color="auto"/>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single" w:sz="4" w:space="0" w:color="auto"/>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single" w:sz="4" w:space="0" w:color="auto"/>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Finance lease obligation</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4,687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4,408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4,087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3,718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3,293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Loans and borrowings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15,681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8,381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13,701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9,723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5,406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Deferred tax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6,238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6,238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6,238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6,238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6,238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Employee benefits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1,599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1,201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1,201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1,201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1,201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Other non-current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424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424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424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424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424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non-current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28,630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20,652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25,652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21,305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16,562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Current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Times New Roman" w:eastAsia="Times New Roman" w:hAnsi="Times New Roman" w:cs="Times New Roman"/>
                <w:sz w:val="20"/>
                <w:szCs w:val="20"/>
              </w:rPr>
            </w:pP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Trade and other payables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27,705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29,978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32,009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33,971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35,406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Provisions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15,257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15,257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15,257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15,257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15,257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Loans and borrowings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5,440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7,580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17,730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21,148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23,965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Current tax payable</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28,185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31,409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34,211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35,118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36,864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color w:val="000000"/>
              </w:rPr>
            </w:pPr>
            <w:r w:rsidRPr="00B6513F">
              <w:rPr>
                <w:rFonts w:ascii="Calibri" w:eastAsia="Times New Roman" w:hAnsi="Calibri" w:cs="Calibri"/>
                <w:color w:val="000000"/>
              </w:rPr>
              <w:t>Other current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3,967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4,292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4,583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4,864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color w:val="000000"/>
              </w:rPr>
            </w:pPr>
            <w:r w:rsidRPr="00B6513F">
              <w:rPr>
                <w:rFonts w:ascii="Calibri" w:eastAsia="Times New Roman" w:hAnsi="Calibri" w:cs="Calibri"/>
                <w:color w:val="000000"/>
              </w:rPr>
              <w:t xml:space="preserve">             5,069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current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80,554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88,516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103,790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110,358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116,563 </w:t>
            </w:r>
          </w:p>
        </w:tc>
      </w:tr>
      <w:tr w:rsidR="00EB697D" w:rsidRPr="00B6513F" w:rsidTr="00EB697D">
        <w:trPr>
          <w:trHeight w:val="431"/>
        </w:trPr>
        <w:tc>
          <w:tcPr>
            <w:tcW w:w="1777" w:type="pct"/>
            <w:tcBorders>
              <w:top w:val="nil"/>
              <w:left w:val="single" w:sz="8" w:space="0" w:color="auto"/>
              <w:bottom w:val="nil"/>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liabilities</w:t>
            </w:r>
          </w:p>
        </w:tc>
        <w:tc>
          <w:tcPr>
            <w:tcW w:w="573"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109,184 </w:t>
            </w:r>
          </w:p>
        </w:tc>
        <w:tc>
          <w:tcPr>
            <w:tcW w:w="79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109,169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129,442 </w:t>
            </w:r>
          </w:p>
        </w:tc>
        <w:tc>
          <w:tcPr>
            <w:tcW w:w="620" w:type="pct"/>
            <w:tcBorders>
              <w:top w:val="nil"/>
              <w:left w:val="nil"/>
              <w:bottom w:val="nil"/>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131,663 </w:t>
            </w:r>
          </w:p>
        </w:tc>
        <w:tc>
          <w:tcPr>
            <w:tcW w:w="620" w:type="pct"/>
            <w:tcBorders>
              <w:top w:val="nil"/>
              <w:left w:val="nil"/>
              <w:bottom w:val="nil"/>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133,125 </w:t>
            </w:r>
          </w:p>
        </w:tc>
      </w:tr>
      <w:tr w:rsidR="00EB697D" w:rsidRPr="00B6513F" w:rsidTr="00EB697D">
        <w:trPr>
          <w:trHeight w:val="452"/>
        </w:trPr>
        <w:tc>
          <w:tcPr>
            <w:tcW w:w="1777" w:type="pct"/>
            <w:tcBorders>
              <w:top w:val="nil"/>
              <w:left w:val="single" w:sz="8" w:space="0" w:color="auto"/>
              <w:bottom w:val="single" w:sz="8" w:space="0" w:color="auto"/>
              <w:right w:val="nil"/>
            </w:tcBorders>
            <w:shd w:val="clear" w:color="auto" w:fill="FFF2CC" w:themeFill="accent4" w:themeFillTint="33"/>
            <w:noWrap/>
            <w:vAlign w:val="center"/>
            <w:hideMark/>
          </w:tcPr>
          <w:p w:rsidR="00B6513F" w:rsidRPr="00B6513F" w:rsidRDefault="00B6513F" w:rsidP="00B6513F">
            <w:pPr>
              <w:spacing w:after="0" w:line="240" w:lineRule="auto"/>
              <w:rPr>
                <w:rFonts w:ascii="Calibri" w:eastAsia="Times New Roman" w:hAnsi="Calibri" w:cs="Calibri"/>
                <w:b/>
                <w:bCs/>
                <w:color w:val="000000"/>
              </w:rPr>
            </w:pPr>
            <w:r w:rsidRPr="00B6513F">
              <w:rPr>
                <w:rFonts w:ascii="Calibri" w:eastAsia="Times New Roman" w:hAnsi="Calibri" w:cs="Calibri"/>
                <w:b/>
                <w:bCs/>
                <w:color w:val="000000"/>
              </w:rPr>
              <w:t>Total equity and liabilities</w:t>
            </w:r>
          </w:p>
        </w:tc>
        <w:tc>
          <w:tcPr>
            <w:tcW w:w="573" w:type="pct"/>
            <w:tcBorders>
              <w:top w:val="nil"/>
              <w:left w:val="nil"/>
              <w:bottom w:val="single" w:sz="8"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143,967 </w:t>
            </w:r>
          </w:p>
        </w:tc>
        <w:tc>
          <w:tcPr>
            <w:tcW w:w="790" w:type="pct"/>
            <w:tcBorders>
              <w:top w:val="nil"/>
              <w:left w:val="nil"/>
              <w:bottom w:val="single" w:sz="8"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143,576 </w:t>
            </w:r>
          </w:p>
        </w:tc>
        <w:tc>
          <w:tcPr>
            <w:tcW w:w="620" w:type="pct"/>
            <w:tcBorders>
              <w:top w:val="nil"/>
              <w:left w:val="nil"/>
              <w:bottom w:val="single" w:sz="8"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163,438 </w:t>
            </w:r>
          </w:p>
        </w:tc>
        <w:tc>
          <w:tcPr>
            <w:tcW w:w="620" w:type="pct"/>
            <w:tcBorders>
              <w:top w:val="nil"/>
              <w:left w:val="nil"/>
              <w:bottom w:val="single" w:sz="8" w:space="0" w:color="auto"/>
              <w:right w:val="nil"/>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165,238 </w:t>
            </w:r>
          </w:p>
        </w:tc>
        <w:tc>
          <w:tcPr>
            <w:tcW w:w="620" w:type="pct"/>
            <w:tcBorders>
              <w:top w:val="nil"/>
              <w:left w:val="nil"/>
              <w:bottom w:val="single" w:sz="8" w:space="0" w:color="auto"/>
              <w:right w:val="single" w:sz="8" w:space="0" w:color="auto"/>
            </w:tcBorders>
            <w:shd w:val="clear" w:color="auto" w:fill="F2F2F2" w:themeFill="background1" w:themeFillShade="F2"/>
            <w:noWrap/>
            <w:vAlign w:val="center"/>
            <w:hideMark/>
          </w:tcPr>
          <w:p w:rsidR="00B6513F" w:rsidRPr="00B6513F" w:rsidRDefault="00B6513F" w:rsidP="00B6513F">
            <w:pPr>
              <w:spacing w:after="0" w:line="240" w:lineRule="auto"/>
              <w:jc w:val="center"/>
              <w:rPr>
                <w:rFonts w:ascii="Calibri" w:eastAsia="Times New Roman" w:hAnsi="Calibri" w:cs="Calibri"/>
                <w:b/>
                <w:bCs/>
                <w:color w:val="000000"/>
              </w:rPr>
            </w:pPr>
            <w:r w:rsidRPr="00B6513F">
              <w:rPr>
                <w:rFonts w:ascii="Calibri" w:eastAsia="Times New Roman" w:hAnsi="Calibri" w:cs="Calibri"/>
                <w:b/>
                <w:bCs/>
                <w:color w:val="000000"/>
              </w:rPr>
              <w:t xml:space="preserve">         166,258 </w:t>
            </w:r>
          </w:p>
        </w:tc>
      </w:tr>
    </w:tbl>
    <w:p w:rsidR="008A5ADB" w:rsidRDefault="008A5ADB" w:rsidP="00C759AF">
      <w:pPr>
        <w:spacing w:line="360" w:lineRule="auto"/>
        <w:jc w:val="both"/>
        <w:rPr>
          <w:rFonts w:ascii="Times New Roman" w:hAnsi="Times New Roman" w:cs="Times New Roman"/>
          <w:sz w:val="24"/>
          <w:szCs w:val="24"/>
        </w:rPr>
      </w:pPr>
    </w:p>
    <w:p w:rsidR="008A5ADB" w:rsidRDefault="008A5ADB">
      <w:pPr>
        <w:rPr>
          <w:rFonts w:ascii="Times New Roman" w:hAnsi="Times New Roman" w:cs="Times New Roman"/>
          <w:sz w:val="24"/>
          <w:szCs w:val="24"/>
        </w:rPr>
      </w:pPr>
      <w:r>
        <w:rPr>
          <w:rFonts w:ascii="Times New Roman" w:hAnsi="Times New Roman" w:cs="Times New Roman"/>
          <w:sz w:val="24"/>
          <w:szCs w:val="24"/>
        </w:rPr>
        <w:br w:type="page"/>
      </w:r>
    </w:p>
    <w:tbl>
      <w:tblPr>
        <w:tblW w:w="5016" w:type="pct"/>
        <w:tblLayout w:type="fixed"/>
        <w:tblLook w:val="04A0" w:firstRow="1" w:lastRow="0" w:firstColumn="1" w:lastColumn="0" w:noHBand="0" w:noVBand="1"/>
      </w:tblPr>
      <w:tblGrid>
        <w:gridCol w:w="4068"/>
        <w:gridCol w:w="1293"/>
        <w:gridCol w:w="1205"/>
        <w:gridCol w:w="1016"/>
        <w:gridCol w:w="1016"/>
        <w:gridCol w:w="1009"/>
      </w:tblGrid>
      <w:tr w:rsidR="0053200D" w:rsidRPr="00FD3FB1" w:rsidTr="007C0430">
        <w:trPr>
          <w:trHeight w:val="374"/>
        </w:trPr>
        <w:tc>
          <w:tcPr>
            <w:tcW w:w="2117" w:type="pct"/>
            <w:tcBorders>
              <w:top w:val="single" w:sz="8" w:space="0" w:color="auto"/>
              <w:left w:val="single" w:sz="8" w:space="0" w:color="auto"/>
              <w:bottom w:val="single" w:sz="4" w:space="0" w:color="auto"/>
              <w:right w:val="single" w:sz="4" w:space="0" w:color="B2B2B2"/>
            </w:tcBorders>
            <w:shd w:val="clear" w:color="auto" w:fill="FFE599" w:themeFill="accent4" w:themeFillTint="66"/>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lastRenderedPageBreak/>
              <w:t>Income Statement</w:t>
            </w:r>
            <w:r w:rsidR="00816982">
              <w:rPr>
                <w:rFonts w:ascii="Calibri" w:eastAsia="Times New Roman" w:hAnsi="Calibri" w:cs="Calibri"/>
                <w:b/>
                <w:bCs/>
                <w:color w:val="000000"/>
              </w:rPr>
              <w:t xml:space="preserve"> ( Forecasted ) </w:t>
            </w:r>
          </w:p>
        </w:tc>
        <w:tc>
          <w:tcPr>
            <w:tcW w:w="673" w:type="pct"/>
            <w:tcBorders>
              <w:top w:val="single" w:sz="8" w:space="0" w:color="auto"/>
              <w:left w:val="single" w:sz="4" w:space="0" w:color="7F7F7F"/>
              <w:bottom w:val="single" w:sz="4" w:space="0" w:color="auto"/>
              <w:right w:val="single" w:sz="4" w:space="0" w:color="7F7F7F"/>
            </w:tcBorders>
            <w:shd w:val="clear" w:color="000000" w:fill="F2F2F2"/>
            <w:noWrap/>
            <w:vAlign w:val="bottom"/>
            <w:hideMark/>
          </w:tcPr>
          <w:p w:rsidR="00FD3FB1" w:rsidRPr="00FD3FB1" w:rsidRDefault="00FD3FB1" w:rsidP="00B90EDA">
            <w:pPr>
              <w:spacing w:after="0" w:line="276" w:lineRule="auto"/>
              <w:jc w:val="center"/>
              <w:rPr>
                <w:rFonts w:ascii="Calibri" w:eastAsia="Times New Roman" w:hAnsi="Calibri" w:cs="Calibri"/>
                <w:b/>
                <w:bCs/>
                <w:color w:val="FA7D00"/>
              </w:rPr>
            </w:pPr>
            <w:r w:rsidRPr="00FD3FB1">
              <w:rPr>
                <w:rFonts w:ascii="Calibri" w:eastAsia="Times New Roman" w:hAnsi="Calibri" w:cs="Calibri"/>
                <w:b/>
                <w:bCs/>
                <w:color w:val="FA7D00"/>
              </w:rPr>
              <w:t>2018E</w:t>
            </w:r>
          </w:p>
        </w:tc>
        <w:tc>
          <w:tcPr>
            <w:tcW w:w="627" w:type="pct"/>
            <w:tcBorders>
              <w:top w:val="single" w:sz="8" w:space="0" w:color="auto"/>
              <w:left w:val="nil"/>
              <w:bottom w:val="single" w:sz="4" w:space="0" w:color="auto"/>
              <w:right w:val="single" w:sz="4" w:space="0" w:color="7F7F7F"/>
            </w:tcBorders>
            <w:shd w:val="clear" w:color="000000" w:fill="F2F2F2"/>
            <w:noWrap/>
            <w:vAlign w:val="bottom"/>
            <w:hideMark/>
          </w:tcPr>
          <w:p w:rsidR="00FD3FB1" w:rsidRPr="00FD3FB1" w:rsidRDefault="00FD3FB1" w:rsidP="00B90EDA">
            <w:pPr>
              <w:spacing w:after="0" w:line="276" w:lineRule="auto"/>
              <w:jc w:val="center"/>
              <w:rPr>
                <w:rFonts w:ascii="Calibri" w:eastAsia="Times New Roman" w:hAnsi="Calibri" w:cs="Calibri"/>
                <w:b/>
                <w:bCs/>
                <w:color w:val="FA7D00"/>
              </w:rPr>
            </w:pPr>
            <w:r w:rsidRPr="00FD3FB1">
              <w:rPr>
                <w:rFonts w:ascii="Calibri" w:eastAsia="Times New Roman" w:hAnsi="Calibri" w:cs="Calibri"/>
                <w:b/>
                <w:bCs/>
                <w:color w:val="FA7D00"/>
              </w:rPr>
              <w:t>2019E</w:t>
            </w:r>
          </w:p>
        </w:tc>
        <w:tc>
          <w:tcPr>
            <w:tcW w:w="529" w:type="pct"/>
            <w:tcBorders>
              <w:top w:val="single" w:sz="8" w:space="0" w:color="auto"/>
              <w:left w:val="nil"/>
              <w:bottom w:val="single" w:sz="4" w:space="0" w:color="auto"/>
              <w:right w:val="single" w:sz="4" w:space="0" w:color="7F7F7F"/>
            </w:tcBorders>
            <w:shd w:val="clear" w:color="000000" w:fill="F2F2F2"/>
            <w:noWrap/>
            <w:vAlign w:val="bottom"/>
            <w:hideMark/>
          </w:tcPr>
          <w:p w:rsidR="00FD3FB1" w:rsidRPr="00FD3FB1" w:rsidRDefault="00FD3FB1" w:rsidP="00B90EDA">
            <w:pPr>
              <w:spacing w:after="0" w:line="276" w:lineRule="auto"/>
              <w:jc w:val="center"/>
              <w:rPr>
                <w:rFonts w:ascii="Calibri" w:eastAsia="Times New Roman" w:hAnsi="Calibri" w:cs="Calibri"/>
                <w:b/>
                <w:bCs/>
                <w:color w:val="FA7D00"/>
              </w:rPr>
            </w:pPr>
            <w:r w:rsidRPr="00FD3FB1">
              <w:rPr>
                <w:rFonts w:ascii="Calibri" w:eastAsia="Times New Roman" w:hAnsi="Calibri" w:cs="Calibri"/>
                <w:b/>
                <w:bCs/>
                <w:color w:val="FA7D00"/>
              </w:rPr>
              <w:t>2020E</w:t>
            </w:r>
          </w:p>
        </w:tc>
        <w:tc>
          <w:tcPr>
            <w:tcW w:w="529" w:type="pct"/>
            <w:tcBorders>
              <w:top w:val="single" w:sz="8" w:space="0" w:color="auto"/>
              <w:left w:val="nil"/>
              <w:bottom w:val="single" w:sz="4" w:space="0" w:color="auto"/>
              <w:right w:val="single" w:sz="4" w:space="0" w:color="7F7F7F"/>
            </w:tcBorders>
            <w:shd w:val="clear" w:color="000000" w:fill="F2F2F2"/>
            <w:noWrap/>
            <w:vAlign w:val="bottom"/>
            <w:hideMark/>
          </w:tcPr>
          <w:p w:rsidR="00FD3FB1" w:rsidRPr="00FD3FB1" w:rsidRDefault="00FD3FB1" w:rsidP="00B90EDA">
            <w:pPr>
              <w:spacing w:after="0" w:line="276" w:lineRule="auto"/>
              <w:jc w:val="center"/>
              <w:rPr>
                <w:rFonts w:ascii="Calibri" w:eastAsia="Times New Roman" w:hAnsi="Calibri" w:cs="Calibri"/>
                <w:b/>
                <w:bCs/>
                <w:color w:val="FA7D00"/>
              </w:rPr>
            </w:pPr>
            <w:r w:rsidRPr="00FD3FB1">
              <w:rPr>
                <w:rFonts w:ascii="Calibri" w:eastAsia="Times New Roman" w:hAnsi="Calibri" w:cs="Calibri"/>
                <w:b/>
                <w:bCs/>
                <w:color w:val="FA7D00"/>
              </w:rPr>
              <w:t>2021E</w:t>
            </w:r>
          </w:p>
        </w:tc>
        <w:tc>
          <w:tcPr>
            <w:tcW w:w="525" w:type="pct"/>
            <w:tcBorders>
              <w:top w:val="single" w:sz="8" w:space="0" w:color="auto"/>
              <w:left w:val="nil"/>
              <w:bottom w:val="single" w:sz="4" w:space="0" w:color="auto"/>
              <w:right w:val="single" w:sz="8" w:space="0" w:color="auto"/>
            </w:tcBorders>
            <w:shd w:val="clear" w:color="000000" w:fill="F2F2F2"/>
            <w:noWrap/>
            <w:vAlign w:val="bottom"/>
            <w:hideMark/>
          </w:tcPr>
          <w:p w:rsidR="00FD3FB1" w:rsidRPr="00FD3FB1" w:rsidRDefault="00FD3FB1" w:rsidP="00B90EDA">
            <w:pPr>
              <w:spacing w:after="0" w:line="276" w:lineRule="auto"/>
              <w:jc w:val="center"/>
              <w:rPr>
                <w:rFonts w:ascii="Calibri" w:eastAsia="Times New Roman" w:hAnsi="Calibri" w:cs="Calibri"/>
                <w:b/>
                <w:bCs/>
                <w:color w:val="FA7D00"/>
              </w:rPr>
            </w:pPr>
            <w:r w:rsidRPr="00FD3FB1">
              <w:rPr>
                <w:rFonts w:ascii="Calibri" w:eastAsia="Times New Roman" w:hAnsi="Calibri" w:cs="Calibri"/>
                <w:b/>
                <w:bCs/>
                <w:color w:val="FA7D00"/>
              </w:rPr>
              <w:t>2022E</w:t>
            </w:r>
          </w:p>
        </w:tc>
      </w:tr>
      <w:tr w:rsidR="0053200D" w:rsidRPr="00FD3FB1" w:rsidTr="00986288">
        <w:trPr>
          <w:trHeight w:val="374"/>
        </w:trPr>
        <w:tc>
          <w:tcPr>
            <w:tcW w:w="2117" w:type="pct"/>
            <w:tcBorders>
              <w:top w:val="single" w:sz="4" w:space="0" w:color="auto"/>
              <w:left w:val="single" w:sz="8" w:space="0" w:color="auto"/>
              <w:bottom w:val="single" w:sz="4" w:space="0" w:color="auto"/>
              <w:right w:val="single" w:sz="4" w:space="0" w:color="auto"/>
            </w:tcBorders>
            <w:shd w:val="clear" w:color="auto" w:fill="FFE599" w:themeFill="accent4" w:themeFillTint="66"/>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 </w:t>
            </w:r>
            <w:r w:rsidR="007C0430" w:rsidRPr="00B90A9A">
              <w:rPr>
                <w:rFonts w:ascii="Calibri" w:eastAsia="Times New Roman" w:hAnsi="Calibri" w:cs="Calibri"/>
                <w:b/>
                <w:bCs/>
                <w:color w:val="000000"/>
              </w:rPr>
              <w:t>Amounts are in million BDT</w:t>
            </w:r>
          </w:p>
        </w:tc>
        <w:tc>
          <w:tcPr>
            <w:tcW w:w="673" w:type="pct"/>
            <w:tcBorders>
              <w:top w:val="single" w:sz="4" w:space="0" w:color="auto"/>
              <w:left w:val="single" w:sz="4" w:space="0" w:color="auto"/>
              <w:bottom w:val="nil"/>
              <w:right w:val="nil"/>
            </w:tcBorders>
            <w:shd w:val="clear" w:color="auto" w:fill="F2F2F2" w:themeFill="background1" w:themeFillShade="F2"/>
            <w:noWrap/>
            <w:vAlign w:val="bottom"/>
            <w:hideMark/>
          </w:tcPr>
          <w:p w:rsidR="00FD3FB1" w:rsidRPr="00FD3FB1" w:rsidRDefault="00FD3FB1" w:rsidP="00B90EDA">
            <w:pPr>
              <w:spacing w:after="0" w:line="276" w:lineRule="auto"/>
              <w:rPr>
                <w:rFonts w:ascii="Times New Roman" w:eastAsia="Times New Roman" w:hAnsi="Times New Roman" w:cs="Times New Roman"/>
                <w:sz w:val="20"/>
                <w:szCs w:val="20"/>
              </w:rPr>
            </w:pPr>
          </w:p>
        </w:tc>
        <w:tc>
          <w:tcPr>
            <w:tcW w:w="627" w:type="pct"/>
            <w:tcBorders>
              <w:top w:val="single" w:sz="4" w:space="0" w:color="auto"/>
              <w:left w:val="nil"/>
              <w:bottom w:val="nil"/>
              <w:right w:val="nil"/>
            </w:tcBorders>
            <w:shd w:val="clear" w:color="auto" w:fill="F2F2F2" w:themeFill="background1" w:themeFillShade="F2"/>
            <w:noWrap/>
            <w:vAlign w:val="bottom"/>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single" w:sz="4" w:space="0" w:color="auto"/>
              <w:left w:val="nil"/>
              <w:bottom w:val="nil"/>
              <w:right w:val="nil"/>
            </w:tcBorders>
            <w:shd w:val="clear" w:color="auto" w:fill="F2F2F2" w:themeFill="background1" w:themeFillShade="F2"/>
            <w:noWrap/>
            <w:vAlign w:val="bottom"/>
            <w:hideMark/>
          </w:tcPr>
          <w:p w:rsidR="00FD3FB1" w:rsidRPr="00FD3FB1" w:rsidRDefault="00FD3FB1" w:rsidP="00B90EDA">
            <w:pPr>
              <w:spacing w:after="0" w:line="276" w:lineRule="auto"/>
              <w:rPr>
                <w:rFonts w:ascii="Times New Roman" w:eastAsia="Times New Roman" w:hAnsi="Times New Roman" w:cs="Times New Roman"/>
                <w:sz w:val="20"/>
                <w:szCs w:val="20"/>
              </w:rPr>
            </w:pPr>
          </w:p>
        </w:tc>
        <w:tc>
          <w:tcPr>
            <w:tcW w:w="529" w:type="pct"/>
            <w:tcBorders>
              <w:top w:val="single" w:sz="4" w:space="0" w:color="auto"/>
              <w:left w:val="nil"/>
              <w:bottom w:val="nil"/>
              <w:right w:val="nil"/>
            </w:tcBorders>
            <w:shd w:val="clear" w:color="auto" w:fill="F2F2F2" w:themeFill="background1" w:themeFillShade="F2"/>
            <w:noWrap/>
            <w:vAlign w:val="bottom"/>
            <w:hideMark/>
          </w:tcPr>
          <w:p w:rsidR="00FD3FB1" w:rsidRPr="00FD3FB1" w:rsidRDefault="00FD3FB1" w:rsidP="00B90EDA">
            <w:pPr>
              <w:spacing w:after="0" w:line="276" w:lineRule="auto"/>
              <w:rPr>
                <w:rFonts w:ascii="Times New Roman" w:eastAsia="Times New Roman" w:hAnsi="Times New Roman" w:cs="Times New Roman"/>
                <w:sz w:val="20"/>
                <w:szCs w:val="20"/>
              </w:rPr>
            </w:pPr>
          </w:p>
        </w:tc>
        <w:tc>
          <w:tcPr>
            <w:tcW w:w="525" w:type="pct"/>
            <w:tcBorders>
              <w:top w:val="single" w:sz="4" w:space="0" w:color="auto"/>
              <w:left w:val="nil"/>
              <w:bottom w:val="nil"/>
              <w:right w:val="single" w:sz="8" w:space="0" w:color="auto"/>
            </w:tcBorders>
            <w:shd w:val="clear" w:color="auto" w:fill="F2F2F2" w:themeFill="background1" w:themeFillShade="F2"/>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 </w:t>
            </w:r>
          </w:p>
        </w:tc>
      </w:tr>
      <w:tr w:rsidR="00FD3FB1" w:rsidRPr="00FD3FB1" w:rsidTr="007C0430">
        <w:trPr>
          <w:trHeight w:val="374"/>
        </w:trPr>
        <w:tc>
          <w:tcPr>
            <w:tcW w:w="2117" w:type="pct"/>
            <w:tcBorders>
              <w:top w:val="single" w:sz="4" w:space="0" w:color="auto"/>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Revenue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133,945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144,934</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154,754</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164,238</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171,178</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Operating expenses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Cost of material and traffic charges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7,391</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7,997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8,539</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9,063</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9,445</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Salaries and personnel cost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9,043</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9,785</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10,448</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11,089</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11,557</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Operation and maintenance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5,559</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6,015</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6,423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6,816</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7,104</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Sales, marketing and commissions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13,588</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14,703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15,699</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16,661</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17,366</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Revenue sharing, spectrum charges and license fees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10,443</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11,300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12,066</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12,805</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13,346</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Other operating (expenses)/income, net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8,795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9,517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10,162</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10,784</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11,240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Depreciation and amortization</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19,605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19,647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19,841</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22,622</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23,405</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Total Operating expenses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74,425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78,965</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83,178</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89,841</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93,464</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Operating profit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59,520</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65,969</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71,576</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74,397</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77,715</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Share of profit/(loss) of associate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Impairment loss on investment in associate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Gain on sale of shares in GPIT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Finance (expense)/income, net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-2,062</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-2,067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-1,973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-2,949</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-2,714</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Foreign exchange (loss)/gain</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-114</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Total non-operating profit</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-2,177</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-2,067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-1,973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-2,949</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-2,714</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Profit before tax</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57,343</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63,902</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69,603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71,448</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75,001</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Income tax expense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21,217</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23,644</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25,753</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26,436</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27,750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Profit after tax</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36,126</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40,258</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43,850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45,012</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47,250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Other comprehensive income</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Item that will not be reclassified subsequently to profit or loss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-211</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0</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Re</w:t>
            </w:r>
            <w:r>
              <w:rPr>
                <w:rFonts w:ascii="Calibri" w:eastAsia="Times New Roman" w:hAnsi="Calibri" w:cs="Calibri"/>
                <w:color w:val="000000"/>
              </w:rPr>
              <w:t>-</w:t>
            </w:r>
            <w:r w:rsidRPr="00FD3FB1">
              <w:rPr>
                <w:rFonts w:ascii="Calibri" w:eastAsia="Times New Roman" w:hAnsi="Calibri" w:cs="Calibri"/>
                <w:color w:val="000000"/>
              </w:rPr>
              <w:t>measurement of defined benefit plan</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-351</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color w:val="000000"/>
              </w:rPr>
            </w:pPr>
            <w:r w:rsidRPr="00FD3FB1">
              <w:rPr>
                <w:rFonts w:ascii="Calibri" w:eastAsia="Times New Roman" w:hAnsi="Calibri" w:cs="Calibri"/>
                <w:color w:val="000000"/>
              </w:rPr>
              <w:t>Related taxes</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r w:rsidRPr="00FD3FB1">
              <w:rPr>
                <w:rFonts w:ascii="Calibri" w:eastAsia="Times New Roman" w:hAnsi="Calibri" w:cs="Calibri"/>
                <w:color w:val="000000"/>
              </w:rPr>
              <w:t>140</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Times New Roman" w:eastAsia="Times New Roman" w:hAnsi="Times New Roman" w:cs="Times New Roman"/>
                <w:sz w:val="20"/>
                <w:szCs w:val="20"/>
              </w:rPr>
            </w:pP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color w:val="000000"/>
              </w:rPr>
            </w:pP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Total comprehensive income for the year</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35,915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40,258</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43,850</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45,012</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47,250</w:t>
            </w:r>
          </w:p>
        </w:tc>
      </w:tr>
      <w:tr w:rsidR="00FD3FB1" w:rsidRPr="00FD3FB1" w:rsidTr="0053200D">
        <w:trPr>
          <w:trHeight w:val="374"/>
        </w:trPr>
        <w:tc>
          <w:tcPr>
            <w:tcW w:w="2117" w:type="pct"/>
            <w:tcBorders>
              <w:top w:val="nil"/>
              <w:left w:val="single" w:sz="8" w:space="0" w:color="auto"/>
              <w:bottom w:val="nil"/>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Earnings per share (Tk.)</w:t>
            </w:r>
          </w:p>
        </w:tc>
        <w:tc>
          <w:tcPr>
            <w:tcW w:w="673"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26.75</w:t>
            </w:r>
          </w:p>
        </w:tc>
        <w:tc>
          <w:tcPr>
            <w:tcW w:w="627"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29.81</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32.47</w:t>
            </w:r>
          </w:p>
        </w:tc>
        <w:tc>
          <w:tcPr>
            <w:tcW w:w="529" w:type="pct"/>
            <w:tcBorders>
              <w:top w:val="nil"/>
              <w:left w:val="nil"/>
              <w:bottom w:val="nil"/>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33.34</w:t>
            </w:r>
          </w:p>
        </w:tc>
        <w:tc>
          <w:tcPr>
            <w:tcW w:w="525" w:type="pct"/>
            <w:tcBorders>
              <w:top w:val="nil"/>
              <w:left w:val="nil"/>
              <w:bottom w:val="nil"/>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34.99</w:t>
            </w:r>
          </w:p>
        </w:tc>
      </w:tr>
      <w:tr w:rsidR="00FD3FB1" w:rsidRPr="00FD3FB1" w:rsidTr="0053200D">
        <w:trPr>
          <w:trHeight w:val="374"/>
        </w:trPr>
        <w:tc>
          <w:tcPr>
            <w:tcW w:w="2117" w:type="pct"/>
            <w:tcBorders>
              <w:top w:val="nil"/>
              <w:left w:val="single" w:sz="8" w:space="0" w:color="auto"/>
              <w:bottom w:val="single" w:sz="4" w:space="0" w:color="auto"/>
              <w:right w:val="nil"/>
            </w:tcBorders>
            <w:shd w:val="clear" w:color="auto" w:fill="FFF2CC" w:themeFill="accent4" w:themeFillTint="33"/>
            <w:noWrap/>
            <w:vAlign w:val="bottom"/>
            <w:hideMark/>
          </w:tcPr>
          <w:p w:rsidR="00FD3FB1" w:rsidRPr="00FD3FB1" w:rsidRDefault="00FD3FB1" w:rsidP="00B90EDA">
            <w:pPr>
              <w:spacing w:after="0" w:line="276" w:lineRule="auto"/>
              <w:rPr>
                <w:rFonts w:ascii="Calibri" w:eastAsia="Times New Roman" w:hAnsi="Calibri" w:cs="Calibri"/>
                <w:b/>
                <w:bCs/>
                <w:color w:val="000000"/>
              </w:rPr>
            </w:pPr>
            <w:r w:rsidRPr="00FD3FB1">
              <w:rPr>
                <w:rFonts w:ascii="Calibri" w:eastAsia="Times New Roman" w:hAnsi="Calibri" w:cs="Calibri"/>
                <w:b/>
                <w:bCs/>
                <w:color w:val="000000"/>
              </w:rPr>
              <w:t>Dividend per share (Tk._)</w:t>
            </w:r>
          </w:p>
        </w:tc>
        <w:tc>
          <w:tcPr>
            <w:tcW w:w="673" w:type="pct"/>
            <w:tcBorders>
              <w:top w:val="nil"/>
              <w:left w:val="nil"/>
              <w:bottom w:val="single" w:sz="4" w:space="0" w:color="auto"/>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27.00</w:t>
            </w:r>
          </w:p>
        </w:tc>
        <w:tc>
          <w:tcPr>
            <w:tcW w:w="627" w:type="pct"/>
            <w:tcBorders>
              <w:top w:val="nil"/>
              <w:left w:val="nil"/>
              <w:bottom w:val="single" w:sz="4" w:space="0" w:color="auto"/>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30.09</w:t>
            </w:r>
          </w:p>
        </w:tc>
        <w:tc>
          <w:tcPr>
            <w:tcW w:w="529" w:type="pct"/>
            <w:tcBorders>
              <w:top w:val="nil"/>
              <w:left w:val="nil"/>
              <w:bottom w:val="single" w:sz="4" w:space="0" w:color="auto"/>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32.78</w:t>
            </w:r>
          </w:p>
        </w:tc>
        <w:tc>
          <w:tcPr>
            <w:tcW w:w="529" w:type="pct"/>
            <w:tcBorders>
              <w:top w:val="nil"/>
              <w:left w:val="nil"/>
              <w:bottom w:val="single" w:sz="4" w:space="0" w:color="auto"/>
              <w:right w:val="nil"/>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33.65</w:t>
            </w:r>
          </w:p>
        </w:tc>
        <w:tc>
          <w:tcPr>
            <w:tcW w:w="525" w:type="pct"/>
            <w:tcBorders>
              <w:top w:val="nil"/>
              <w:left w:val="nil"/>
              <w:bottom w:val="single" w:sz="4" w:space="0" w:color="auto"/>
              <w:right w:val="single" w:sz="8" w:space="0" w:color="auto"/>
            </w:tcBorders>
            <w:shd w:val="clear" w:color="auto" w:fill="F2F2F2" w:themeFill="background1" w:themeFillShade="F2"/>
            <w:noWrap/>
            <w:vAlign w:val="center"/>
            <w:hideMark/>
          </w:tcPr>
          <w:p w:rsidR="00FD3FB1" w:rsidRPr="00FD3FB1" w:rsidRDefault="00FD3FB1" w:rsidP="00B90EDA">
            <w:pPr>
              <w:spacing w:after="0" w:line="276" w:lineRule="auto"/>
              <w:jc w:val="center"/>
              <w:rPr>
                <w:rFonts w:ascii="Calibri" w:eastAsia="Times New Roman" w:hAnsi="Calibri" w:cs="Calibri"/>
                <w:b/>
                <w:bCs/>
                <w:color w:val="000000"/>
              </w:rPr>
            </w:pPr>
            <w:r w:rsidRPr="00FD3FB1">
              <w:rPr>
                <w:rFonts w:ascii="Calibri" w:eastAsia="Times New Roman" w:hAnsi="Calibri" w:cs="Calibri"/>
                <w:b/>
                <w:bCs/>
                <w:color w:val="000000"/>
              </w:rPr>
              <w:t>35.32</w:t>
            </w:r>
          </w:p>
        </w:tc>
      </w:tr>
    </w:tbl>
    <w:p w:rsidR="004156DE" w:rsidRDefault="004156DE" w:rsidP="00C759AF">
      <w:pPr>
        <w:spacing w:line="360" w:lineRule="auto"/>
        <w:jc w:val="both"/>
        <w:rPr>
          <w:rFonts w:ascii="Times New Roman" w:hAnsi="Times New Roman" w:cs="Times New Roman"/>
          <w:sz w:val="24"/>
          <w:szCs w:val="24"/>
        </w:rPr>
      </w:pPr>
    </w:p>
    <w:p w:rsidR="004156DE" w:rsidRDefault="004156DE">
      <w:pPr>
        <w:rPr>
          <w:rFonts w:ascii="Times New Roman" w:hAnsi="Times New Roman" w:cs="Times New Roman"/>
          <w:sz w:val="24"/>
          <w:szCs w:val="24"/>
        </w:rPr>
      </w:pPr>
      <w:r>
        <w:rPr>
          <w:rFonts w:ascii="Times New Roman" w:hAnsi="Times New Roman" w:cs="Times New Roman"/>
          <w:sz w:val="24"/>
          <w:szCs w:val="24"/>
        </w:rPr>
        <w:br w:type="page"/>
      </w:r>
    </w:p>
    <w:tbl>
      <w:tblPr>
        <w:tblW w:w="5000" w:type="pct"/>
        <w:tblLayout w:type="fixed"/>
        <w:tblLook w:val="04A0" w:firstRow="1" w:lastRow="0" w:firstColumn="1" w:lastColumn="0" w:noHBand="0" w:noVBand="1"/>
      </w:tblPr>
      <w:tblGrid>
        <w:gridCol w:w="4329"/>
        <w:gridCol w:w="1147"/>
        <w:gridCol w:w="1028"/>
        <w:gridCol w:w="1124"/>
        <w:gridCol w:w="998"/>
        <w:gridCol w:w="950"/>
      </w:tblGrid>
      <w:tr w:rsidR="001E3536" w:rsidRPr="00B90A9A" w:rsidTr="0053200D">
        <w:trPr>
          <w:trHeight w:val="392"/>
        </w:trPr>
        <w:tc>
          <w:tcPr>
            <w:tcW w:w="2260" w:type="pct"/>
            <w:tcBorders>
              <w:top w:val="single" w:sz="8" w:space="0" w:color="auto"/>
              <w:left w:val="single" w:sz="8" w:space="0" w:color="auto"/>
              <w:bottom w:val="single" w:sz="8" w:space="0" w:color="auto"/>
              <w:right w:val="single" w:sz="8" w:space="0" w:color="auto"/>
            </w:tcBorders>
            <w:shd w:val="clear" w:color="auto" w:fill="FFE599" w:themeFill="accent4" w:themeFillTint="66"/>
            <w:noWrap/>
            <w:vAlign w:val="bottom"/>
            <w:hideMark/>
          </w:tcPr>
          <w:p w:rsidR="00B90A9A" w:rsidRPr="00B90A9A" w:rsidRDefault="00B90A9A" w:rsidP="00B90A9A">
            <w:pPr>
              <w:spacing w:after="0" w:line="240" w:lineRule="auto"/>
              <w:rPr>
                <w:rFonts w:ascii="Calibri" w:eastAsia="Times New Roman" w:hAnsi="Calibri" w:cs="Calibri"/>
                <w:b/>
                <w:bCs/>
                <w:color w:val="000000"/>
              </w:rPr>
            </w:pPr>
            <w:r w:rsidRPr="00B90A9A">
              <w:rPr>
                <w:rFonts w:ascii="Calibri" w:eastAsia="Times New Roman" w:hAnsi="Calibri" w:cs="Calibri"/>
                <w:b/>
                <w:bCs/>
                <w:color w:val="000000"/>
              </w:rPr>
              <w:lastRenderedPageBreak/>
              <w:t>Pro</w:t>
            </w:r>
            <w:r>
              <w:rPr>
                <w:rFonts w:ascii="Calibri" w:eastAsia="Times New Roman" w:hAnsi="Calibri" w:cs="Calibri"/>
                <w:b/>
                <w:bCs/>
                <w:color w:val="000000"/>
              </w:rPr>
              <w:t>-</w:t>
            </w:r>
            <w:r w:rsidRPr="00B90A9A">
              <w:rPr>
                <w:rFonts w:ascii="Calibri" w:eastAsia="Times New Roman" w:hAnsi="Calibri" w:cs="Calibri"/>
                <w:b/>
                <w:bCs/>
                <w:color w:val="000000"/>
              </w:rPr>
              <w:t>forma Cash flow Statement</w:t>
            </w:r>
            <w:r w:rsidR="003C10D1">
              <w:rPr>
                <w:rFonts w:ascii="Calibri" w:eastAsia="Times New Roman" w:hAnsi="Calibri" w:cs="Calibri"/>
                <w:b/>
                <w:bCs/>
                <w:color w:val="000000"/>
              </w:rPr>
              <w:t xml:space="preserve"> (Forecasted) </w:t>
            </w:r>
          </w:p>
        </w:tc>
        <w:tc>
          <w:tcPr>
            <w:tcW w:w="599" w:type="pct"/>
            <w:tcBorders>
              <w:top w:val="nil"/>
              <w:left w:val="nil"/>
              <w:bottom w:val="single" w:sz="8" w:space="0" w:color="auto"/>
              <w:right w:val="nil"/>
            </w:tcBorders>
            <w:shd w:val="clear" w:color="auto" w:fill="auto"/>
            <w:noWrap/>
            <w:vAlign w:val="bottom"/>
            <w:hideMark/>
          </w:tcPr>
          <w:p w:rsidR="00B90A9A" w:rsidRPr="00B90A9A" w:rsidRDefault="00B90A9A" w:rsidP="00B90A9A">
            <w:pPr>
              <w:spacing w:after="0" w:line="240" w:lineRule="auto"/>
              <w:rPr>
                <w:rFonts w:ascii="Calibri" w:eastAsia="Times New Roman" w:hAnsi="Calibri" w:cs="Calibri"/>
                <w:b/>
                <w:bCs/>
                <w:color w:val="000000"/>
              </w:rPr>
            </w:pPr>
          </w:p>
        </w:tc>
        <w:tc>
          <w:tcPr>
            <w:tcW w:w="537" w:type="pct"/>
            <w:tcBorders>
              <w:top w:val="nil"/>
              <w:left w:val="nil"/>
              <w:bottom w:val="single" w:sz="8" w:space="0" w:color="auto"/>
              <w:right w:val="nil"/>
            </w:tcBorders>
            <w:shd w:val="clear" w:color="auto" w:fill="auto"/>
            <w:noWrap/>
            <w:vAlign w:val="bottom"/>
            <w:hideMark/>
          </w:tcPr>
          <w:p w:rsidR="00B90A9A" w:rsidRPr="00B90A9A" w:rsidRDefault="00B90A9A" w:rsidP="00B90A9A">
            <w:pPr>
              <w:spacing w:after="0" w:line="240" w:lineRule="auto"/>
              <w:rPr>
                <w:rFonts w:ascii="Times New Roman" w:eastAsia="Times New Roman" w:hAnsi="Times New Roman" w:cs="Times New Roman"/>
                <w:sz w:val="20"/>
                <w:szCs w:val="20"/>
              </w:rPr>
            </w:pPr>
          </w:p>
        </w:tc>
        <w:tc>
          <w:tcPr>
            <w:tcW w:w="587" w:type="pct"/>
            <w:tcBorders>
              <w:top w:val="nil"/>
              <w:left w:val="nil"/>
              <w:bottom w:val="single" w:sz="8" w:space="0" w:color="auto"/>
              <w:right w:val="nil"/>
            </w:tcBorders>
            <w:shd w:val="clear" w:color="auto" w:fill="auto"/>
            <w:noWrap/>
            <w:vAlign w:val="bottom"/>
            <w:hideMark/>
          </w:tcPr>
          <w:p w:rsidR="00B90A9A" w:rsidRPr="00B90A9A" w:rsidRDefault="00B90A9A" w:rsidP="00B90A9A">
            <w:pPr>
              <w:spacing w:after="0" w:line="240" w:lineRule="auto"/>
              <w:rPr>
                <w:rFonts w:ascii="Times New Roman" w:eastAsia="Times New Roman" w:hAnsi="Times New Roman" w:cs="Times New Roman"/>
                <w:sz w:val="20"/>
                <w:szCs w:val="20"/>
              </w:rPr>
            </w:pPr>
          </w:p>
        </w:tc>
        <w:tc>
          <w:tcPr>
            <w:tcW w:w="521" w:type="pct"/>
            <w:tcBorders>
              <w:top w:val="nil"/>
              <w:left w:val="nil"/>
              <w:bottom w:val="single" w:sz="8" w:space="0" w:color="auto"/>
              <w:right w:val="nil"/>
            </w:tcBorders>
            <w:shd w:val="clear" w:color="auto" w:fill="auto"/>
            <w:noWrap/>
            <w:vAlign w:val="bottom"/>
            <w:hideMark/>
          </w:tcPr>
          <w:p w:rsidR="00B90A9A" w:rsidRPr="00B90A9A" w:rsidRDefault="00B90A9A" w:rsidP="00B90A9A">
            <w:pPr>
              <w:spacing w:after="0" w:line="240" w:lineRule="auto"/>
              <w:rPr>
                <w:rFonts w:ascii="Times New Roman" w:eastAsia="Times New Roman" w:hAnsi="Times New Roman" w:cs="Times New Roman"/>
                <w:sz w:val="20"/>
                <w:szCs w:val="20"/>
              </w:rPr>
            </w:pPr>
          </w:p>
        </w:tc>
        <w:tc>
          <w:tcPr>
            <w:tcW w:w="496" w:type="pct"/>
            <w:tcBorders>
              <w:top w:val="nil"/>
              <w:left w:val="nil"/>
              <w:bottom w:val="single" w:sz="8" w:space="0" w:color="auto"/>
              <w:right w:val="nil"/>
            </w:tcBorders>
            <w:shd w:val="clear" w:color="auto" w:fill="auto"/>
            <w:noWrap/>
            <w:vAlign w:val="bottom"/>
            <w:hideMark/>
          </w:tcPr>
          <w:p w:rsidR="00B90A9A" w:rsidRPr="00B90A9A" w:rsidRDefault="00B90A9A" w:rsidP="00B90A9A">
            <w:pPr>
              <w:spacing w:after="0" w:line="240" w:lineRule="auto"/>
              <w:rPr>
                <w:rFonts w:ascii="Times New Roman" w:eastAsia="Times New Roman" w:hAnsi="Times New Roman" w:cs="Times New Roman"/>
                <w:sz w:val="20"/>
                <w:szCs w:val="20"/>
              </w:rPr>
            </w:pPr>
          </w:p>
        </w:tc>
      </w:tr>
      <w:tr w:rsidR="001E3536" w:rsidRPr="00B90A9A" w:rsidTr="0061604E">
        <w:trPr>
          <w:trHeight w:val="373"/>
        </w:trPr>
        <w:tc>
          <w:tcPr>
            <w:tcW w:w="2260" w:type="pct"/>
            <w:tcBorders>
              <w:top w:val="single" w:sz="8" w:space="0" w:color="auto"/>
              <w:left w:val="single" w:sz="8" w:space="0" w:color="auto"/>
              <w:bottom w:val="single" w:sz="4" w:space="0" w:color="auto"/>
              <w:right w:val="nil"/>
            </w:tcBorders>
            <w:shd w:val="clear" w:color="auto" w:fill="FFE599" w:themeFill="accent4" w:themeFillTint="66"/>
            <w:noWrap/>
            <w:vAlign w:val="bottom"/>
            <w:hideMark/>
          </w:tcPr>
          <w:p w:rsidR="00B90A9A" w:rsidRPr="00B90A9A" w:rsidRDefault="00B90A9A" w:rsidP="00B90A9A">
            <w:pPr>
              <w:spacing w:after="0" w:line="240" w:lineRule="auto"/>
              <w:rPr>
                <w:rFonts w:ascii="Calibri" w:eastAsia="Times New Roman" w:hAnsi="Calibri" w:cs="Calibri"/>
                <w:b/>
                <w:bCs/>
                <w:color w:val="000000"/>
              </w:rPr>
            </w:pPr>
            <w:r w:rsidRPr="00B90A9A">
              <w:rPr>
                <w:rFonts w:ascii="Calibri" w:eastAsia="Times New Roman" w:hAnsi="Calibri" w:cs="Calibri"/>
                <w:b/>
                <w:bCs/>
                <w:color w:val="000000"/>
              </w:rPr>
              <w:t>Amounts are in million BDT</w:t>
            </w:r>
          </w:p>
        </w:tc>
        <w:tc>
          <w:tcPr>
            <w:tcW w:w="599" w:type="pct"/>
            <w:tcBorders>
              <w:top w:val="single" w:sz="8" w:space="0" w:color="auto"/>
              <w:left w:val="single" w:sz="4" w:space="0" w:color="7F7F7F"/>
              <w:bottom w:val="single" w:sz="4" w:space="0" w:color="auto"/>
              <w:right w:val="single" w:sz="4" w:space="0" w:color="7F7F7F"/>
            </w:tcBorders>
            <w:shd w:val="clear" w:color="000000" w:fill="F2F2F2"/>
            <w:noWrap/>
            <w:vAlign w:val="bottom"/>
            <w:hideMark/>
          </w:tcPr>
          <w:p w:rsidR="00B90A9A" w:rsidRPr="00B90A9A" w:rsidRDefault="00B90A9A" w:rsidP="00B90A9A">
            <w:pPr>
              <w:spacing w:after="0" w:line="240" w:lineRule="auto"/>
              <w:jc w:val="center"/>
              <w:rPr>
                <w:rFonts w:ascii="Calibri" w:eastAsia="Times New Roman" w:hAnsi="Calibri" w:cs="Calibri"/>
                <w:b/>
                <w:bCs/>
                <w:color w:val="FA7D00"/>
              </w:rPr>
            </w:pPr>
            <w:r w:rsidRPr="00B90A9A">
              <w:rPr>
                <w:rFonts w:ascii="Calibri" w:eastAsia="Times New Roman" w:hAnsi="Calibri" w:cs="Calibri"/>
                <w:b/>
                <w:bCs/>
                <w:color w:val="FA7D00"/>
              </w:rPr>
              <w:t>2018E</w:t>
            </w:r>
          </w:p>
        </w:tc>
        <w:tc>
          <w:tcPr>
            <w:tcW w:w="537" w:type="pct"/>
            <w:tcBorders>
              <w:top w:val="single" w:sz="8" w:space="0" w:color="auto"/>
              <w:left w:val="nil"/>
              <w:bottom w:val="single" w:sz="4" w:space="0" w:color="auto"/>
              <w:right w:val="single" w:sz="4" w:space="0" w:color="7F7F7F"/>
            </w:tcBorders>
            <w:shd w:val="clear" w:color="000000" w:fill="F2F2F2"/>
            <w:noWrap/>
            <w:vAlign w:val="bottom"/>
            <w:hideMark/>
          </w:tcPr>
          <w:p w:rsidR="00B90A9A" w:rsidRPr="00B90A9A" w:rsidRDefault="00B90A9A" w:rsidP="00B90A9A">
            <w:pPr>
              <w:spacing w:after="0" w:line="240" w:lineRule="auto"/>
              <w:jc w:val="center"/>
              <w:rPr>
                <w:rFonts w:ascii="Calibri" w:eastAsia="Times New Roman" w:hAnsi="Calibri" w:cs="Calibri"/>
                <w:b/>
                <w:bCs/>
                <w:color w:val="FA7D00"/>
              </w:rPr>
            </w:pPr>
            <w:r w:rsidRPr="00B90A9A">
              <w:rPr>
                <w:rFonts w:ascii="Calibri" w:eastAsia="Times New Roman" w:hAnsi="Calibri" w:cs="Calibri"/>
                <w:b/>
                <w:bCs/>
                <w:color w:val="FA7D00"/>
              </w:rPr>
              <w:t>2019E</w:t>
            </w:r>
          </w:p>
        </w:tc>
        <w:tc>
          <w:tcPr>
            <w:tcW w:w="587" w:type="pct"/>
            <w:tcBorders>
              <w:top w:val="single" w:sz="8" w:space="0" w:color="auto"/>
              <w:left w:val="nil"/>
              <w:bottom w:val="single" w:sz="4" w:space="0" w:color="auto"/>
              <w:right w:val="single" w:sz="4" w:space="0" w:color="7F7F7F"/>
            </w:tcBorders>
            <w:shd w:val="clear" w:color="000000" w:fill="F2F2F2"/>
            <w:noWrap/>
            <w:vAlign w:val="bottom"/>
            <w:hideMark/>
          </w:tcPr>
          <w:p w:rsidR="00B90A9A" w:rsidRPr="00B90A9A" w:rsidRDefault="00B90A9A" w:rsidP="00B90A9A">
            <w:pPr>
              <w:spacing w:after="0" w:line="240" w:lineRule="auto"/>
              <w:jc w:val="center"/>
              <w:rPr>
                <w:rFonts w:ascii="Calibri" w:eastAsia="Times New Roman" w:hAnsi="Calibri" w:cs="Calibri"/>
                <w:b/>
                <w:bCs/>
                <w:color w:val="FA7D00"/>
              </w:rPr>
            </w:pPr>
            <w:r w:rsidRPr="00B90A9A">
              <w:rPr>
                <w:rFonts w:ascii="Calibri" w:eastAsia="Times New Roman" w:hAnsi="Calibri" w:cs="Calibri"/>
                <w:b/>
                <w:bCs/>
                <w:color w:val="FA7D00"/>
              </w:rPr>
              <w:t>2020E</w:t>
            </w:r>
          </w:p>
        </w:tc>
        <w:tc>
          <w:tcPr>
            <w:tcW w:w="521" w:type="pct"/>
            <w:tcBorders>
              <w:top w:val="single" w:sz="8" w:space="0" w:color="auto"/>
              <w:left w:val="nil"/>
              <w:bottom w:val="single" w:sz="4" w:space="0" w:color="auto"/>
              <w:right w:val="single" w:sz="4" w:space="0" w:color="7F7F7F"/>
            </w:tcBorders>
            <w:shd w:val="clear" w:color="000000" w:fill="F2F2F2"/>
            <w:noWrap/>
            <w:vAlign w:val="bottom"/>
            <w:hideMark/>
          </w:tcPr>
          <w:p w:rsidR="00B90A9A" w:rsidRPr="00B90A9A" w:rsidRDefault="00B90A9A" w:rsidP="00B90A9A">
            <w:pPr>
              <w:spacing w:after="0" w:line="240" w:lineRule="auto"/>
              <w:jc w:val="center"/>
              <w:rPr>
                <w:rFonts w:ascii="Calibri" w:eastAsia="Times New Roman" w:hAnsi="Calibri" w:cs="Calibri"/>
                <w:b/>
                <w:bCs/>
                <w:color w:val="FA7D00"/>
              </w:rPr>
            </w:pPr>
            <w:r w:rsidRPr="00B90A9A">
              <w:rPr>
                <w:rFonts w:ascii="Calibri" w:eastAsia="Times New Roman" w:hAnsi="Calibri" w:cs="Calibri"/>
                <w:b/>
                <w:bCs/>
                <w:color w:val="FA7D00"/>
              </w:rPr>
              <w:t>2021E</w:t>
            </w:r>
          </w:p>
        </w:tc>
        <w:tc>
          <w:tcPr>
            <w:tcW w:w="496" w:type="pct"/>
            <w:tcBorders>
              <w:top w:val="single" w:sz="8" w:space="0" w:color="auto"/>
              <w:left w:val="nil"/>
              <w:bottom w:val="single" w:sz="4" w:space="0" w:color="auto"/>
              <w:right w:val="single" w:sz="8" w:space="0" w:color="auto"/>
            </w:tcBorders>
            <w:shd w:val="clear" w:color="000000" w:fill="F2F2F2"/>
            <w:noWrap/>
            <w:vAlign w:val="bottom"/>
            <w:hideMark/>
          </w:tcPr>
          <w:p w:rsidR="00B90A9A" w:rsidRPr="00B90A9A" w:rsidRDefault="00B90A9A" w:rsidP="00B90A9A">
            <w:pPr>
              <w:spacing w:after="0" w:line="240" w:lineRule="auto"/>
              <w:jc w:val="center"/>
              <w:rPr>
                <w:rFonts w:ascii="Calibri" w:eastAsia="Times New Roman" w:hAnsi="Calibri" w:cs="Calibri"/>
                <w:b/>
                <w:bCs/>
                <w:color w:val="FA7D00"/>
              </w:rPr>
            </w:pPr>
            <w:r w:rsidRPr="00B90A9A">
              <w:rPr>
                <w:rFonts w:ascii="Calibri" w:eastAsia="Times New Roman" w:hAnsi="Calibri" w:cs="Calibri"/>
                <w:b/>
                <w:bCs/>
                <w:color w:val="FA7D00"/>
              </w:rPr>
              <w:t>2022E</w:t>
            </w:r>
          </w:p>
        </w:tc>
      </w:tr>
      <w:tr w:rsidR="00911326" w:rsidRPr="00B90A9A" w:rsidTr="00EE3F35">
        <w:trPr>
          <w:trHeight w:val="178"/>
        </w:trPr>
        <w:tc>
          <w:tcPr>
            <w:tcW w:w="2260" w:type="pct"/>
            <w:tcBorders>
              <w:top w:val="single" w:sz="4" w:space="0" w:color="auto"/>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Cash flows from operating activities</w:t>
            </w:r>
          </w:p>
        </w:tc>
        <w:tc>
          <w:tcPr>
            <w:tcW w:w="599"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rPr>
                <w:rFonts w:ascii="Calibri" w:eastAsia="Times New Roman" w:hAnsi="Calibri" w:cs="Calibri"/>
                <w:b/>
                <w:bCs/>
                <w:color w:val="000000"/>
              </w:rPr>
            </w:pPr>
          </w:p>
        </w:tc>
        <w:tc>
          <w:tcPr>
            <w:tcW w:w="537"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587"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521"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496" w:type="pct"/>
            <w:tcBorders>
              <w:top w:val="single" w:sz="4" w:space="0" w:color="auto"/>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Calibri" w:eastAsia="Times New Roman" w:hAnsi="Calibri" w:cs="Calibri"/>
                <w:color w:val="000000"/>
              </w:rPr>
            </w:pPr>
            <w:r w:rsidRPr="00B90A9A">
              <w:rPr>
                <w:rFonts w:ascii="Calibri" w:eastAsia="Times New Roman" w:hAnsi="Calibri" w:cs="Calibri"/>
                <w:color w:val="000000"/>
              </w:rPr>
              <w:t> </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EBIT</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59,520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65,969</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71,576</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74,397</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77,715</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Share of profit of associate</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Foreign exchange gain/Loss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-114</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Other comprehensive income</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-211</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Depreciation &amp; Amortization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19,605</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19,647</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19,841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22,622</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23,405</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Increase in Account receivable</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334</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666</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595</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575</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420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Increase in Inventory</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134</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49</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44</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42</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31</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Increase in Accounts Payable</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3,480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2,273</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2,031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1,962</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1,436</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Increase in provision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Increase in other current liabilities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1,023</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325</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291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281</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206</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decrease in deferred tax</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 decrease in Employee Benefits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1,173</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-398</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0</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Finance cost</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2,062</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2,067</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1,973</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2,949</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2,714</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Income tax</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19,467</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20,420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22,951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25,529</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26,004</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Net cash generated by operating activities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60,133</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65,411</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68,177</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70,167</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73,591</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Cash flows from investing activities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for acquisition of PPE and intangibles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-25,676</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-33,075</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-35,158</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-39,608</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-40,319</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for acquisition Intangibles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-14,322</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2,700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-20,947</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4,144</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3,773</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 sale of property, plant and equipment</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7,274</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9,013</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11,175</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12,064</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13,047</w:t>
            </w: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 from sale of other non-current asset</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 sale of short-term investments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 disposal of shares in GPIT</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for investment in associate</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Short term investments</w:t>
            </w:r>
          </w:p>
        </w:tc>
        <w:tc>
          <w:tcPr>
            <w:tcW w:w="599" w:type="pct"/>
            <w:tcBorders>
              <w:top w:val="nil"/>
              <w:left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373"/>
        </w:trPr>
        <w:tc>
          <w:tcPr>
            <w:tcW w:w="2260" w:type="pct"/>
            <w:tcBorders>
              <w:top w:val="nil"/>
              <w:left w:val="single" w:sz="8" w:space="0" w:color="auto"/>
              <w:bottom w:val="single" w:sz="4" w:space="0" w:color="auto"/>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Net cash used in investing activities</w:t>
            </w:r>
          </w:p>
        </w:tc>
        <w:tc>
          <w:tcPr>
            <w:tcW w:w="599" w:type="pct"/>
            <w:tcBorders>
              <w:top w:val="nil"/>
              <w:left w:val="nil"/>
              <w:bottom w:val="single" w:sz="4"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-32,724</w:t>
            </w:r>
          </w:p>
        </w:tc>
        <w:tc>
          <w:tcPr>
            <w:tcW w:w="537" w:type="pct"/>
            <w:tcBorders>
              <w:top w:val="nil"/>
              <w:left w:val="nil"/>
              <w:bottom w:val="single" w:sz="4"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-21,362</w:t>
            </w:r>
          </w:p>
        </w:tc>
        <w:tc>
          <w:tcPr>
            <w:tcW w:w="587" w:type="pct"/>
            <w:tcBorders>
              <w:top w:val="nil"/>
              <w:left w:val="nil"/>
              <w:bottom w:val="single" w:sz="4"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-44,930</w:t>
            </w:r>
          </w:p>
        </w:tc>
        <w:tc>
          <w:tcPr>
            <w:tcW w:w="521" w:type="pct"/>
            <w:tcBorders>
              <w:top w:val="nil"/>
              <w:left w:val="nil"/>
              <w:bottom w:val="single" w:sz="4"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-23,399</w:t>
            </w:r>
          </w:p>
        </w:tc>
        <w:tc>
          <w:tcPr>
            <w:tcW w:w="496" w:type="pct"/>
            <w:tcBorders>
              <w:top w:val="nil"/>
              <w:left w:val="nil"/>
              <w:bottom w:val="single" w:sz="4" w:space="0" w:color="auto"/>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-23,499</w:t>
            </w:r>
          </w:p>
        </w:tc>
      </w:tr>
    </w:tbl>
    <w:p w:rsidR="00911326" w:rsidRDefault="00911326">
      <w:r>
        <w:br w:type="page"/>
      </w:r>
    </w:p>
    <w:tbl>
      <w:tblPr>
        <w:tblW w:w="5000" w:type="pct"/>
        <w:tblLayout w:type="fixed"/>
        <w:tblLook w:val="04A0" w:firstRow="1" w:lastRow="0" w:firstColumn="1" w:lastColumn="0" w:noHBand="0" w:noVBand="1"/>
      </w:tblPr>
      <w:tblGrid>
        <w:gridCol w:w="4331"/>
        <w:gridCol w:w="1147"/>
        <w:gridCol w:w="1028"/>
        <w:gridCol w:w="1124"/>
        <w:gridCol w:w="998"/>
        <w:gridCol w:w="948"/>
      </w:tblGrid>
      <w:tr w:rsidR="00911326" w:rsidRPr="00B90A9A" w:rsidTr="00B52BE8">
        <w:trPr>
          <w:trHeight w:val="427"/>
        </w:trPr>
        <w:tc>
          <w:tcPr>
            <w:tcW w:w="2261" w:type="pct"/>
            <w:tcBorders>
              <w:top w:val="single" w:sz="4" w:space="0" w:color="auto"/>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lastRenderedPageBreak/>
              <w:t>Cash flows from financing activities</w:t>
            </w:r>
          </w:p>
        </w:tc>
        <w:tc>
          <w:tcPr>
            <w:tcW w:w="599"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rPr>
                <w:rFonts w:ascii="Calibri" w:eastAsia="Times New Roman" w:hAnsi="Calibri" w:cs="Calibri"/>
                <w:b/>
                <w:bCs/>
                <w:color w:val="000000"/>
              </w:rPr>
            </w:pPr>
          </w:p>
        </w:tc>
        <w:tc>
          <w:tcPr>
            <w:tcW w:w="537"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587"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521" w:type="pct"/>
            <w:tcBorders>
              <w:top w:val="single" w:sz="4" w:space="0" w:color="auto"/>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Times New Roman" w:eastAsia="Times New Roman" w:hAnsi="Times New Roman" w:cs="Times New Roman"/>
                <w:sz w:val="20"/>
                <w:szCs w:val="20"/>
              </w:rPr>
            </w:pPr>
          </w:p>
        </w:tc>
        <w:tc>
          <w:tcPr>
            <w:tcW w:w="496" w:type="pct"/>
            <w:tcBorders>
              <w:top w:val="single" w:sz="4" w:space="0" w:color="auto"/>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right"/>
              <w:rPr>
                <w:rFonts w:ascii="Calibri" w:eastAsia="Times New Roman" w:hAnsi="Calibri" w:cs="Calibri"/>
                <w:color w:val="000000"/>
              </w:rPr>
            </w:pPr>
            <w:r w:rsidRPr="00B90A9A">
              <w:rPr>
                <w:rFonts w:ascii="Calibri" w:eastAsia="Times New Roman" w:hAnsi="Calibri" w:cs="Calibri"/>
                <w:color w:val="000000"/>
              </w:rPr>
              <w:t> </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from/(payment of) short-term bank loan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-240</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2,140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10,150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3,419</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2,817</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from/(payment of) long-term loan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7,142</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-7,300</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5,320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-3,978</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-4,318</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of finance lease obligation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-243</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-279</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-321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-369</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-425</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of dividend</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-36,253</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-40,635</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-44,260</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-45,433</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-47,692</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Amount refunded to IPO share applicants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Repayment of bond/ proceeds from issuance of bond</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Payment for other non-current liabilities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 PPO and IPO</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Receipt from local syndicated loan</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Proceeds from issue of shares to existing shareholders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Times New Roman" w:eastAsia="Times New Roman" w:hAnsi="Times New Roman" w:cs="Times New Roman"/>
                <w:sz w:val="20"/>
                <w:szCs w:val="20"/>
              </w:rPr>
            </w:pP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Net cash used in financing activities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-29,594</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-46,075</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-29,111</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-46,362</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-49,618</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Net change in cash and cash equivalents</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-2,185</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-2,025</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-5,864</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406</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474</w:t>
            </w:r>
          </w:p>
        </w:tc>
      </w:tr>
      <w:tr w:rsidR="00911326" w:rsidRPr="00B90A9A" w:rsidTr="0053200D">
        <w:trPr>
          <w:trHeight w:val="427"/>
        </w:trPr>
        <w:tc>
          <w:tcPr>
            <w:tcW w:w="2261" w:type="pct"/>
            <w:tcBorders>
              <w:top w:val="nil"/>
              <w:left w:val="single" w:sz="8" w:space="0" w:color="auto"/>
              <w:bottom w:val="nil"/>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color w:val="000000"/>
              </w:rPr>
            </w:pPr>
            <w:r w:rsidRPr="00B90A9A">
              <w:rPr>
                <w:rFonts w:ascii="Calibri" w:eastAsia="Times New Roman" w:hAnsi="Calibri" w:cs="Calibri"/>
                <w:color w:val="000000"/>
              </w:rPr>
              <w:t>Cash and cash equivalents as at 1 January</w:t>
            </w:r>
          </w:p>
        </w:tc>
        <w:tc>
          <w:tcPr>
            <w:tcW w:w="599"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12,415</w:t>
            </w:r>
          </w:p>
        </w:tc>
        <w:tc>
          <w:tcPr>
            <w:tcW w:w="53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10,229</w:t>
            </w:r>
          </w:p>
        </w:tc>
        <w:tc>
          <w:tcPr>
            <w:tcW w:w="587"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8,204</w:t>
            </w:r>
          </w:p>
        </w:tc>
        <w:tc>
          <w:tcPr>
            <w:tcW w:w="521" w:type="pct"/>
            <w:tcBorders>
              <w:top w:val="nil"/>
              <w:left w:val="nil"/>
              <w:bottom w:val="nil"/>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2,340</w:t>
            </w:r>
          </w:p>
        </w:tc>
        <w:tc>
          <w:tcPr>
            <w:tcW w:w="496" w:type="pct"/>
            <w:tcBorders>
              <w:top w:val="nil"/>
              <w:left w:val="nil"/>
              <w:bottom w:val="nil"/>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color w:val="000000"/>
              </w:rPr>
            </w:pPr>
            <w:r w:rsidRPr="00B90A9A">
              <w:rPr>
                <w:rFonts w:ascii="Calibri" w:eastAsia="Times New Roman" w:hAnsi="Calibri" w:cs="Calibri"/>
                <w:color w:val="000000"/>
              </w:rPr>
              <w:t>2,746</w:t>
            </w:r>
          </w:p>
        </w:tc>
      </w:tr>
      <w:tr w:rsidR="00911326" w:rsidRPr="00B90A9A" w:rsidTr="0053200D">
        <w:trPr>
          <w:trHeight w:val="448"/>
        </w:trPr>
        <w:tc>
          <w:tcPr>
            <w:tcW w:w="2261" w:type="pct"/>
            <w:tcBorders>
              <w:top w:val="nil"/>
              <w:left w:val="single" w:sz="8" w:space="0" w:color="auto"/>
              <w:bottom w:val="single" w:sz="8" w:space="0" w:color="auto"/>
              <w:right w:val="nil"/>
            </w:tcBorders>
            <w:shd w:val="clear" w:color="auto" w:fill="FFF2CC" w:themeFill="accent4" w:themeFillTint="33"/>
            <w:noWrap/>
            <w:vAlign w:val="bottom"/>
            <w:hideMark/>
          </w:tcPr>
          <w:p w:rsidR="00B90A9A" w:rsidRPr="00B90A9A" w:rsidRDefault="00B90A9A" w:rsidP="003C10D1">
            <w:pPr>
              <w:spacing w:after="0" w:line="276" w:lineRule="auto"/>
              <w:rPr>
                <w:rFonts w:ascii="Calibri" w:eastAsia="Times New Roman" w:hAnsi="Calibri" w:cs="Calibri"/>
                <w:b/>
                <w:bCs/>
                <w:color w:val="000000"/>
              </w:rPr>
            </w:pPr>
            <w:r w:rsidRPr="00B90A9A">
              <w:rPr>
                <w:rFonts w:ascii="Calibri" w:eastAsia="Times New Roman" w:hAnsi="Calibri" w:cs="Calibri"/>
                <w:b/>
                <w:bCs/>
                <w:color w:val="000000"/>
              </w:rPr>
              <w:t>Cash and cash equivalents as at 31 December</w:t>
            </w:r>
          </w:p>
        </w:tc>
        <w:tc>
          <w:tcPr>
            <w:tcW w:w="599" w:type="pct"/>
            <w:tcBorders>
              <w:top w:val="nil"/>
              <w:left w:val="nil"/>
              <w:bottom w:val="single" w:sz="8"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10,229</w:t>
            </w:r>
          </w:p>
        </w:tc>
        <w:tc>
          <w:tcPr>
            <w:tcW w:w="537" w:type="pct"/>
            <w:tcBorders>
              <w:top w:val="nil"/>
              <w:left w:val="nil"/>
              <w:bottom w:val="single" w:sz="8"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8,204</w:t>
            </w:r>
          </w:p>
        </w:tc>
        <w:tc>
          <w:tcPr>
            <w:tcW w:w="587" w:type="pct"/>
            <w:tcBorders>
              <w:top w:val="nil"/>
              <w:left w:val="nil"/>
              <w:bottom w:val="single" w:sz="8"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2,340</w:t>
            </w:r>
          </w:p>
        </w:tc>
        <w:tc>
          <w:tcPr>
            <w:tcW w:w="521" w:type="pct"/>
            <w:tcBorders>
              <w:top w:val="nil"/>
              <w:left w:val="nil"/>
              <w:bottom w:val="single" w:sz="8" w:space="0" w:color="auto"/>
              <w:right w:val="nil"/>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2,746</w:t>
            </w:r>
          </w:p>
        </w:tc>
        <w:tc>
          <w:tcPr>
            <w:tcW w:w="496" w:type="pct"/>
            <w:tcBorders>
              <w:top w:val="nil"/>
              <w:left w:val="nil"/>
              <w:bottom w:val="single" w:sz="8" w:space="0" w:color="auto"/>
              <w:right w:val="single" w:sz="8" w:space="0" w:color="auto"/>
            </w:tcBorders>
            <w:shd w:val="clear" w:color="auto" w:fill="F2F2F2" w:themeFill="background1" w:themeFillShade="F2"/>
            <w:noWrap/>
            <w:vAlign w:val="center"/>
            <w:hideMark/>
          </w:tcPr>
          <w:p w:rsidR="00B90A9A" w:rsidRPr="00B90A9A" w:rsidRDefault="00B90A9A" w:rsidP="003C10D1">
            <w:pPr>
              <w:spacing w:after="0" w:line="276" w:lineRule="auto"/>
              <w:jc w:val="center"/>
              <w:rPr>
                <w:rFonts w:ascii="Calibri" w:eastAsia="Times New Roman" w:hAnsi="Calibri" w:cs="Calibri"/>
                <w:b/>
                <w:bCs/>
                <w:color w:val="000000"/>
              </w:rPr>
            </w:pPr>
            <w:r w:rsidRPr="00B90A9A">
              <w:rPr>
                <w:rFonts w:ascii="Calibri" w:eastAsia="Times New Roman" w:hAnsi="Calibri" w:cs="Calibri"/>
                <w:b/>
                <w:bCs/>
                <w:color w:val="000000"/>
              </w:rPr>
              <w:t>3,220</w:t>
            </w:r>
          </w:p>
        </w:tc>
      </w:tr>
    </w:tbl>
    <w:p w:rsidR="00A55E55" w:rsidRPr="00AD2642" w:rsidRDefault="00A55E55" w:rsidP="00C759AF">
      <w:pPr>
        <w:spacing w:line="360" w:lineRule="auto"/>
        <w:jc w:val="both"/>
        <w:rPr>
          <w:rFonts w:ascii="Times New Roman" w:hAnsi="Times New Roman" w:cs="Times New Roman"/>
          <w:sz w:val="24"/>
          <w:szCs w:val="24"/>
        </w:rPr>
      </w:pPr>
    </w:p>
    <w:sectPr w:rsidR="00A55E55" w:rsidRPr="00AD2642">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BEA" w:rsidRDefault="00103BEA" w:rsidP="00DC4311">
      <w:pPr>
        <w:spacing w:after="0" w:line="240" w:lineRule="auto"/>
      </w:pPr>
      <w:r>
        <w:separator/>
      </w:r>
    </w:p>
  </w:endnote>
  <w:endnote w:type="continuationSeparator" w:id="0">
    <w:p w:rsidR="00103BEA" w:rsidRDefault="00103BEA" w:rsidP="00DC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mprint MT Shadow">
    <w:panose1 w:val="04020605060303030202"/>
    <w:charset w:val="00"/>
    <w:family w:val="decorativ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377100"/>
      <w:docPartObj>
        <w:docPartGallery w:val="Page Numbers (Bottom of Page)"/>
        <w:docPartUnique/>
      </w:docPartObj>
    </w:sdtPr>
    <w:sdtEndPr>
      <w:rPr>
        <w:noProof/>
      </w:rPr>
    </w:sdtEndPr>
    <w:sdtContent>
      <w:p w:rsidR="00EF3FB4" w:rsidRDefault="00EF3FB4">
        <w:pPr>
          <w:pStyle w:val="Footer"/>
          <w:jc w:val="right"/>
        </w:pPr>
        <w:r>
          <w:fldChar w:fldCharType="begin"/>
        </w:r>
        <w:r>
          <w:instrText xml:space="preserve"> PAGE   \* MERGEFORMAT </w:instrText>
        </w:r>
        <w:r>
          <w:fldChar w:fldCharType="separate"/>
        </w:r>
        <w:r w:rsidR="009F6148">
          <w:rPr>
            <w:noProof/>
          </w:rPr>
          <w:t>2</w:t>
        </w:r>
        <w:r>
          <w:rPr>
            <w:noProof/>
          </w:rPr>
          <w:fldChar w:fldCharType="end"/>
        </w:r>
      </w:p>
    </w:sdtContent>
  </w:sdt>
  <w:p w:rsidR="00EF3FB4" w:rsidRDefault="00EF3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BEA" w:rsidRDefault="00103BEA" w:rsidP="00DC4311">
      <w:pPr>
        <w:spacing w:after="0" w:line="240" w:lineRule="auto"/>
      </w:pPr>
      <w:r>
        <w:separator/>
      </w:r>
    </w:p>
  </w:footnote>
  <w:footnote w:type="continuationSeparator" w:id="0">
    <w:p w:rsidR="00103BEA" w:rsidRDefault="00103BEA" w:rsidP="00DC43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40C"/>
    <w:multiLevelType w:val="hybridMultilevel"/>
    <w:tmpl w:val="4B52DB5E"/>
    <w:lvl w:ilvl="0" w:tplc="3704E13A">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0715FAE"/>
    <w:multiLevelType w:val="hybridMultilevel"/>
    <w:tmpl w:val="BF1C42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1437D5"/>
    <w:multiLevelType w:val="hybridMultilevel"/>
    <w:tmpl w:val="504E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F9559C"/>
    <w:multiLevelType w:val="hybridMultilevel"/>
    <w:tmpl w:val="FBEEA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B002A"/>
    <w:multiLevelType w:val="hybridMultilevel"/>
    <w:tmpl w:val="BCD264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48A052B"/>
    <w:multiLevelType w:val="hybridMultilevel"/>
    <w:tmpl w:val="060A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A55C0B"/>
    <w:multiLevelType w:val="hybridMultilevel"/>
    <w:tmpl w:val="879833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857274A"/>
    <w:multiLevelType w:val="hybridMultilevel"/>
    <w:tmpl w:val="F3A6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2B133A"/>
    <w:multiLevelType w:val="hybridMultilevel"/>
    <w:tmpl w:val="88C43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C0686"/>
    <w:multiLevelType w:val="hybridMultilevel"/>
    <w:tmpl w:val="D050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390B6D"/>
    <w:multiLevelType w:val="multilevel"/>
    <w:tmpl w:val="EF4E1C5C"/>
    <w:lvl w:ilvl="0">
      <w:start w:val="1"/>
      <w:numFmt w:val="decimal"/>
      <w:lvlText w:val="%1"/>
      <w:lvlJc w:val="left"/>
      <w:pPr>
        <w:ind w:left="525" w:hanging="525"/>
      </w:pPr>
      <w:rPr>
        <w:rFonts w:hint="default"/>
        <w:color w:val="1F4E79" w:themeColor="accent1" w:themeShade="80"/>
        <w:sz w:val="36"/>
      </w:rPr>
    </w:lvl>
    <w:lvl w:ilvl="1">
      <w:start w:val="1"/>
      <w:numFmt w:val="decimal"/>
      <w:lvlText w:val="%1.%2"/>
      <w:lvlJc w:val="left"/>
      <w:pPr>
        <w:ind w:left="525" w:hanging="525"/>
      </w:pPr>
      <w:rPr>
        <w:rFonts w:hint="default"/>
        <w:color w:val="1F4E79" w:themeColor="accent1" w:themeShade="80"/>
        <w:sz w:val="32"/>
      </w:rPr>
    </w:lvl>
    <w:lvl w:ilvl="2">
      <w:start w:val="1"/>
      <w:numFmt w:val="decimal"/>
      <w:lvlText w:val="%1.%2.%3"/>
      <w:lvlJc w:val="left"/>
      <w:pPr>
        <w:ind w:left="720" w:hanging="720"/>
      </w:pPr>
      <w:rPr>
        <w:rFonts w:hint="default"/>
        <w:color w:val="1F4E79" w:themeColor="accent1" w:themeShade="80"/>
        <w:sz w:val="36"/>
      </w:rPr>
    </w:lvl>
    <w:lvl w:ilvl="3">
      <w:start w:val="1"/>
      <w:numFmt w:val="decimal"/>
      <w:lvlText w:val="%1.%2.%3.%4"/>
      <w:lvlJc w:val="left"/>
      <w:pPr>
        <w:ind w:left="720" w:hanging="720"/>
      </w:pPr>
      <w:rPr>
        <w:rFonts w:hint="default"/>
        <w:color w:val="1F4E79" w:themeColor="accent1" w:themeShade="80"/>
        <w:sz w:val="36"/>
      </w:rPr>
    </w:lvl>
    <w:lvl w:ilvl="4">
      <w:start w:val="1"/>
      <w:numFmt w:val="decimal"/>
      <w:lvlText w:val="%1.%2.%3.%4.%5"/>
      <w:lvlJc w:val="left"/>
      <w:pPr>
        <w:ind w:left="1080" w:hanging="1080"/>
      </w:pPr>
      <w:rPr>
        <w:rFonts w:hint="default"/>
        <w:color w:val="1F4E79" w:themeColor="accent1" w:themeShade="80"/>
        <w:sz w:val="36"/>
      </w:rPr>
    </w:lvl>
    <w:lvl w:ilvl="5">
      <w:start w:val="1"/>
      <w:numFmt w:val="decimal"/>
      <w:lvlText w:val="%1.%2.%3.%4.%5.%6"/>
      <w:lvlJc w:val="left"/>
      <w:pPr>
        <w:ind w:left="1080" w:hanging="1080"/>
      </w:pPr>
      <w:rPr>
        <w:rFonts w:hint="default"/>
        <w:color w:val="1F4E79" w:themeColor="accent1" w:themeShade="80"/>
        <w:sz w:val="36"/>
      </w:rPr>
    </w:lvl>
    <w:lvl w:ilvl="6">
      <w:start w:val="1"/>
      <w:numFmt w:val="decimal"/>
      <w:lvlText w:val="%1.%2.%3.%4.%5.%6.%7"/>
      <w:lvlJc w:val="left"/>
      <w:pPr>
        <w:ind w:left="1440" w:hanging="1440"/>
      </w:pPr>
      <w:rPr>
        <w:rFonts w:hint="default"/>
        <w:color w:val="1F4E79" w:themeColor="accent1" w:themeShade="80"/>
        <w:sz w:val="36"/>
      </w:rPr>
    </w:lvl>
    <w:lvl w:ilvl="7">
      <w:start w:val="1"/>
      <w:numFmt w:val="decimal"/>
      <w:lvlText w:val="%1.%2.%3.%4.%5.%6.%7.%8"/>
      <w:lvlJc w:val="left"/>
      <w:pPr>
        <w:ind w:left="1440" w:hanging="1440"/>
      </w:pPr>
      <w:rPr>
        <w:rFonts w:hint="default"/>
        <w:color w:val="1F4E79" w:themeColor="accent1" w:themeShade="80"/>
        <w:sz w:val="36"/>
      </w:rPr>
    </w:lvl>
    <w:lvl w:ilvl="8">
      <w:start w:val="1"/>
      <w:numFmt w:val="decimal"/>
      <w:lvlText w:val="%1.%2.%3.%4.%5.%6.%7.%8.%9"/>
      <w:lvlJc w:val="left"/>
      <w:pPr>
        <w:ind w:left="1440" w:hanging="1440"/>
      </w:pPr>
      <w:rPr>
        <w:rFonts w:hint="default"/>
        <w:color w:val="1F4E79" w:themeColor="accent1" w:themeShade="80"/>
        <w:sz w:val="36"/>
      </w:rPr>
    </w:lvl>
  </w:abstractNum>
  <w:abstractNum w:abstractNumId="11">
    <w:nsid w:val="455F0118"/>
    <w:multiLevelType w:val="multilevel"/>
    <w:tmpl w:val="5D0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9E0E0F"/>
    <w:multiLevelType w:val="multilevel"/>
    <w:tmpl w:val="1198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802DD7"/>
    <w:multiLevelType w:val="hybridMultilevel"/>
    <w:tmpl w:val="7CA2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BB3FC8"/>
    <w:multiLevelType w:val="hybridMultilevel"/>
    <w:tmpl w:val="5F0A78B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4FA65C33"/>
    <w:multiLevelType w:val="hybridMultilevel"/>
    <w:tmpl w:val="78388B32"/>
    <w:lvl w:ilvl="0" w:tplc="1CB6D1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E04492"/>
    <w:multiLevelType w:val="multilevel"/>
    <w:tmpl w:val="FAF88E06"/>
    <w:lvl w:ilvl="0">
      <w:start w:val="1"/>
      <w:numFmt w:val="decimal"/>
      <w:lvlText w:val="%1."/>
      <w:lvlJc w:val="left"/>
      <w:pPr>
        <w:ind w:left="720" w:hanging="360"/>
      </w:pPr>
    </w:lvl>
    <w:lvl w:ilvl="1">
      <w:start w:val="1"/>
      <w:numFmt w:val="decimal"/>
      <w:isLgl/>
      <w:lvlText w:val="%1.%2"/>
      <w:lvlJc w:val="left"/>
      <w:pPr>
        <w:ind w:left="55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5FC01039"/>
    <w:multiLevelType w:val="hybridMultilevel"/>
    <w:tmpl w:val="CA5CB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2C7B58"/>
    <w:multiLevelType w:val="hybridMultilevel"/>
    <w:tmpl w:val="4118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B0223C"/>
    <w:multiLevelType w:val="multilevel"/>
    <w:tmpl w:val="EF4E1C5C"/>
    <w:lvl w:ilvl="0">
      <w:start w:val="1"/>
      <w:numFmt w:val="decimal"/>
      <w:lvlText w:val="%1"/>
      <w:lvlJc w:val="left"/>
      <w:pPr>
        <w:ind w:left="525" w:hanging="525"/>
      </w:pPr>
      <w:rPr>
        <w:rFonts w:hint="default"/>
        <w:color w:val="1F4E79" w:themeColor="accent1" w:themeShade="80"/>
        <w:sz w:val="36"/>
      </w:rPr>
    </w:lvl>
    <w:lvl w:ilvl="1">
      <w:start w:val="1"/>
      <w:numFmt w:val="decimal"/>
      <w:lvlText w:val="%1.%2"/>
      <w:lvlJc w:val="left"/>
      <w:pPr>
        <w:ind w:left="525" w:hanging="525"/>
      </w:pPr>
      <w:rPr>
        <w:rFonts w:hint="default"/>
        <w:color w:val="1F4E79" w:themeColor="accent1" w:themeShade="80"/>
        <w:sz w:val="32"/>
      </w:rPr>
    </w:lvl>
    <w:lvl w:ilvl="2">
      <w:start w:val="1"/>
      <w:numFmt w:val="decimal"/>
      <w:lvlText w:val="%1.%2.%3"/>
      <w:lvlJc w:val="left"/>
      <w:pPr>
        <w:ind w:left="720" w:hanging="720"/>
      </w:pPr>
      <w:rPr>
        <w:rFonts w:hint="default"/>
        <w:color w:val="1F4E79" w:themeColor="accent1" w:themeShade="80"/>
        <w:sz w:val="36"/>
      </w:rPr>
    </w:lvl>
    <w:lvl w:ilvl="3">
      <w:start w:val="1"/>
      <w:numFmt w:val="decimal"/>
      <w:lvlText w:val="%1.%2.%3.%4"/>
      <w:lvlJc w:val="left"/>
      <w:pPr>
        <w:ind w:left="720" w:hanging="720"/>
      </w:pPr>
      <w:rPr>
        <w:rFonts w:hint="default"/>
        <w:color w:val="1F4E79" w:themeColor="accent1" w:themeShade="80"/>
        <w:sz w:val="36"/>
      </w:rPr>
    </w:lvl>
    <w:lvl w:ilvl="4">
      <w:start w:val="1"/>
      <w:numFmt w:val="decimal"/>
      <w:lvlText w:val="%1.%2.%3.%4.%5"/>
      <w:lvlJc w:val="left"/>
      <w:pPr>
        <w:ind w:left="1080" w:hanging="1080"/>
      </w:pPr>
      <w:rPr>
        <w:rFonts w:hint="default"/>
        <w:color w:val="1F4E79" w:themeColor="accent1" w:themeShade="80"/>
        <w:sz w:val="36"/>
      </w:rPr>
    </w:lvl>
    <w:lvl w:ilvl="5">
      <w:start w:val="1"/>
      <w:numFmt w:val="decimal"/>
      <w:lvlText w:val="%1.%2.%3.%4.%5.%6"/>
      <w:lvlJc w:val="left"/>
      <w:pPr>
        <w:ind w:left="1080" w:hanging="1080"/>
      </w:pPr>
      <w:rPr>
        <w:rFonts w:hint="default"/>
        <w:color w:val="1F4E79" w:themeColor="accent1" w:themeShade="80"/>
        <w:sz w:val="36"/>
      </w:rPr>
    </w:lvl>
    <w:lvl w:ilvl="6">
      <w:start w:val="1"/>
      <w:numFmt w:val="decimal"/>
      <w:lvlText w:val="%1.%2.%3.%4.%5.%6.%7"/>
      <w:lvlJc w:val="left"/>
      <w:pPr>
        <w:ind w:left="1440" w:hanging="1440"/>
      </w:pPr>
      <w:rPr>
        <w:rFonts w:hint="default"/>
        <w:color w:val="1F4E79" w:themeColor="accent1" w:themeShade="80"/>
        <w:sz w:val="36"/>
      </w:rPr>
    </w:lvl>
    <w:lvl w:ilvl="7">
      <w:start w:val="1"/>
      <w:numFmt w:val="decimal"/>
      <w:lvlText w:val="%1.%2.%3.%4.%5.%6.%7.%8"/>
      <w:lvlJc w:val="left"/>
      <w:pPr>
        <w:ind w:left="1440" w:hanging="1440"/>
      </w:pPr>
      <w:rPr>
        <w:rFonts w:hint="default"/>
        <w:color w:val="1F4E79" w:themeColor="accent1" w:themeShade="80"/>
        <w:sz w:val="36"/>
      </w:rPr>
    </w:lvl>
    <w:lvl w:ilvl="8">
      <w:start w:val="1"/>
      <w:numFmt w:val="decimal"/>
      <w:lvlText w:val="%1.%2.%3.%4.%5.%6.%7.%8.%9"/>
      <w:lvlJc w:val="left"/>
      <w:pPr>
        <w:ind w:left="1440" w:hanging="1440"/>
      </w:pPr>
      <w:rPr>
        <w:rFonts w:hint="default"/>
        <w:color w:val="1F4E79" w:themeColor="accent1" w:themeShade="80"/>
        <w:sz w:val="36"/>
      </w:rPr>
    </w:lvl>
  </w:abstractNum>
  <w:abstractNum w:abstractNumId="20">
    <w:nsid w:val="6E8A607D"/>
    <w:multiLevelType w:val="hybridMultilevel"/>
    <w:tmpl w:val="E110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1D53B7"/>
    <w:multiLevelType w:val="hybridMultilevel"/>
    <w:tmpl w:val="C404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3B57BF"/>
    <w:multiLevelType w:val="hybridMultilevel"/>
    <w:tmpl w:val="EFB2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11"/>
  </w:num>
  <w:num w:numId="5">
    <w:abstractNumId w:val="7"/>
  </w:num>
  <w:num w:numId="6">
    <w:abstractNumId w:val="3"/>
  </w:num>
  <w:num w:numId="7">
    <w:abstractNumId w:val="18"/>
  </w:num>
  <w:num w:numId="8">
    <w:abstractNumId w:val="2"/>
  </w:num>
  <w:num w:numId="9">
    <w:abstractNumId w:val="20"/>
  </w:num>
  <w:num w:numId="10">
    <w:abstractNumId w:val="22"/>
  </w:num>
  <w:num w:numId="11">
    <w:abstractNumId w:val="19"/>
  </w:num>
  <w:num w:numId="12">
    <w:abstractNumId w:val="17"/>
  </w:num>
  <w:num w:numId="13">
    <w:abstractNumId w:val="9"/>
  </w:num>
  <w:num w:numId="14">
    <w:abstractNumId w:val="0"/>
  </w:num>
  <w:num w:numId="15">
    <w:abstractNumId w:val="15"/>
  </w:num>
  <w:num w:numId="16">
    <w:abstractNumId w:val="4"/>
  </w:num>
  <w:num w:numId="17">
    <w:abstractNumId w:val="6"/>
  </w:num>
  <w:num w:numId="18">
    <w:abstractNumId w:val="5"/>
  </w:num>
  <w:num w:numId="19">
    <w:abstractNumId w:val="21"/>
  </w:num>
  <w:num w:numId="20">
    <w:abstractNumId w:val="8"/>
  </w:num>
  <w:num w:numId="21">
    <w:abstractNumId w:val="10"/>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Y1MLCwMLY0tDSxMDFR0lEKTi0uzszPAykwqgUAvKK8uCwAAAA="/>
  </w:docVars>
  <w:rsids>
    <w:rsidRoot w:val="00DC5B57"/>
    <w:rsid w:val="00002996"/>
    <w:rsid w:val="00004C4D"/>
    <w:rsid w:val="0000502F"/>
    <w:rsid w:val="000073BD"/>
    <w:rsid w:val="00010284"/>
    <w:rsid w:val="00010B10"/>
    <w:rsid w:val="00011CBF"/>
    <w:rsid w:val="000136CE"/>
    <w:rsid w:val="0001425C"/>
    <w:rsid w:val="00014B54"/>
    <w:rsid w:val="000151C1"/>
    <w:rsid w:val="0001662E"/>
    <w:rsid w:val="00016ECE"/>
    <w:rsid w:val="00017D21"/>
    <w:rsid w:val="000254E3"/>
    <w:rsid w:val="000271BC"/>
    <w:rsid w:val="00032420"/>
    <w:rsid w:val="00032D09"/>
    <w:rsid w:val="0003351F"/>
    <w:rsid w:val="000408A3"/>
    <w:rsid w:val="00041ACB"/>
    <w:rsid w:val="00041E98"/>
    <w:rsid w:val="000458B3"/>
    <w:rsid w:val="00045D7E"/>
    <w:rsid w:val="00046858"/>
    <w:rsid w:val="0005187D"/>
    <w:rsid w:val="00053D11"/>
    <w:rsid w:val="000549EE"/>
    <w:rsid w:val="000566CD"/>
    <w:rsid w:val="00061BC1"/>
    <w:rsid w:val="0006261B"/>
    <w:rsid w:val="00062C93"/>
    <w:rsid w:val="00064E19"/>
    <w:rsid w:val="00065DFD"/>
    <w:rsid w:val="00066910"/>
    <w:rsid w:val="00067C08"/>
    <w:rsid w:val="00072D4F"/>
    <w:rsid w:val="00072E50"/>
    <w:rsid w:val="00073BE8"/>
    <w:rsid w:val="00073C2E"/>
    <w:rsid w:val="00075156"/>
    <w:rsid w:val="00075743"/>
    <w:rsid w:val="00080910"/>
    <w:rsid w:val="000837DF"/>
    <w:rsid w:val="00086901"/>
    <w:rsid w:val="0009128F"/>
    <w:rsid w:val="00092690"/>
    <w:rsid w:val="000949BF"/>
    <w:rsid w:val="00096AB0"/>
    <w:rsid w:val="000A031B"/>
    <w:rsid w:val="000A08CC"/>
    <w:rsid w:val="000A1355"/>
    <w:rsid w:val="000A33CA"/>
    <w:rsid w:val="000A4285"/>
    <w:rsid w:val="000B1AEF"/>
    <w:rsid w:val="000B1FBC"/>
    <w:rsid w:val="000B56BE"/>
    <w:rsid w:val="000B7330"/>
    <w:rsid w:val="000C0EE8"/>
    <w:rsid w:val="000C385A"/>
    <w:rsid w:val="000D109B"/>
    <w:rsid w:val="000D17D1"/>
    <w:rsid w:val="000E2450"/>
    <w:rsid w:val="000E2A07"/>
    <w:rsid w:val="000E3555"/>
    <w:rsid w:val="000E378D"/>
    <w:rsid w:val="000E401E"/>
    <w:rsid w:val="000E6717"/>
    <w:rsid w:val="000F1079"/>
    <w:rsid w:val="000F122E"/>
    <w:rsid w:val="000F50FC"/>
    <w:rsid w:val="000F5493"/>
    <w:rsid w:val="000F61E9"/>
    <w:rsid w:val="00101586"/>
    <w:rsid w:val="00101BF2"/>
    <w:rsid w:val="00103081"/>
    <w:rsid w:val="001031D8"/>
    <w:rsid w:val="00103BEA"/>
    <w:rsid w:val="001040D7"/>
    <w:rsid w:val="00104F91"/>
    <w:rsid w:val="0010501B"/>
    <w:rsid w:val="00110CA2"/>
    <w:rsid w:val="00111373"/>
    <w:rsid w:val="00113DAA"/>
    <w:rsid w:val="001168D5"/>
    <w:rsid w:val="00122721"/>
    <w:rsid w:val="00124775"/>
    <w:rsid w:val="001272F0"/>
    <w:rsid w:val="0013474F"/>
    <w:rsid w:val="0013542C"/>
    <w:rsid w:val="001374C2"/>
    <w:rsid w:val="001478CA"/>
    <w:rsid w:val="001540F8"/>
    <w:rsid w:val="00155720"/>
    <w:rsid w:val="001561E2"/>
    <w:rsid w:val="00156F74"/>
    <w:rsid w:val="001622CE"/>
    <w:rsid w:val="00164CE5"/>
    <w:rsid w:val="001651A0"/>
    <w:rsid w:val="00167397"/>
    <w:rsid w:val="001678DE"/>
    <w:rsid w:val="00167FEE"/>
    <w:rsid w:val="001704C5"/>
    <w:rsid w:val="00170CCE"/>
    <w:rsid w:val="00170E1C"/>
    <w:rsid w:val="00171C55"/>
    <w:rsid w:val="00174426"/>
    <w:rsid w:val="00175128"/>
    <w:rsid w:val="00177789"/>
    <w:rsid w:val="0018236F"/>
    <w:rsid w:val="0018240D"/>
    <w:rsid w:val="0019156E"/>
    <w:rsid w:val="00193721"/>
    <w:rsid w:val="00194148"/>
    <w:rsid w:val="001941D7"/>
    <w:rsid w:val="00194236"/>
    <w:rsid w:val="001958AA"/>
    <w:rsid w:val="001965EA"/>
    <w:rsid w:val="00196C90"/>
    <w:rsid w:val="001A0695"/>
    <w:rsid w:val="001A1A27"/>
    <w:rsid w:val="001A2367"/>
    <w:rsid w:val="001A44FD"/>
    <w:rsid w:val="001A6468"/>
    <w:rsid w:val="001A69C4"/>
    <w:rsid w:val="001A6A87"/>
    <w:rsid w:val="001A7BFB"/>
    <w:rsid w:val="001B07CC"/>
    <w:rsid w:val="001B291B"/>
    <w:rsid w:val="001B2964"/>
    <w:rsid w:val="001B352C"/>
    <w:rsid w:val="001B3E0B"/>
    <w:rsid w:val="001B6DFD"/>
    <w:rsid w:val="001C04C2"/>
    <w:rsid w:val="001C19A9"/>
    <w:rsid w:val="001C2876"/>
    <w:rsid w:val="001C2C36"/>
    <w:rsid w:val="001C3EF5"/>
    <w:rsid w:val="001C436D"/>
    <w:rsid w:val="001C44CC"/>
    <w:rsid w:val="001C7D7E"/>
    <w:rsid w:val="001D1A69"/>
    <w:rsid w:val="001D22F2"/>
    <w:rsid w:val="001D32FE"/>
    <w:rsid w:val="001D3733"/>
    <w:rsid w:val="001D4018"/>
    <w:rsid w:val="001D42AB"/>
    <w:rsid w:val="001D56F9"/>
    <w:rsid w:val="001E3536"/>
    <w:rsid w:val="001E39A0"/>
    <w:rsid w:val="001E44B9"/>
    <w:rsid w:val="001E5252"/>
    <w:rsid w:val="001E5B62"/>
    <w:rsid w:val="001E642E"/>
    <w:rsid w:val="001F1C3F"/>
    <w:rsid w:val="001F1C8D"/>
    <w:rsid w:val="001F36E3"/>
    <w:rsid w:val="001F47FC"/>
    <w:rsid w:val="001F5665"/>
    <w:rsid w:val="001F6D9A"/>
    <w:rsid w:val="002012B5"/>
    <w:rsid w:val="00202F32"/>
    <w:rsid w:val="00203E8A"/>
    <w:rsid w:val="00205705"/>
    <w:rsid w:val="002072D0"/>
    <w:rsid w:val="002074AB"/>
    <w:rsid w:val="00207C69"/>
    <w:rsid w:val="0021080F"/>
    <w:rsid w:val="00210E3F"/>
    <w:rsid w:val="00212163"/>
    <w:rsid w:val="00212911"/>
    <w:rsid w:val="00213F78"/>
    <w:rsid w:val="00215EF4"/>
    <w:rsid w:val="002247B5"/>
    <w:rsid w:val="002248D1"/>
    <w:rsid w:val="002334A1"/>
    <w:rsid w:val="00235CB3"/>
    <w:rsid w:val="00240344"/>
    <w:rsid w:val="00242978"/>
    <w:rsid w:val="00242A0B"/>
    <w:rsid w:val="002446AF"/>
    <w:rsid w:val="00244A2C"/>
    <w:rsid w:val="002450DB"/>
    <w:rsid w:val="002451F1"/>
    <w:rsid w:val="00250315"/>
    <w:rsid w:val="002525CD"/>
    <w:rsid w:val="00253530"/>
    <w:rsid w:val="002556F4"/>
    <w:rsid w:val="002561A0"/>
    <w:rsid w:val="00256234"/>
    <w:rsid w:val="00256F4C"/>
    <w:rsid w:val="002629F6"/>
    <w:rsid w:val="0026375E"/>
    <w:rsid w:val="0026394B"/>
    <w:rsid w:val="00270932"/>
    <w:rsid w:val="00271A50"/>
    <w:rsid w:val="002824C6"/>
    <w:rsid w:val="00282714"/>
    <w:rsid w:val="00282A13"/>
    <w:rsid w:val="002851FF"/>
    <w:rsid w:val="00290346"/>
    <w:rsid w:val="00290A95"/>
    <w:rsid w:val="00290AD7"/>
    <w:rsid w:val="00291A2C"/>
    <w:rsid w:val="00292FBD"/>
    <w:rsid w:val="0029464A"/>
    <w:rsid w:val="00295202"/>
    <w:rsid w:val="002A10B7"/>
    <w:rsid w:val="002A10C7"/>
    <w:rsid w:val="002A157D"/>
    <w:rsid w:val="002A3454"/>
    <w:rsid w:val="002A5573"/>
    <w:rsid w:val="002A7D60"/>
    <w:rsid w:val="002B24B5"/>
    <w:rsid w:val="002B5C1A"/>
    <w:rsid w:val="002B7DF7"/>
    <w:rsid w:val="002C05D8"/>
    <w:rsid w:val="002C3EA2"/>
    <w:rsid w:val="002C4F84"/>
    <w:rsid w:val="002C505B"/>
    <w:rsid w:val="002C5559"/>
    <w:rsid w:val="002C5CEE"/>
    <w:rsid w:val="002C7CF6"/>
    <w:rsid w:val="002D0A5E"/>
    <w:rsid w:val="002D4D50"/>
    <w:rsid w:val="002D606F"/>
    <w:rsid w:val="002D6BAD"/>
    <w:rsid w:val="002E16B2"/>
    <w:rsid w:val="002E55A6"/>
    <w:rsid w:val="002E7C3B"/>
    <w:rsid w:val="002F419D"/>
    <w:rsid w:val="002F43A7"/>
    <w:rsid w:val="002F7698"/>
    <w:rsid w:val="002F7836"/>
    <w:rsid w:val="003018F7"/>
    <w:rsid w:val="00302833"/>
    <w:rsid w:val="003028A2"/>
    <w:rsid w:val="00306BEB"/>
    <w:rsid w:val="0030789F"/>
    <w:rsid w:val="00310B4E"/>
    <w:rsid w:val="00314775"/>
    <w:rsid w:val="00315930"/>
    <w:rsid w:val="00316A46"/>
    <w:rsid w:val="003203B6"/>
    <w:rsid w:val="00320CBD"/>
    <w:rsid w:val="00320D77"/>
    <w:rsid w:val="003248F3"/>
    <w:rsid w:val="00326D27"/>
    <w:rsid w:val="003271BC"/>
    <w:rsid w:val="00327D46"/>
    <w:rsid w:val="00327FF4"/>
    <w:rsid w:val="00332247"/>
    <w:rsid w:val="00334242"/>
    <w:rsid w:val="00335194"/>
    <w:rsid w:val="003365ED"/>
    <w:rsid w:val="00336A94"/>
    <w:rsid w:val="00337FCC"/>
    <w:rsid w:val="0034062D"/>
    <w:rsid w:val="00340C11"/>
    <w:rsid w:val="00342288"/>
    <w:rsid w:val="003430FD"/>
    <w:rsid w:val="003439AC"/>
    <w:rsid w:val="0034644A"/>
    <w:rsid w:val="00346A59"/>
    <w:rsid w:val="00346D2B"/>
    <w:rsid w:val="00351AB2"/>
    <w:rsid w:val="003555A4"/>
    <w:rsid w:val="003560EC"/>
    <w:rsid w:val="00356CDB"/>
    <w:rsid w:val="00357910"/>
    <w:rsid w:val="003607AE"/>
    <w:rsid w:val="00361F2F"/>
    <w:rsid w:val="0036238B"/>
    <w:rsid w:val="00364062"/>
    <w:rsid w:val="00365CA3"/>
    <w:rsid w:val="00367F13"/>
    <w:rsid w:val="00373DBE"/>
    <w:rsid w:val="00374EFB"/>
    <w:rsid w:val="00375880"/>
    <w:rsid w:val="00375C08"/>
    <w:rsid w:val="003765AA"/>
    <w:rsid w:val="003834D0"/>
    <w:rsid w:val="00383E43"/>
    <w:rsid w:val="003854AB"/>
    <w:rsid w:val="00386041"/>
    <w:rsid w:val="00386582"/>
    <w:rsid w:val="00387063"/>
    <w:rsid w:val="003950B5"/>
    <w:rsid w:val="00395CA8"/>
    <w:rsid w:val="00396BD4"/>
    <w:rsid w:val="003A0BCE"/>
    <w:rsid w:val="003A14C3"/>
    <w:rsid w:val="003A38D6"/>
    <w:rsid w:val="003A4387"/>
    <w:rsid w:val="003A464B"/>
    <w:rsid w:val="003A64E7"/>
    <w:rsid w:val="003B47EF"/>
    <w:rsid w:val="003B7B57"/>
    <w:rsid w:val="003B7E0C"/>
    <w:rsid w:val="003C10D1"/>
    <w:rsid w:val="003C4787"/>
    <w:rsid w:val="003C72F1"/>
    <w:rsid w:val="003C738A"/>
    <w:rsid w:val="003D032B"/>
    <w:rsid w:val="003D1CA8"/>
    <w:rsid w:val="003D532A"/>
    <w:rsid w:val="003D73D9"/>
    <w:rsid w:val="003D74F5"/>
    <w:rsid w:val="003E24C7"/>
    <w:rsid w:val="003E2597"/>
    <w:rsid w:val="003E2D30"/>
    <w:rsid w:val="003E3555"/>
    <w:rsid w:val="003E3FE6"/>
    <w:rsid w:val="003E46E0"/>
    <w:rsid w:val="003E5763"/>
    <w:rsid w:val="003E6577"/>
    <w:rsid w:val="003F3F26"/>
    <w:rsid w:val="004002C8"/>
    <w:rsid w:val="00402128"/>
    <w:rsid w:val="00402C81"/>
    <w:rsid w:val="00402F9B"/>
    <w:rsid w:val="00403AF0"/>
    <w:rsid w:val="00404A88"/>
    <w:rsid w:val="0041053E"/>
    <w:rsid w:val="00410A54"/>
    <w:rsid w:val="00410C14"/>
    <w:rsid w:val="00412706"/>
    <w:rsid w:val="00413EF0"/>
    <w:rsid w:val="004156DE"/>
    <w:rsid w:val="00416340"/>
    <w:rsid w:val="00420537"/>
    <w:rsid w:val="0042292A"/>
    <w:rsid w:val="0043363C"/>
    <w:rsid w:val="004342C2"/>
    <w:rsid w:val="00437913"/>
    <w:rsid w:val="0043795D"/>
    <w:rsid w:val="00440271"/>
    <w:rsid w:val="0044386E"/>
    <w:rsid w:val="00446319"/>
    <w:rsid w:val="00450C0D"/>
    <w:rsid w:val="00450C9F"/>
    <w:rsid w:val="0045584B"/>
    <w:rsid w:val="00455C57"/>
    <w:rsid w:val="004574EF"/>
    <w:rsid w:val="0045785D"/>
    <w:rsid w:val="00457A18"/>
    <w:rsid w:val="00457CBC"/>
    <w:rsid w:val="0046234C"/>
    <w:rsid w:val="004632CC"/>
    <w:rsid w:val="004639F8"/>
    <w:rsid w:val="00467808"/>
    <w:rsid w:val="00467D40"/>
    <w:rsid w:val="00471CFB"/>
    <w:rsid w:val="00471D6F"/>
    <w:rsid w:val="004762A4"/>
    <w:rsid w:val="00480291"/>
    <w:rsid w:val="004853D4"/>
    <w:rsid w:val="00485B7F"/>
    <w:rsid w:val="00490B97"/>
    <w:rsid w:val="00490CB1"/>
    <w:rsid w:val="00493B8A"/>
    <w:rsid w:val="00494026"/>
    <w:rsid w:val="00496B26"/>
    <w:rsid w:val="00496B84"/>
    <w:rsid w:val="004976C5"/>
    <w:rsid w:val="004A070E"/>
    <w:rsid w:val="004A4950"/>
    <w:rsid w:val="004A5400"/>
    <w:rsid w:val="004A7779"/>
    <w:rsid w:val="004B4432"/>
    <w:rsid w:val="004C1C91"/>
    <w:rsid w:val="004C3DC1"/>
    <w:rsid w:val="004C5BA6"/>
    <w:rsid w:val="004C6602"/>
    <w:rsid w:val="004C7D00"/>
    <w:rsid w:val="004D04DC"/>
    <w:rsid w:val="004D06D3"/>
    <w:rsid w:val="004D3FC3"/>
    <w:rsid w:val="004E00F5"/>
    <w:rsid w:val="004E0B68"/>
    <w:rsid w:val="004E1BBF"/>
    <w:rsid w:val="004E50ED"/>
    <w:rsid w:val="004E669D"/>
    <w:rsid w:val="004F0060"/>
    <w:rsid w:val="004F05FF"/>
    <w:rsid w:val="004F312D"/>
    <w:rsid w:val="004F51ED"/>
    <w:rsid w:val="004F59E4"/>
    <w:rsid w:val="004F6B01"/>
    <w:rsid w:val="00507B5C"/>
    <w:rsid w:val="00507EFE"/>
    <w:rsid w:val="00510BB5"/>
    <w:rsid w:val="00511B5D"/>
    <w:rsid w:val="00511E82"/>
    <w:rsid w:val="00513558"/>
    <w:rsid w:val="00513998"/>
    <w:rsid w:val="005141EA"/>
    <w:rsid w:val="005142F0"/>
    <w:rsid w:val="005152D9"/>
    <w:rsid w:val="005215E5"/>
    <w:rsid w:val="00524F8D"/>
    <w:rsid w:val="0052641A"/>
    <w:rsid w:val="00527DCB"/>
    <w:rsid w:val="0053136D"/>
    <w:rsid w:val="0053200D"/>
    <w:rsid w:val="00533DB2"/>
    <w:rsid w:val="0053438B"/>
    <w:rsid w:val="00534431"/>
    <w:rsid w:val="00534A97"/>
    <w:rsid w:val="0053570D"/>
    <w:rsid w:val="00536F30"/>
    <w:rsid w:val="005414AB"/>
    <w:rsid w:val="00545A05"/>
    <w:rsid w:val="00545FC1"/>
    <w:rsid w:val="005461C0"/>
    <w:rsid w:val="005478C9"/>
    <w:rsid w:val="00552371"/>
    <w:rsid w:val="005534FB"/>
    <w:rsid w:val="00555F2D"/>
    <w:rsid w:val="005571DD"/>
    <w:rsid w:val="00557790"/>
    <w:rsid w:val="0056086A"/>
    <w:rsid w:val="005638F7"/>
    <w:rsid w:val="005640A3"/>
    <w:rsid w:val="00564BFF"/>
    <w:rsid w:val="005673E2"/>
    <w:rsid w:val="005710CE"/>
    <w:rsid w:val="0057123E"/>
    <w:rsid w:val="00571D7E"/>
    <w:rsid w:val="00572B0F"/>
    <w:rsid w:val="00572B73"/>
    <w:rsid w:val="005730AE"/>
    <w:rsid w:val="00575206"/>
    <w:rsid w:val="005752FB"/>
    <w:rsid w:val="005812A1"/>
    <w:rsid w:val="005858FC"/>
    <w:rsid w:val="00585F06"/>
    <w:rsid w:val="0059012C"/>
    <w:rsid w:val="00591C50"/>
    <w:rsid w:val="00595163"/>
    <w:rsid w:val="00595C47"/>
    <w:rsid w:val="00595D64"/>
    <w:rsid w:val="00596751"/>
    <w:rsid w:val="005A176D"/>
    <w:rsid w:val="005A1F50"/>
    <w:rsid w:val="005A624A"/>
    <w:rsid w:val="005B081F"/>
    <w:rsid w:val="005B08F9"/>
    <w:rsid w:val="005B0D30"/>
    <w:rsid w:val="005B222F"/>
    <w:rsid w:val="005B23A6"/>
    <w:rsid w:val="005B2601"/>
    <w:rsid w:val="005B368D"/>
    <w:rsid w:val="005B6069"/>
    <w:rsid w:val="005C003C"/>
    <w:rsid w:val="005C29D8"/>
    <w:rsid w:val="005C5353"/>
    <w:rsid w:val="005C5A63"/>
    <w:rsid w:val="005D3F2A"/>
    <w:rsid w:val="005D41E0"/>
    <w:rsid w:val="005D4497"/>
    <w:rsid w:val="005E013D"/>
    <w:rsid w:val="005E1C39"/>
    <w:rsid w:val="005E2DDA"/>
    <w:rsid w:val="005E4988"/>
    <w:rsid w:val="005E4C9E"/>
    <w:rsid w:val="005E5E75"/>
    <w:rsid w:val="005E6BEA"/>
    <w:rsid w:val="005E7B45"/>
    <w:rsid w:val="005F0BD6"/>
    <w:rsid w:val="005F176A"/>
    <w:rsid w:val="005F3582"/>
    <w:rsid w:val="005F39D4"/>
    <w:rsid w:val="005F413F"/>
    <w:rsid w:val="005F6747"/>
    <w:rsid w:val="005F7551"/>
    <w:rsid w:val="005F7953"/>
    <w:rsid w:val="005F7A8E"/>
    <w:rsid w:val="006000BB"/>
    <w:rsid w:val="00601423"/>
    <w:rsid w:val="00601D0D"/>
    <w:rsid w:val="00613A3A"/>
    <w:rsid w:val="00614F72"/>
    <w:rsid w:val="00615D93"/>
    <w:rsid w:val="0061604E"/>
    <w:rsid w:val="00617044"/>
    <w:rsid w:val="0061742A"/>
    <w:rsid w:val="006212AA"/>
    <w:rsid w:val="00621324"/>
    <w:rsid w:val="006220F7"/>
    <w:rsid w:val="00623247"/>
    <w:rsid w:val="00625A1D"/>
    <w:rsid w:val="006318B3"/>
    <w:rsid w:val="00633B04"/>
    <w:rsid w:val="00636BE2"/>
    <w:rsid w:val="00640458"/>
    <w:rsid w:val="00650CD0"/>
    <w:rsid w:val="006539B4"/>
    <w:rsid w:val="006545CA"/>
    <w:rsid w:val="00664F0F"/>
    <w:rsid w:val="006675CE"/>
    <w:rsid w:val="00671DDC"/>
    <w:rsid w:val="0067286E"/>
    <w:rsid w:val="00674358"/>
    <w:rsid w:val="006747AB"/>
    <w:rsid w:val="00675412"/>
    <w:rsid w:val="006803E2"/>
    <w:rsid w:val="006810FD"/>
    <w:rsid w:val="006816A1"/>
    <w:rsid w:val="0068447F"/>
    <w:rsid w:val="00686808"/>
    <w:rsid w:val="00687BB5"/>
    <w:rsid w:val="00687DFC"/>
    <w:rsid w:val="0069090D"/>
    <w:rsid w:val="006927CD"/>
    <w:rsid w:val="00692E0E"/>
    <w:rsid w:val="0069395A"/>
    <w:rsid w:val="00693A04"/>
    <w:rsid w:val="0069774B"/>
    <w:rsid w:val="006B346E"/>
    <w:rsid w:val="006B3BC4"/>
    <w:rsid w:val="006B4E97"/>
    <w:rsid w:val="006B59AE"/>
    <w:rsid w:val="006B6B71"/>
    <w:rsid w:val="006B776C"/>
    <w:rsid w:val="006B7955"/>
    <w:rsid w:val="006B7F11"/>
    <w:rsid w:val="006C03CF"/>
    <w:rsid w:val="006C04BD"/>
    <w:rsid w:val="006C343C"/>
    <w:rsid w:val="006D1382"/>
    <w:rsid w:val="006D2025"/>
    <w:rsid w:val="006D2B2B"/>
    <w:rsid w:val="006D3A92"/>
    <w:rsid w:val="006D45D8"/>
    <w:rsid w:val="006E2639"/>
    <w:rsid w:val="006E49F4"/>
    <w:rsid w:val="006E5286"/>
    <w:rsid w:val="006E74B4"/>
    <w:rsid w:val="006F0329"/>
    <w:rsid w:val="006F4392"/>
    <w:rsid w:val="006F49EC"/>
    <w:rsid w:val="006F535A"/>
    <w:rsid w:val="006F640A"/>
    <w:rsid w:val="007018C6"/>
    <w:rsid w:val="00701EB3"/>
    <w:rsid w:val="007032E4"/>
    <w:rsid w:val="00703393"/>
    <w:rsid w:val="00703E1A"/>
    <w:rsid w:val="00706D4A"/>
    <w:rsid w:val="00707510"/>
    <w:rsid w:val="00707561"/>
    <w:rsid w:val="00711D72"/>
    <w:rsid w:val="00716ACB"/>
    <w:rsid w:val="00717677"/>
    <w:rsid w:val="00720109"/>
    <w:rsid w:val="0072012A"/>
    <w:rsid w:val="00722194"/>
    <w:rsid w:val="007233E7"/>
    <w:rsid w:val="00725DC9"/>
    <w:rsid w:val="007267BC"/>
    <w:rsid w:val="007300F4"/>
    <w:rsid w:val="007313CA"/>
    <w:rsid w:val="007314C0"/>
    <w:rsid w:val="007352FF"/>
    <w:rsid w:val="0073640A"/>
    <w:rsid w:val="00736AD3"/>
    <w:rsid w:val="00737F57"/>
    <w:rsid w:val="0074020C"/>
    <w:rsid w:val="00741476"/>
    <w:rsid w:val="007420C7"/>
    <w:rsid w:val="007432D2"/>
    <w:rsid w:val="00747FBC"/>
    <w:rsid w:val="00751572"/>
    <w:rsid w:val="0075426D"/>
    <w:rsid w:val="0075446D"/>
    <w:rsid w:val="00754559"/>
    <w:rsid w:val="007549B4"/>
    <w:rsid w:val="0075713D"/>
    <w:rsid w:val="0075717A"/>
    <w:rsid w:val="00757D37"/>
    <w:rsid w:val="00760F98"/>
    <w:rsid w:val="007619DA"/>
    <w:rsid w:val="00767BEC"/>
    <w:rsid w:val="0077003D"/>
    <w:rsid w:val="007704D2"/>
    <w:rsid w:val="0077307A"/>
    <w:rsid w:val="0077365B"/>
    <w:rsid w:val="0077387D"/>
    <w:rsid w:val="007810B0"/>
    <w:rsid w:val="00782644"/>
    <w:rsid w:val="00783DDA"/>
    <w:rsid w:val="00784714"/>
    <w:rsid w:val="00786395"/>
    <w:rsid w:val="00786ABC"/>
    <w:rsid w:val="00786CF2"/>
    <w:rsid w:val="00787CB0"/>
    <w:rsid w:val="007906F6"/>
    <w:rsid w:val="00790AB8"/>
    <w:rsid w:val="00793D28"/>
    <w:rsid w:val="00794903"/>
    <w:rsid w:val="007A0BE0"/>
    <w:rsid w:val="007A415E"/>
    <w:rsid w:val="007A74A2"/>
    <w:rsid w:val="007B6866"/>
    <w:rsid w:val="007B6B61"/>
    <w:rsid w:val="007C0430"/>
    <w:rsid w:val="007C11AD"/>
    <w:rsid w:val="007C32C6"/>
    <w:rsid w:val="007C4DE5"/>
    <w:rsid w:val="007C7B46"/>
    <w:rsid w:val="007D3380"/>
    <w:rsid w:val="007D3965"/>
    <w:rsid w:val="007D5F7A"/>
    <w:rsid w:val="007E0B01"/>
    <w:rsid w:val="007F3FE5"/>
    <w:rsid w:val="007F4658"/>
    <w:rsid w:val="007F6ABB"/>
    <w:rsid w:val="007F6CE8"/>
    <w:rsid w:val="007F6DE7"/>
    <w:rsid w:val="007F6FDA"/>
    <w:rsid w:val="008006B3"/>
    <w:rsid w:val="00802581"/>
    <w:rsid w:val="00805858"/>
    <w:rsid w:val="0080619E"/>
    <w:rsid w:val="00810188"/>
    <w:rsid w:val="00812A9B"/>
    <w:rsid w:val="00816982"/>
    <w:rsid w:val="00816AA5"/>
    <w:rsid w:val="008275B0"/>
    <w:rsid w:val="00831A1E"/>
    <w:rsid w:val="00831B22"/>
    <w:rsid w:val="00831E1B"/>
    <w:rsid w:val="008332E1"/>
    <w:rsid w:val="008334B8"/>
    <w:rsid w:val="00834A7A"/>
    <w:rsid w:val="00836324"/>
    <w:rsid w:val="00837EA1"/>
    <w:rsid w:val="00843D81"/>
    <w:rsid w:val="00847B86"/>
    <w:rsid w:val="00850C1E"/>
    <w:rsid w:val="00850C96"/>
    <w:rsid w:val="008514B2"/>
    <w:rsid w:val="008515BF"/>
    <w:rsid w:val="00854CC9"/>
    <w:rsid w:val="008560EE"/>
    <w:rsid w:val="008576BA"/>
    <w:rsid w:val="00863B47"/>
    <w:rsid w:val="00865677"/>
    <w:rsid w:val="008708A4"/>
    <w:rsid w:val="008713CA"/>
    <w:rsid w:val="00872934"/>
    <w:rsid w:val="00874EF0"/>
    <w:rsid w:val="0087560D"/>
    <w:rsid w:val="008761B2"/>
    <w:rsid w:val="00881583"/>
    <w:rsid w:val="00881D59"/>
    <w:rsid w:val="00882F43"/>
    <w:rsid w:val="0088762A"/>
    <w:rsid w:val="00887C7F"/>
    <w:rsid w:val="008903C5"/>
    <w:rsid w:val="00891CD6"/>
    <w:rsid w:val="00892332"/>
    <w:rsid w:val="00893700"/>
    <w:rsid w:val="0089410A"/>
    <w:rsid w:val="0089798F"/>
    <w:rsid w:val="00897EFC"/>
    <w:rsid w:val="008A0981"/>
    <w:rsid w:val="008A4979"/>
    <w:rsid w:val="008A5ADB"/>
    <w:rsid w:val="008B0B27"/>
    <w:rsid w:val="008B29D8"/>
    <w:rsid w:val="008B44F8"/>
    <w:rsid w:val="008B64C3"/>
    <w:rsid w:val="008B72B4"/>
    <w:rsid w:val="008B7AD2"/>
    <w:rsid w:val="008C0CBB"/>
    <w:rsid w:val="008C3B9F"/>
    <w:rsid w:val="008C3CF0"/>
    <w:rsid w:val="008C4AEA"/>
    <w:rsid w:val="008C60FF"/>
    <w:rsid w:val="008C702B"/>
    <w:rsid w:val="008C7078"/>
    <w:rsid w:val="008C752F"/>
    <w:rsid w:val="008C7EE6"/>
    <w:rsid w:val="008D0CB2"/>
    <w:rsid w:val="008D227C"/>
    <w:rsid w:val="008D4725"/>
    <w:rsid w:val="008D4907"/>
    <w:rsid w:val="008D545B"/>
    <w:rsid w:val="008D5FDE"/>
    <w:rsid w:val="008D6EA5"/>
    <w:rsid w:val="008E19FD"/>
    <w:rsid w:val="008E1FD0"/>
    <w:rsid w:val="008E3117"/>
    <w:rsid w:val="008E52BD"/>
    <w:rsid w:val="008E695E"/>
    <w:rsid w:val="008E6A2A"/>
    <w:rsid w:val="008E732F"/>
    <w:rsid w:val="008E7822"/>
    <w:rsid w:val="008F010B"/>
    <w:rsid w:val="008F4C8D"/>
    <w:rsid w:val="008F7EFC"/>
    <w:rsid w:val="00901086"/>
    <w:rsid w:val="009028F4"/>
    <w:rsid w:val="009040B6"/>
    <w:rsid w:val="009040E7"/>
    <w:rsid w:val="00906352"/>
    <w:rsid w:val="00906564"/>
    <w:rsid w:val="00906999"/>
    <w:rsid w:val="009069B4"/>
    <w:rsid w:val="0090706A"/>
    <w:rsid w:val="00907FC7"/>
    <w:rsid w:val="00911326"/>
    <w:rsid w:val="009121A2"/>
    <w:rsid w:val="009154CB"/>
    <w:rsid w:val="009154D8"/>
    <w:rsid w:val="00916065"/>
    <w:rsid w:val="009163CE"/>
    <w:rsid w:val="00916B2E"/>
    <w:rsid w:val="009203DB"/>
    <w:rsid w:val="0092466F"/>
    <w:rsid w:val="00924886"/>
    <w:rsid w:val="00926390"/>
    <w:rsid w:val="009273BF"/>
    <w:rsid w:val="009302A7"/>
    <w:rsid w:val="00930FCD"/>
    <w:rsid w:val="00931258"/>
    <w:rsid w:val="00933A21"/>
    <w:rsid w:val="0093419D"/>
    <w:rsid w:val="00935B92"/>
    <w:rsid w:val="00936474"/>
    <w:rsid w:val="00940491"/>
    <w:rsid w:val="00941D44"/>
    <w:rsid w:val="009450C6"/>
    <w:rsid w:val="00946CC5"/>
    <w:rsid w:val="00950154"/>
    <w:rsid w:val="00950179"/>
    <w:rsid w:val="00952C99"/>
    <w:rsid w:val="00953D21"/>
    <w:rsid w:val="009552E3"/>
    <w:rsid w:val="00964A32"/>
    <w:rsid w:val="0096526C"/>
    <w:rsid w:val="00966F32"/>
    <w:rsid w:val="00972B3C"/>
    <w:rsid w:val="00975562"/>
    <w:rsid w:val="00975822"/>
    <w:rsid w:val="009759AE"/>
    <w:rsid w:val="00976277"/>
    <w:rsid w:val="009765C7"/>
    <w:rsid w:val="009842E1"/>
    <w:rsid w:val="00986288"/>
    <w:rsid w:val="009869FD"/>
    <w:rsid w:val="00991A8F"/>
    <w:rsid w:val="0099203B"/>
    <w:rsid w:val="009933EE"/>
    <w:rsid w:val="0099611D"/>
    <w:rsid w:val="0099728D"/>
    <w:rsid w:val="00997363"/>
    <w:rsid w:val="009A0B0A"/>
    <w:rsid w:val="009A2F1C"/>
    <w:rsid w:val="009A36A9"/>
    <w:rsid w:val="009A4434"/>
    <w:rsid w:val="009A56FC"/>
    <w:rsid w:val="009A6FBD"/>
    <w:rsid w:val="009A73B7"/>
    <w:rsid w:val="009B2B92"/>
    <w:rsid w:val="009B4E83"/>
    <w:rsid w:val="009B54A3"/>
    <w:rsid w:val="009B7418"/>
    <w:rsid w:val="009C2FD0"/>
    <w:rsid w:val="009C67DB"/>
    <w:rsid w:val="009D01E0"/>
    <w:rsid w:val="009D71FF"/>
    <w:rsid w:val="009D7911"/>
    <w:rsid w:val="009E07A6"/>
    <w:rsid w:val="009E32DF"/>
    <w:rsid w:val="009E6D88"/>
    <w:rsid w:val="009E6F92"/>
    <w:rsid w:val="009E7C56"/>
    <w:rsid w:val="009F122D"/>
    <w:rsid w:val="009F134A"/>
    <w:rsid w:val="009F1D93"/>
    <w:rsid w:val="009F21B6"/>
    <w:rsid w:val="009F4C80"/>
    <w:rsid w:val="009F6148"/>
    <w:rsid w:val="009F7761"/>
    <w:rsid w:val="00A0087C"/>
    <w:rsid w:val="00A03C25"/>
    <w:rsid w:val="00A06FD9"/>
    <w:rsid w:val="00A10ED3"/>
    <w:rsid w:val="00A10FF2"/>
    <w:rsid w:val="00A123CA"/>
    <w:rsid w:val="00A14150"/>
    <w:rsid w:val="00A16C43"/>
    <w:rsid w:val="00A176D4"/>
    <w:rsid w:val="00A20D1C"/>
    <w:rsid w:val="00A22EC8"/>
    <w:rsid w:val="00A234CA"/>
    <w:rsid w:val="00A304F7"/>
    <w:rsid w:val="00A30CBA"/>
    <w:rsid w:val="00A317E3"/>
    <w:rsid w:val="00A31E28"/>
    <w:rsid w:val="00A3674C"/>
    <w:rsid w:val="00A42537"/>
    <w:rsid w:val="00A47CE2"/>
    <w:rsid w:val="00A54010"/>
    <w:rsid w:val="00A55E55"/>
    <w:rsid w:val="00A577A6"/>
    <w:rsid w:val="00A613EC"/>
    <w:rsid w:val="00A66C4C"/>
    <w:rsid w:val="00A714C8"/>
    <w:rsid w:val="00A73C11"/>
    <w:rsid w:val="00A74EBF"/>
    <w:rsid w:val="00A752A5"/>
    <w:rsid w:val="00A75F07"/>
    <w:rsid w:val="00A80D3D"/>
    <w:rsid w:val="00A81150"/>
    <w:rsid w:val="00A8348A"/>
    <w:rsid w:val="00A83DC0"/>
    <w:rsid w:val="00A90455"/>
    <w:rsid w:val="00A9127B"/>
    <w:rsid w:val="00A97B25"/>
    <w:rsid w:val="00AA2C43"/>
    <w:rsid w:val="00AA4259"/>
    <w:rsid w:val="00AA4268"/>
    <w:rsid w:val="00AA46B7"/>
    <w:rsid w:val="00AA4B8B"/>
    <w:rsid w:val="00AA71FE"/>
    <w:rsid w:val="00AB414D"/>
    <w:rsid w:val="00AB4AE0"/>
    <w:rsid w:val="00AB5CE4"/>
    <w:rsid w:val="00AB6628"/>
    <w:rsid w:val="00AC1A08"/>
    <w:rsid w:val="00AC4A0A"/>
    <w:rsid w:val="00AC597D"/>
    <w:rsid w:val="00AC77AD"/>
    <w:rsid w:val="00AD2642"/>
    <w:rsid w:val="00AE3EC4"/>
    <w:rsid w:val="00AE6EC9"/>
    <w:rsid w:val="00AF20EF"/>
    <w:rsid w:val="00AF35E9"/>
    <w:rsid w:val="00B040AD"/>
    <w:rsid w:val="00B05B03"/>
    <w:rsid w:val="00B06AC2"/>
    <w:rsid w:val="00B1450C"/>
    <w:rsid w:val="00B15901"/>
    <w:rsid w:val="00B15E03"/>
    <w:rsid w:val="00B163FC"/>
    <w:rsid w:val="00B221A1"/>
    <w:rsid w:val="00B27C7F"/>
    <w:rsid w:val="00B3104B"/>
    <w:rsid w:val="00B32D42"/>
    <w:rsid w:val="00B35327"/>
    <w:rsid w:val="00B36314"/>
    <w:rsid w:val="00B363D6"/>
    <w:rsid w:val="00B36A5F"/>
    <w:rsid w:val="00B3720B"/>
    <w:rsid w:val="00B377AD"/>
    <w:rsid w:val="00B40A4E"/>
    <w:rsid w:val="00B41173"/>
    <w:rsid w:val="00B41425"/>
    <w:rsid w:val="00B42C14"/>
    <w:rsid w:val="00B43690"/>
    <w:rsid w:val="00B44027"/>
    <w:rsid w:val="00B4445C"/>
    <w:rsid w:val="00B4773D"/>
    <w:rsid w:val="00B47878"/>
    <w:rsid w:val="00B51EC2"/>
    <w:rsid w:val="00B52BE8"/>
    <w:rsid w:val="00B54384"/>
    <w:rsid w:val="00B54933"/>
    <w:rsid w:val="00B55A51"/>
    <w:rsid w:val="00B55B40"/>
    <w:rsid w:val="00B560C8"/>
    <w:rsid w:val="00B5741D"/>
    <w:rsid w:val="00B60189"/>
    <w:rsid w:val="00B6513F"/>
    <w:rsid w:val="00B750EA"/>
    <w:rsid w:val="00B77482"/>
    <w:rsid w:val="00B82A1B"/>
    <w:rsid w:val="00B8541D"/>
    <w:rsid w:val="00B85492"/>
    <w:rsid w:val="00B85521"/>
    <w:rsid w:val="00B85D1B"/>
    <w:rsid w:val="00B85DE2"/>
    <w:rsid w:val="00B86CB6"/>
    <w:rsid w:val="00B90A9A"/>
    <w:rsid w:val="00B90EDA"/>
    <w:rsid w:val="00B90FE5"/>
    <w:rsid w:val="00B914B9"/>
    <w:rsid w:val="00B91632"/>
    <w:rsid w:val="00B920D7"/>
    <w:rsid w:val="00B939F2"/>
    <w:rsid w:val="00B978EF"/>
    <w:rsid w:val="00BA06A7"/>
    <w:rsid w:val="00BA0CD6"/>
    <w:rsid w:val="00BA14E1"/>
    <w:rsid w:val="00BA3009"/>
    <w:rsid w:val="00BB4587"/>
    <w:rsid w:val="00BB5610"/>
    <w:rsid w:val="00BB5C1C"/>
    <w:rsid w:val="00BB6484"/>
    <w:rsid w:val="00BB75B5"/>
    <w:rsid w:val="00BB7B15"/>
    <w:rsid w:val="00BC04BE"/>
    <w:rsid w:val="00BC2E68"/>
    <w:rsid w:val="00BC7804"/>
    <w:rsid w:val="00BC7D15"/>
    <w:rsid w:val="00BD12E2"/>
    <w:rsid w:val="00BD2B3D"/>
    <w:rsid w:val="00BD2BD3"/>
    <w:rsid w:val="00BD4456"/>
    <w:rsid w:val="00BD4514"/>
    <w:rsid w:val="00BD77AF"/>
    <w:rsid w:val="00BE1133"/>
    <w:rsid w:val="00BE22E0"/>
    <w:rsid w:val="00BE3583"/>
    <w:rsid w:val="00BE375C"/>
    <w:rsid w:val="00BE4618"/>
    <w:rsid w:val="00BE74DB"/>
    <w:rsid w:val="00BE76AB"/>
    <w:rsid w:val="00BE7ED6"/>
    <w:rsid w:val="00BF012B"/>
    <w:rsid w:val="00BF1AF0"/>
    <w:rsid w:val="00BF228C"/>
    <w:rsid w:val="00BF436C"/>
    <w:rsid w:val="00BF4515"/>
    <w:rsid w:val="00BF73EB"/>
    <w:rsid w:val="00BF7CA8"/>
    <w:rsid w:val="00C0342E"/>
    <w:rsid w:val="00C043F1"/>
    <w:rsid w:val="00C07DE2"/>
    <w:rsid w:val="00C10AB8"/>
    <w:rsid w:val="00C12AC7"/>
    <w:rsid w:val="00C13603"/>
    <w:rsid w:val="00C208D0"/>
    <w:rsid w:val="00C20AC0"/>
    <w:rsid w:val="00C20EB9"/>
    <w:rsid w:val="00C2312A"/>
    <w:rsid w:val="00C23729"/>
    <w:rsid w:val="00C26181"/>
    <w:rsid w:val="00C265CF"/>
    <w:rsid w:val="00C31EA3"/>
    <w:rsid w:val="00C40021"/>
    <w:rsid w:val="00C43564"/>
    <w:rsid w:val="00C440AD"/>
    <w:rsid w:val="00C4474B"/>
    <w:rsid w:val="00C45F4F"/>
    <w:rsid w:val="00C50F68"/>
    <w:rsid w:val="00C52886"/>
    <w:rsid w:val="00C52A05"/>
    <w:rsid w:val="00C53685"/>
    <w:rsid w:val="00C54DD6"/>
    <w:rsid w:val="00C552BA"/>
    <w:rsid w:val="00C5565C"/>
    <w:rsid w:val="00C62F36"/>
    <w:rsid w:val="00C7028C"/>
    <w:rsid w:val="00C703E0"/>
    <w:rsid w:val="00C704B2"/>
    <w:rsid w:val="00C718D1"/>
    <w:rsid w:val="00C73222"/>
    <w:rsid w:val="00C73B03"/>
    <w:rsid w:val="00C74E13"/>
    <w:rsid w:val="00C757AB"/>
    <w:rsid w:val="00C759AF"/>
    <w:rsid w:val="00C76823"/>
    <w:rsid w:val="00C832DD"/>
    <w:rsid w:val="00C90C47"/>
    <w:rsid w:val="00C9327A"/>
    <w:rsid w:val="00C93A31"/>
    <w:rsid w:val="00C96F3D"/>
    <w:rsid w:val="00C97A2B"/>
    <w:rsid w:val="00CA1559"/>
    <w:rsid w:val="00CA25EE"/>
    <w:rsid w:val="00CA34D8"/>
    <w:rsid w:val="00CA438F"/>
    <w:rsid w:val="00CB565C"/>
    <w:rsid w:val="00CB6599"/>
    <w:rsid w:val="00CB67B3"/>
    <w:rsid w:val="00CB77C4"/>
    <w:rsid w:val="00CB7C28"/>
    <w:rsid w:val="00CC03B9"/>
    <w:rsid w:val="00CC06B7"/>
    <w:rsid w:val="00CC2BC1"/>
    <w:rsid w:val="00CC316C"/>
    <w:rsid w:val="00CC7467"/>
    <w:rsid w:val="00CD0A92"/>
    <w:rsid w:val="00CD1CCF"/>
    <w:rsid w:val="00CD2104"/>
    <w:rsid w:val="00CD2BBD"/>
    <w:rsid w:val="00CE076A"/>
    <w:rsid w:val="00CE2B62"/>
    <w:rsid w:val="00CE3A63"/>
    <w:rsid w:val="00CE4684"/>
    <w:rsid w:val="00CE494E"/>
    <w:rsid w:val="00CE4E5D"/>
    <w:rsid w:val="00D024B6"/>
    <w:rsid w:val="00D0511C"/>
    <w:rsid w:val="00D107CE"/>
    <w:rsid w:val="00D1081E"/>
    <w:rsid w:val="00D10AE5"/>
    <w:rsid w:val="00D122E2"/>
    <w:rsid w:val="00D13253"/>
    <w:rsid w:val="00D13E9E"/>
    <w:rsid w:val="00D14DA8"/>
    <w:rsid w:val="00D17247"/>
    <w:rsid w:val="00D22117"/>
    <w:rsid w:val="00D231EB"/>
    <w:rsid w:val="00D248E7"/>
    <w:rsid w:val="00D26C43"/>
    <w:rsid w:val="00D27AB7"/>
    <w:rsid w:val="00D345DB"/>
    <w:rsid w:val="00D35464"/>
    <w:rsid w:val="00D358AD"/>
    <w:rsid w:val="00D41453"/>
    <w:rsid w:val="00D41764"/>
    <w:rsid w:val="00D43C25"/>
    <w:rsid w:val="00D451A8"/>
    <w:rsid w:val="00D453D4"/>
    <w:rsid w:val="00D46AE3"/>
    <w:rsid w:val="00D473AD"/>
    <w:rsid w:val="00D4754A"/>
    <w:rsid w:val="00D50968"/>
    <w:rsid w:val="00D51EF4"/>
    <w:rsid w:val="00D52BFF"/>
    <w:rsid w:val="00D53A3C"/>
    <w:rsid w:val="00D554C0"/>
    <w:rsid w:val="00D555DB"/>
    <w:rsid w:val="00D562C0"/>
    <w:rsid w:val="00D56670"/>
    <w:rsid w:val="00D579E3"/>
    <w:rsid w:val="00D57DC5"/>
    <w:rsid w:val="00D61AFF"/>
    <w:rsid w:val="00D62384"/>
    <w:rsid w:val="00D6245B"/>
    <w:rsid w:val="00D66ADF"/>
    <w:rsid w:val="00D671AF"/>
    <w:rsid w:val="00D712D4"/>
    <w:rsid w:val="00D7355C"/>
    <w:rsid w:val="00D76B04"/>
    <w:rsid w:val="00D83548"/>
    <w:rsid w:val="00D8432C"/>
    <w:rsid w:val="00D859BE"/>
    <w:rsid w:val="00D93FC0"/>
    <w:rsid w:val="00D96BA7"/>
    <w:rsid w:val="00DA0235"/>
    <w:rsid w:val="00DA059B"/>
    <w:rsid w:val="00DA17B1"/>
    <w:rsid w:val="00DA2BF5"/>
    <w:rsid w:val="00DA4E2F"/>
    <w:rsid w:val="00DB065F"/>
    <w:rsid w:val="00DB0D5D"/>
    <w:rsid w:val="00DB0FC4"/>
    <w:rsid w:val="00DB2C05"/>
    <w:rsid w:val="00DB367D"/>
    <w:rsid w:val="00DB5F32"/>
    <w:rsid w:val="00DB646C"/>
    <w:rsid w:val="00DB6DB2"/>
    <w:rsid w:val="00DB6EA4"/>
    <w:rsid w:val="00DC358F"/>
    <w:rsid w:val="00DC4311"/>
    <w:rsid w:val="00DC587B"/>
    <w:rsid w:val="00DC5B57"/>
    <w:rsid w:val="00DC5C28"/>
    <w:rsid w:val="00DC6AE0"/>
    <w:rsid w:val="00DC74B6"/>
    <w:rsid w:val="00DD051E"/>
    <w:rsid w:val="00DD2995"/>
    <w:rsid w:val="00DD467A"/>
    <w:rsid w:val="00DD53E0"/>
    <w:rsid w:val="00DD547A"/>
    <w:rsid w:val="00DE386A"/>
    <w:rsid w:val="00DE73D6"/>
    <w:rsid w:val="00DF3E4F"/>
    <w:rsid w:val="00DF4C4E"/>
    <w:rsid w:val="00DF52C3"/>
    <w:rsid w:val="00E000CD"/>
    <w:rsid w:val="00E01E07"/>
    <w:rsid w:val="00E02226"/>
    <w:rsid w:val="00E0293C"/>
    <w:rsid w:val="00E02CA1"/>
    <w:rsid w:val="00E06B10"/>
    <w:rsid w:val="00E06C72"/>
    <w:rsid w:val="00E07048"/>
    <w:rsid w:val="00E07E90"/>
    <w:rsid w:val="00E11E70"/>
    <w:rsid w:val="00E12DFE"/>
    <w:rsid w:val="00E150BA"/>
    <w:rsid w:val="00E174D2"/>
    <w:rsid w:val="00E24BD9"/>
    <w:rsid w:val="00E3339C"/>
    <w:rsid w:val="00E33DEA"/>
    <w:rsid w:val="00E33F2A"/>
    <w:rsid w:val="00E363A9"/>
    <w:rsid w:val="00E3793B"/>
    <w:rsid w:val="00E41325"/>
    <w:rsid w:val="00E42A7B"/>
    <w:rsid w:val="00E42B92"/>
    <w:rsid w:val="00E430D7"/>
    <w:rsid w:val="00E435E0"/>
    <w:rsid w:val="00E4426B"/>
    <w:rsid w:val="00E4583A"/>
    <w:rsid w:val="00E501F4"/>
    <w:rsid w:val="00E51F85"/>
    <w:rsid w:val="00E52EEB"/>
    <w:rsid w:val="00E53F34"/>
    <w:rsid w:val="00E54772"/>
    <w:rsid w:val="00E548D0"/>
    <w:rsid w:val="00E5680C"/>
    <w:rsid w:val="00E604B8"/>
    <w:rsid w:val="00E63281"/>
    <w:rsid w:val="00E65637"/>
    <w:rsid w:val="00E65D78"/>
    <w:rsid w:val="00E6664F"/>
    <w:rsid w:val="00E666D4"/>
    <w:rsid w:val="00E75A49"/>
    <w:rsid w:val="00E80DA5"/>
    <w:rsid w:val="00E85253"/>
    <w:rsid w:val="00E86993"/>
    <w:rsid w:val="00E915DB"/>
    <w:rsid w:val="00E91D7F"/>
    <w:rsid w:val="00E93812"/>
    <w:rsid w:val="00E94226"/>
    <w:rsid w:val="00E9794B"/>
    <w:rsid w:val="00EA2A8A"/>
    <w:rsid w:val="00EA3B5D"/>
    <w:rsid w:val="00EA60D6"/>
    <w:rsid w:val="00EA64B2"/>
    <w:rsid w:val="00EA6BFA"/>
    <w:rsid w:val="00EA6C35"/>
    <w:rsid w:val="00EA6FE8"/>
    <w:rsid w:val="00EB2284"/>
    <w:rsid w:val="00EB697D"/>
    <w:rsid w:val="00EC1B9F"/>
    <w:rsid w:val="00EC293F"/>
    <w:rsid w:val="00EC29DE"/>
    <w:rsid w:val="00EC6C15"/>
    <w:rsid w:val="00EC723F"/>
    <w:rsid w:val="00ED3CE2"/>
    <w:rsid w:val="00ED6826"/>
    <w:rsid w:val="00EE0E13"/>
    <w:rsid w:val="00EE1259"/>
    <w:rsid w:val="00EE1A3F"/>
    <w:rsid w:val="00EE2D73"/>
    <w:rsid w:val="00EE2DAF"/>
    <w:rsid w:val="00EE3B76"/>
    <w:rsid w:val="00EE3F35"/>
    <w:rsid w:val="00EE65C1"/>
    <w:rsid w:val="00EE67CF"/>
    <w:rsid w:val="00EF197F"/>
    <w:rsid w:val="00EF3FB4"/>
    <w:rsid w:val="00EF472F"/>
    <w:rsid w:val="00EF5AF9"/>
    <w:rsid w:val="00EF6CDA"/>
    <w:rsid w:val="00F05EE8"/>
    <w:rsid w:val="00F06C1A"/>
    <w:rsid w:val="00F11BA3"/>
    <w:rsid w:val="00F11FA3"/>
    <w:rsid w:val="00F13001"/>
    <w:rsid w:val="00F13645"/>
    <w:rsid w:val="00F16B37"/>
    <w:rsid w:val="00F205B1"/>
    <w:rsid w:val="00F21C05"/>
    <w:rsid w:val="00F22199"/>
    <w:rsid w:val="00F22ED3"/>
    <w:rsid w:val="00F24824"/>
    <w:rsid w:val="00F2624B"/>
    <w:rsid w:val="00F30357"/>
    <w:rsid w:val="00F332CF"/>
    <w:rsid w:val="00F339E9"/>
    <w:rsid w:val="00F348E7"/>
    <w:rsid w:val="00F41395"/>
    <w:rsid w:val="00F41D1F"/>
    <w:rsid w:val="00F44891"/>
    <w:rsid w:val="00F45C4D"/>
    <w:rsid w:val="00F462C0"/>
    <w:rsid w:val="00F46DBD"/>
    <w:rsid w:val="00F46DCF"/>
    <w:rsid w:val="00F50A92"/>
    <w:rsid w:val="00F50F64"/>
    <w:rsid w:val="00F5194E"/>
    <w:rsid w:val="00F51A0D"/>
    <w:rsid w:val="00F52AED"/>
    <w:rsid w:val="00F5794E"/>
    <w:rsid w:val="00F704BF"/>
    <w:rsid w:val="00F706BE"/>
    <w:rsid w:val="00F70C4A"/>
    <w:rsid w:val="00F727C2"/>
    <w:rsid w:val="00F73122"/>
    <w:rsid w:val="00F76D03"/>
    <w:rsid w:val="00F82F3E"/>
    <w:rsid w:val="00F84609"/>
    <w:rsid w:val="00F87107"/>
    <w:rsid w:val="00F8711D"/>
    <w:rsid w:val="00F8763A"/>
    <w:rsid w:val="00F90A7B"/>
    <w:rsid w:val="00F93AA2"/>
    <w:rsid w:val="00F93DD6"/>
    <w:rsid w:val="00F95E63"/>
    <w:rsid w:val="00F97A2A"/>
    <w:rsid w:val="00FA29A7"/>
    <w:rsid w:val="00FA2ED4"/>
    <w:rsid w:val="00FA3A70"/>
    <w:rsid w:val="00FA57D5"/>
    <w:rsid w:val="00FA7126"/>
    <w:rsid w:val="00FB251D"/>
    <w:rsid w:val="00FB38FD"/>
    <w:rsid w:val="00FB3ECA"/>
    <w:rsid w:val="00FB5537"/>
    <w:rsid w:val="00FB5577"/>
    <w:rsid w:val="00FB6377"/>
    <w:rsid w:val="00FB6453"/>
    <w:rsid w:val="00FB6717"/>
    <w:rsid w:val="00FC0DDB"/>
    <w:rsid w:val="00FC15C9"/>
    <w:rsid w:val="00FC45AB"/>
    <w:rsid w:val="00FC5CA2"/>
    <w:rsid w:val="00FC6124"/>
    <w:rsid w:val="00FC6520"/>
    <w:rsid w:val="00FD3FB1"/>
    <w:rsid w:val="00FD4EEA"/>
    <w:rsid w:val="00FD765A"/>
    <w:rsid w:val="00FE2A15"/>
    <w:rsid w:val="00FE5DBA"/>
    <w:rsid w:val="00FE6C05"/>
    <w:rsid w:val="00FE7D2C"/>
    <w:rsid w:val="00FE7D32"/>
    <w:rsid w:val="00FF0A7A"/>
    <w:rsid w:val="00FF2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4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6404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404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4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6404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40458"/>
    <w:rPr>
      <w:rFonts w:asciiTheme="majorHAnsi" w:eastAsiaTheme="majorEastAsia" w:hAnsiTheme="majorHAnsi" w:cstheme="majorBidi"/>
      <w:color w:val="2E74B5" w:themeColor="accent1" w:themeShade="BF"/>
      <w:sz w:val="28"/>
      <w:szCs w:val="28"/>
    </w:rPr>
  </w:style>
  <w:style w:type="paragraph" w:styleId="ListParagraph">
    <w:name w:val="List Paragraph"/>
    <w:basedOn w:val="Normal"/>
    <w:uiPriority w:val="34"/>
    <w:qFormat/>
    <w:rsid w:val="00640458"/>
    <w:pPr>
      <w:ind w:left="720"/>
      <w:contextualSpacing/>
    </w:pPr>
    <w:rPr>
      <w:rFonts w:eastAsiaTheme="minorEastAsia"/>
    </w:rPr>
  </w:style>
  <w:style w:type="paragraph" w:customStyle="1" w:styleId="Default">
    <w:name w:val="Default"/>
    <w:rsid w:val="0064045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640458"/>
    <w:rPr>
      <w:color w:val="0000FF"/>
      <w:u w:val="single"/>
    </w:rPr>
  </w:style>
  <w:style w:type="table" w:customStyle="1" w:styleId="TableGrid1">
    <w:name w:val="Table Grid1"/>
    <w:basedOn w:val="TableNormal"/>
    <w:next w:val="TableGrid"/>
    <w:rsid w:val="006404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E0B01"/>
    <w:pPr>
      <w:tabs>
        <w:tab w:val="left" w:pos="660"/>
        <w:tab w:val="right" w:leader="dot" w:pos="9350"/>
      </w:tabs>
      <w:spacing w:after="100" w:line="360" w:lineRule="auto"/>
      <w:jc w:val="both"/>
    </w:pPr>
    <w:rPr>
      <w:rFonts w:ascii="Times New Roman" w:eastAsiaTheme="minorEastAsia" w:hAnsi="Times New Roman" w:cs="Times New Roman"/>
      <w:noProof/>
    </w:rPr>
  </w:style>
  <w:style w:type="paragraph" w:styleId="TOC2">
    <w:name w:val="toc 2"/>
    <w:basedOn w:val="Normal"/>
    <w:next w:val="Normal"/>
    <w:autoRedefine/>
    <w:uiPriority w:val="39"/>
    <w:unhideWhenUsed/>
    <w:rsid w:val="00640458"/>
    <w:pPr>
      <w:spacing w:after="100"/>
      <w:ind w:left="220"/>
    </w:pPr>
    <w:rPr>
      <w:rFonts w:eastAsiaTheme="minorEastAsia"/>
    </w:rPr>
  </w:style>
  <w:style w:type="paragraph" w:styleId="TOC3">
    <w:name w:val="toc 3"/>
    <w:basedOn w:val="Normal"/>
    <w:next w:val="Normal"/>
    <w:autoRedefine/>
    <w:uiPriority w:val="39"/>
    <w:unhideWhenUsed/>
    <w:rsid w:val="00375C08"/>
    <w:pPr>
      <w:tabs>
        <w:tab w:val="right" w:leader="dot" w:pos="9350"/>
      </w:tabs>
      <w:spacing w:after="100"/>
      <w:ind w:left="440"/>
      <w:jc w:val="both"/>
    </w:pPr>
    <w:rPr>
      <w:rFonts w:eastAsiaTheme="minorEastAsia"/>
    </w:rPr>
  </w:style>
  <w:style w:type="paragraph" w:styleId="TOCHeading">
    <w:name w:val="TOC Heading"/>
    <w:basedOn w:val="Heading1"/>
    <w:next w:val="Normal"/>
    <w:uiPriority w:val="39"/>
    <w:unhideWhenUsed/>
    <w:qFormat/>
    <w:rsid w:val="00640458"/>
    <w:pPr>
      <w:outlineLvl w:val="9"/>
    </w:pPr>
  </w:style>
  <w:style w:type="table" w:styleId="TableGrid">
    <w:name w:val="Table Grid"/>
    <w:basedOn w:val="TableNormal"/>
    <w:uiPriority w:val="39"/>
    <w:rsid w:val="00640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4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311"/>
  </w:style>
  <w:style w:type="paragraph" w:styleId="Footer">
    <w:name w:val="footer"/>
    <w:basedOn w:val="Normal"/>
    <w:link w:val="FooterChar"/>
    <w:uiPriority w:val="99"/>
    <w:unhideWhenUsed/>
    <w:rsid w:val="00DC4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311"/>
  </w:style>
  <w:style w:type="paragraph" w:styleId="Caption">
    <w:name w:val="caption"/>
    <w:basedOn w:val="Normal"/>
    <w:next w:val="Normal"/>
    <w:uiPriority w:val="35"/>
    <w:unhideWhenUsed/>
    <w:qFormat/>
    <w:rsid w:val="00B36A5F"/>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24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4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6404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404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04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6404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40458"/>
    <w:rPr>
      <w:rFonts w:asciiTheme="majorHAnsi" w:eastAsiaTheme="majorEastAsia" w:hAnsiTheme="majorHAnsi" w:cstheme="majorBidi"/>
      <w:color w:val="2E74B5" w:themeColor="accent1" w:themeShade="BF"/>
      <w:sz w:val="28"/>
      <w:szCs w:val="28"/>
    </w:rPr>
  </w:style>
  <w:style w:type="paragraph" w:styleId="ListParagraph">
    <w:name w:val="List Paragraph"/>
    <w:basedOn w:val="Normal"/>
    <w:uiPriority w:val="34"/>
    <w:qFormat/>
    <w:rsid w:val="00640458"/>
    <w:pPr>
      <w:ind w:left="720"/>
      <w:contextualSpacing/>
    </w:pPr>
    <w:rPr>
      <w:rFonts w:eastAsiaTheme="minorEastAsia"/>
    </w:rPr>
  </w:style>
  <w:style w:type="paragraph" w:customStyle="1" w:styleId="Default">
    <w:name w:val="Default"/>
    <w:rsid w:val="0064045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640458"/>
    <w:rPr>
      <w:color w:val="0000FF"/>
      <w:u w:val="single"/>
    </w:rPr>
  </w:style>
  <w:style w:type="table" w:customStyle="1" w:styleId="TableGrid1">
    <w:name w:val="Table Grid1"/>
    <w:basedOn w:val="TableNormal"/>
    <w:next w:val="TableGrid"/>
    <w:rsid w:val="006404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E0B01"/>
    <w:pPr>
      <w:tabs>
        <w:tab w:val="left" w:pos="660"/>
        <w:tab w:val="right" w:leader="dot" w:pos="9350"/>
      </w:tabs>
      <w:spacing w:after="100" w:line="360" w:lineRule="auto"/>
      <w:jc w:val="both"/>
    </w:pPr>
    <w:rPr>
      <w:rFonts w:ascii="Times New Roman" w:eastAsiaTheme="minorEastAsia" w:hAnsi="Times New Roman" w:cs="Times New Roman"/>
      <w:noProof/>
    </w:rPr>
  </w:style>
  <w:style w:type="paragraph" w:styleId="TOC2">
    <w:name w:val="toc 2"/>
    <w:basedOn w:val="Normal"/>
    <w:next w:val="Normal"/>
    <w:autoRedefine/>
    <w:uiPriority w:val="39"/>
    <w:unhideWhenUsed/>
    <w:rsid w:val="00640458"/>
    <w:pPr>
      <w:spacing w:after="100"/>
      <w:ind w:left="220"/>
    </w:pPr>
    <w:rPr>
      <w:rFonts w:eastAsiaTheme="minorEastAsia"/>
    </w:rPr>
  </w:style>
  <w:style w:type="paragraph" w:styleId="TOC3">
    <w:name w:val="toc 3"/>
    <w:basedOn w:val="Normal"/>
    <w:next w:val="Normal"/>
    <w:autoRedefine/>
    <w:uiPriority w:val="39"/>
    <w:unhideWhenUsed/>
    <w:rsid w:val="00375C08"/>
    <w:pPr>
      <w:tabs>
        <w:tab w:val="right" w:leader="dot" w:pos="9350"/>
      </w:tabs>
      <w:spacing w:after="100"/>
      <w:ind w:left="440"/>
      <w:jc w:val="both"/>
    </w:pPr>
    <w:rPr>
      <w:rFonts w:eastAsiaTheme="minorEastAsia"/>
    </w:rPr>
  </w:style>
  <w:style w:type="paragraph" w:styleId="TOCHeading">
    <w:name w:val="TOC Heading"/>
    <w:basedOn w:val="Heading1"/>
    <w:next w:val="Normal"/>
    <w:uiPriority w:val="39"/>
    <w:unhideWhenUsed/>
    <w:qFormat/>
    <w:rsid w:val="00640458"/>
    <w:pPr>
      <w:outlineLvl w:val="9"/>
    </w:pPr>
  </w:style>
  <w:style w:type="table" w:styleId="TableGrid">
    <w:name w:val="Table Grid"/>
    <w:basedOn w:val="TableNormal"/>
    <w:uiPriority w:val="39"/>
    <w:rsid w:val="00640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C43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4311"/>
  </w:style>
  <w:style w:type="paragraph" w:styleId="Footer">
    <w:name w:val="footer"/>
    <w:basedOn w:val="Normal"/>
    <w:link w:val="FooterChar"/>
    <w:uiPriority w:val="99"/>
    <w:unhideWhenUsed/>
    <w:rsid w:val="00DC43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4311"/>
  </w:style>
  <w:style w:type="paragraph" w:styleId="Caption">
    <w:name w:val="caption"/>
    <w:basedOn w:val="Normal"/>
    <w:next w:val="Normal"/>
    <w:uiPriority w:val="35"/>
    <w:unhideWhenUsed/>
    <w:qFormat/>
    <w:rsid w:val="00B36A5F"/>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24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698">
      <w:bodyDiv w:val="1"/>
      <w:marLeft w:val="0"/>
      <w:marRight w:val="0"/>
      <w:marTop w:val="0"/>
      <w:marBottom w:val="0"/>
      <w:divBdr>
        <w:top w:val="none" w:sz="0" w:space="0" w:color="auto"/>
        <w:left w:val="none" w:sz="0" w:space="0" w:color="auto"/>
        <w:bottom w:val="none" w:sz="0" w:space="0" w:color="auto"/>
        <w:right w:val="none" w:sz="0" w:space="0" w:color="auto"/>
      </w:divBdr>
    </w:div>
    <w:div w:id="45447724">
      <w:bodyDiv w:val="1"/>
      <w:marLeft w:val="0"/>
      <w:marRight w:val="0"/>
      <w:marTop w:val="0"/>
      <w:marBottom w:val="0"/>
      <w:divBdr>
        <w:top w:val="none" w:sz="0" w:space="0" w:color="auto"/>
        <w:left w:val="none" w:sz="0" w:space="0" w:color="auto"/>
        <w:bottom w:val="none" w:sz="0" w:space="0" w:color="auto"/>
        <w:right w:val="none" w:sz="0" w:space="0" w:color="auto"/>
      </w:divBdr>
    </w:div>
    <w:div w:id="71125989">
      <w:bodyDiv w:val="1"/>
      <w:marLeft w:val="0"/>
      <w:marRight w:val="0"/>
      <w:marTop w:val="0"/>
      <w:marBottom w:val="0"/>
      <w:divBdr>
        <w:top w:val="none" w:sz="0" w:space="0" w:color="auto"/>
        <w:left w:val="none" w:sz="0" w:space="0" w:color="auto"/>
        <w:bottom w:val="none" w:sz="0" w:space="0" w:color="auto"/>
        <w:right w:val="none" w:sz="0" w:space="0" w:color="auto"/>
      </w:divBdr>
    </w:div>
    <w:div w:id="99373470">
      <w:bodyDiv w:val="1"/>
      <w:marLeft w:val="0"/>
      <w:marRight w:val="0"/>
      <w:marTop w:val="0"/>
      <w:marBottom w:val="0"/>
      <w:divBdr>
        <w:top w:val="none" w:sz="0" w:space="0" w:color="auto"/>
        <w:left w:val="none" w:sz="0" w:space="0" w:color="auto"/>
        <w:bottom w:val="none" w:sz="0" w:space="0" w:color="auto"/>
        <w:right w:val="none" w:sz="0" w:space="0" w:color="auto"/>
      </w:divBdr>
    </w:div>
    <w:div w:id="106512951">
      <w:bodyDiv w:val="1"/>
      <w:marLeft w:val="0"/>
      <w:marRight w:val="0"/>
      <w:marTop w:val="0"/>
      <w:marBottom w:val="0"/>
      <w:divBdr>
        <w:top w:val="none" w:sz="0" w:space="0" w:color="auto"/>
        <w:left w:val="none" w:sz="0" w:space="0" w:color="auto"/>
        <w:bottom w:val="none" w:sz="0" w:space="0" w:color="auto"/>
        <w:right w:val="none" w:sz="0" w:space="0" w:color="auto"/>
      </w:divBdr>
    </w:div>
    <w:div w:id="136188945">
      <w:bodyDiv w:val="1"/>
      <w:marLeft w:val="0"/>
      <w:marRight w:val="0"/>
      <w:marTop w:val="0"/>
      <w:marBottom w:val="0"/>
      <w:divBdr>
        <w:top w:val="none" w:sz="0" w:space="0" w:color="auto"/>
        <w:left w:val="none" w:sz="0" w:space="0" w:color="auto"/>
        <w:bottom w:val="none" w:sz="0" w:space="0" w:color="auto"/>
        <w:right w:val="none" w:sz="0" w:space="0" w:color="auto"/>
      </w:divBdr>
    </w:div>
    <w:div w:id="159392861">
      <w:bodyDiv w:val="1"/>
      <w:marLeft w:val="0"/>
      <w:marRight w:val="0"/>
      <w:marTop w:val="0"/>
      <w:marBottom w:val="0"/>
      <w:divBdr>
        <w:top w:val="none" w:sz="0" w:space="0" w:color="auto"/>
        <w:left w:val="none" w:sz="0" w:space="0" w:color="auto"/>
        <w:bottom w:val="none" w:sz="0" w:space="0" w:color="auto"/>
        <w:right w:val="none" w:sz="0" w:space="0" w:color="auto"/>
      </w:divBdr>
    </w:div>
    <w:div w:id="165023210">
      <w:bodyDiv w:val="1"/>
      <w:marLeft w:val="0"/>
      <w:marRight w:val="0"/>
      <w:marTop w:val="0"/>
      <w:marBottom w:val="0"/>
      <w:divBdr>
        <w:top w:val="none" w:sz="0" w:space="0" w:color="auto"/>
        <w:left w:val="none" w:sz="0" w:space="0" w:color="auto"/>
        <w:bottom w:val="none" w:sz="0" w:space="0" w:color="auto"/>
        <w:right w:val="none" w:sz="0" w:space="0" w:color="auto"/>
      </w:divBdr>
    </w:div>
    <w:div w:id="194848457">
      <w:bodyDiv w:val="1"/>
      <w:marLeft w:val="0"/>
      <w:marRight w:val="0"/>
      <w:marTop w:val="0"/>
      <w:marBottom w:val="0"/>
      <w:divBdr>
        <w:top w:val="none" w:sz="0" w:space="0" w:color="auto"/>
        <w:left w:val="none" w:sz="0" w:space="0" w:color="auto"/>
        <w:bottom w:val="none" w:sz="0" w:space="0" w:color="auto"/>
        <w:right w:val="none" w:sz="0" w:space="0" w:color="auto"/>
      </w:divBdr>
    </w:div>
    <w:div w:id="227768917">
      <w:bodyDiv w:val="1"/>
      <w:marLeft w:val="0"/>
      <w:marRight w:val="0"/>
      <w:marTop w:val="0"/>
      <w:marBottom w:val="0"/>
      <w:divBdr>
        <w:top w:val="none" w:sz="0" w:space="0" w:color="auto"/>
        <w:left w:val="none" w:sz="0" w:space="0" w:color="auto"/>
        <w:bottom w:val="none" w:sz="0" w:space="0" w:color="auto"/>
        <w:right w:val="none" w:sz="0" w:space="0" w:color="auto"/>
      </w:divBdr>
    </w:div>
    <w:div w:id="337388752">
      <w:bodyDiv w:val="1"/>
      <w:marLeft w:val="0"/>
      <w:marRight w:val="0"/>
      <w:marTop w:val="0"/>
      <w:marBottom w:val="0"/>
      <w:divBdr>
        <w:top w:val="none" w:sz="0" w:space="0" w:color="auto"/>
        <w:left w:val="none" w:sz="0" w:space="0" w:color="auto"/>
        <w:bottom w:val="none" w:sz="0" w:space="0" w:color="auto"/>
        <w:right w:val="none" w:sz="0" w:space="0" w:color="auto"/>
      </w:divBdr>
    </w:div>
    <w:div w:id="403840347">
      <w:bodyDiv w:val="1"/>
      <w:marLeft w:val="0"/>
      <w:marRight w:val="0"/>
      <w:marTop w:val="0"/>
      <w:marBottom w:val="0"/>
      <w:divBdr>
        <w:top w:val="none" w:sz="0" w:space="0" w:color="auto"/>
        <w:left w:val="none" w:sz="0" w:space="0" w:color="auto"/>
        <w:bottom w:val="none" w:sz="0" w:space="0" w:color="auto"/>
        <w:right w:val="none" w:sz="0" w:space="0" w:color="auto"/>
      </w:divBdr>
    </w:div>
    <w:div w:id="419451762">
      <w:bodyDiv w:val="1"/>
      <w:marLeft w:val="0"/>
      <w:marRight w:val="0"/>
      <w:marTop w:val="0"/>
      <w:marBottom w:val="0"/>
      <w:divBdr>
        <w:top w:val="none" w:sz="0" w:space="0" w:color="auto"/>
        <w:left w:val="none" w:sz="0" w:space="0" w:color="auto"/>
        <w:bottom w:val="none" w:sz="0" w:space="0" w:color="auto"/>
        <w:right w:val="none" w:sz="0" w:space="0" w:color="auto"/>
      </w:divBdr>
    </w:div>
    <w:div w:id="455415714">
      <w:bodyDiv w:val="1"/>
      <w:marLeft w:val="0"/>
      <w:marRight w:val="0"/>
      <w:marTop w:val="0"/>
      <w:marBottom w:val="0"/>
      <w:divBdr>
        <w:top w:val="none" w:sz="0" w:space="0" w:color="auto"/>
        <w:left w:val="none" w:sz="0" w:space="0" w:color="auto"/>
        <w:bottom w:val="none" w:sz="0" w:space="0" w:color="auto"/>
        <w:right w:val="none" w:sz="0" w:space="0" w:color="auto"/>
      </w:divBdr>
    </w:div>
    <w:div w:id="472529125">
      <w:bodyDiv w:val="1"/>
      <w:marLeft w:val="0"/>
      <w:marRight w:val="0"/>
      <w:marTop w:val="0"/>
      <w:marBottom w:val="0"/>
      <w:divBdr>
        <w:top w:val="none" w:sz="0" w:space="0" w:color="auto"/>
        <w:left w:val="none" w:sz="0" w:space="0" w:color="auto"/>
        <w:bottom w:val="none" w:sz="0" w:space="0" w:color="auto"/>
        <w:right w:val="none" w:sz="0" w:space="0" w:color="auto"/>
      </w:divBdr>
    </w:div>
    <w:div w:id="539368201">
      <w:bodyDiv w:val="1"/>
      <w:marLeft w:val="0"/>
      <w:marRight w:val="0"/>
      <w:marTop w:val="0"/>
      <w:marBottom w:val="0"/>
      <w:divBdr>
        <w:top w:val="none" w:sz="0" w:space="0" w:color="auto"/>
        <w:left w:val="none" w:sz="0" w:space="0" w:color="auto"/>
        <w:bottom w:val="none" w:sz="0" w:space="0" w:color="auto"/>
        <w:right w:val="none" w:sz="0" w:space="0" w:color="auto"/>
      </w:divBdr>
    </w:div>
    <w:div w:id="545800539">
      <w:bodyDiv w:val="1"/>
      <w:marLeft w:val="0"/>
      <w:marRight w:val="0"/>
      <w:marTop w:val="0"/>
      <w:marBottom w:val="0"/>
      <w:divBdr>
        <w:top w:val="none" w:sz="0" w:space="0" w:color="auto"/>
        <w:left w:val="none" w:sz="0" w:space="0" w:color="auto"/>
        <w:bottom w:val="none" w:sz="0" w:space="0" w:color="auto"/>
        <w:right w:val="none" w:sz="0" w:space="0" w:color="auto"/>
      </w:divBdr>
    </w:div>
    <w:div w:id="594094792">
      <w:bodyDiv w:val="1"/>
      <w:marLeft w:val="0"/>
      <w:marRight w:val="0"/>
      <w:marTop w:val="0"/>
      <w:marBottom w:val="0"/>
      <w:divBdr>
        <w:top w:val="none" w:sz="0" w:space="0" w:color="auto"/>
        <w:left w:val="none" w:sz="0" w:space="0" w:color="auto"/>
        <w:bottom w:val="none" w:sz="0" w:space="0" w:color="auto"/>
        <w:right w:val="none" w:sz="0" w:space="0" w:color="auto"/>
      </w:divBdr>
    </w:div>
    <w:div w:id="601646415">
      <w:bodyDiv w:val="1"/>
      <w:marLeft w:val="0"/>
      <w:marRight w:val="0"/>
      <w:marTop w:val="0"/>
      <w:marBottom w:val="0"/>
      <w:divBdr>
        <w:top w:val="none" w:sz="0" w:space="0" w:color="auto"/>
        <w:left w:val="none" w:sz="0" w:space="0" w:color="auto"/>
        <w:bottom w:val="none" w:sz="0" w:space="0" w:color="auto"/>
        <w:right w:val="none" w:sz="0" w:space="0" w:color="auto"/>
      </w:divBdr>
    </w:div>
    <w:div w:id="625619897">
      <w:bodyDiv w:val="1"/>
      <w:marLeft w:val="0"/>
      <w:marRight w:val="0"/>
      <w:marTop w:val="0"/>
      <w:marBottom w:val="0"/>
      <w:divBdr>
        <w:top w:val="none" w:sz="0" w:space="0" w:color="auto"/>
        <w:left w:val="none" w:sz="0" w:space="0" w:color="auto"/>
        <w:bottom w:val="none" w:sz="0" w:space="0" w:color="auto"/>
        <w:right w:val="none" w:sz="0" w:space="0" w:color="auto"/>
      </w:divBdr>
    </w:div>
    <w:div w:id="703946456">
      <w:bodyDiv w:val="1"/>
      <w:marLeft w:val="0"/>
      <w:marRight w:val="0"/>
      <w:marTop w:val="0"/>
      <w:marBottom w:val="0"/>
      <w:divBdr>
        <w:top w:val="none" w:sz="0" w:space="0" w:color="auto"/>
        <w:left w:val="none" w:sz="0" w:space="0" w:color="auto"/>
        <w:bottom w:val="none" w:sz="0" w:space="0" w:color="auto"/>
        <w:right w:val="none" w:sz="0" w:space="0" w:color="auto"/>
      </w:divBdr>
    </w:div>
    <w:div w:id="738137824">
      <w:bodyDiv w:val="1"/>
      <w:marLeft w:val="0"/>
      <w:marRight w:val="0"/>
      <w:marTop w:val="0"/>
      <w:marBottom w:val="0"/>
      <w:divBdr>
        <w:top w:val="none" w:sz="0" w:space="0" w:color="auto"/>
        <w:left w:val="none" w:sz="0" w:space="0" w:color="auto"/>
        <w:bottom w:val="none" w:sz="0" w:space="0" w:color="auto"/>
        <w:right w:val="none" w:sz="0" w:space="0" w:color="auto"/>
      </w:divBdr>
    </w:div>
    <w:div w:id="757209778">
      <w:bodyDiv w:val="1"/>
      <w:marLeft w:val="0"/>
      <w:marRight w:val="0"/>
      <w:marTop w:val="0"/>
      <w:marBottom w:val="0"/>
      <w:divBdr>
        <w:top w:val="none" w:sz="0" w:space="0" w:color="auto"/>
        <w:left w:val="none" w:sz="0" w:space="0" w:color="auto"/>
        <w:bottom w:val="none" w:sz="0" w:space="0" w:color="auto"/>
        <w:right w:val="none" w:sz="0" w:space="0" w:color="auto"/>
      </w:divBdr>
    </w:div>
    <w:div w:id="1017005081">
      <w:bodyDiv w:val="1"/>
      <w:marLeft w:val="0"/>
      <w:marRight w:val="0"/>
      <w:marTop w:val="0"/>
      <w:marBottom w:val="0"/>
      <w:divBdr>
        <w:top w:val="none" w:sz="0" w:space="0" w:color="auto"/>
        <w:left w:val="none" w:sz="0" w:space="0" w:color="auto"/>
        <w:bottom w:val="none" w:sz="0" w:space="0" w:color="auto"/>
        <w:right w:val="none" w:sz="0" w:space="0" w:color="auto"/>
      </w:divBdr>
    </w:div>
    <w:div w:id="1026950301">
      <w:bodyDiv w:val="1"/>
      <w:marLeft w:val="0"/>
      <w:marRight w:val="0"/>
      <w:marTop w:val="0"/>
      <w:marBottom w:val="0"/>
      <w:divBdr>
        <w:top w:val="none" w:sz="0" w:space="0" w:color="auto"/>
        <w:left w:val="none" w:sz="0" w:space="0" w:color="auto"/>
        <w:bottom w:val="none" w:sz="0" w:space="0" w:color="auto"/>
        <w:right w:val="none" w:sz="0" w:space="0" w:color="auto"/>
      </w:divBdr>
    </w:div>
    <w:div w:id="1028872240">
      <w:bodyDiv w:val="1"/>
      <w:marLeft w:val="0"/>
      <w:marRight w:val="0"/>
      <w:marTop w:val="0"/>
      <w:marBottom w:val="0"/>
      <w:divBdr>
        <w:top w:val="none" w:sz="0" w:space="0" w:color="auto"/>
        <w:left w:val="none" w:sz="0" w:space="0" w:color="auto"/>
        <w:bottom w:val="none" w:sz="0" w:space="0" w:color="auto"/>
        <w:right w:val="none" w:sz="0" w:space="0" w:color="auto"/>
      </w:divBdr>
    </w:div>
    <w:div w:id="1034964756">
      <w:bodyDiv w:val="1"/>
      <w:marLeft w:val="0"/>
      <w:marRight w:val="0"/>
      <w:marTop w:val="0"/>
      <w:marBottom w:val="0"/>
      <w:divBdr>
        <w:top w:val="none" w:sz="0" w:space="0" w:color="auto"/>
        <w:left w:val="none" w:sz="0" w:space="0" w:color="auto"/>
        <w:bottom w:val="none" w:sz="0" w:space="0" w:color="auto"/>
        <w:right w:val="none" w:sz="0" w:space="0" w:color="auto"/>
      </w:divBdr>
    </w:div>
    <w:div w:id="1095443174">
      <w:bodyDiv w:val="1"/>
      <w:marLeft w:val="0"/>
      <w:marRight w:val="0"/>
      <w:marTop w:val="0"/>
      <w:marBottom w:val="0"/>
      <w:divBdr>
        <w:top w:val="none" w:sz="0" w:space="0" w:color="auto"/>
        <w:left w:val="none" w:sz="0" w:space="0" w:color="auto"/>
        <w:bottom w:val="none" w:sz="0" w:space="0" w:color="auto"/>
        <w:right w:val="none" w:sz="0" w:space="0" w:color="auto"/>
      </w:divBdr>
    </w:div>
    <w:div w:id="1163815536">
      <w:bodyDiv w:val="1"/>
      <w:marLeft w:val="0"/>
      <w:marRight w:val="0"/>
      <w:marTop w:val="0"/>
      <w:marBottom w:val="0"/>
      <w:divBdr>
        <w:top w:val="none" w:sz="0" w:space="0" w:color="auto"/>
        <w:left w:val="none" w:sz="0" w:space="0" w:color="auto"/>
        <w:bottom w:val="none" w:sz="0" w:space="0" w:color="auto"/>
        <w:right w:val="none" w:sz="0" w:space="0" w:color="auto"/>
      </w:divBdr>
    </w:div>
    <w:div w:id="1199078348">
      <w:bodyDiv w:val="1"/>
      <w:marLeft w:val="0"/>
      <w:marRight w:val="0"/>
      <w:marTop w:val="0"/>
      <w:marBottom w:val="0"/>
      <w:divBdr>
        <w:top w:val="none" w:sz="0" w:space="0" w:color="auto"/>
        <w:left w:val="none" w:sz="0" w:space="0" w:color="auto"/>
        <w:bottom w:val="none" w:sz="0" w:space="0" w:color="auto"/>
        <w:right w:val="none" w:sz="0" w:space="0" w:color="auto"/>
      </w:divBdr>
    </w:div>
    <w:div w:id="1211577692">
      <w:bodyDiv w:val="1"/>
      <w:marLeft w:val="0"/>
      <w:marRight w:val="0"/>
      <w:marTop w:val="0"/>
      <w:marBottom w:val="0"/>
      <w:divBdr>
        <w:top w:val="none" w:sz="0" w:space="0" w:color="auto"/>
        <w:left w:val="none" w:sz="0" w:space="0" w:color="auto"/>
        <w:bottom w:val="none" w:sz="0" w:space="0" w:color="auto"/>
        <w:right w:val="none" w:sz="0" w:space="0" w:color="auto"/>
      </w:divBdr>
    </w:div>
    <w:div w:id="1239631182">
      <w:bodyDiv w:val="1"/>
      <w:marLeft w:val="0"/>
      <w:marRight w:val="0"/>
      <w:marTop w:val="0"/>
      <w:marBottom w:val="0"/>
      <w:divBdr>
        <w:top w:val="none" w:sz="0" w:space="0" w:color="auto"/>
        <w:left w:val="none" w:sz="0" w:space="0" w:color="auto"/>
        <w:bottom w:val="none" w:sz="0" w:space="0" w:color="auto"/>
        <w:right w:val="none" w:sz="0" w:space="0" w:color="auto"/>
      </w:divBdr>
    </w:div>
    <w:div w:id="1254587442">
      <w:bodyDiv w:val="1"/>
      <w:marLeft w:val="0"/>
      <w:marRight w:val="0"/>
      <w:marTop w:val="0"/>
      <w:marBottom w:val="0"/>
      <w:divBdr>
        <w:top w:val="none" w:sz="0" w:space="0" w:color="auto"/>
        <w:left w:val="none" w:sz="0" w:space="0" w:color="auto"/>
        <w:bottom w:val="none" w:sz="0" w:space="0" w:color="auto"/>
        <w:right w:val="none" w:sz="0" w:space="0" w:color="auto"/>
      </w:divBdr>
    </w:div>
    <w:div w:id="1272517165">
      <w:bodyDiv w:val="1"/>
      <w:marLeft w:val="0"/>
      <w:marRight w:val="0"/>
      <w:marTop w:val="0"/>
      <w:marBottom w:val="0"/>
      <w:divBdr>
        <w:top w:val="none" w:sz="0" w:space="0" w:color="auto"/>
        <w:left w:val="none" w:sz="0" w:space="0" w:color="auto"/>
        <w:bottom w:val="none" w:sz="0" w:space="0" w:color="auto"/>
        <w:right w:val="none" w:sz="0" w:space="0" w:color="auto"/>
      </w:divBdr>
    </w:div>
    <w:div w:id="1280842363">
      <w:bodyDiv w:val="1"/>
      <w:marLeft w:val="0"/>
      <w:marRight w:val="0"/>
      <w:marTop w:val="0"/>
      <w:marBottom w:val="0"/>
      <w:divBdr>
        <w:top w:val="none" w:sz="0" w:space="0" w:color="auto"/>
        <w:left w:val="none" w:sz="0" w:space="0" w:color="auto"/>
        <w:bottom w:val="none" w:sz="0" w:space="0" w:color="auto"/>
        <w:right w:val="none" w:sz="0" w:space="0" w:color="auto"/>
      </w:divBdr>
    </w:div>
    <w:div w:id="1313215714">
      <w:bodyDiv w:val="1"/>
      <w:marLeft w:val="0"/>
      <w:marRight w:val="0"/>
      <w:marTop w:val="0"/>
      <w:marBottom w:val="0"/>
      <w:divBdr>
        <w:top w:val="none" w:sz="0" w:space="0" w:color="auto"/>
        <w:left w:val="none" w:sz="0" w:space="0" w:color="auto"/>
        <w:bottom w:val="none" w:sz="0" w:space="0" w:color="auto"/>
        <w:right w:val="none" w:sz="0" w:space="0" w:color="auto"/>
      </w:divBdr>
    </w:div>
    <w:div w:id="1417242847">
      <w:bodyDiv w:val="1"/>
      <w:marLeft w:val="0"/>
      <w:marRight w:val="0"/>
      <w:marTop w:val="0"/>
      <w:marBottom w:val="0"/>
      <w:divBdr>
        <w:top w:val="none" w:sz="0" w:space="0" w:color="auto"/>
        <w:left w:val="none" w:sz="0" w:space="0" w:color="auto"/>
        <w:bottom w:val="none" w:sz="0" w:space="0" w:color="auto"/>
        <w:right w:val="none" w:sz="0" w:space="0" w:color="auto"/>
      </w:divBdr>
    </w:div>
    <w:div w:id="1460491995">
      <w:bodyDiv w:val="1"/>
      <w:marLeft w:val="0"/>
      <w:marRight w:val="0"/>
      <w:marTop w:val="0"/>
      <w:marBottom w:val="0"/>
      <w:divBdr>
        <w:top w:val="none" w:sz="0" w:space="0" w:color="auto"/>
        <w:left w:val="none" w:sz="0" w:space="0" w:color="auto"/>
        <w:bottom w:val="none" w:sz="0" w:space="0" w:color="auto"/>
        <w:right w:val="none" w:sz="0" w:space="0" w:color="auto"/>
      </w:divBdr>
    </w:div>
    <w:div w:id="1481188793">
      <w:bodyDiv w:val="1"/>
      <w:marLeft w:val="0"/>
      <w:marRight w:val="0"/>
      <w:marTop w:val="0"/>
      <w:marBottom w:val="0"/>
      <w:divBdr>
        <w:top w:val="none" w:sz="0" w:space="0" w:color="auto"/>
        <w:left w:val="none" w:sz="0" w:space="0" w:color="auto"/>
        <w:bottom w:val="none" w:sz="0" w:space="0" w:color="auto"/>
        <w:right w:val="none" w:sz="0" w:space="0" w:color="auto"/>
      </w:divBdr>
    </w:div>
    <w:div w:id="1495954326">
      <w:bodyDiv w:val="1"/>
      <w:marLeft w:val="0"/>
      <w:marRight w:val="0"/>
      <w:marTop w:val="0"/>
      <w:marBottom w:val="0"/>
      <w:divBdr>
        <w:top w:val="none" w:sz="0" w:space="0" w:color="auto"/>
        <w:left w:val="none" w:sz="0" w:space="0" w:color="auto"/>
        <w:bottom w:val="none" w:sz="0" w:space="0" w:color="auto"/>
        <w:right w:val="none" w:sz="0" w:space="0" w:color="auto"/>
      </w:divBdr>
    </w:div>
    <w:div w:id="1533105834">
      <w:bodyDiv w:val="1"/>
      <w:marLeft w:val="0"/>
      <w:marRight w:val="0"/>
      <w:marTop w:val="0"/>
      <w:marBottom w:val="0"/>
      <w:divBdr>
        <w:top w:val="none" w:sz="0" w:space="0" w:color="auto"/>
        <w:left w:val="none" w:sz="0" w:space="0" w:color="auto"/>
        <w:bottom w:val="none" w:sz="0" w:space="0" w:color="auto"/>
        <w:right w:val="none" w:sz="0" w:space="0" w:color="auto"/>
      </w:divBdr>
    </w:div>
    <w:div w:id="1544975089">
      <w:bodyDiv w:val="1"/>
      <w:marLeft w:val="0"/>
      <w:marRight w:val="0"/>
      <w:marTop w:val="0"/>
      <w:marBottom w:val="0"/>
      <w:divBdr>
        <w:top w:val="none" w:sz="0" w:space="0" w:color="auto"/>
        <w:left w:val="none" w:sz="0" w:space="0" w:color="auto"/>
        <w:bottom w:val="none" w:sz="0" w:space="0" w:color="auto"/>
        <w:right w:val="none" w:sz="0" w:space="0" w:color="auto"/>
      </w:divBdr>
    </w:div>
    <w:div w:id="1567840437">
      <w:bodyDiv w:val="1"/>
      <w:marLeft w:val="0"/>
      <w:marRight w:val="0"/>
      <w:marTop w:val="0"/>
      <w:marBottom w:val="0"/>
      <w:divBdr>
        <w:top w:val="none" w:sz="0" w:space="0" w:color="auto"/>
        <w:left w:val="none" w:sz="0" w:space="0" w:color="auto"/>
        <w:bottom w:val="none" w:sz="0" w:space="0" w:color="auto"/>
        <w:right w:val="none" w:sz="0" w:space="0" w:color="auto"/>
      </w:divBdr>
    </w:div>
    <w:div w:id="1618561857">
      <w:bodyDiv w:val="1"/>
      <w:marLeft w:val="0"/>
      <w:marRight w:val="0"/>
      <w:marTop w:val="0"/>
      <w:marBottom w:val="0"/>
      <w:divBdr>
        <w:top w:val="none" w:sz="0" w:space="0" w:color="auto"/>
        <w:left w:val="none" w:sz="0" w:space="0" w:color="auto"/>
        <w:bottom w:val="none" w:sz="0" w:space="0" w:color="auto"/>
        <w:right w:val="none" w:sz="0" w:space="0" w:color="auto"/>
      </w:divBdr>
    </w:div>
    <w:div w:id="1672830967">
      <w:bodyDiv w:val="1"/>
      <w:marLeft w:val="0"/>
      <w:marRight w:val="0"/>
      <w:marTop w:val="0"/>
      <w:marBottom w:val="0"/>
      <w:divBdr>
        <w:top w:val="none" w:sz="0" w:space="0" w:color="auto"/>
        <w:left w:val="none" w:sz="0" w:space="0" w:color="auto"/>
        <w:bottom w:val="none" w:sz="0" w:space="0" w:color="auto"/>
        <w:right w:val="none" w:sz="0" w:space="0" w:color="auto"/>
      </w:divBdr>
    </w:div>
    <w:div w:id="1682395562">
      <w:bodyDiv w:val="1"/>
      <w:marLeft w:val="0"/>
      <w:marRight w:val="0"/>
      <w:marTop w:val="0"/>
      <w:marBottom w:val="0"/>
      <w:divBdr>
        <w:top w:val="none" w:sz="0" w:space="0" w:color="auto"/>
        <w:left w:val="none" w:sz="0" w:space="0" w:color="auto"/>
        <w:bottom w:val="none" w:sz="0" w:space="0" w:color="auto"/>
        <w:right w:val="none" w:sz="0" w:space="0" w:color="auto"/>
      </w:divBdr>
    </w:div>
    <w:div w:id="1764256185">
      <w:bodyDiv w:val="1"/>
      <w:marLeft w:val="0"/>
      <w:marRight w:val="0"/>
      <w:marTop w:val="0"/>
      <w:marBottom w:val="0"/>
      <w:divBdr>
        <w:top w:val="none" w:sz="0" w:space="0" w:color="auto"/>
        <w:left w:val="none" w:sz="0" w:space="0" w:color="auto"/>
        <w:bottom w:val="none" w:sz="0" w:space="0" w:color="auto"/>
        <w:right w:val="none" w:sz="0" w:space="0" w:color="auto"/>
      </w:divBdr>
    </w:div>
    <w:div w:id="1786457413">
      <w:bodyDiv w:val="1"/>
      <w:marLeft w:val="0"/>
      <w:marRight w:val="0"/>
      <w:marTop w:val="0"/>
      <w:marBottom w:val="0"/>
      <w:divBdr>
        <w:top w:val="none" w:sz="0" w:space="0" w:color="auto"/>
        <w:left w:val="none" w:sz="0" w:space="0" w:color="auto"/>
        <w:bottom w:val="none" w:sz="0" w:space="0" w:color="auto"/>
        <w:right w:val="none" w:sz="0" w:space="0" w:color="auto"/>
      </w:divBdr>
    </w:div>
    <w:div w:id="1866598771">
      <w:bodyDiv w:val="1"/>
      <w:marLeft w:val="0"/>
      <w:marRight w:val="0"/>
      <w:marTop w:val="0"/>
      <w:marBottom w:val="0"/>
      <w:divBdr>
        <w:top w:val="none" w:sz="0" w:space="0" w:color="auto"/>
        <w:left w:val="none" w:sz="0" w:space="0" w:color="auto"/>
        <w:bottom w:val="none" w:sz="0" w:space="0" w:color="auto"/>
        <w:right w:val="none" w:sz="0" w:space="0" w:color="auto"/>
      </w:divBdr>
    </w:div>
    <w:div w:id="1905144276">
      <w:bodyDiv w:val="1"/>
      <w:marLeft w:val="0"/>
      <w:marRight w:val="0"/>
      <w:marTop w:val="0"/>
      <w:marBottom w:val="0"/>
      <w:divBdr>
        <w:top w:val="none" w:sz="0" w:space="0" w:color="auto"/>
        <w:left w:val="none" w:sz="0" w:space="0" w:color="auto"/>
        <w:bottom w:val="none" w:sz="0" w:space="0" w:color="auto"/>
        <w:right w:val="none" w:sz="0" w:space="0" w:color="auto"/>
      </w:divBdr>
    </w:div>
    <w:div w:id="1918904211">
      <w:bodyDiv w:val="1"/>
      <w:marLeft w:val="0"/>
      <w:marRight w:val="0"/>
      <w:marTop w:val="0"/>
      <w:marBottom w:val="0"/>
      <w:divBdr>
        <w:top w:val="none" w:sz="0" w:space="0" w:color="auto"/>
        <w:left w:val="none" w:sz="0" w:space="0" w:color="auto"/>
        <w:bottom w:val="none" w:sz="0" w:space="0" w:color="auto"/>
        <w:right w:val="none" w:sz="0" w:space="0" w:color="auto"/>
      </w:divBdr>
    </w:div>
    <w:div w:id="1919241532">
      <w:bodyDiv w:val="1"/>
      <w:marLeft w:val="0"/>
      <w:marRight w:val="0"/>
      <w:marTop w:val="0"/>
      <w:marBottom w:val="0"/>
      <w:divBdr>
        <w:top w:val="none" w:sz="0" w:space="0" w:color="auto"/>
        <w:left w:val="none" w:sz="0" w:space="0" w:color="auto"/>
        <w:bottom w:val="none" w:sz="0" w:space="0" w:color="auto"/>
        <w:right w:val="none" w:sz="0" w:space="0" w:color="auto"/>
      </w:divBdr>
    </w:div>
    <w:div w:id="1924145793">
      <w:bodyDiv w:val="1"/>
      <w:marLeft w:val="0"/>
      <w:marRight w:val="0"/>
      <w:marTop w:val="0"/>
      <w:marBottom w:val="0"/>
      <w:divBdr>
        <w:top w:val="none" w:sz="0" w:space="0" w:color="auto"/>
        <w:left w:val="none" w:sz="0" w:space="0" w:color="auto"/>
        <w:bottom w:val="none" w:sz="0" w:space="0" w:color="auto"/>
        <w:right w:val="none" w:sz="0" w:space="0" w:color="auto"/>
      </w:divBdr>
    </w:div>
    <w:div w:id="1926841296">
      <w:bodyDiv w:val="1"/>
      <w:marLeft w:val="0"/>
      <w:marRight w:val="0"/>
      <w:marTop w:val="0"/>
      <w:marBottom w:val="0"/>
      <w:divBdr>
        <w:top w:val="none" w:sz="0" w:space="0" w:color="auto"/>
        <w:left w:val="none" w:sz="0" w:space="0" w:color="auto"/>
        <w:bottom w:val="none" w:sz="0" w:space="0" w:color="auto"/>
        <w:right w:val="none" w:sz="0" w:space="0" w:color="auto"/>
      </w:divBdr>
    </w:div>
    <w:div w:id="1940988372">
      <w:bodyDiv w:val="1"/>
      <w:marLeft w:val="0"/>
      <w:marRight w:val="0"/>
      <w:marTop w:val="0"/>
      <w:marBottom w:val="0"/>
      <w:divBdr>
        <w:top w:val="none" w:sz="0" w:space="0" w:color="auto"/>
        <w:left w:val="none" w:sz="0" w:space="0" w:color="auto"/>
        <w:bottom w:val="none" w:sz="0" w:space="0" w:color="auto"/>
        <w:right w:val="none" w:sz="0" w:space="0" w:color="auto"/>
      </w:divBdr>
    </w:div>
    <w:div w:id="2038702624">
      <w:bodyDiv w:val="1"/>
      <w:marLeft w:val="0"/>
      <w:marRight w:val="0"/>
      <w:marTop w:val="0"/>
      <w:marBottom w:val="0"/>
      <w:divBdr>
        <w:top w:val="none" w:sz="0" w:space="0" w:color="auto"/>
        <w:left w:val="none" w:sz="0" w:space="0" w:color="auto"/>
        <w:bottom w:val="none" w:sz="0" w:space="0" w:color="auto"/>
        <w:right w:val="none" w:sz="0" w:space="0" w:color="auto"/>
      </w:divBdr>
    </w:div>
    <w:div w:id="206028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image" Target="media/image6.emf"/><Relationship Id="rId39" Type="http://schemas.openxmlformats.org/officeDocument/2006/relationships/hyperlink" Target="https://www.bloomberg.com/quote/MAXIS:MK" TargetMode="External"/><Relationship Id="rId21" Type="http://schemas.openxmlformats.org/officeDocument/2006/relationships/chart" Target="charts/chart8.xml"/><Relationship Id="rId34" Type="http://schemas.openxmlformats.org/officeDocument/2006/relationships/hyperlink" Target="https://www.bb.org.bd/monetaryactivity/treasury.php" TargetMode="External"/><Relationship Id="rId42" Type="http://schemas.openxmlformats.org/officeDocument/2006/relationships/hyperlink" Target="https://quotes.wsj.com/SG/CC3/financials" TargetMode="External"/><Relationship Id="rId47" Type="http://schemas.openxmlformats.org/officeDocument/2006/relationships/hyperlink" Target="https://thefinancialexpress.com.bd/views/addressing-governance-issues-of-the-telecom-industry-1516807551" TargetMode="External"/><Relationship Id="rId50" Type="http://schemas.openxmlformats.org/officeDocument/2006/relationships/hyperlink" Target="https://thefinancialexpress.com.bd/economy/bangladesh-attracts-nearly-3b-fdi-in-2017-18-fiscal-year-1536149782" TargetMode="External"/><Relationship Id="rId55" Type="http://schemas.openxmlformats.org/officeDocument/2006/relationships/hyperlink" Target="https://www.dhakatribune.com/business/2018/02/14/gp-banglalink-buy-4g-spectrum"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7.xml"/><Relationship Id="rId29" Type="http://schemas.openxmlformats.org/officeDocument/2006/relationships/chart" Target="charts/chart13.xml"/><Relationship Id="rId41" Type="http://schemas.openxmlformats.org/officeDocument/2006/relationships/hyperlink" Target="https://www.marketscreener.com/RELIANCE-COMMUNICATIONS-9059624/financials/" TargetMode="External"/><Relationship Id="rId54" Type="http://schemas.openxmlformats.org/officeDocument/2006/relationships/hyperlink" Target="http://www.newagebd.net/article/34673/only-2-operators-to-participate-in-4g-spectrum-auction-today"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1.xml"/><Relationship Id="rId32" Type="http://schemas.openxmlformats.org/officeDocument/2006/relationships/hyperlink" Target="http://www.grameenphone.com" TargetMode="External"/><Relationship Id="rId37" Type="http://schemas.openxmlformats.org/officeDocument/2006/relationships/hyperlink" Target="https://www.gurufocus.com/term/pettm/AXXTF/PE-Ratiottm/Axiata-Group-Bhd" TargetMode="External"/><Relationship Id="rId40" Type="http://schemas.openxmlformats.org/officeDocument/2006/relationships/hyperlink" Target="https://www.marketscreener.com/BHARTI-AIRTEL-9059084/financials/" TargetMode="External"/><Relationship Id="rId45" Type="http://schemas.openxmlformats.org/officeDocument/2006/relationships/hyperlink" Target="https://quotes.wsj.com/IN/XBOM/532454/financials" TargetMode="External"/><Relationship Id="rId53" Type="http://schemas.openxmlformats.org/officeDocument/2006/relationships/hyperlink" Target="https://bdnews24.com/business/2018/11/07/grameenphone-first-to-reach-5-million-4g-customer-mark-in-bangladesh" TargetMode="External"/><Relationship Id="rId58" Type="http://schemas.openxmlformats.org/officeDocument/2006/relationships/hyperlink" Target="https://www.dhakatribune.com/bangladesh/election/2018/12/29/3g-4g-services-blocked-again"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chart" Target="charts/chart10.xml"/><Relationship Id="rId28" Type="http://schemas.openxmlformats.org/officeDocument/2006/relationships/image" Target="media/image8.emf"/><Relationship Id="rId36" Type="http://schemas.openxmlformats.org/officeDocument/2006/relationships/hyperlink" Target="https://quotes.wsj.com/MY/XKLS/MAXIS/advanced-chart" TargetMode="External"/><Relationship Id="rId49" Type="http://schemas.openxmlformats.org/officeDocument/2006/relationships/hyperlink" Target="https://www.thedailystar.net/business/fdi-hit-record-245b-last-fiscal-year-1481347" TargetMode="External"/><Relationship Id="rId57" Type="http://schemas.openxmlformats.org/officeDocument/2006/relationships/hyperlink" Target="https://www.dhakatribune.com/uncategorized/2014/10/29/grameenphone-q3-earnings-decline" TargetMode="External"/><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6.xml"/><Relationship Id="rId31" Type="http://schemas.openxmlformats.org/officeDocument/2006/relationships/chart" Target="charts/chart14.xml"/><Relationship Id="rId44" Type="http://schemas.openxmlformats.org/officeDocument/2006/relationships/hyperlink" Target="https://quotes.wsj.com/MY/XKLS/MAXIS/financials" TargetMode="External"/><Relationship Id="rId52" Type="http://schemas.openxmlformats.org/officeDocument/2006/relationships/hyperlink" Target="https://thefinancialexpress.com.bd/trade/bd-mobile-industry-fifth-largest-in-asia-pacific-1537287451"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9.xml"/><Relationship Id="rId27" Type="http://schemas.openxmlformats.org/officeDocument/2006/relationships/image" Target="media/image7.emf"/><Relationship Id="rId30" Type="http://schemas.openxmlformats.org/officeDocument/2006/relationships/image" Target="media/image9.emf"/><Relationship Id="rId35" Type="http://schemas.openxmlformats.org/officeDocument/2006/relationships/hyperlink" Target="http://www.eblsecurities.com/AM_Resources/AM_ResearchReports/EquityReport/Equity%20Valuation%20Report-%20Grameenphone%20Ltd..pdf" TargetMode="External"/><Relationship Id="rId43" Type="http://schemas.openxmlformats.org/officeDocument/2006/relationships/hyperlink" Target="https://quotes.wsj.com/TH/ADVANC/financials" TargetMode="External"/><Relationship Id="rId48" Type="http://schemas.openxmlformats.org/officeDocument/2006/relationships/hyperlink" Target="https://www.dhakatribune.com/business/2019/02/03/fdi-posts-over-32-growth-in-january-november-of-2018" TargetMode="External"/><Relationship Id="rId56" Type="http://schemas.openxmlformats.org/officeDocument/2006/relationships/hyperlink" Target="https://thefinancialexpress.com.bd/national/bangladesh-successfully-completes-5g-demo-highest-speed-hits-417gbps-1532522770" TargetMode="External"/><Relationship Id="rId8" Type="http://schemas.openxmlformats.org/officeDocument/2006/relationships/endnotes" Target="endnotes.xml"/><Relationship Id="rId51" Type="http://schemas.openxmlformats.org/officeDocument/2006/relationships/hyperlink" Target="https://www.thedailystar.net/business/news/fdi-picking-slowly-1660810"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emf"/><Relationship Id="rId25" Type="http://schemas.openxmlformats.org/officeDocument/2006/relationships/chart" Target="charts/chart12.xml"/><Relationship Id="rId33" Type="http://schemas.openxmlformats.org/officeDocument/2006/relationships/hyperlink" Target="http://pages.stern.nyu.edu/~adamodar/New_Home_Page/datafile/ctryprem.html" TargetMode="External"/><Relationship Id="rId38" Type="http://schemas.openxmlformats.org/officeDocument/2006/relationships/hyperlink" Target="https://market.sec.or.th/public/idisc/en/CompanyProfile/Listed/ADVANC" TargetMode="External"/><Relationship Id="rId46" Type="http://schemas.openxmlformats.org/officeDocument/2006/relationships/hyperlink" Target="https://quotes.wsj.com/IN/XNSE/EQRCOM/financials" TargetMode="External"/><Relationship Id="rId59" Type="http://schemas.openxmlformats.org/officeDocument/2006/relationships/hyperlink" Target="https://www.thedailystar.net/business/bangladesh-election-2018-digital-service-business-hit-election-nerves-167897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file:///F:\file\Internship\Economy.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F:\file\Internship\Economy.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mn-lt"/>
                <a:ea typeface="+mn-ea"/>
                <a:cs typeface="+mn-cs"/>
              </a:defRPr>
            </a:pPr>
            <a:r>
              <a:rPr lang="en-US" sz="1100"/>
              <a:t>MObile</a:t>
            </a:r>
            <a:r>
              <a:rPr lang="en-US" sz="1100" baseline="0"/>
              <a:t> phone and mobile internet subscriber percentage of total Population</a:t>
            </a:r>
            <a:endParaRPr lang="en-US" sz="1100"/>
          </a:p>
        </c:rich>
      </c:tx>
      <c:layout>
        <c:manualLayout>
          <c:xMode val="edge"/>
          <c:yMode val="edge"/>
          <c:x val="0.12836129379533079"/>
          <c:y val="3.2407405622644783E-2"/>
        </c:manualLayout>
      </c:layout>
      <c:overlay val="0"/>
      <c:spPr>
        <a:noFill/>
        <a:ln>
          <a:noFill/>
        </a:ln>
        <a:effectLst/>
      </c:spPr>
    </c:title>
    <c:autoTitleDeleted val="0"/>
    <c:plotArea>
      <c:layout/>
      <c:scatterChart>
        <c:scatterStyle val="smoothMarker"/>
        <c:varyColors val="0"/>
        <c:ser>
          <c:idx val="0"/>
          <c:order val="0"/>
          <c:tx>
            <c:v>Percentage of mobile internet subscriber</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Sheet1!$B$32:$G$32</c:f>
              <c:numCache>
                <c:formatCode>General</c:formatCode>
                <c:ptCount val="6"/>
                <c:pt idx="0">
                  <c:v>2012</c:v>
                </c:pt>
                <c:pt idx="1">
                  <c:v>2013</c:v>
                </c:pt>
                <c:pt idx="2">
                  <c:v>2014</c:v>
                </c:pt>
                <c:pt idx="3">
                  <c:v>2015</c:v>
                </c:pt>
                <c:pt idx="4">
                  <c:v>2016</c:v>
                </c:pt>
                <c:pt idx="5">
                  <c:v>2017</c:v>
                </c:pt>
              </c:numCache>
            </c:numRef>
          </c:xVal>
          <c:yVal>
            <c:numRef>
              <c:f>Sheet1!$B$40:$G$40</c:f>
              <c:numCache>
                <c:formatCode>0%</c:formatCode>
                <c:ptCount val="6"/>
                <c:pt idx="0">
                  <c:v>0.18496736673089276</c:v>
                </c:pt>
                <c:pt idx="1">
                  <c:v>0.21732062817258882</c:v>
                </c:pt>
                <c:pt idx="2">
                  <c:v>0.26457967377666247</c:v>
                </c:pt>
                <c:pt idx="3">
                  <c:v>0.31918734491315143</c:v>
                </c:pt>
                <c:pt idx="4">
                  <c:v>0.38472392638036812</c:v>
                </c:pt>
                <c:pt idx="5">
                  <c:v>0.45567698846387372</c:v>
                </c:pt>
              </c:numCache>
            </c:numRef>
          </c:yVal>
          <c:smooth val="1"/>
        </c:ser>
        <c:ser>
          <c:idx val="1"/>
          <c:order val="1"/>
          <c:tx>
            <c:v>Percentage of Voice Subscriber</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Sheet1!$B$32:$G$32</c:f>
              <c:numCache>
                <c:formatCode>General</c:formatCode>
                <c:ptCount val="6"/>
                <c:pt idx="0">
                  <c:v>2012</c:v>
                </c:pt>
                <c:pt idx="1">
                  <c:v>2013</c:v>
                </c:pt>
                <c:pt idx="2">
                  <c:v>2014</c:v>
                </c:pt>
                <c:pt idx="3">
                  <c:v>2015</c:v>
                </c:pt>
                <c:pt idx="4">
                  <c:v>2016</c:v>
                </c:pt>
                <c:pt idx="5">
                  <c:v>2017</c:v>
                </c:pt>
              </c:numCache>
            </c:numRef>
          </c:xVal>
          <c:yVal>
            <c:numRef>
              <c:f>Sheet1!$B$41:$G$41</c:f>
              <c:numCache>
                <c:formatCode>0%</c:formatCode>
                <c:ptCount val="6"/>
                <c:pt idx="0">
                  <c:v>0.62414900449582544</c:v>
                </c:pt>
                <c:pt idx="1">
                  <c:v>0.72197969543147211</c:v>
                </c:pt>
                <c:pt idx="2">
                  <c:v>0.7550188205771643</c:v>
                </c:pt>
                <c:pt idx="3">
                  <c:v>0.82952853598014897</c:v>
                </c:pt>
                <c:pt idx="4">
                  <c:v>0.77540490797546013</c:v>
                </c:pt>
                <c:pt idx="5">
                  <c:v>0.88108075288403165</c:v>
                </c:pt>
              </c:numCache>
            </c:numRef>
          </c:yVal>
          <c:smooth val="1"/>
        </c:ser>
        <c:dLbls>
          <c:dLblPos val="t"/>
          <c:showLegendKey val="0"/>
          <c:showVal val="1"/>
          <c:showCatName val="0"/>
          <c:showSerName val="0"/>
          <c:showPercent val="0"/>
          <c:showBubbleSize val="0"/>
        </c:dLbls>
        <c:axId val="139923456"/>
        <c:axId val="139925376"/>
      </c:scatterChart>
      <c:valAx>
        <c:axId val="1399234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1" i="0" u="none" strike="noStrike" kern="1200" cap="all" baseline="0">
                    <a:solidFill>
                      <a:schemeClr val="tx1">
                        <a:lumMod val="65000"/>
                        <a:lumOff val="35000"/>
                      </a:schemeClr>
                    </a:solidFill>
                    <a:latin typeface="+mn-lt"/>
                    <a:ea typeface="+mn-ea"/>
                    <a:cs typeface="+mn-cs"/>
                  </a:defRPr>
                </a:pPr>
                <a:r>
                  <a:rPr lang="en-US" sz="800" b="1" i="1"/>
                  <a:t>Source : Btrc</a:t>
                </a:r>
              </a:p>
            </c:rich>
          </c:tx>
          <c:layout>
            <c:manualLayout>
              <c:xMode val="edge"/>
              <c:yMode val="edge"/>
              <c:x val="0.42252777777777784"/>
              <c:y val="0.9270137066200058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9925376"/>
        <c:crosses val="autoZero"/>
        <c:crossBetween val="midCat"/>
      </c:valAx>
      <c:valAx>
        <c:axId val="139925376"/>
        <c:scaling>
          <c:orientation val="minMax"/>
        </c:scaling>
        <c:delete val="1"/>
        <c:axPos val="l"/>
        <c:numFmt formatCode="0%" sourceLinked="1"/>
        <c:majorTickMark val="none"/>
        <c:minorTickMark val="none"/>
        <c:tickLblPos val="nextTo"/>
        <c:crossAx val="139923456"/>
        <c:crosses val="autoZero"/>
        <c:crossBetween val="midCat"/>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Sheet3!$A$57</c:f>
              <c:strCache>
                <c:ptCount val="1"/>
                <c:pt idx="0">
                  <c:v>Operating Current Ratio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Sheet3!$B$55:$K$55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Sheet3!$B$57:$K$57</c:f>
              <c:numCache>
                <c:formatCode>0.00\x</c:formatCode>
                <c:ptCount val="10"/>
                <c:pt idx="0">
                  <c:v>0.23864232104863092</c:v>
                </c:pt>
                <c:pt idx="1">
                  <c:v>0.25962887178596961</c:v>
                </c:pt>
                <c:pt idx="2">
                  <c:v>0.20690187520442468</c:v>
                </c:pt>
                <c:pt idx="3">
                  <c:v>0.18112458524443067</c:v>
                </c:pt>
                <c:pt idx="4">
                  <c:v>0.30000026865681828</c:v>
                </c:pt>
                <c:pt idx="5">
                  <c:v>0.28337745961645849</c:v>
                </c:pt>
                <c:pt idx="6">
                  <c:v>0.23697081824737642</c:v>
                </c:pt>
                <c:pt idx="7">
                  <c:v>0.16214237799863293</c:v>
                </c:pt>
                <c:pt idx="8">
                  <c:v>0.16788293790497003</c:v>
                </c:pt>
                <c:pt idx="9">
                  <c:v>0.17174033292746829</c:v>
                </c:pt>
              </c:numCache>
            </c:numRef>
          </c:val>
          <c:smooth val="0"/>
        </c:ser>
        <c:dLbls>
          <c:dLblPos val="t"/>
          <c:showLegendKey val="0"/>
          <c:showVal val="1"/>
          <c:showCatName val="0"/>
          <c:showSerName val="0"/>
          <c:showPercent val="0"/>
          <c:showBubbleSize val="0"/>
        </c:dLbls>
        <c:marker val="1"/>
        <c:smooth val="0"/>
        <c:axId val="250506624"/>
        <c:axId val="207919360"/>
      </c:lineChart>
      <c:catAx>
        <c:axId val="25050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919360"/>
        <c:crosses val="autoZero"/>
        <c:auto val="1"/>
        <c:lblAlgn val="ctr"/>
        <c:lblOffset val="100"/>
        <c:noMultiLvlLbl val="0"/>
      </c:catAx>
      <c:valAx>
        <c:axId val="207919360"/>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5050662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Sheet3!$A$58</c:f>
              <c:strCache>
                <c:ptCount val="1"/>
                <c:pt idx="0">
                  <c:v>Acid-Test Ratio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Sheet3!$B$55:$K$55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Sheet3!$B$58:$K$58</c:f>
              <c:numCache>
                <c:formatCode>0.00\x</c:formatCode>
                <c:ptCount val="10"/>
                <c:pt idx="0">
                  <c:v>0.20912712684374368</c:v>
                </c:pt>
                <c:pt idx="1">
                  <c:v>0.2357810483987072</c:v>
                </c:pt>
                <c:pt idx="2">
                  <c:v>0.16994368828047582</c:v>
                </c:pt>
                <c:pt idx="3">
                  <c:v>0.15145582189356321</c:v>
                </c:pt>
                <c:pt idx="4">
                  <c:v>0.27093790398645379</c:v>
                </c:pt>
                <c:pt idx="5">
                  <c:v>0.25684223096917763</c:v>
                </c:pt>
                <c:pt idx="6">
                  <c:v>0.20939304069783615</c:v>
                </c:pt>
                <c:pt idx="7">
                  <c:v>0.12781028162361868</c:v>
                </c:pt>
                <c:pt idx="8">
                  <c:v>0.12908890894939531</c:v>
                </c:pt>
                <c:pt idx="9">
                  <c:v>0.12989552881248739</c:v>
                </c:pt>
              </c:numCache>
            </c:numRef>
          </c:val>
          <c:smooth val="0"/>
        </c:ser>
        <c:dLbls>
          <c:dLblPos val="t"/>
          <c:showLegendKey val="0"/>
          <c:showVal val="1"/>
          <c:showCatName val="0"/>
          <c:showSerName val="0"/>
          <c:showPercent val="0"/>
          <c:showBubbleSize val="0"/>
        </c:dLbls>
        <c:marker val="1"/>
        <c:smooth val="0"/>
        <c:axId val="244360704"/>
        <c:axId val="252486016"/>
      </c:lineChart>
      <c:catAx>
        <c:axId val="24436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486016"/>
        <c:crosses val="autoZero"/>
        <c:auto val="1"/>
        <c:lblAlgn val="ctr"/>
        <c:lblOffset val="100"/>
        <c:noMultiLvlLbl val="0"/>
      </c:catAx>
      <c:valAx>
        <c:axId val="252486016"/>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4436070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Sheet3!$A$59</c:f>
              <c:strCache>
                <c:ptCount val="1"/>
                <c:pt idx="0">
                  <c:v>Cash Ratio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Sheet3!$B$55:$K$55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Sheet3!$B$59:$K$59</c:f>
              <c:numCache>
                <c:formatCode>0.00\x</c:formatCode>
                <c:ptCount val="10"/>
                <c:pt idx="0">
                  <c:v>5.7842417581156172E-2</c:v>
                </c:pt>
                <c:pt idx="1">
                  <c:v>7.7520137084481883E-2</c:v>
                </c:pt>
                <c:pt idx="2">
                  <c:v>6.1413517631162734E-2</c:v>
                </c:pt>
                <c:pt idx="3">
                  <c:v>4.2504344424357382E-2</c:v>
                </c:pt>
                <c:pt idx="4">
                  <c:v>0.16654882725763107</c:v>
                </c:pt>
                <c:pt idx="5">
                  <c:v>0.1561020635414315</c:v>
                </c:pt>
                <c:pt idx="6">
                  <c:v>0.11019318763427557</c:v>
                </c:pt>
                <c:pt idx="7">
                  <c:v>3.7477119320982695E-2</c:v>
                </c:pt>
                <c:pt idx="8">
                  <c:v>3.8925170297925589E-2</c:v>
                </c:pt>
                <c:pt idx="9">
                  <c:v>4.0923718988278832E-2</c:v>
                </c:pt>
              </c:numCache>
            </c:numRef>
          </c:val>
          <c:smooth val="0"/>
        </c:ser>
        <c:dLbls>
          <c:dLblPos val="t"/>
          <c:showLegendKey val="0"/>
          <c:showVal val="1"/>
          <c:showCatName val="0"/>
          <c:showSerName val="0"/>
          <c:showPercent val="0"/>
          <c:showBubbleSize val="0"/>
        </c:dLbls>
        <c:marker val="1"/>
        <c:smooth val="0"/>
        <c:axId val="239612672"/>
        <c:axId val="239614208"/>
      </c:lineChart>
      <c:catAx>
        <c:axId val="23961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614208"/>
        <c:crosses val="autoZero"/>
        <c:auto val="1"/>
        <c:lblAlgn val="ctr"/>
        <c:lblOffset val="100"/>
        <c:noMultiLvlLbl val="0"/>
      </c:catAx>
      <c:valAx>
        <c:axId val="239614208"/>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3961267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8498537536561583E-2"/>
          <c:y val="0.15049557996249666"/>
          <c:w val="0.92850178745531364"/>
          <c:h val="0.67699829779514908"/>
        </c:manualLayout>
      </c:layout>
      <c:lineChart>
        <c:grouping val="standard"/>
        <c:varyColors val="0"/>
        <c:ser>
          <c:idx val="0"/>
          <c:order val="0"/>
          <c:tx>
            <c:strRef>
              <c:f>Sheet2!$E$53</c:f>
              <c:strCache>
                <c:ptCount val="1"/>
                <c:pt idx="0">
                  <c:v>Capex to sales</c:v>
                </c:pt>
              </c:strCache>
            </c:strRef>
          </c:tx>
          <c:spPr>
            <a:ln w="28575" cap="rnd">
              <a:solidFill>
                <a:schemeClr val="accent1">
                  <a:lumMod val="60000"/>
                  <a:lumOff val="40000"/>
                </a:schemeClr>
              </a:solidFill>
              <a:round/>
            </a:ln>
            <a:effectLst/>
          </c:spPr>
          <c:marker>
            <c:symbol val="circle"/>
            <c:size val="5"/>
            <c:spPr>
              <a:solidFill>
                <a:schemeClr val="accent1"/>
              </a:solidFill>
              <a:ln w="9525">
                <a:solidFill>
                  <a:schemeClr val="accent1">
                    <a:lumMod val="60000"/>
                    <a:lumOff val="40000"/>
                  </a:schemeClr>
                </a:solidFill>
              </a:ln>
              <a:effectLst/>
            </c:spPr>
          </c:marker>
          <c:dLbls>
            <c:spPr>
              <a:noFill/>
              <a:ln>
                <a:noFill/>
              </a:ln>
              <a:effectLst/>
            </c:spPr>
            <c:txPr>
              <a:bodyPr rot="0" spcFirstLastPara="1" vertOverflow="ellipsis" vert="horz" wrap="square" lIns="38100" tIns="19050" rIns="38100" bIns="19050" anchor="ctr" anchorCtr="0">
                <a:spAutoFit/>
              </a:bodyPr>
              <a:lstStyle/>
              <a:p>
                <a:pPr algn="just">
                  <a:defRPr sz="900" b="1" i="0" u="none" strike="noStrike" kern="1200" baseline="0">
                    <a:solidFill>
                      <a:sysClr val="windowText" lastClr="000000"/>
                    </a:solidFill>
                    <a:latin typeface="+mn-lt"/>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Sheet2!$F$52:$O$52</c:f>
              <c:strCache>
                <c:ptCount val="10"/>
                <c:pt idx="0">
                  <c:v>2013</c:v>
                </c:pt>
                <c:pt idx="1">
                  <c:v>2014</c:v>
                </c:pt>
                <c:pt idx="2">
                  <c:v>2015</c:v>
                </c:pt>
                <c:pt idx="3">
                  <c:v>2016</c:v>
                </c:pt>
                <c:pt idx="4">
                  <c:v>2017</c:v>
                </c:pt>
                <c:pt idx="5">
                  <c:v>2018 E</c:v>
                </c:pt>
                <c:pt idx="6">
                  <c:v>2019E</c:v>
                </c:pt>
                <c:pt idx="7">
                  <c:v>2020E</c:v>
                </c:pt>
                <c:pt idx="8">
                  <c:v>2021E</c:v>
                </c:pt>
                <c:pt idx="9">
                  <c:v>2022E</c:v>
                </c:pt>
              </c:strCache>
            </c:strRef>
          </c:cat>
          <c:val>
            <c:numRef>
              <c:f>Sheet2!$F$53:$O$53</c:f>
              <c:numCache>
                <c:formatCode>0.0%</c:formatCode>
                <c:ptCount val="10"/>
                <c:pt idx="0">
                  <c:v>0.30970493559550027</c:v>
                </c:pt>
                <c:pt idx="1">
                  <c:v>0.14770603872235952</c:v>
                </c:pt>
                <c:pt idx="2">
                  <c:v>0.18394458992126839</c:v>
                </c:pt>
                <c:pt idx="3">
                  <c:v>0.18367232515912985</c:v>
                </c:pt>
                <c:pt idx="4">
                  <c:v>0.11306036492282441</c:v>
                </c:pt>
                <c:pt idx="5">
                  <c:v>0.255</c:v>
                </c:pt>
                <c:pt idx="6">
                  <c:v>0.15709582968139554</c:v>
                </c:pt>
                <c:pt idx="7">
                  <c:v>0.3</c:v>
                </c:pt>
                <c:pt idx="8">
                  <c:v>0.15209582968139554</c:v>
                </c:pt>
                <c:pt idx="9">
                  <c:v>0.14709582968139553</c:v>
                </c:pt>
              </c:numCache>
            </c:numRef>
          </c:val>
          <c:smooth val="0"/>
        </c:ser>
        <c:dLbls>
          <c:dLblPos val="t"/>
          <c:showLegendKey val="0"/>
          <c:showVal val="1"/>
          <c:showCatName val="0"/>
          <c:showSerName val="0"/>
          <c:showPercent val="0"/>
          <c:showBubbleSize val="0"/>
        </c:dLbls>
        <c:marker val="1"/>
        <c:smooth val="0"/>
        <c:axId val="239796992"/>
        <c:axId val="239799680"/>
      </c:lineChart>
      <c:catAx>
        <c:axId val="23979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799680"/>
        <c:crosses val="autoZero"/>
        <c:auto val="1"/>
        <c:lblAlgn val="ctr"/>
        <c:lblOffset val="100"/>
        <c:noMultiLvlLbl val="0"/>
      </c:catAx>
      <c:valAx>
        <c:axId val="239799680"/>
        <c:scaling>
          <c:orientation val="minMax"/>
        </c:scaling>
        <c:delete val="1"/>
        <c:axPos val="l"/>
        <c:numFmt formatCode="0.0%" sourceLinked="1"/>
        <c:majorTickMark val="none"/>
        <c:minorTickMark val="none"/>
        <c:tickLblPos val="nextTo"/>
        <c:crossAx val="23979699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Historical Close Price of GP (2013-2017)</a:t>
            </a:r>
          </a:p>
        </c:rich>
      </c:tx>
      <c:overlay val="0"/>
      <c:spPr>
        <a:noFill/>
        <a:ln>
          <a:noFill/>
        </a:ln>
        <a:effectLst/>
      </c:spPr>
    </c:title>
    <c:autoTitleDeleted val="0"/>
    <c:plotArea>
      <c:layout/>
      <c:areaChart>
        <c:grouping val="stacked"/>
        <c:varyColors val="0"/>
        <c:ser>
          <c:idx val="0"/>
          <c:order val="0"/>
          <c:tx>
            <c:strRef>
              <c:f>Sheet4!$B$1</c:f>
              <c:strCache>
                <c:ptCount val="1"/>
                <c:pt idx="0">
                  <c:v>Close Price of GP</c:v>
                </c:pt>
              </c:strCache>
            </c:strRef>
          </c:tx>
          <c:spPr>
            <a:solidFill>
              <a:schemeClr val="accent1"/>
            </a:solidFill>
            <a:ln>
              <a:noFill/>
            </a:ln>
            <a:effectLst/>
          </c:spPr>
          <c:cat>
            <c:numRef>
              <c:f>Sheet4!$A$2:$A$61</c:f>
              <c:numCache>
                <c:formatCode>m/d/yyyy</c:formatCode>
                <c:ptCount val="60"/>
                <c:pt idx="0">
                  <c:v>41305</c:v>
                </c:pt>
                <c:pt idx="1">
                  <c:v>41333</c:v>
                </c:pt>
                <c:pt idx="2">
                  <c:v>41364</c:v>
                </c:pt>
                <c:pt idx="3">
                  <c:v>41394</c:v>
                </c:pt>
                <c:pt idx="4">
                  <c:v>41424</c:v>
                </c:pt>
                <c:pt idx="5">
                  <c:v>41455</c:v>
                </c:pt>
                <c:pt idx="6">
                  <c:v>41486</c:v>
                </c:pt>
                <c:pt idx="7">
                  <c:v>41515</c:v>
                </c:pt>
                <c:pt idx="8">
                  <c:v>41547</c:v>
                </c:pt>
                <c:pt idx="9">
                  <c:v>41578</c:v>
                </c:pt>
                <c:pt idx="10">
                  <c:v>41606</c:v>
                </c:pt>
                <c:pt idx="11">
                  <c:v>41638</c:v>
                </c:pt>
                <c:pt idx="12">
                  <c:v>41669</c:v>
                </c:pt>
                <c:pt idx="13">
                  <c:v>41697</c:v>
                </c:pt>
                <c:pt idx="14">
                  <c:v>41729</c:v>
                </c:pt>
                <c:pt idx="15">
                  <c:v>41759</c:v>
                </c:pt>
                <c:pt idx="16">
                  <c:v>41788</c:v>
                </c:pt>
                <c:pt idx="17">
                  <c:v>41820</c:v>
                </c:pt>
                <c:pt idx="18">
                  <c:v>41844</c:v>
                </c:pt>
                <c:pt idx="19">
                  <c:v>41882</c:v>
                </c:pt>
                <c:pt idx="20">
                  <c:v>41912</c:v>
                </c:pt>
                <c:pt idx="21">
                  <c:v>41942</c:v>
                </c:pt>
                <c:pt idx="22">
                  <c:v>41973</c:v>
                </c:pt>
                <c:pt idx="23">
                  <c:v>42003</c:v>
                </c:pt>
                <c:pt idx="24">
                  <c:v>42033</c:v>
                </c:pt>
                <c:pt idx="25">
                  <c:v>42061</c:v>
                </c:pt>
                <c:pt idx="26">
                  <c:v>42094</c:v>
                </c:pt>
                <c:pt idx="27">
                  <c:v>42124</c:v>
                </c:pt>
                <c:pt idx="28">
                  <c:v>42155</c:v>
                </c:pt>
                <c:pt idx="29">
                  <c:v>42185</c:v>
                </c:pt>
                <c:pt idx="30">
                  <c:v>42215</c:v>
                </c:pt>
                <c:pt idx="31">
                  <c:v>42247</c:v>
                </c:pt>
                <c:pt idx="32">
                  <c:v>42277</c:v>
                </c:pt>
                <c:pt idx="33">
                  <c:v>42306</c:v>
                </c:pt>
                <c:pt idx="34">
                  <c:v>42338</c:v>
                </c:pt>
                <c:pt idx="35">
                  <c:v>42369</c:v>
                </c:pt>
                <c:pt idx="36">
                  <c:v>42400</c:v>
                </c:pt>
                <c:pt idx="37">
                  <c:v>42429</c:v>
                </c:pt>
                <c:pt idx="38">
                  <c:v>42460</c:v>
                </c:pt>
                <c:pt idx="39">
                  <c:v>42488</c:v>
                </c:pt>
                <c:pt idx="40">
                  <c:v>42521</c:v>
                </c:pt>
                <c:pt idx="41">
                  <c:v>42551</c:v>
                </c:pt>
                <c:pt idx="42">
                  <c:v>42582</c:v>
                </c:pt>
                <c:pt idx="43">
                  <c:v>42613</c:v>
                </c:pt>
                <c:pt idx="44">
                  <c:v>42642</c:v>
                </c:pt>
                <c:pt idx="45">
                  <c:v>42674</c:v>
                </c:pt>
                <c:pt idx="46">
                  <c:v>42704</c:v>
                </c:pt>
                <c:pt idx="47">
                  <c:v>42733</c:v>
                </c:pt>
                <c:pt idx="48">
                  <c:v>42766</c:v>
                </c:pt>
                <c:pt idx="49">
                  <c:v>42794</c:v>
                </c:pt>
                <c:pt idx="50">
                  <c:v>42824</c:v>
                </c:pt>
                <c:pt idx="51">
                  <c:v>42855</c:v>
                </c:pt>
                <c:pt idx="52">
                  <c:v>42886</c:v>
                </c:pt>
                <c:pt idx="53">
                  <c:v>42915</c:v>
                </c:pt>
                <c:pt idx="54">
                  <c:v>42947</c:v>
                </c:pt>
                <c:pt idx="55">
                  <c:v>42978</c:v>
                </c:pt>
                <c:pt idx="56">
                  <c:v>43006</c:v>
                </c:pt>
                <c:pt idx="57">
                  <c:v>43039</c:v>
                </c:pt>
                <c:pt idx="58">
                  <c:v>43069</c:v>
                </c:pt>
                <c:pt idx="59">
                  <c:v>43097</c:v>
                </c:pt>
              </c:numCache>
            </c:numRef>
          </c:cat>
          <c:val>
            <c:numRef>
              <c:f>Sheet4!$B$2:$B$61</c:f>
              <c:numCache>
                <c:formatCode>General</c:formatCode>
                <c:ptCount val="60"/>
                <c:pt idx="0">
                  <c:v>138.69999999999999</c:v>
                </c:pt>
                <c:pt idx="1">
                  <c:v>117.6</c:v>
                </c:pt>
                <c:pt idx="2">
                  <c:v>117.4</c:v>
                </c:pt>
                <c:pt idx="3">
                  <c:v>114.3</c:v>
                </c:pt>
                <c:pt idx="4">
                  <c:v>144.19999999999999</c:v>
                </c:pt>
                <c:pt idx="5">
                  <c:v>149.4</c:v>
                </c:pt>
                <c:pt idx="6">
                  <c:v>154.69999999999999</c:v>
                </c:pt>
                <c:pt idx="7">
                  <c:v>183.8</c:v>
                </c:pt>
                <c:pt idx="8">
                  <c:v>159.9</c:v>
                </c:pt>
                <c:pt idx="9">
                  <c:v>162.5</c:v>
                </c:pt>
                <c:pt idx="10">
                  <c:v>173.7</c:v>
                </c:pt>
                <c:pt idx="11">
                  <c:v>171.4</c:v>
                </c:pt>
                <c:pt idx="12">
                  <c:v>182.8</c:v>
                </c:pt>
                <c:pt idx="13">
                  <c:v>184.5</c:v>
                </c:pt>
                <c:pt idx="14">
                  <c:v>184.3</c:v>
                </c:pt>
                <c:pt idx="15">
                  <c:v>239.4</c:v>
                </c:pt>
                <c:pt idx="16">
                  <c:v>236.8</c:v>
                </c:pt>
                <c:pt idx="17">
                  <c:v>271.8</c:v>
                </c:pt>
                <c:pt idx="18">
                  <c:v>278</c:v>
                </c:pt>
                <c:pt idx="19">
                  <c:v>294.2</c:v>
                </c:pt>
                <c:pt idx="20">
                  <c:v>351.8</c:v>
                </c:pt>
                <c:pt idx="21">
                  <c:v>345</c:v>
                </c:pt>
                <c:pt idx="22">
                  <c:v>289.5</c:v>
                </c:pt>
                <c:pt idx="23">
                  <c:v>332.4</c:v>
                </c:pt>
                <c:pt idx="24">
                  <c:v>299.8</c:v>
                </c:pt>
                <c:pt idx="25">
                  <c:v>305.8</c:v>
                </c:pt>
                <c:pt idx="26">
                  <c:v>328.7</c:v>
                </c:pt>
                <c:pt idx="27">
                  <c:v>294.2</c:v>
                </c:pt>
                <c:pt idx="28">
                  <c:v>294</c:v>
                </c:pt>
                <c:pt idx="29">
                  <c:v>300.2</c:v>
                </c:pt>
                <c:pt idx="30">
                  <c:v>301</c:v>
                </c:pt>
                <c:pt idx="31">
                  <c:v>287.2</c:v>
                </c:pt>
                <c:pt idx="32">
                  <c:v>255.6</c:v>
                </c:pt>
                <c:pt idx="33">
                  <c:v>219.1</c:v>
                </c:pt>
                <c:pt idx="34">
                  <c:v>236</c:v>
                </c:pt>
                <c:pt idx="35">
                  <c:v>223.5</c:v>
                </c:pt>
                <c:pt idx="36">
                  <c:v>227.2</c:v>
                </c:pt>
                <c:pt idx="37">
                  <c:v>237.6</c:v>
                </c:pt>
                <c:pt idx="38">
                  <c:v>197.3</c:v>
                </c:pt>
                <c:pt idx="39">
                  <c:v>216.9</c:v>
                </c:pt>
                <c:pt idx="40">
                  <c:v>225.6</c:v>
                </c:pt>
                <c:pt idx="41">
                  <c:v>225.2</c:v>
                </c:pt>
                <c:pt idx="42">
                  <c:v>246.9</c:v>
                </c:pt>
                <c:pt idx="43">
                  <c:v>234.4</c:v>
                </c:pt>
                <c:pt idx="44">
                  <c:v>240.3</c:v>
                </c:pt>
                <c:pt idx="45">
                  <c:v>243.7</c:v>
                </c:pt>
                <c:pt idx="46">
                  <c:v>253.9</c:v>
                </c:pt>
                <c:pt idx="47">
                  <c:v>254.6</c:v>
                </c:pt>
                <c:pt idx="48">
                  <c:v>272.10000000000002</c:v>
                </c:pt>
                <c:pt idx="49">
                  <c:v>288.5</c:v>
                </c:pt>
                <c:pt idx="50">
                  <c:v>311.60000000000002</c:v>
                </c:pt>
                <c:pt idx="51">
                  <c:v>317.10000000000002</c:v>
                </c:pt>
                <c:pt idx="52">
                  <c:v>308.2</c:v>
                </c:pt>
                <c:pt idx="53">
                  <c:v>323.89999999999998</c:v>
                </c:pt>
                <c:pt idx="54">
                  <c:v>359</c:v>
                </c:pt>
                <c:pt idx="55">
                  <c:v>379.6</c:v>
                </c:pt>
                <c:pt idx="56">
                  <c:v>405.3</c:v>
                </c:pt>
                <c:pt idx="57">
                  <c:v>428.3</c:v>
                </c:pt>
                <c:pt idx="58">
                  <c:v>461.4</c:v>
                </c:pt>
                <c:pt idx="59">
                  <c:v>460.8</c:v>
                </c:pt>
              </c:numCache>
            </c:numRef>
          </c:val>
        </c:ser>
        <c:dLbls>
          <c:showLegendKey val="0"/>
          <c:showVal val="0"/>
          <c:showCatName val="0"/>
          <c:showSerName val="0"/>
          <c:showPercent val="0"/>
          <c:showBubbleSize val="0"/>
        </c:dLbls>
        <c:axId val="239807488"/>
        <c:axId val="239903488"/>
      </c:areaChart>
      <c:dateAx>
        <c:axId val="23980748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903488"/>
        <c:crosses val="autoZero"/>
        <c:auto val="1"/>
        <c:lblOffset val="100"/>
        <c:baseTimeUnit val="days"/>
      </c:dateAx>
      <c:valAx>
        <c:axId val="239903488"/>
        <c:scaling>
          <c:orientation val="minMax"/>
        </c:scaling>
        <c:delete val="0"/>
        <c:axPos val="l"/>
        <c:majorGridlines>
          <c:spPr>
            <a:ln w="1587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807488"/>
        <c:crosses val="autoZero"/>
        <c:crossBetween val="midCat"/>
      </c:valAx>
      <c:spPr>
        <a:noFill/>
        <a:ln>
          <a:noFill/>
        </a:ln>
        <a:effectLst/>
      </c:spPr>
    </c:plotArea>
    <c:plotVisOnly val="1"/>
    <c:dispBlanksAs val="zero"/>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0"/>
              <a:t>Number of Subscriber (million)</a:t>
            </a:r>
          </a:p>
        </c:rich>
      </c:tx>
      <c:overlay val="0"/>
      <c:spPr>
        <a:noFill/>
        <a:ln>
          <a:noFill/>
        </a:ln>
        <a:effectLst/>
      </c:spPr>
    </c:title>
    <c:autoTitleDeleted val="0"/>
    <c:plotArea>
      <c:layout>
        <c:manualLayout>
          <c:layoutTarget val="inner"/>
          <c:xMode val="edge"/>
          <c:yMode val="edge"/>
          <c:x val="6.4976364417705199E-2"/>
          <c:y val="0.31041554369462204"/>
          <c:w val="0.8630936388645446"/>
          <c:h val="0.53845549507653823"/>
        </c:manualLayout>
      </c:layout>
      <c:scatterChart>
        <c:scatterStyle val="smoothMarker"/>
        <c:varyColors val="0"/>
        <c:ser>
          <c:idx val="0"/>
          <c:order val="0"/>
          <c:tx>
            <c:strRef>
              <c:f>Sheet1!$A$33</c:f>
              <c:strCache>
                <c:ptCount val="1"/>
                <c:pt idx="0">
                  <c:v>Mobile internet total(BTRC) (mn)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Sheet1!$B$32:$G$32</c:f>
              <c:numCache>
                <c:formatCode>General</c:formatCode>
                <c:ptCount val="6"/>
                <c:pt idx="0">
                  <c:v>2012</c:v>
                </c:pt>
                <c:pt idx="1">
                  <c:v>2013</c:v>
                </c:pt>
                <c:pt idx="2">
                  <c:v>2014</c:v>
                </c:pt>
                <c:pt idx="3">
                  <c:v>2015</c:v>
                </c:pt>
                <c:pt idx="4">
                  <c:v>2016</c:v>
                </c:pt>
                <c:pt idx="5">
                  <c:v>2017</c:v>
                </c:pt>
              </c:numCache>
            </c:numRef>
          </c:xVal>
          <c:yVal>
            <c:numRef>
              <c:f>Sheet1!$B$33:$G$33</c:f>
              <c:numCache>
                <c:formatCode>0.00</c:formatCode>
                <c:ptCount val="6"/>
                <c:pt idx="0">
                  <c:v>28.799419</c:v>
                </c:pt>
                <c:pt idx="1">
                  <c:v>34.249730999999997</c:v>
                </c:pt>
                <c:pt idx="2">
                  <c:v>42.173999999999999</c:v>
                </c:pt>
                <c:pt idx="3">
                  <c:v>51.453000000000003</c:v>
                </c:pt>
                <c:pt idx="4">
                  <c:v>62.71</c:v>
                </c:pt>
                <c:pt idx="5">
                  <c:v>75.05</c:v>
                </c:pt>
              </c:numCache>
            </c:numRef>
          </c:yVal>
          <c:smooth val="1"/>
        </c:ser>
        <c:ser>
          <c:idx val="1"/>
          <c:order val="1"/>
          <c:tx>
            <c:strRef>
              <c:f>Sheet1!$A$34</c:f>
              <c:strCache>
                <c:ptCount val="1"/>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Sheet1!$B$32:$G$32</c:f>
              <c:numCache>
                <c:formatCode>General</c:formatCode>
                <c:ptCount val="6"/>
                <c:pt idx="0">
                  <c:v>2012</c:v>
                </c:pt>
                <c:pt idx="1">
                  <c:v>2013</c:v>
                </c:pt>
                <c:pt idx="2">
                  <c:v>2014</c:v>
                </c:pt>
                <c:pt idx="3">
                  <c:v>2015</c:v>
                </c:pt>
                <c:pt idx="4">
                  <c:v>2016</c:v>
                </c:pt>
                <c:pt idx="5">
                  <c:v>2017</c:v>
                </c:pt>
              </c:numCache>
            </c:numRef>
          </c:xVal>
          <c:yVal>
            <c:numRef>
              <c:f>Sheet1!$B$34:$G$34</c:f>
              <c:numCache>
                <c:formatCode>General</c:formatCode>
                <c:ptCount val="6"/>
              </c:numCache>
            </c:numRef>
          </c:yVal>
          <c:smooth val="1"/>
        </c:ser>
        <c:ser>
          <c:idx val="2"/>
          <c:order val="2"/>
          <c:tx>
            <c:strRef>
              <c:f>Sheet1!$A$35</c:f>
              <c:strCache>
                <c:ptCount val="1"/>
                <c:pt idx="0">
                  <c:v>Mobile Phone Subscriber(mn)</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Sheet1!$B$32:$G$32</c:f>
              <c:numCache>
                <c:formatCode>General</c:formatCode>
                <c:ptCount val="6"/>
                <c:pt idx="0">
                  <c:v>2012</c:v>
                </c:pt>
                <c:pt idx="1">
                  <c:v>2013</c:v>
                </c:pt>
                <c:pt idx="2">
                  <c:v>2014</c:v>
                </c:pt>
                <c:pt idx="3">
                  <c:v>2015</c:v>
                </c:pt>
                <c:pt idx="4">
                  <c:v>2016</c:v>
                </c:pt>
                <c:pt idx="5">
                  <c:v>2017</c:v>
                </c:pt>
              </c:numCache>
            </c:numRef>
          </c:xVal>
          <c:yVal>
            <c:numRef>
              <c:f>Sheet1!$B$35:$G$35</c:f>
              <c:numCache>
                <c:formatCode>0.00</c:formatCode>
                <c:ptCount val="6"/>
                <c:pt idx="0">
                  <c:v>97.18</c:v>
                </c:pt>
                <c:pt idx="1">
                  <c:v>113.78400000000001</c:v>
                </c:pt>
                <c:pt idx="2">
                  <c:v>120.35</c:v>
                </c:pt>
                <c:pt idx="3">
                  <c:v>133.72</c:v>
                </c:pt>
                <c:pt idx="4">
                  <c:v>126.39100000000001</c:v>
                </c:pt>
                <c:pt idx="5">
                  <c:v>145.114</c:v>
                </c:pt>
              </c:numCache>
            </c:numRef>
          </c:yVal>
          <c:smooth val="1"/>
        </c:ser>
        <c:dLbls>
          <c:dLblPos val="t"/>
          <c:showLegendKey val="0"/>
          <c:showVal val="1"/>
          <c:showCatName val="0"/>
          <c:showSerName val="0"/>
          <c:showPercent val="0"/>
          <c:showBubbleSize val="0"/>
        </c:dLbls>
        <c:axId val="139958528"/>
        <c:axId val="139960704"/>
      </c:scatterChart>
      <c:valAx>
        <c:axId val="139958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60704"/>
        <c:crosses val="autoZero"/>
        <c:crossBetween val="midCat"/>
      </c:valAx>
      <c:valAx>
        <c:axId val="139960704"/>
        <c:scaling>
          <c:orientation val="minMax"/>
        </c:scaling>
        <c:delete val="1"/>
        <c:axPos val="l"/>
        <c:majorGridlines>
          <c:spPr>
            <a:ln w="9525" cap="flat" cmpd="sng" algn="ctr">
              <a:solidFill>
                <a:schemeClr val="bg1"/>
              </a:solidFill>
              <a:round/>
            </a:ln>
            <a:effectLst/>
          </c:spPr>
        </c:majorGridlines>
        <c:numFmt formatCode="0.00" sourceLinked="1"/>
        <c:majorTickMark val="none"/>
        <c:minorTickMark val="none"/>
        <c:tickLblPos val="nextTo"/>
        <c:crossAx val="139958528"/>
        <c:crosses val="autoZero"/>
        <c:crossBetween val="midCat"/>
      </c:valAx>
      <c:spPr>
        <a:noFill/>
        <a:ln>
          <a:noFill/>
        </a:ln>
        <a:effectLst/>
      </c:spPr>
    </c:plotArea>
    <c:legend>
      <c:legendPos val="b"/>
      <c:legendEntry>
        <c:idx val="0"/>
        <c:txPr>
          <a:bodyPr rot="0" spcFirstLastPara="1" vertOverflow="ellipsis" vert="horz" wrap="square" anchor="ctr" anchorCtr="1"/>
          <a:lstStyle/>
          <a:p>
            <a:pPr>
              <a:defRPr sz="900" b="1" i="0" u="none" strike="noStrike" kern="1200" baseline="0">
                <a:ln>
                  <a:noFill/>
                </a:ln>
                <a:solidFill>
                  <a:schemeClr val="tx1">
                    <a:lumMod val="50000"/>
                    <a:lumOff val="50000"/>
                  </a:schemeClr>
                </a:solidFill>
                <a:latin typeface="+mn-lt"/>
                <a:ea typeface="+mn-ea"/>
                <a:cs typeface="+mn-cs"/>
              </a:defRPr>
            </a:pPr>
            <a:endParaRPr lang="en-US"/>
          </a:p>
        </c:txPr>
      </c:legendEntry>
      <c:legendEntry>
        <c:idx val="1"/>
        <c:delete val="1"/>
      </c:legendEntry>
      <c:legendEntry>
        <c:idx val="2"/>
        <c:txPr>
          <a:bodyPr rot="0" spcFirstLastPara="1" vertOverflow="ellipsis" vert="horz" wrap="square" anchor="ctr" anchorCtr="1"/>
          <a:lstStyle/>
          <a:p>
            <a:pPr>
              <a:defRPr sz="900" b="1" i="0" u="none" strike="noStrike" kern="1200" baseline="0">
                <a:ln>
                  <a:noFill/>
                </a:ln>
                <a:solidFill>
                  <a:schemeClr val="tx1">
                    <a:lumMod val="50000"/>
                    <a:lumOff val="50000"/>
                  </a:schemeClr>
                </a:solidFill>
                <a:latin typeface="+mn-lt"/>
                <a:ea typeface="+mn-ea"/>
                <a:cs typeface="+mn-cs"/>
              </a:defRPr>
            </a:pPr>
            <a:endParaRPr lang="en-US"/>
          </a:p>
        </c:txPr>
      </c:legendEntry>
      <c:layout>
        <c:manualLayout>
          <c:xMode val="edge"/>
          <c:yMode val="edge"/>
          <c:x val="7.6780958890667245E-2"/>
          <c:y val="0.11442125103489581"/>
          <c:w val="0.9"/>
          <c:h val="0.13453363631559481"/>
        </c:manualLayout>
      </c:layout>
      <c:overlay val="0"/>
      <c:spPr>
        <a:noFill/>
        <a:ln>
          <a:noFill/>
        </a:ln>
        <a:effectLst/>
      </c:spPr>
      <c:txPr>
        <a:bodyPr rot="0" spcFirstLastPara="1" vertOverflow="ellipsis" vert="horz" wrap="square" anchor="ctr" anchorCtr="1"/>
        <a:lstStyle/>
        <a:p>
          <a:pPr>
            <a:defRPr sz="900" b="1" i="0" u="none" strike="noStrike" kern="1200" baseline="0">
              <a:ln>
                <a:noFill/>
              </a:ln>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50000"/>
                    <a:lumOff val="50000"/>
                  </a:schemeClr>
                </a:solidFill>
                <a:latin typeface="+mn-lt"/>
                <a:ea typeface="+mn-ea"/>
                <a:cs typeface="+mn-cs"/>
              </a:defRPr>
            </a:pPr>
            <a:r>
              <a:rPr lang="en-US" sz="1200">
                <a:solidFill>
                  <a:schemeClr val="tx1">
                    <a:lumMod val="50000"/>
                    <a:lumOff val="50000"/>
                  </a:schemeClr>
                </a:solidFill>
              </a:rPr>
              <a:t>Age distribution</a:t>
            </a:r>
          </a:p>
        </c:rich>
      </c:tx>
      <c:overlay val="0"/>
      <c:spPr>
        <a:noFill/>
        <a:ln>
          <a:noFill/>
        </a:ln>
        <a:effectLst/>
      </c:spPr>
    </c:title>
    <c:autoTitleDeleted val="0"/>
    <c:plotArea>
      <c:layout>
        <c:manualLayout>
          <c:layoutTarget val="inner"/>
          <c:xMode val="edge"/>
          <c:yMode val="edge"/>
          <c:x val="8.0335157412082595E-2"/>
          <c:y val="0.19393464052287582"/>
          <c:w val="0.89424600954343447"/>
          <c:h val="0.58997766455663625"/>
        </c:manualLayout>
      </c:layout>
      <c:barChart>
        <c:barDir val="col"/>
        <c:grouping val="stacked"/>
        <c:varyColors val="0"/>
        <c:ser>
          <c:idx val="0"/>
          <c:order val="0"/>
          <c:tx>
            <c:strRef>
              <c:f>Sheet1!$A$1</c:f>
              <c:strCache>
                <c:ptCount val="1"/>
                <c:pt idx="0">
                  <c:v>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0-14 Years</c:v>
                </c:pt>
                <c:pt idx="1">
                  <c:v>15-24 Years</c:v>
                </c:pt>
                <c:pt idx="2">
                  <c:v>25-54 Years</c:v>
                </c:pt>
                <c:pt idx="3">
                  <c:v>55-64 Years</c:v>
                </c:pt>
                <c:pt idx="4">
                  <c:v>65 Years</c:v>
                </c:pt>
              </c:strCache>
            </c:strRef>
          </c:cat>
          <c:val>
            <c:numRef>
              <c:f>Sheet1!$B$2:$B$6</c:f>
              <c:numCache>
                <c:formatCode>0.00%</c:formatCode>
                <c:ptCount val="5"/>
                <c:pt idx="0">
                  <c:v>0.27760000000000001</c:v>
                </c:pt>
                <c:pt idx="1">
                  <c:v>0.19359999999999999</c:v>
                </c:pt>
                <c:pt idx="2">
                  <c:v>0.39729999999999999</c:v>
                </c:pt>
                <c:pt idx="3">
                  <c:v>6.93E-2</c:v>
                </c:pt>
                <c:pt idx="4">
                  <c:v>6.2300000000000001E-2</c:v>
                </c:pt>
              </c:numCache>
            </c:numRef>
          </c:val>
        </c:ser>
        <c:dLbls>
          <c:dLblPos val="ctr"/>
          <c:showLegendKey val="0"/>
          <c:showVal val="1"/>
          <c:showCatName val="0"/>
          <c:showSerName val="0"/>
          <c:showPercent val="0"/>
          <c:showBubbleSize val="0"/>
        </c:dLbls>
        <c:gapWidth val="79"/>
        <c:overlap val="100"/>
        <c:axId val="206167040"/>
        <c:axId val="207284480"/>
      </c:barChart>
      <c:catAx>
        <c:axId val="2061670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tx1">
                        <a:lumMod val="65000"/>
                        <a:lumOff val="35000"/>
                      </a:schemeClr>
                    </a:solidFill>
                    <a:latin typeface="+mn-lt"/>
                    <a:ea typeface="+mn-ea"/>
                    <a:cs typeface="+mn-cs"/>
                  </a:defRPr>
                </a:pPr>
                <a:r>
                  <a:rPr lang="en-US" sz="800" b="1" i="1"/>
                  <a:t>source: Central intelligence Agency ,</a:t>
                </a:r>
                <a:r>
                  <a:rPr lang="en-US" sz="800" b="1" i="1" baseline="0"/>
                  <a:t> the world factbook </a:t>
                </a:r>
                <a:endParaRPr lang="en-US" sz="800" b="1" i="1"/>
              </a:p>
            </c:rich>
          </c:tx>
          <c:layout>
            <c:manualLayout>
              <c:xMode val="edge"/>
              <c:yMode val="edge"/>
              <c:x val="0.14130066110483608"/>
              <c:y val="0.8944337100851323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07284480"/>
        <c:crosses val="autoZero"/>
        <c:auto val="1"/>
        <c:lblAlgn val="ctr"/>
        <c:lblOffset val="100"/>
        <c:noMultiLvlLbl val="0"/>
      </c:catAx>
      <c:valAx>
        <c:axId val="207284480"/>
        <c:scaling>
          <c:orientation val="minMax"/>
        </c:scaling>
        <c:delete val="1"/>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mn-lt"/>
                    <a:ea typeface="+mn-ea"/>
                    <a:cs typeface="+mn-cs"/>
                  </a:defRPr>
                </a:pPr>
                <a:r>
                  <a:rPr lang="en-US" sz="800"/>
                  <a:t>Percentage of Total Population</a:t>
                </a:r>
              </a:p>
            </c:rich>
          </c:tx>
          <c:layout>
            <c:manualLayout>
              <c:xMode val="edge"/>
              <c:yMode val="edge"/>
              <c:x val="2.5418833044482957E-2"/>
              <c:y val="0.19393464052287585"/>
            </c:manualLayout>
          </c:layout>
          <c:overlay val="0"/>
          <c:spPr>
            <a:noFill/>
            <a:ln>
              <a:noFill/>
            </a:ln>
            <a:effectLst/>
          </c:spPr>
        </c:title>
        <c:numFmt formatCode="0.00%" sourceLinked="1"/>
        <c:majorTickMark val="none"/>
        <c:minorTickMark val="none"/>
        <c:tickLblPos val="nextTo"/>
        <c:crossAx val="20616704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en-US" b="0" cap="none" spc="0">
                <a:ln w="0"/>
                <a:solidFill>
                  <a:schemeClr val="tx1"/>
                </a:solidFill>
                <a:effectLst>
                  <a:outerShdw blurRad="38100" dist="19050" dir="2700000" algn="tl" rotWithShape="0">
                    <a:schemeClr val="dk1">
                      <a:alpha val="40000"/>
                    </a:schemeClr>
                  </a:outerShdw>
                </a:effectLst>
              </a:rPr>
              <a:t>Subscriber</a:t>
            </a:r>
            <a:r>
              <a:rPr lang="en-US" b="0" cap="none" spc="0" baseline="0">
                <a:ln w="0"/>
                <a:solidFill>
                  <a:schemeClr val="tx1"/>
                </a:solidFill>
                <a:effectLst>
                  <a:outerShdw blurRad="38100" dist="19050" dir="2700000" algn="tl" rotWithShape="0">
                    <a:schemeClr val="dk1">
                      <a:alpha val="40000"/>
                    </a:schemeClr>
                  </a:outerShdw>
                </a:effectLst>
              </a:rPr>
              <a:t> in 2017</a:t>
            </a:r>
            <a:endParaRPr lang="en-US" b="0" cap="none" spc="0">
              <a:ln w="0"/>
              <a:solidFill>
                <a:schemeClr val="tx1"/>
              </a:solidFill>
              <a:effectLst>
                <a:outerShdw blurRad="38100" dist="19050" dir="2700000" algn="tl" rotWithShape="0">
                  <a:schemeClr val="dk1">
                    <a:alpha val="40000"/>
                  </a:schemeClr>
                </a:outerShdw>
              </a:effectLst>
            </a:endParaRPr>
          </a:p>
        </c:rich>
      </c:tx>
      <c:overlay val="0"/>
      <c:spPr>
        <a:noFill/>
        <a:ln>
          <a:noFill/>
        </a:ln>
        <a:effectLst/>
      </c:spPr>
    </c:title>
    <c:autoTitleDeleted val="0"/>
    <c:plotArea>
      <c:layout>
        <c:manualLayout>
          <c:layoutTarget val="inner"/>
          <c:xMode val="edge"/>
          <c:yMode val="edge"/>
          <c:x val="0.13259161523728452"/>
          <c:y val="0.20519350811485645"/>
          <c:w val="0.79905114563382285"/>
          <c:h val="0.42817187177445515"/>
        </c:manualLayout>
      </c:layout>
      <c:barChart>
        <c:barDir val="col"/>
        <c:grouping val="clustered"/>
        <c:varyColors val="0"/>
        <c:ser>
          <c:idx val="0"/>
          <c:order val="0"/>
          <c:tx>
            <c:strRef>
              <c:f>Sheet2!$J$4</c:f>
              <c:strCache>
                <c:ptCount val="1"/>
                <c:pt idx="0">
                  <c:v>Number of subscribers (millions)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Sheet2!$K$3:$N$3</c:f>
              <c:strCache>
                <c:ptCount val="4"/>
                <c:pt idx="0">
                  <c:v>Grameen Phone Ltd. (GP)</c:v>
                </c:pt>
                <c:pt idx="1">
                  <c:v>Robi Axiata </c:v>
                </c:pt>
                <c:pt idx="2">
                  <c:v>Banglalink </c:v>
                </c:pt>
                <c:pt idx="3">
                  <c:v>Teletalk</c:v>
                </c:pt>
              </c:strCache>
            </c:strRef>
          </c:cat>
          <c:val>
            <c:numRef>
              <c:f>Sheet2!$K$4:$N$4</c:f>
              <c:numCache>
                <c:formatCode>General</c:formatCode>
                <c:ptCount val="4"/>
                <c:pt idx="0">
                  <c:v>65.326999999999998</c:v>
                </c:pt>
                <c:pt idx="1">
                  <c:v>42.908000000000001</c:v>
                </c:pt>
                <c:pt idx="2">
                  <c:v>32.384</c:v>
                </c:pt>
                <c:pt idx="3">
                  <c:v>4.4939999999999998</c:v>
                </c:pt>
              </c:numCache>
            </c:numRef>
          </c:val>
        </c:ser>
        <c:dLbls>
          <c:showLegendKey val="0"/>
          <c:showVal val="1"/>
          <c:showCatName val="0"/>
          <c:showSerName val="0"/>
          <c:showPercent val="0"/>
          <c:showBubbleSize val="0"/>
        </c:dLbls>
        <c:gapWidth val="219"/>
        <c:axId val="136017792"/>
        <c:axId val="135822336"/>
      </c:barChart>
      <c:lineChart>
        <c:grouping val="standard"/>
        <c:varyColors val="0"/>
        <c:ser>
          <c:idx val="1"/>
          <c:order val="1"/>
          <c:tx>
            <c:strRef>
              <c:f>Sheet2!$J$5</c:f>
              <c:strCache>
                <c:ptCount val="1"/>
                <c:pt idx="0">
                  <c:v>Percentage of Total subscriber</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8.1081081081081086E-2"/>
                  <c:y val="0.2054203898669969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3888888888888939E-2"/>
                  <c:y val="0.1342592592592592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1111111111111109E-2"/>
                  <c:y val="0.12037037037037036"/>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2777777777777778E-2"/>
                  <c:y val="1.38888888888887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Sheet2!$K$3:$N$3</c:f>
              <c:strCache>
                <c:ptCount val="4"/>
                <c:pt idx="0">
                  <c:v>Grameen Phone Ltd. (GP)</c:v>
                </c:pt>
                <c:pt idx="1">
                  <c:v>Robi Axiata </c:v>
                </c:pt>
                <c:pt idx="2">
                  <c:v>Banglalink </c:v>
                </c:pt>
                <c:pt idx="3">
                  <c:v>Teletalk</c:v>
                </c:pt>
              </c:strCache>
            </c:strRef>
          </c:cat>
          <c:val>
            <c:numRef>
              <c:f>Sheet2!$K$5:$N$5</c:f>
              <c:numCache>
                <c:formatCode>0.00%</c:formatCode>
                <c:ptCount val="4"/>
                <c:pt idx="0">
                  <c:v>0.450180204392439</c:v>
                </c:pt>
                <c:pt idx="1">
                  <c:v>0.29568680958976801</c:v>
                </c:pt>
                <c:pt idx="2">
                  <c:v>0.2231640170074356</c:v>
                </c:pt>
                <c:pt idx="3">
                  <c:v>3.0968969010357443E-2</c:v>
                </c:pt>
              </c:numCache>
            </c:numRef>
          </c:val>
          <c:smooth val="0"/>
        </c:ser>
        <c:dLbls>
          <c:showLegendKey val="0"/>
          <c:showVal val="1"/>
          <c:showCatName val="0"/>
          <c:showSerName val="0"/>
          <c:showPercent val="0"/>
          <c:showBubbleSize val="0"/>
        </c:dLbls>
        <c:marker val="1"/>
        <c:smooth val="0"/>
        <c:axId val="136057984"/>
        <c:axId val="136019328"/>
      </c:lineChart>
      <c:valAx>
        <c:axId val="13582233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95000"/>
                  </a:schemeClr>
                </a:solidFill>
                <a:latin typeface="+mn-lt"/>
                <a:ea typeface="+mn-ea"/>
                <a:cs typeface="+mn-cs"/>
              </a:defRPr>
            </a:pPr>
            <a:endParaRPr lang="en-US"/>
          </a:p>
        </c:txPr>
        <c:crossAx val="136017792"/>
        <c:crosses val="max"/>
        <c:crossBetween val="between"/>
      </c:valAx>
      <c:catAx>
        <c:axId val="136017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5">
                    <a:lumMod val="75000"/>
                  </a:schemeClr>
                </a:solidFill>
                <a:latin typeface="+mn-lt"/>
                <a:ea typeface="+mn-ea"/>
                <a:cs typeface="+mn-cs"/>
              </a:defRPr>
            </a:pPr>
            <a:endParaRPr lang="en-US"/>
          </a:p>
        </c:txPr>
        <c:crossAx val="135822336"/>
        <c:crosses val="autoZero"/>
        <c:auto val="1"/>
        <c:lblAlgn val="ctr"/>
        <c:lblOffset val="100"/>
        <c:noMultiLvlLbl val="0"/>
      </c:catAx>
      <c:valAx>
        <c:axId val="136019328"/>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95000"/>
                  </a:schemeClr>
                </a:solidFill>
                <a:latin typeface="+mn-lt"/>
                <a:ea typeface="+mn-ea"/>
                <a:cs typeface="+mn-cs"/>
              </a:defRPr>
            </a:pPr>
            <a:endParaRPr lang="en-US"/>
          </a:p>
        </c:txPr>
        <c:crossAx val="136057984"/>
        <c:crosses val="autoZero"/>
        <c:crossBetween val="between"/>
      </c:valAx>
      <c:catAx>
        <c:axId val="136057984"/>
        <c:scaling>
          <c:orientation val="minMax"/>
        </c:scaling>
        <c:delete val="1"/>
        <c:axPos val="t"/>
        <c:numFmt formatCode="General" sourceLinked="1"/>
        <c:majorTickMark val="out"/>
        <c:minorTickMark val="none"/>
        <c:tickLblPos val="nextTo"/>
        <c:crossAx val="136019328"/>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a:t>Contribution</a:t>
            </a:r>
            <a:r>
              <a:rPr lang="en-US" sz="1400" baseline="0"/>
              <a:t> to total Revenue (2017)</a:t>
            </a:r>
            <a:endParaRPr lang="en-US" sz="1400"/>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Sheet2!$P$2:$P$6</c:f>
              <c:strCache>
                <c:ptCount val="5"/>
                <c:pt idx="0">
                  <c:v>Voice Traffic</c:v>
                </c:pt>
                <c:pt idx="1">
                  <c:v>Interconnection</c:v>
                </c:pt>
                <c:pt idx="2">
                  <c:v>Data and VAS</c:v>
                </c:pt>
                <c:pt idx="3">
                  <c:v>Customer Equipment</c:v>
                </c:pt>
                <c:pt idx="4">
                  <c:v>Other Revenue</c:v>
                </c:pt>
              </c:strCache>
            </c:strRef>
          </c:cat>
          <c:val>
            <c:numRef>
              <c:f>Sheet2!$U$2:$U$6</c:f>
              <c:numCache>
                <c:formatCode>0.00%</c:formatCode>
                <c:ptCount val="5"/>
                <c:pt idx="0">
                  <c:v>0.68400000000000005</c:v>
                </c:pt>
                <c:pt idx="1">
                  <c:v>7.0000000000000007E-2</c:v>
                </c:pt>
                <c:pt idx="2">
                  <c:v>0.246</c:v>
                </c:pt>
                <c:pt idx="3">
                  <c:v>1.9271353705127763E-2</c:v>
                </c:pt>
                <c:pt idx="4">
                  <c:v>1.7475662979797833E-2</c:v>
                </c:pt>
              </c:numCache>
            </c:numRef>
          </c:val>
        </c:ser>
        <c:dLbls>
          <c:showLegendKey val="0"/>
          <c:showVal val="1"/>
          <c:showCatName val="0"/>
          <c:showSerName val="0"/>
          <c:showPercent val="0"/>
          <c:showBubbleSize val="0"/>
        </c:dLbls>
        <c:gapWidth val="150"/>
        <c:axId val="139919744"/>
        <c:axId val="139922432"/>
      </c:barChart>
      <c:catAx>
        <c:axId val="139919744"/>
        <c:scaling>
          <c:orientation val="minMax"/>
        </c:scaling>
        <c:delete val="0"/>
        <c:axPos val="l"/>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139922432"/>
        <c:crosses val="autoZero"/>
        <c:auto val="1"/>
        <c:lblAlgn val="ctr"/>
        <c:lblOffset val="100"/>
        <c:noMultiLvlLbl val="0"/>
      </c:catAx>
      <c:valAx>
        <c:axId val="139922432"/>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crossAx val="139919744"/>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Subscriber</a:t>
            </a:r>
            <a:r>
              <a:rPr lang="en-US" sz="1200" baseline="0"/>
              <a:t> Penetration of GP</a:t>
            </a:r>
            <a:endParaRPr lang="en-US" sz="1200"/>
          </a:p>
        </c:rich>
      </c:tx>
      <c:overlay val="0"/>
      <c:spPr>
        <a:noFill/>
        <a:ln>
          <a:noFill/>
        </a:ln>
        <a:effectLst/>
      </c:spPr>
    </c:title>
    <c:autoTitleDeleted val="0"/>
    <c:plotArea>
      <c:layout>
        <c:manualLayout>
          <c:layoutTarget val="inner"/>
          <c:xMode val="edge"/>
          <c:yMode val="edge"/>
          <c:x val="0.32210596240841682"/>
          <c:y val="5.5975407183691081E-2"/>
          <c:w val="0.66337159662271128"/>
          <c:h val="0.48434505686789153"/>
        </c:manualLayout>
      </c:layout>
      <c:barChart>
        <c:barDir val="col"/>
        <c:grouping val="clustered"/>
        <c:varyColors val="0"/>
        <c:ser>
          <c:idx val="0"/>
          <c:order val="0"/>
          <c:tx>
            <c:strRef>
              <c:f>Sheet2!$F$39</c:f>
              <c:strCache>
                <c:ptCount val="1"/>
                <c:pt idx="0">
                  <c:v>Voice Subscriber</c:v>
                </c:pt>
              </c:strCache>
            </c:strRef>
          </c:tx>
          <c:spPr>
            <a:solidFill>
              <a:schemeClr val="accent1"/>
            </a:solidFill>
            <a:ln>
              <a:noFill/>
            </a:ln>
            <a:effectLst/>
          </c:spPr>
          <c:invertIfNegative val="0"/>
          <c:cat>
            <c:strRef>
              <c:f>Sheet2!$G$38:$P$38</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Sheet2!$G$39:$P$39</c:f>
              <c:numCache>
                <c:formatCode>0.00</c:formatCode>
                <c:ptCount val="10"/>
                <c:pt idx="0">
                  <c:v>47.11</c:v>
                </c:pt>
                <c:pt idx="1">
                  <c:v>51.503999999999998</c:v>
                </c:pt>
                <c:pt idx="2">
                  <c:v>56.679000000000002</c:v>
                </c:pt>
                <c:pt idx="3">
                  <c:v>57.954000000000001</c:v>
                </c:pt>
                <c:pt idx="4">
                  <c:v>65.326999999999998</c:v>
                </c:pt>
                <c:pt idx="5">
                  <c:v>68.700999999999993</c:v>
                </c:pt>
                <c:pt idx="6">
                  <c:v>70.76203000000001</c:v>
                </c:pt>
                <c:pt idx="7">
                  <c:v>74.469345050000001</c:v>
                </c:pt>
                <c:pt idx="8">
                  <c:v>76.703425401499999</c:v>
                </c:pt>
                <c:pt idx="9">
                  <c:v>79.004528163545004</c:v>
                </c:pt>
              </c:numCache>
            </c:numRef>
          </c:val>
        </c:ser>
        <c:ser>
          <c:idx val="1"/>
          <c:order val="1"/>
          <c:tx>
            <c:strRef>
              <c:f>Sheet2!$F$40</c:f>
              <c:strCache>
                <c:ptCount val="1"/>
                <c:pt idx="0">
                  <c:v>Mobile Internet subscriber</c:v>
                </c:pt>
              </c:strCache>
            </c:strRef>
          </c:tx>
          <c:spPr>
            <a:solidFill>
              <a:schemeClr val="accent2"/>
            </a:solidFill>
            <a:ln>
              <a:noFill/>
            </a:ln>
            <a:effectLst/>
          </c:spPr>
          <c:invertIfNegative val="0"/>
          <c:cat>
            <c:strRef>
              <c:f>Sheet2!$G$38:$P$38</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Sheet2!$G$40:$P$40</c:f>
              <c:numCache>
                <c:formatCode>0.00</c:formatCode>
                <c:ptCount val="10"/>
                <c:pt idx="0">
                  <c:v>4.5999999999999996</c:v>
                </c:pt>
                <c:pt idx="1">
                  <c:v>10.8</c:v>
                </c:pt>
                <c:pt idx="2">
                  <c:v>15.7</c:v>
                </c:pt>
                <c:pt idx="3">
                  <c:v>24.5</c:v>
                </c:pt>
                <c:pt idx="4">
                  <c:v>31.2</c:v>
                </c:pt>
                <c:pt idx="5">
                  <c:v>36.411529999999999</c:v>
                </c:pt>
                <c:pt idx="6">
                  <c:v>43.693835999999997</c:v>
                </c:pt>
                <c:pt idx="7">
                  <c:v>50.247911399999992</c:v>
                </c:pt>
                <c:pt idx="8">
                  <c:v>59.795014565999992</c:v>
                </c:pt>
                <c:pt idx="9">
                  <c:v>66.970416313919998</c:v>
                </c:pt>
              </c:numCache>
            </c:numRef>
          </c:val>
        </c:ser>
        <c:dLbls>
          <c:showLegendKey val="0"/>
          <c:showVal val="0"/>
          <c:showCatName val="0"/>
          <c:showSerName val="0"/>
          <c:showPercent val="0"/>
          <c:showBubbleSize val="0"/>
        </c:dLbls>
        <c:gapWidth val="219"/>
        <c:overlap val="-27"/>
        <c:axId val="63288832"/>
        <c:axId val="63290368"/>
      </c:barChart>
      <c:lineChart>
        <c:grouping val="stacked"/>
        <c:varyColors val="0"/>
        <c:ser>
          <c:idx val="2"/>
          <c:order val="2"/>
          <c:tx>
            <c:strRef>
              <c:f>Sheet2!$F$41</c:f>
              <c:strCache>
                <c:ptCount val="1"/>
                <c:pt idx="0">
                  <c:v>Data/Voice</c:v>
                </c:pt>
              </c:strCache>
            </c:strRef>
          </c:tx>
          <c:spPr>
            <a:ln w="28575" cap="rnd">
              <a:solidFill>
                <a:schemeClr val="accent3"/>
              </a:solidFill>
              <a:round/>
            </a:ln>
            <a:effectLst/>
          </c:spPr>
          <c:marker>
            <c:symbol val="none"/>
          </c:marker>
          <c:cat>
            <c:strRef>
              <c:f>Sheet2!$G$38:$P$38</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Sheet2!$G$41:$P$41</c:f>
              <c:numCache>
                <c:formatCode>0.00%</c:formatCode>
                <c:ptCount val="10"/>
                <c:pt idx="0">
                  <c:v>9.7643812354064954E-2</c:v>
                </c:pt>
                <c:pt idx="1">
                  <c:v>0.20969245107176143</c:v>
                </c:pt>
                <c:pt idx="2">
                  <c:v>0.27699853561283716</c:v>
                </c:pt>
                <c:pt idx="3">
                  <c:v>0.42274907685405666</c:v>
                </c:pt>
                <c:pt idx="4">
                  <c:v>0.47759731810736755</c:v>
                </c:pt>
                <c:pt idx="5">
                  <c:v>0.53</c:v>
                </c:pt>
                <c:pt idx="6">
                  <c:v>0.61747572815533969</c:v>
                </c:pt>
                <c:pt idx="7">
                  <c:v>0.67474625117573783</c:v>
                </c:pt>
                <c:pt idx="8">
                  <c:v>0.77956120281468744</c:v>
                </c:pt>
                <c:pt idx="9">
                  <c:v>0.84767820111888348</c:v>
                </c:pt>
              </c:numCache>
            </c:numRef>
          </c:val>
          <c:smooth val="0"/>
        </c:ser>
        <c:dLbls>
          <c:showLegendKey val="0"/>
          <c:showVal val="0"/>
          <c:showCatName val="0"/>
          <c:showSerName val="0"/>
          <c:showPercent val="0"/>
          <c:showBubbleSize val="0"/>
        </c:dLbls>
        <c:marker val="1"/>
        <c:smooth val="0"/>
        <c:axId val="63342848"/>
        <c:axId val="63341312"/>
      </c:lineChart>
      <c:catAx>
        <c:axId val="6328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90368"/>
        <c:crosses val="autoZero"/>
        <c:auto val="1"/>
        <c:lblAlgn val="ctr"/>
        <c:lblOffset val="100"/>
        <c:noMultiLvlLbl val="0"/>
      </c:catAx>
      <c:valAx>
        <c:axId val="63290368"/>
        <c:scaling>
          <c:orientation val="minMax"/>
        </c:scaling>
        <c:delete val="0"/>
        <c:axPos val="l"/>
        <c:numFmt formatCode="0.00"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900" b="0" i="0" u="none" strike="noStrike" kern="1200" baseline="0">
                <a:solidFill>
                  <a:schemeClr val="bg1">
                    <a:lumMod val="95000"/>
                  </a:schemeClr>
                </a:solidFill>
                <a:latin typeface="+mn-lt"/>
                <a:ea typeface="+mn-ea"/>
                <a:cs typeface="+mn-cs"/>
              </a:defRPr>
            </a:pPr>
            <a:endParaRPr lang="en-US"/>
          </a:p>
        </c:txPr>
        <c:crossAx val="63288832"/>
        <c:crosses val="autoZero"/>
        <c:crossBetween val="between"/>
      </c:valAx>
      <c:valAx>
        <c:axId val="63341312"/>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bg1">
                    <a:lumMod val="95000"/>
                  </a:schemeClr>
                </a:solidFill>
                <a:latin typeface="+mn-lt"/>
                <a:ea typeface="+mn-ea"/>
                <a:cs typeface="+mn-cs"/>
              </a:defRPr>
            </a:pPr>
            <a:endParaRPr lang="en-US"/>
          </a:p>
        </c:txPr>
        <c:crossAx val="63342848"/>
        <c:crosses val="max"/>
        <c:crossBetween val="between"/>
      </c:valAx>
      <c:catAx>
        <c:axId val="63342848"/>
        <c:scaling>
          <c:orientation val="minMax"/>
        </c:scaling>
        <c:delete val="1"/>
        <c:axPos val="b"/>
        <c:numFmt formatCode="General" sourceLinked="1"/>
        <c:majorTickMark val="out"/>
        <c:minorTickMark val="none"/>
        <c:tickLblPos val="nextTo"/>
        <c:crossAx val="63341312"/>
        <c:crosses val="autoZero"/>
        <c:auto val="1"/>
        <c:lblAlgn val="ctr"/>
        <c:lblOffset val="100"/>
        <c:noMultiLvlLbl val="0"/>
      </c:catAx>
      <c:dTable>
        <c:showHorzBorder val="0"/>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en-US"/>
          </a:p>
        </c:txPr>
      </c:dTable>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0" normalizeH="0" baseline="0">
                <a:solidFill>
                  <a:schemeClr val="tx1">
                    <a:lumMod val="65000"/>
                    <a:lumOff val="35000"/>
                  </a:schemeClr>
                </a:solidFill>
                <a:latin typeface="+mj-lt"/>
                <a:ea typeface="+mj-ea"/>
                <a:cs typeface="+mj-cs"/>
              </a:defRPr>
            </a:pPr>
            <a:r>
              <a:rPr lang="en-US" sz="1600"/>
              <a:t>Receivable Turnover</a:t>
            </a:r>
          </a:p>
        </c:rich>
      </c:tx>
      <c:overlay val="0"/>
      <c:spPr>
        <a:noFill/>
        <a:ln>
          <a:noFill/>
        </a:ln>
        <a:effectLst/>
      </c:spPr>
    </c:title>
    <c:autoTitleDeleted val="0"/>
    <c:plotArea>
      <c:layout>
        <c:manualLayout>
          <c:layoutTarget val="inner"/>
          <c:xMode val="edge"/>
          <c:yMode val="edge"/>
          <c:x val="0.10905314960629921"/>
          <c:y val="0.11773903478536224"/>
          <c:w val="0.82436592300962375"/>
          <c:h val="0.63866282637318017"/>
        </c:manualLayout>
      </c:layout>
      <c:barChart>
        <c:barDir val="col"/>
        <c:grouping val="clustered"/>
        <c:varyColors val="0"/>
        <c:ser>
          <c:idx val="0"/>
          <c:order val="0"/>
          <c:tx>
            <c:strRef>
              <c:f>Sheet3!$A$36</c:f>
              <c:strCache>
                <c:ptCount val="1"/>
                <c:pt idx="0">
                  <c:v>Receivables Turnover</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1">
                    <a:shade val="58000"/>
                  </a:schemeClr>
                </a:solidFill>
                <a:round/>
              </a:ln>
              <a:effectLst/>
            </c:spPr>
            <c:trendlineType val="linear"/>
            <c:dispRSqr val="0"/>
            <c:dispEq val="0"/>
          </c:trendline>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Sheet3!$B$36:$K$36</c:f>
              <c:numCache>
                <c:formatCode>0.00\x</c:formatCode>
                <c:ptCount val="10"/>
                <c:pt idx="0">
                  <c:v>8.1817847500642689</c:v>
                </c:pt>
                <c:pt idx="1">
                  <c:v>10.564729533901417</c:v>
                </c:pt>
                <c:pt idx="2">
                  <c:v>14.272933978547483</c:v>
                </c:pt>
                <c:pt idx="3">
                  <c:v>15.388868427649228</c:v>
                </c:pt>
                <c:pt idx="4">
                  <c:v>16.505837118935862</c:v>
                </c:pt>
                <c:pt idx="5">
                  <c:v>16.505837118935862</c:v>
                </c:pt>
                <c:pt idx="6">
                  <c:v>16.505837118935862</c:v>
                </c:pt>
                <c:pt idx="7">
                  <c:v>16.505837118935862</c:v>
                </c:pt>
                <c:pt idx="8">
                  <c:v>16.505837118935862</c:v>
                </c:pt>
                <c:pt idx="9">
                  <c:v>16.505837118935862</c:v>
                </c:pt>
              </c:numCache>
            </c:numRef>
          </c:val>
        </c:ser>
        <c:ser>
          <c:idx val="1"/>
          <c:order val="1"/>
          <c:tx>
            <c:strRef>
              <c:f>Sheet3!$A$37</c:f>
              <c:strCache>
                <c:ptCount val="1"/>
                <c:pt idx="0">
                  <c:v>Total Asset Turnover</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Sheet3!$B$37:$K$37</c:f>
            </c:numRef>
          </c:val>
        </c:ser>
        <c:ser>
          <c:idx val="2"/>
          <c:order val="2"/>
          <c:tx>
            <c:strRef>
              <c:f>Sheet3!$A$38</c:f>
              <c:strCache>
                <c:ptCount val="1"/>
                <c:pt idx="0">
                  <c:v>PPE Turnover</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Sheet3!$B$38:$K$38</c:f>
            </c:numRef>
          </c:val>
        </c:ser>
        <c:dLbls>
          <c:showLegendKey val="0"/>
          <c:showVal val="1"/>
          <c:showCatName val="0"/>
          <c:showSerName val="0"/>
          <c:showPercent val="0"/>
          <c:showBubbleSize val="0"/>
        </c:dLbls>
        <c:gapWidth val="269"/>
        <c:overlap val="-27"/>
        <c:axId val="140766208"/>
        <c:axId val="140763520"/>
      </c:barChart>
      <c:lineChart>
        <c:grouping val="standard"/>
        <c:varyColors val="0"/>
        <c:ser>
          <c:idx val="3"/>
          <c:order val="3"/>
          <c:tx>
            <c:strRef>
              <c:f>Sheet3!$A$39</c:f>
              <c:strCache>
                <c:ptCount val="1"/>
                <c:pt idx="0">
                  <c:v>Days Sales Outstanding</c:v>
                </c:pt>
              </c:strCache>
            </c:strRef>
          </c:tx>
          <c:spPr>
            <a:ln w="38100" cap="rnd">
              <a:solidFill>
                <a:schemeClr val="tx2">
                  <a:lumMod val="40000"/>
                  <a:lumOff val="60000"/>
                </a:schemeClr>
              </a:solidFill>
              <a:round/>
            </a:ln>
            <a:effectLst/>
          </c:spPr>
          <c:marker>
            <c:symbol val="circle"/>
            <c:size val="8"/>
            <c:spPr>
              <a:solidFill>
                <a:schemeClr val="accent1">
                  <a:tint val="58000"/>
                </a:schemeClr>
              </a:solidFill>
              <a:ln>
                <a:solidFill>
                  <a:schemeClr val="tx2">
                    <a:lumMod val="40000"/>
                    <a:lumOff val="6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Sheet3!$B$39:$K$39</c:f>
              <c:numCache>
                <c:formatCode>0</c:formatCode>
                <c:ptCount val="10"/>
                <c:pt idx="0">
                  <c:v>44.000179789277894</c:v>
                </c:pt>
                <c:pt idx="1">
                  <c:v>34.075647544481591</c:v>
                </c:pt>
                <c:pt idx="2">
                  <c:v>25.222564648662107</c:v>
                </c:pt>
                <c:pt idx="3">
                  <c:v>23.393532909358484</c:v>
                </c:pt>
                <c:pt idx="4">
                  <c:v>21.810466043373228</c:v>
                </c:pt>
                <c:pt idx="5">
                  <c:v>21.810466043373228</c:v>
                </c:pt>
                <c:pt idx="6">
                  <c:v>21.810466043373228</c:v>
                </c:pt>
                <c:pt idx="7">
                  <c:v>21.810466043373228</c:v>
                </c:pt>
                <c:pt idx="8">
                  <c:v>21.810466043373232</c:v>
                </c:pt>
                <c:pt idx="9">
                  <c:v>21.810466043373228</c:v>
                </c:pt>
              </c:numCache>
            </c:numRef>
          </c:val>
          <c:smooth val="0"/>
        </c:ser>
        <c:dLbls>
          <c:showLegendKey val="0"/>
          <c:showVal val="1"/>
          <c:showCatName val="0"/>
          <c:showSerName val="0"/>
          <c:showPercent val="0"/>
          <c:showBubbleSize val="0"/>
        </c:dLbls>
        <c:marker val="1"/>
        <c:smooth val="0"/>
        <c:axId val="203127040"/>
        <c:axId val="203125504"/>
      </c:lineChart>
      <c:valAx>
        <c:axId val="140763520"/>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766208"/>
        <c:crosses val="autoZero"/>
        <c:crossBetween val="between"/>
      </c:valAx>
      <c:catAx>
        <c:axId val="140766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n-lt"/>
                <a:ea typeface="+mn-ea"/>
                <a:cs typeface="+mn-cs"/>
              </a:defRPr>
            </a:pPr>
            <a:endParaRPr lang="en-US"/>
          </a:p>
        </c:txPr>
        <c:crossAx val="140763520"/>
        <c:crosses val="autoZero"/>
        <c:auto val="1"/>
        <c:lblAlgn val="ctr"/>
        <c:lblOffset val="100"/>
        <c:noMultiLvlLbl val="0"/>
      </c:catAx>
      <c:valAx>
        <c:axId val="20312550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27040"/>
        <c:crosses val="max"/>
        <c:crossBetween val="between"/>
      </c:valAx>
      <c:catAx>
        <c:axId val="203127040"/>
        <c:scaling>
          <c:orientation val="minMax"/>
        </c:scaling>
        <c:delete val="1"/>
        <c:axPos val="b"/>
        <c:numFmt formatCode="General" sourceLinked="1"/>
        <c:majorTickMark val="out"/>
        <c:minorTickMark val="none"/>
        <c:tickLblPos val="nextTo"/>
        <c:crossAx val="203125504"/>
        <c:crosses val="autoZero"/>
        <c:auto val="1"/>
        <c:lblAlgn val="ctr"/>
        <c:lblOffset val="100"/>
        <c:noMultiLvlLbl val="0"/>
      </c:catAx>
      <c:spPr>
        <a:noFill/>
        <a:ln>
          <a:noFill/>
        </a:ln>
        <a:effectLst/>
      </c:spPr>
    </c:plotArea>
    <c:legend>
      <c:legendPos val="b"/>
      <c:layout>
        <c:manualLayout>
          <c:xMode val="edge"/>
          <c:yMode val="edge"/>
          <c:x val="0.10053534278114899"/>
          <c:y val="0.87205065308725971"/>
          <c:w val="0.8521144723130345"/>
          <c:h val="0.1048612236920452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Asset Turnover</a:t>
            </a:r>
            <a:r>
              <a:rPr lang="en-US" baseline="0"/>
              <a:t> Ratio</a:t>
            </a:r>
            <a:endParaRPr lang="en-US"/>
          </a:p>
        </c:rich>
      </c:tx>
      <c:overlay val="0"/>
      <c:spPr>
        <a:noFill/>
        <a:ln>
          <a:noFill/>
        </a:ln>
        <a:effectLst/>
      </c:spPr>
    </c:title>
    <c:autoTitleDeleted val="0"/>
    <c:plotArea>
      <c:layout>
        <c:manualLayout>
          <c:layoutTarget val="inner"/>
          <c:xMode val="edge"/>
          <c:yMode val="edge"/>
          <c:x val="0.1073776686695647"/>
          <c:y val="0.14497126074343683"/>
          <c:w val="0.85858228730228159"/>
          <c:h val="0.64633899286935292"/>
        </c:manualLayout>
      </c:layout>
      <c:lineChart>
        <c:grouping val="standard"/>
        <c:varyColors val="0"/>
        <c:ser>
          <c:idx val="0"/>
          <c:order val="0"/>
          <c:tx>
            <c:strRef>
              <c:f>Sheet3!$A$36</c:f>
              <c:strCache>
                <c:ptCount val="1"/>
                <c:pt idx="0">
                  <c:v>Receivables Turnover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Sheet3!$B$36:$K$36</c:f>
            </c:numRef>
          </c:val>
          <c:smooth val="0"/>
        </c:ser>
        <c:ser>
          <c:idx val="1"/>
          <c:order val="1"/>
          <c:tx>
            <c:strRef>
              <c:f>Sheet3!$A$37</c:f>
              <c:strCache>
                <c:ptCount val="1"/>
                <c:pt idx="0">
                  <c:v>Total Asset Turnover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Sheet3!$B$37:$K$37</c:f>
              <c:numCache>
                <c:formatCode>0.00\x</c:formatCode>
                <c:ptCount val="10"/>
                <c:pt idx="0">
                  <c:v>0.71456712630358421</c:v>
                </c:pt>
                <c:pt idx="1">
                  <c:v>0.78565204356758955</c:v>
                </c:pt>
                <c:pt idx="2">
                  <c:v>0.79090007142114704</c:v>
                </c:pt>
                <c:pt idx="3">
                  <c:v>0.88017310654903536</c:v>
                </c:pt>
                <c:pt idx="4">
                  <c:v>0.98629683108257737</c:v>
                </c:pt>
                <c:pt idx="5">
                  <c:v>0.93038576040353882</c:v>
                </c:pt>
                <c:pt idx="6">
                  <c:v>1.0094647735728057</c:v>
                </c:pt>
                <c:pt idx="7">
                  <c:v>0.94686187475178196</c:v>
                </c:pt>
                <c:pt idx="8">
                  <c:v>0.99394630981665011</c:v>
                </c:pt>
                <c:pt idx="9">
                  <c:v>1.0295945138973186</c:v>
                </c:pt>
              </c:numCache>
            </c:numRef>
          </c:val>
          <c:smooth val="0"/>
        </c:ser>
        <c:ser>
          <c:idx val="2"/>
          <c:order val="2"/>
          <c:tx>
            <c:strRef>
              <c:f>Sheet3!$A$38</c:f>
              <c:strCache>
                <c:ptCount val="1"/>
                <c:pt idx="0">
                  <c:v>PPE Turnover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Sheet3!$B$35:$K$35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Sheet3!$B$38:$K$38</c:f>
              <c:numCache>
                <c:formatCode>0.00\x</c:formatCode>
                <c:ptCount val="10"/>
                <c:pt idx="0">
                  <c:v>1.3818724373301357</c:v>
                </c:pt>
                <c:pt idx="1">
                  <c:v>1.4602228019714039</c:v>
                </c:pt>
                <c:pt idx="2">
                  <c:v>1.4116977653063023</c:v>
                </c:pt>
                <c:pt idx="3">
                  <c:v>1.4958430059591541</c:v>
                </c:pt>
                <c:pt idx="4">
                  <c:v>1.8222134750097989</c:v>
                </c:pt>
                <c:pt idx="5">
                  <c:v>1.9333504339571841</c:v>
                </c:pt>
                <c:pt idx="6">
                  <c:v>1.9666682006068077</c:v>
                </c:pt>
                <c:pt idx="7">
                  <c:v>1.9881663543859776</c:v>
                </c:pt>
                <c:pt idx="8">
                  <c:v>1.9845407903750683</c:v>
                </c:pt>
                <c:pt idx="9">
                  <c:v>1.9760697609823425</c:v>
                </c:pt>
              </c:numCache>
            </c:numRef>
          </c:val>
          <c:smooth val="0"/>
        </c:ser>
        <c:dLbls>
          <c:dLblPos val="t"/>
          <c:showLegendKey val="0"/>
          <c:showVal val="1"/>
          <c:showCatName val="0"/>
          <c:showSerName val="0"/>
          <c:showPercent val="0"/>
          <c:showBubbleSize val="0"/>
        </c:dLbls>
        <c:marker val="1"/>
        <c:smooth val="0"/>
        <c:axId val="207078528"/>
        <c:axId val="207080064"/>
      </c:lineChart>
      <c:catAx>
        <c:axId val="2070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crossAx val="207080064"/>
        <c:crosses val="autoZero"/>
        <c:auto val="1"/>
        <c:lblAlgn val="ctr"/>
        <c:lblOffset val="100"/>
        <c:noMultiLvlLbl val="0"/>
      </c:catAx>
      <c:valAx>
        <c:axId val="207080064"/>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438522107813447"/>
          <c:y val="0.17041121065931542"/>
          <c:w val="0.8248907970214131"/>
          <c:h val="0.66424929137476008"/>
        </c:manualLayout>
      </c:layout>
      <c:lineChart>
        <c:grouping val="standard"/>
        <c:varyColors val="0"/>
        <c:ser>
          <c:idx val="0"/>
          <c:order val="0"/>
          <c:tx>
            <c:strRef>
              <c:f>Sheet3!$A$56</c:f>
              <c:strCache>
                <c:ptCount val="1"/>
                <c:pt idx="0">
                  <c:v>Current Ratio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Sheet3!$B$55:$K$55</c:f>
              <c:strCache>
                <c:ptCount val="10"/>
                <c:pt idx="0">
                  <c:v>2013</c:v>
                </c:pt>
                <c:pt idx="1">
                  <c:v>2014</c:v>
                </c:pt>
                <c:pt idx="2">
                  <c:v>2015</c:v>
                </c:pt>
                <c:pt idx="3">
                  <c:v>2016</c:v>
                </c:pt>
                <c:pt idx="4">
                  <c:v>2017</c:v>
                </c:pt>
                <c:pt idx="5">
                  <c:v>2018E</c:v>
                </c:pt>
                <c:pt idx="6">
                  <c:v>2019E</c:v>
                </c:pt>
                <c:pt idx="7">
                  <c:v>2020E</c:v>
                </c:pt>
                <c:pt idx="8">
                  <c:v>2021E</c:v>
                </c:pt>
                <c:pt idx="9">
                  <c:v>2022E</c:v>
                </c:pt>
              </c:strCache>
            </c:strRef>
          </c:cat>
          <c:val>
            <c:numRef>
              <c:f>Sheet3!$B$56:$K$56</c:f>
              <c:numCache>
                <c:formatCode>0.00\x</c:formatCode>
                <c:ptCount val="10"/>
                <c:pt idx="0">
                  <c:v>0.21625405508732709</c:v>
                </c:pt>
                <c:pt idx="1">
                  <c:v>0.24209149662155077</c:v>
                </c:pt>
                <c:pt idx="2">
                  <c:v>0.17638123150494678</c:v>
                </c:pt>
                <c:pt idx="3">
                  <c:v>0.15970900932527676</c:v>
                </c:pt>
                <c:pt idx="4">
                  <c:v>0.27714176217074182</c:v>
                </c:pt>
                <c:pt idx="5">
                  <c:v>0.2642413802457344</c:v>
                </c:pt>
                <c:pt idx="6">
                  <c:v>0.21667905718729877</c:v>
                </c:pt>
                <c:pt idx="7">
                  <c:v>0.13444505868987702</c:v>
                </c:pt>
                <c:pt idx="8">
                  <c:v>0.13571124221177713</c:v>
                </c:pt>
                <c:pt idx="9">
                  <c:v>0.13643031745840567</c:v>
                </c:pt>
              </c:numCache>
            </c:numRef>
          </c:val>
          <c:smooth val="0"/>
        </c:ser>
        <c:dLbls>
          <c:dLblPos val="t"/>
          <c:showLegendKey val="0"/>
          <c:showVal val="1"/>
          <c:showCatName val="0"/>
          <c:showSerName val="0"/>
          <c:showPercent val="0"/>
          <c:showBubbleSize val="0"/>
        </c:dLbls>
        <c:marker val="1"/>
        <c:smooth val="0"/>
        <c:axId val="214271872"/>
        <c:axId val="249250560"/>
      </c:lineChart>
      <c:catAx>
        <c:axId val="21427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250560"/>
        <c:crosses val="autoZero"/>
        <c:auto val="1"/>
        <c:lblAlgn val="ctr"/>
        <c:lblOffset val="100"/>
        <c:noMultiLvlLbl val="0"/>
      </c:catAx>
      <c:valAx>
        <c:axId val="249250560"/>
        <c:scaling>
          <c:orientation val="minMax"/>
        </c:scaling>
        <c:delete val="0"/>
        <c:axPos val="l"/>
        <c:numFmt formatCode="0.00\x"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1427187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71AA7-8628-438E-BE21-3D00C14D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9208</Words>
  <Characters>52490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ORCHI (111 142 048)</dc:creator>
  <cp:lastModifiedBy>enamul</cp:lastModifiedBy>
  <cp:revision>4</cp:revision>
  <cp:lastPrinted>2019-05-26T16:44:00Z</cp:lastPrinted>
  <dcterms:created xsi:type="dcterms:W3CDTF">2019-05-28T07:07:00Z</dcterms:created>
  <dcterms:modified xsi:type="dcterms:W3CDTF">2019-05-28T09:00:00Z</dcterms:modified>
</cp:coreProperties>
</file>