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charts/chart17.xml" ContentType="application/vnd.openxmlformats-officedocument.drawingml.chart+xml"/>
  <Override PartName="/word/theme/themeOverride16.xml" ContentType="application/vnd.openxmlformats-officedocument.themeOverride+xml"/>
  <Override PartName="/word/charts/chart18.xml" ContentType="application/vnd.openxmlformats-officedocument.drawingml.chart+xml"/>
  <Override PartName="/word/theme/themeOverride17.xml" ContentType="application/vnd.openxmlformats-officedocument.themeOverride+xml"/>
  <Override PartName="/word/charts/chart19.xml" ContentType="application/vnd.openxmlformats-officedocument.drawingml.chart+xml"/>
  <Override PartName="/word/theme/themeOverride18.xml" ContentType="application/vnd.openxmlformats-officedocument.themeOverride+xml"/>
  <Override PartName="/word/charts/chart20.xml" ContentType="application/vnd.openxmlformats-officedocument.drawingml.chart+xml"/>
  <Override PartName="/word/theme/themeOverride19.xml" ContentType="application/vnd.openxmlformats-officedocument.themeOverride+xml"/>
  <Override PartName="/word/charts/chart21.xml" ContentType="application/vnd.openxmlformats-officedocument.drawingml.chart+xml"/>
  <Override PartName="/word/theme/themeOverride20.xml" ContentType="application/vnd.openxmlformats-officedocument.themeOverride+xml"/>
  <Override PartName="/word/charts/chart22.xml" ContentType="application/vnd.openxmlformats-officedocument.drawingml.chart+xml"/>
  <Override PartName="/word/theme/themeOverride21.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982" w:rsidRPr="00A96982" w:rsidRDefault="00A96982" w:rsidP="002028C0">
      <w:pPr>
        <w:contextualSpacing/>
        <w:rPr>
          <w:rFonts w:ascii="Times New Roman" w:hAnsi="Times New Roman" w:cs="Times New Roman"/>
          <w:sz w:val="36"/>
          <w:szCs w:val="36"/>
        </w:rPr>
      </w:pPr>
    </w:p>
    <w:p w:rsidR="00A96982" w:rsidRPr="00A96982" w:rsidRDefault="00A96982" w:rsidP="00A96982">
      <w:pPr>
        <w:contextualSpacing/>
        <w:jc w:val="center"/>
        <w:rPr>
          <w:rFonts w:ascii="Times New Roman" w:hAnsi="Times New Roman" w:cs="Times New Roman"/>
          <w:sz w:val="36"/>
          <w:szCs w:val="36"/>
        </w:rPr>
      </w:pPr>
    </w:p>
    <w:p w:rsidR="002028C0" w:rsidRDefault="002028C0" w:rsidP="00A96982">
      <w:pPr>
        <w:contextualSpacing/>
        <w:jc w:val="center"/>
        <w:rPr>
          <w:rFonts w:ascii="Times New Roman" w:hAnsi="Times New Roman" w:cs="Times New Roman"/>
          <w:sz w:val="36"/>
          <w:szCs w:val="36"/>
        </w:rPr>
      </w:pPr>
      <w:r>
        <w:rPr>
          <w:rFonts w:ascii="Times New Roman" w:hAnsi="Times New Roman" w:cs="Times New Roman"/>
          <w:sz w:val="36"/>
          <w:szCs w:val="36"/>
        </w:rPr>
        <w:t xml:space="preserve">Project Report </w:t>
      </w:r>
    </w:p>
    <w:p w:rsidR="00A96982" w:rsidRDefault="002F1863" w:rsidP="00A96982">
      <w:pPr>
        <w:contextualSpacing/>
        <w:jc w:val="center"/>
        <w:rPr>
          <w:rFonts w:ascii="Times New Roman" w:hAnsi="Times New Roman" w:cs="Times New Roman"/>
          <w:sz w:val="36"/>
          <w:szCs w:val="36"/>
        </w:rPr>
      </w:pPr>
      <w:r>
        <w:rPr>
          <w:rFonts w:ascii="Times New Roman" w:hAnsi="Times New Roman" w:cs="Times New Roman"/>
          <w:sz w:val="36"/>
          <w:szCs w:val="36"/>
        </w:rPr>
        <w:t>On</w:t>
      </w:r>
    </w:p>
    <w:p w:rsidR="002028C0" w:rsidRPr="00A96982" w:rsidRDefault="002028C0" w:rsidP="002028C0">
      <w:pPr>
        <w:contextualSpacing/>
        <w:rPr>
          <w:rFonts w:ascii="Times New Roman" w:hAnsi="Times New Roman" w:cs="Times New Roman"/>
          <w:sz w:val="36"/>
          <w:szCs w:val="36"/>
        </w:rPr>
      </w:pPr>
    </w:p>
    <w:p w:rsidR="002028C0" w:rsidRPr="002028C0" w:rsidRDefault="002028C0" w:rsidP="002028C0">
      <w:pPr>
        <w:spacing w:line="360" w:lineRule="auto"/>
        <w:contextualSpacing/>
        <w:jc w:val="center"/>
        <w:rPr>
          <w:rFonts w:ascii="Times New Roman" w:eastAsia="Times New Roman" w:hAnsi="Times New Roman" w:cs="Times New Roman"/>
          <w:b/>
          <w:color w:val="5B9BD5" w:themeColor="accent1"/>
          <w:sz w:val="28"/>
          <w:szCs w:val="28"/>
        </w:rPr>
      </w:pPr>
      <w:r w:rsidRPr="002028C0">
        <w:rPr>
          <w:rFonts w:ascii="Times New Roman" w:eastAsia="Times New Roman" w:hAnsi="Times New Roman" w:cs="Times New Roman"/>
          <w:b/>
          <w:sz w:val="28"/>
          <w:szCs w:val="28"/>
        </w:rPr>
        <w:t>A Comprehensive Study on Performance Evaluation of Ten Mutual Funds in Bangladesh</w:t>
      </w:r>
    </w:p>
    <w:p w:rsidR="002028C0" w:rsidRDefault="002028C0" w:rsidP="002028C0"/>
    <w:p w:rsidR="00A96982" w:rsidRPr="00A96982" w:rsidRDefault="00A96982" w:rsidP="002028C0">
      <w:pPr>
        <w:contextualSpacing/>
        <w:rPr>
          <w:rFonts w:ascii="Times New Roman" w:hAnsi="Times New Roman" w:cs="Times New Roman"/>
          <w:sz w:val="36"/>
          <w:szCs w:val="36"/>
        </w:rPr>
      </w:pPr>
    </w:p>
    <w:p w:rsidR="00A96982" w:rsidRPr="00A96982" w:rsidRDefault="00A96982" w:rsidP="00AC26C8">
      <w:pPr>
        <w:contextualSpacing/>
        <w:rPr>
          <w:rFonts w:ascii="Times New Roman" w:hAnsi="Times New Roman" w:cs="Times New Roman"/>
          <w:sz w:val="36"/>
          <w:szCs w:val="36"/>
        </w:rPr>
      </w:pPr>
    </w:p>
    <w:p w:rsidR="00A96982" w:rsidRPr="008F7D10" w:rsidRDefault="008F7D10" w:rsidP="00365719">
      <w:pPr>
        <w:spacing w:line="276" w:lineRule="auto"/>
        <w:contextualSpacing/>
        <w:jc w:val="center"/>
        <w:rPr>
          <w:rFonts w:ascii="Times New Roman" w:hAnsi="Times New Roman" w:cs="Times New Roman"/>
          <w:b/>
          <w:sz w:val="36"/>
          <w:szCs w:val="36"/>
        </w:rPr>
      </w:pPr>
      <w:r w:rsidRPr="008F7D10">
        <w:rPr>
          <w:rFonts w:ascii="Times New Roman" w:hAnsi="Times New Roman" w:cs="Times New Roman"/>
          <w:b/>
          <w:sz w:val="36"/>
          <w:szCs w:val="36"/>
        </w:rPr>
        <w:t>Submitted To</w:t>
      </w:r>
    </w:p>
    <w:p w:rsidR="00A96982" w:rsidRPr="00A96982" w:rsidRDefault="00A96982" w:rsidP="00365719">
      <w:pPr>
        <w:spacing w:line="276" w:lineRule="auto"/>
        <w:contextualSpacing/>
        <w:jc w:val="center"/>
        <w:rPr>
          <w:rFonts w:ascii="Times New Roman" w:hAnsi="Times New Roman" w:cs="Times New Roman"/>
          <w:sz w:val="24"/>
          <w:szCs w:val="24"/>
        </w:rPr>
      </w:pPr>
      <w:r w:rsidRPr="00A96982">
        <w:rPr>
          <w:rFonts w:ascii="Times New Roman" w:eastAsia="Times New Roman" w:hAnsi="Times New Roman" w:cs="Times New Roman"/>
          <w:sz w:val="24"/>
          <w:szCs w:val="24"/>
        </w:rPr>
        <w:t xml:space="preserve">Muhammad </w:t>
      </w:r>
      <w:proofErr w:type="spellStart"/>
      <w:r w:rsidRPr="00A96982">
        <w:rPr>
          <w:rFonts w:ascii="Times New Roman" w:eastAsia="Times New Roman" w:hAnsi="Times New Roman" w:cs="Times New Roman"/>
          <w:sz w:val="24"/>
          <w:szCs w:val="24"/>
        </w:rPr>
        <w:t>Enamul</w:t>
      </w:r>
      <w:proofErr w:type="spellEnd"/>
      <w:r w:rsidRPr="00A96982">
        <w:rPr>
          <w:rFonts w:ascii="Times New Roman" w:eastAsia="Times New Roman" w:hAnsi="Times New Roman" w:cs="Times New Roman"/>
          <w:sz w:val="24"/>
          <w:szCs w:val="24"/>
        </w:rPr>
        <w:t xml:space="preserve"> </w:t>
      </w:r>
      <w:proofErr w:type="spellStart"/>
      <w:r w:rsidRPr="00A96982">
        <w:rPr>
          <w:rFonts w:ascii="Times New Roman" w:eastAsia="Times New Roman" w:hAnsi="Times New Roman" w:cs="Times New Roman"/>
          <w:sz w:val="24"/>
          <w:szCs w:val="24"/>
        </w:rPr>
        <w:t>Haque</w:t>
      </w:r>
      <w:proofErr w:type="spellEnd"/>
    </w:p>
    <w:p w:rsidR="00A96982" w:rsidRPr="00A96982" w:rsidRDefault="00A96982" w:rsidP="00365719">
      <w:pPr>
        <w:spacing w:line="276" w:lineRule="auto"/>
        <w:contextualSpacing/>
        <w:jc w:val="center"/>
        <w:rPr>
          <w:rFonts w:ascii="Times New Roman" w:hAnsi="Times New Roman" w:cs="Times New Roman"/>
          <w:sz w:val="24"/>
          <w:szCs w:val="24"/>
        </w:rPr>
      </w:pPr>
      <w:r w:rsidRPr="00A96982">
        <w:rPr>
          <w:rFonts w:ascii="Times New Roman" w:eastAsia="Times New Roman" w:hAnsi="Times New Roman" w:cs="Times New Roman"/>
          <w:sz w:val="24"/>
          <w:szCs w:val="24"/>
        </w:rPr>
        <w:t>Assistant Professor</w:t>
      </w:r>
    </w:p>
    <w:p w:rsidR="00A96982" w:rsidRPr="00A96982" w:rsidRDefault="00A96982" w:rsidP="00365719">
      <w:pPr>
        <w:spacing w:line="276" w:lineRule="auto"/>
        <w:contextualSpacing/>
        <w:jc w:val="center"/>
        <w:rPr>
          <w:rFonts w:ascii="Times New Roman" w:hAnsi="Times New Roman" w:cs="Times New Roman"/>
          <w:sz w:val="24"/>
          <w:szCs w:val="24"/>
        </w:rPr>
      </w:pPr>
      <w:r w:rsidRPr="00A96982">
        <w:rPr>
          <w:rFonts w:ascii="Times New Roman" w:eastAsia="Times New Roman" w:hAnsi="Times New Roman" w:cs="Times New Roman"/>
          <w:sz w:val="24"/>
          <w:szCs w:val="24"/>
        </w:rPr>
        <w:t>School of Business and Economics</w:t>
      </w:r>
    </w:p>
    <w:p w:rsidR="00A96982" w:rsidRPr="00A96982" w:rsidRDefault="00A96982" w:rsidP="00365719">
      <w:pPr>
        <w:spacing w:line="276" w:lineRule="auto"/>
        <w:contextualSpacing/>
        <w:jc w:val="center"/>
        <w:rPr>
          <w:rFonts w:ascii="Times New Roman" w:hAnsi="Times New Roman" w:cs="Times New Roman"/>
          <w:sz w:val="24"/>
          <w:szCs w:val="24"/>
        </w:rPr>
      </w:pPr>
      <w:r w:rsidRPr="00A96982">
        <w:rPr>
          <w:rFonts w:ascii="Times New Roman" w:eastAsia="Times New Roman" w:hAnsi="Times New Roman" w:cs="Times New Roman"/>
          <w:sz w:val="24"/>
          <w:szCs w:val="24"/>
        </w:rPr>
        <w:t>United International University</w:t>
      </w:r>
    </w:p>
    <w:p w:rsidR="00A96982" w:rsidRPr="00A96982" w:rsidRDefault="00A96982" w:rsidP="00A96982">
      <w:pPr>
        <w:contextualSpacing/>
        <w:jc w:val="center"/>
        <w:rPr>
          <w:rFonts w:ascii="Times New Roman" w:hAnsi="Times New Roman" w:cs="Times New Roman"/>
          <w:sz w:val="32"/>
          <w:szCs w:val="32"/>
        </w:rPr>
      </w:pPr>
    </w:p>
    <w:p w:rsidR="00A96982" w:rsidRPr="00A96982" w:rsidRDefault="00A96982" w:rsidP="006F79BD">
      <w:pPr>
        <w:contextualSpacing/>
        <w:rPr>
          <w:rFonts w:ascii="Times New Roman" w:hAnsi="Times New Roman" w:cs="Times New Roman"/>
          <w:sz w:val="32"/>
          <w:szCs w:val="32"/>
        </w:rPr>
      </w:pPr>
    </w:p>
    <w:p w:rsidR="00A96982" w:rsidRPr="008F7D10" w:rsidRDefault="00A96982" w:rsidP="006F79BD">
      <w:pPr>
        <w:spacing w:line="276" w:lineRule="auto"/>
        <w:contextualSpacing/>
        <w:jc w:val="center"/>
        <w:rPr>
          <w:rFonts w:ascii="Times New Roman" w:hAnsi="Times New Roman" w:cs="Times New Roman"/>
          <w:b/>
          <w:sz w:val="36"/>
          <w:szCs w:val="36"/>
        </w:rPr>
      </w:pPr>
      <w:r w:rsidRPr="008F7D10">
        <w:rPr>
          <w:rFonts w:ascii="Times New Roman" w:hAnsi="Times New Roman" w:cs="Times New Roman"/>
          <w:b/>
          <w:sz w:val="36"/>
          <w:szCs w:val="36"/>
        </w:rPr>
        <w:t>Submitted By</w:t>
      </w:r>
    </w:p>
    <w:p w:rsidR="00A96982" w:rsidRPr="00A96982" w:rsidRDefault="00A96982" w:rsidP="006F79BD">
      <w:pPr>
        <w:spacing w:line="276" w:lineRule="auto"/>
        <w:contextualSpacing/>
        <w:jc w:val="center"/>
        <w:rPr>
          <w:rFonts w:ascii="Times New Roman" w:hAnsi="Times New Roman" w:cs="Times New Roman"/>
          <w:sz w:val="28"/>
          <w:szCs w:val="28"/>
        </w:rPr>
      </w:pPr>
      <w:r w:rsidRPr="00A96982">
        <w:rPr>
          <w:rFonts w:ascii="Times New Roman" w:hAnsi="Times New Roman" w:cs="Times New Roman"/>
          <w:sz w:val="28"/>
          <w:szCs w:val="28"/>
        </w:rPr>
        <w:t xml:space="preserve">Md. </w:t>
      </w:r>
      <w:proofErr w:type="spellStart"/>
      <w:r w:rsidRPr="00A96982">
        <w:rPr>
          <w:rFonts w:ascii="Times New Roman" w:hAnsi="Times New Roman" w:cs="Times New Roman"/>
          <w:sz w:val="28"/>
          <w:szCs w:val="28"/>
        </w:rPr>
        <w:t>Moin</w:t>
      </w:r>
      <w:proofErr w:type="spellEnd"/>
      <w:r w:rsidRPr="00A96982">
        <w:rPr>
          <w:rFonts w:ascii="Times New Roman" w:hAnsi="Times New Roman" w:cs="Times New Roman"/>
          <w:sz w:val="28"/>
          <w:szCs w:val="28"/>
        </w:rPr>
        <w:t xml:space="preserve"> Khan</w:t>
      </w:r>
    </w:p>
    <w:p w:rsidR="00A96982" w:rsidRPr="00A96982" w:rsidRDefault="00A96982" w:rsidP="006F79BD">
      <w:pPr>
        <w:spacing w:line="276" w:lineRule="auto"/>
        <w:contextualSpacing/>
        <w:jc w:val="center"/>
        <w:rPr>
          <w:rFonts w:ascii="Times New Roman" w:hAnsi="Times New Roman" w:cs="Times New Roman"/>
          <w:sz w:val="28"/>
          <w:szCs w:val="28"/>
        </w:rPr>
      </w:pPr>
      <w:r w:rsidRPr="00A96982">
        <w:rPr>
          <w:rFonts w:ascii="Times New Roman" w:hAnsi="Times New Roman" w:cs="Times New Roman"/>
          <w:sz w:val="28"/>
          <w:szCs w:val="28"/>
        </w:rPr>
        <w:t>ID#111151568</w:t>
      </w:r>
    </w:p>
    <w:p w:rsidR="00A96982" w:rsidRPr="00A96982" w:rsidRDefault="002028C0" w:rsidP="006F79BD">
      <w:pPr>
        <w:spacing w:line="276" w:lineRule="auto"/>
        <w:contextualSpacing/>
        <w:jc w:val="center"/>
        <w:rPr>
          <w:rFonts w:ascii="Times New Roman" w:hAnsi="Times New Roman" w:cs="Times New Roman"/>
          <w:sz w:val="28"/>
          <w:szCs w:val="28"/>
        </w:rPr>
      </w:pPr>
      <w:r>
        <w:rPr>
          <w:rFonts w:ascii="Times New Roman" w:hAnsi="Times New Roman" w:cs="Times New Roman"/>
          <w:sz w:val="28"/>
          <w:szCs w:val="28"/>
        </w:rPr>
        <w:t>Program:</w:t>
      </w:r>
      <w:r w:rsidR="002F1863">
        <w:rPr>
          <w:rFonts w:ascii="Times New Roman" w:hAnsi="Times New Roman" w:cs="Times New Roman"/>
          <w:sz w:val="28"/>
          <w:szCs w:val="28"/>
        </w:rPr>
        <w:t xml:space="preserve"> </w:t>
      </w:r>
      <w:r>
        <w:rPr>
          <w:rFonts w:ascii="Times New Roman" w:hAnsi="Times New Roman" w:cs="Times New Roman"/>
          <w:sz w:val="28"/>
          <w:szCs w:val="28"/>
        </w:rPr>
        <w:t xml:space="preserve">BBA </w:t>
      </w:r>
    </w:p>
    <w:p w:rsidR="00A96982" w:rsidRPr="00A96982" w:rsidRDefault="00942C7D" w:rsidP="00A96982">
      <w:pPr>
        <w:contextualSpacing/>
        <w:jc w:val="center"/>
        <w:rPr>
          <w:rFonts w:ascii="Times New Roman" w:hAnsi="Times New Roman" w:cs="Times New Roman"/>
          <w:sz w:val="28"/>
          <w:szCs w:val="28"/>
        </w:rPr>
      </w:pPr>
      <w:r w:rsidRPr="00A96982">
        <w:rPr>
          <w:noProof/>
        </w:rPr>
        <w:drawing>
          <wp:anchor distT="0" distB="0" distL="114300" distR="114300" simplePos="0" relativeHeight="251774975" behindDoc="0" locked="0" layoutInCell="1" allowOverlap="1" wp14:anchorId="4B23BBA8" wp14:editId="34E2EFE1">
            <wp:simplePos x="0" y="0"/>
            <wp:positionH relativeFrom="margin">
              <wp:align>center</wp:align>
            </wp:positionH>
            <wp:positionV relativeFrom="margin">
              <wp:posOffset>6053455</wp:posOffset>
            </wp:positionV>
            <wp:extent cx="898405" cy="822960"/>
            <wp:effectExtent l="0" t="0" r="0" b="0"/>
            <wp:wrapSquare wrapText="bothSides"/>
            <wp:docPr id="45" name="irc_mi" descr="http://debateacademy.net/Debate_Academy/Bangladesh_files/United_International_University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ebateacademy.net/Debate_Academy/Bangladesh_files/United_International_University_Logo.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8405" cy="8229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96982" w:rsidRPr="00A96982" w:rsidRDefault="00A96982" w:rsidP="002028C0">
      <w:pPr>
        <w:contextualSpacing/>
        <w:rPr>
          <w:rFonts w:ascii="Times New Roman" w:hAnsi="Times New Roman" w:cs="Times New Roman"/>
          <w:sz w:val="28"/>
          <w:szCs w:val="28"/>
        </w:rPr>
      </w:pPr>
    </w:p>
    <w:p w:rsidR="00A96982" w:rsidRPr="00A96982" w:rsidRDefault="00A96982" w:rsidP="00A96982">
      <w:pPr>
        <w:contextualSpacing/>
        <w:jc w:val="center"/>
        <w:rPr>
          <w:rFonts w:ascii="Times New Roman" w:hAnsi="Times New Roman" w:cs="Times New Roman"/>
          <w:sz w:val="28"/>
          <w:szCs w:val="28"/>
        </w:rPr>
      </w:pPr>
    </w:p>
    <w:p w:rsidR="00A96982" w:rsidRPr="00A96982" w:rsidRDefault="00A96982" w:rsidP="00A96982">
      <w:pPr>
        <w:contextualSpacing/>
        <w:jc w:val="center"/>
        <w:rPr>
          <w:rFonts w:ascii="Times New Roman" w:hAnsi="Times New Roman" w:cs="Times New Roman"/>
          <w:sz w:val="28"/>
          <w:szCs w:val="28"/>
        </w:rPr>
      </w:pPr>
    </w:p>
    <w:p w:rsidR="00A96982" w:rsidRPr="00A96982" w:rsidRDefault="00A96982" w:rsidP="00A96982">
      <w:pPr>
        <w:contextualSpacing/>
        <w:jc w:val="center"/>
      </w:pPr>
    </w:p>
    <w:p w:rsidR="00A96982" w:rsidRPr="00A96982" w:rsidRDefault="00A96982" w:rsidP="00A96982">
      <w:pPr>
        <w:contextualSpacing/>
        <w:jc w:val="center"/>
      </w:pPr>
    </w:p>
    <w:p w:rsidR="00A96982" w:rsidRPr="008703C9" w:rsidRDefault="00A96982" w:rsidP="00A96982">
      <w:pPr>
        <w:contextualSpacing/>
        <w:jc w:val="center"/>
        <w:rPr>
          <w:b/>
          <w:color w:val="ED7D31" w:themeColor="accent2"/>
        </w:rPr>
      </w:pPr>
    </w:p>
    <w:p w:rsidR="00AC06AB" w:rsidRDefault="00AC06AB" w:rsidP="00BF6013">
      <w:pPr>
        <w:spacing w:line="360" w:lineRule="auto"/>
        <w:jc w:val="center"/>
        <w:rPr>
          <w:rFonts w:ascii="Times New Roman" w:eastAsia="Times New Roman" w:hAnsi="Times New Roman" w:cs="Times New Roman"/>
          <w:b/>
          <w:color w:val="ED7D31" w:themeColor="accent2"/>
          <w:sz w:val="24"/>
          <w:szCs w:val="24"/>
        </w:rPr>
      </w:pPr>
      <w:r w:rsidRPr="008703C9">
        <w:rPr>
          <w:rFonts w:ascii="Times New Roman" w:eastAsia="Times New Roman" w:hAnsi="Times New Roman" w:cs="Times New Roman"/>
          <w:b/>
          <w:color w:val="ED7D31" w:themeColor="accent2"/>
          <w:sz w:val="24"/>
          <w:szCs w:val="24"/>
        </w:rPr>
        <w:t>United International University</w:t>
      </w:r>
    </w:p>
    <w:p w:rsidR="002C4E62" w:rsidRPr="008703C9" w:rsidRDefault="002C4E62" w:rsidP="00A96982">
      <w:pPr>
        <w:spacing w:line="360" w:lineRule="auto"/>
        <w:jc w:val="center"/>
        <w:rPr>
          <w:rFonts w:ascii="Times New Roman" w:eastAsia="Times New Roman" w:hAnsi="Times New Roman" w:cs="Times New Roman"/>
          <w:b/>
          <w:color w:val="ED7D31" w:themeColor="accent2"/>
          <w:sz w:val="24"/>
          <w:szCs w:val="24"/>
        </w:rPr>
      </w:pPr>
    </w:p>
    <w:p w:rsidR="00A96982" w:rsidRPr="008703C9" w:rsidRDefault="008703C9" w:rsidP="00A96982">
      <w:pPr>
        <w:spacing w:line="360" w:lineRule="auto"/>
        <w:jc w:val="center"/>
        <w:rPr>
          <w:rFonts w:ascii="Times New Roman" w:hAnsi="Times New Roman" w:cs="Times New Roman"/>
          <w:b/>
          <w:sz w:val="24"/>
          <w:szCs w:val="24"/>
        </w:rPr>
      </w:pPr>
      <w:r w:rsidRPr="008703C9">
        <w:rPr>
          <w:rFonts w:ascii="Times New Roman" w:eastAsia="Times New Roman" w:hAnsi="Times New Roman" w:cs="Times New Roman"/>
          <w:b/>
          <w:sz w:val="24"/>
          <w:szCs w:val="24"/>
        </w:rPr>
        <w:t xml:space="preserve">Date of Submission: </w:t>
      </w:r>
      <w:r w:rsidR="005E7369">
        <w:rPr>
          <w:rFonts w:ascii="Times New Roman" w:eastAsia="Times New Roman" w:hAnsi="Times New Roman" w:cs="Times New Roman"/>
          <w:b/>
          <w:sz w:val="24"/>
          <w:szCs w:val="24"/>
        </w:rPr>
        <w:t>July 3</w:t>
      </w:r>
      <w:r w:rsidR="00A96982" w:rsidRPr="008703C9">
        <w:rPr>
          <w:rFonts w:ascii="Times New Roman" w:eastAsia="Times New Roman" w:hAnsi="Times New Roman" w:cs="Times New Roman"/>
          <w:b/>
          <w:sz w:val="24"/>
          <w:szCs w:val="24"/>
        </w:rPr>
        <w:t>, 2019</w:t>
      </w:r>
    </w:p>
    <w:p w:rsidR="00292D7E" w:rsidRDefault="00292D7E" w:rsidP="00A96982">
      <w:pPr>
        <w:rPr>
          <w:rFonts w:ascii="Times New Roman" w:hAnsi="Times New Roman" w:cs="Times New Roman"/>
          <w:sz w:val="24"/>
          <w:szCs w:val="24"/>
        </w:rPr>
        <w:sectPr w:rsidR="00292D7E" w:rsidSect="00117324">
          <w:footerReference w:type="default" r:id="rId10"/>
          <w:pgSz w:w="11906" w:h="16838" w:code="9"/>
          <w:pgMar w:top="1440" w:right="1440" w:bottom="1440" w:left="1440" w:header="720" w:footer="720" w:gutter="0"/>
          <w:cols w:space="720"/>
          <w:docGrid w:linePitch="360"/>
        </w:sectPr>
      </w:pPr>
    </w:p>
    <w:p w:rsidR="00A96982" w:rsidRDefault="00A96982" w:rsidP="00A96982">
      <w:pPr>
        <w:rPr>
          <w:rFonts w:ascii="Times New Roman" w:hAnsi="Times New Roman" w:cs="Times New Roman"/>
          <w:sz w:val="24"/>
          <w:szCs w:val="24"/>
        </w:rPr>
      </w:pPr>
    </w:p>
    <w:p w:rsidR="00A96982" w:rsidRPr="00123BC7" w:rsidRDefault="00A96982" w:rsidP="002E56EC">
      <w:pPr>
        <w:jc w:val="center"/>
        <w:rPr>
          <w:rFonts w:ascii="Times New Roman" w:hAnsi="Times New Roman" w:cs="Times New Roman"/>
          <w:b/>
          <w:sz w:val="36"/>
          <w:szCs w:val="36"/>
        </w:rPr>
      </w:pPr>
      <w:r w:rsidRPr="00123BC7">
        <w:rPr>
          <w:rFonts w:ascii="Times New Roman" w:hAnsi="Times New Roman" w:cs="Times New Roman"/>
          <w:b/>
          <w:sz w:val="36"/>
          <w:szCs w:val="36"/>
        </w:rPr>
        <w:t>Letter of Transmittal</w:t>
      </w:r>
    </w:p>
    <w:p w:rsidR="00123BC7" w:rsidRDefault="00123BC7" w:rsidP="00A96982">
      <w:pPr>
        <w:spacing w:line="360" w:lineRule="auto"/>
        <w:rPr>
          <w:rFonts w:ascii="Times New Roman" w:eastAsia="Times New Roman" w:hAnsi="Times New Roman" w:cs="Times New Roman"/>
          <w:sz w:val="24"/>
          <w:szCs w:val="24"/>
        </w:rPr>
      </w:pPr>
    </w:p>
    <w:p w:rsidR="00A96982" w:rsidRPr="00A96982" w:rsidRDefault="00BF6013" w:rsidP="00A96982">
      <w:p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July 3</w:t>
      </w:r>
      <w:r w:rsidR="00A96982" w:rsidRPr="00A96982">
        <w:rPr>
          <w:rFonts w:ascii="Times New Roman" w:eastAsia="Times New Roman" w:hAnsi="Times New Roman" w:cs="Times New Roman"/>
          <w:sz w:val="24"/>
          <w:szCs w:val="24"/>
        </w:rPr>
        <w:t>, 2019</w:t>
      </w:r>
    </w:p>
    <w:p w:rsidR="00A96982" w:rsidRPr="00A96982" w:rsidRDefault="00A96982" w:rsidP="00A96982">
      <w:pPr>
        <w:spacing w:line="360" w:lineRule="auto"/>
        <w:contextualSpacing/>
        <w:rPr>
          <w:rFonts w:ascii="Times New Roman" w:hAnsi="Times New Roman" w:cs="Times New Roman"/>
          <w:sz w:val="24"/>
          <w:szCs w:val="24"/>
        </w:rPr>
      </w:pPr>
      <w:r w:rsidRPr="00A96982">
        <w:rPr>
          <w:rFonts w:ascii="Times New Roman" w:eastAsia="Times New Roman" w:hAnsi="Times New Roman" w:cs="Times New Roman"/>
          <w:sz w:val="24"/>
          <w:szCs w:val="24"/>
        </w:rPr>
        <w:t xml:space="preserve">Muhammad </w:t>
      </w:r>
      <w:proofErr w:type="spellStart"/>
      <w:r w:rsidRPr="00A96982">
        <w:rPr>
          <w:rFonts w:ascii="Times New Roman" w:eastAsia="Times New Roman" w:hAnsi="Times New Roman" w:cs="Times New Roman"/>
          <w:sz w:val="24"/>
          <w:szCs w:val="24"/>
        </w:rPr>
        <w:t>Enamul</w:t>
      </w:r>
      <w:proofErr w:type="spellEnd"/>
      <w:r w:rsidRPr="00A96982">
        <w:rPr>
          <w:rFonts w:ascii="Times New Roman" w:eastAsia="Times New Roman" w:hAnsi="Times New Roman" w:cs="Times New Roman"/>
          <w:sz w:val="24"/>
          <w:szCs w:val="24"/>
        </w:rPr>
        <w:t xml:space="preserve"> </w:t>
      </w:r>
      <w:proofErr w:type="spellStart"/>
      <w:r w:rsidRPr="00A96982">
        <w:rPr>
          <w:rFonts w:ascii="Times New Roman" w:eastAsia="Times New Roman" w:hAnsi="Times New Roman" w:cs="Times New Roman"/>
          <w:sz w:val="24"/>
          <w:szCs w:val="24"/>
        </w:rPr>
        <w:t>Haque</w:t>
      </w:r>
      <w:proofErr w:type="spellEnd"/>
    </w:p>
    <w:p w:rsidR="00A96982" w:rsidRPr="00A96982" w:rsidRDefault="00A96982" w:rsidP="00A96982">
      <w:pPr>
        <w:spacing w:line="360" w:lineRule="auto"/>
        <w:contextualSpacing/>
        <w:rPr>
          <w:rFonts w:ascii="Times New Roman" w:hAnsi="Times New Roman" w:cs="Times New Roman"/>
          <w:sz w:val="24"/>
          <w:szCs w:val="24"/>
        </w:rPr>
      </w:pPr>
      <w:r w:rsidRPr="00A96982">
        <w:rPr>
          <w:rFonts w:ascii="Times New Roman" w:eastAsia="Times New Roman" w:hAnsi="Times New Roman" w:cs="Times New Roman"/>
          <w:sz w:val="24"/>
          <w:szCs w:val="24"/>
        </w:rPr>
        <w:t>Assistant Professor</w:t>
      </w:r>
    </w:p>
    <w:p w:rsidR="00A96982" w:rsidRPr="00A96982" w:rsidRDefault="00A96982" w:rsidP="00A96982">
      <w:pPr>
        <w:spacing w:line="360" w:lineRule="auto"/>
        <w:contextualSpacing/>
        <w:rPr>
          <w:rFonts w:ascii="Times New Roman" w:hAnsi="Times New Roman" w:cs="Times New Roman"/>
          <w:sz w:val="24"/>
          <w:szCs w:val="24"/>
        </w:rPr>
      </w:pPr>
      <w:r w:rsidRPr="00A96982">
        <w:rPr>
          <w:rFonts w:ascii="Times New Roman" w:eastAsia="Times New Roman" w:hAnsi="Times New Roman" w:cs="Times New Roman"/>
          <w:sz w:val="24"/>
          <w:szCs w:val="24"/>
        </w:rPr>
        <w:t>School of Business and Economics</w:t>
      </w:r>
    </w:p>
    <w:p w:rsidR="00A96982" w:rsidRPr="00A96982" w:rsidRDefault="00A96982" w:rsidP="00A96982">
      <w:pPr>
        <w:spacing w:line="360" w:lineRule="auto"/>
        <w:contextualSpacing/>
        <w:rPr>
          <w:rFonts w:ascii="Times New Roman" w:hAnsi="Times New Roman" w:cs="Times New Roman"/>
          <w:sz w:val="24"/>
          <w:szCs w:val="24"/>
        </w:rPr>
      </w:pPr>
      <w:r w:rsidRPr="00A96982">
        <w:rPr>
          <w:rFonts w:ascii="Times New Roman" w:eastAsia="Times New Roman" w:hAnsi="Times New Roman" w:cs="Times New Roman"/>
          <w:sz w:val="24"/>
          <w:szCs w:val="24"/>
        </w:rPr>
        <w:t>United International University</w:t>
      </w:r>
    </w:p>
    <w:p w:rsidR="00A96982" w:rsidRPr="00A96982" w:rsidRDefault="00A96982" w:rsidP="00A96982">
      <w:pPr>
        <w:spacing w:line="360" w:lineRule="auto"/>
        <w:jc w:val="both"/>
        <w:rPr>
          <w:rFonts w:ascii="Times New Roman" w:hAnsi="Times New Roman" w:cs="Times New Roman"/>
          <w:sz w:val="24"/>
          <w:szCs w:val="24"/>
        </w:rPr>
      </w:pPr>
    </w:p>
    <w:p w:rsidR="00A96982" w:rsidRPr="00A96982" w:rsidRDefault="00A96982" w:rsidP="00A96982">
      <w:pPr>
        <w:spacing w:line="360" w:lineRule="auto"/>
        <w:jc w:val="center"/>
        <w:rPr>
          <w:rFonts w:ascii="Times New Roman" w:eastAsia="Times New Roman" w:hAnsi="Times New Roman" w:cs="Times New Roman"/>
          <w:sz w:val="24"/>
          <w:szCs w:val="24"/>
        </w:rPr>
      </w:pPr>
      <w:r w:rsidRPr="00A96982">
        <w:rPr>
          <w:rFonts w:ascii="Times New Roman" w:eastAsia="Times New Roman" w:hAnsi="Times New Roman" w:cs="Times New Roman"/>
          <w:sz w:val="24"/>
          <w:szCs w:val="24"/>
        </w:rPr>
        <w:t>Subject: Submission of Report on, “A Comprehensive Study on Performance Evaluation of Ten Mutual Funds in Bangladesh”</w:t>
      </w:r>
    </w:p>
    <w:p w:rsidR="00A96982" w:rsidRPr="00A96982" w:rsidRDefault="00A96982" w:rsidP="00A96982">
      <w:pPr>
        <w:spacing w:line="360" w:lineRule="auto"/>
        <w:rPr>
          <w:rFonts w:ascii="Times New Roman" w:eastAsia="Times New Roman" w:hAnsi="Times New Roman" w:cs="Times New Roman"/>
          <w:sz w:val="24"/>
          <w:szCs w:val="24"/>
        </w:rPr>
      </w:pPr>
      <w:r w:rsidRPr="00A96982">
        <w:rPr>
          <w:rFonts w:ascii="Times New Roman" w:eastAsia="Times New Roman" w:hAnsi="Times New Roman" w:cs="Times New Roman"/>
          <w:sz w:val="24"/>
          <w:szCs w:val="24"/>
        </w:rPr>
        <w:t xml:space="preserve">                                                                                                           </w:t>
      </w:r>
    </w:p>
    <w:p w:rsidR="00A96982" w:rsidRPr="00A96982" w:rsidRDefault="00A96982" w:rsidP="00A96982">
      <w:pPr>
        <w:spacing w:line="360" w:lineRule="auto"/>
        <w:rPr>
          <w:rFonts w:ascii="Times New Roman" w:eastAsia="Times New Roman" w:hAnsi="Times New Roman" w:cs="Times New Roman"/>
          <w:sz w:val="24"/>
          <w:szCs w:val="24"/>
        </w:rPr>
      </w:pPr>
      <w:r w:rsidRPr="00A96982">
        <w:rPr>
          <w:rFonts w:ascii="Times New Roman" w:eastAsia="Times New Roman" w:hAnsi="Times New Roman" w:cs="Times New Roman"/>
          <w:sz w:val="24"/>
          <w:szCs w:val="24"/>
        </w:rPr>
        <w:t>Sir,</w:t>
      </w:r>
    </w:p>
    <w:p w:rsidR="00A96982" w:rsidRPr="00A96982" w:rsidRDefault="00A96982" w:rsidP="00A96982">
      <w:pPr>
        <w:spacing w:line="360" w:lineRule="auto"/>
        <w:jc w:val="both"/>
        <w:rPr>
          <w:rFonts w:ascii="Times New Roman" w:eastAsia="Times New Roman" w:hAnsi="Times New Roman" w:cs="Times New Roman"/>
          <w:sz w:val="24"/>
          <w:szCs w:val="24"/>
        </w:rPr>
      </w:pPr>
      <w:r w:rsidRPr="00A96982">
        <w:rPr>
          <w:rFonts w:ascii="Times New Roman" w:eastAsia="Times New Roman" w:hAnsi="Times New Roman" w:cs="Times New Roman"/>
          <w:sz w:val="24"/>
          <w:szCs w:val="24"/>
        </w:rPr>
        <w:t>With great honor and due respect I would like to take the pleasure of presenting you this report that were assigned by you as per as</w:t>
      </w:r>
      <w:r w:rsidR="00960995">
        <w:rPr>
          <w:rFonts w:ascii="Times New Roman" w:eastAsia="Times New Roman" w:hAnsi="Times New Roman" w:cs="Times New Roman"/>
          <w:sz w:val="24"/>
          <w:szCs w:val="24"/>
        </w:rPr>
        <w:t xml:space="preserve"> requirement of my project work</w:t>
      </w:r>
      <w:r w:rsidR="002A39B1">
        <w:rPr>
          <w:rFonts w:ascii="Times New Roman" w:eastAsia="Times New Roman" w:hAnsi="Times New Roman" w:cs="Times New Roman"/>
          <w:sz w:val="24"/>
          <w:szCs w:val="24"/>
        </w:rPr>
        <w:t>, “INT 4399”.</w:t>
      </w:r>
      <w:r w:rsidRPr="00A96982">
        <w:rPr>
          <w:rFonts w:ascii="Times New Roman" w:eastAsia="Times New Roman" w:hAnsi="Times New Roman" w:cs="Times New Roman"/>
          <w:sz w:val="24"/>
          <w:szCs w:val="24"/>
        </w:rPr>
        <w:t xml:space="preserve"> </w:t>
      </w:r>
    </w:p>
    <w:p w:rsidR="00A96982" w:rsidRPr="00A96982" w:rsidRDefault="00A96982" w:rsidP="00A96982">
      <w:pPr>
        <w:spacing w:line="360" w:lineRule="auto"/>
        <w:jc w:val="both"/>
        <w:rPr>
          <w:rFonts w:ascii="Times New Roman" w:eastAsia="Times New Roman" w:hAnsi="Times New Roman" w:cs="Times New Roman"/>
          <w:sz w:val="24"/>
          <w:szCs w:val="24"/>
        </w:rPr>
      </w:pPr>
      <w:r w:rsidRPr="00A96982">
        <w:rPr>
          <w:rFonts w:ascii="Times New Roman" w:eastAsia="Times New Roman" w:hAnsi="Times New Roman" w:cs="Times New Roman"/>
          <w:sz w:val="24"/>
          <w:szCs w:val="24"/>
        </w:rPr>
        <w:t xml:space="preserve">The whole report was prepared following your instruction and guideline. I have put a lot of effort in completion of the report and tried my best to make it precise and comprehensive. I believe my hard work will be able to meet your expectation. </w:t>
      </w:r>
    </w:p>
    <w:p w:rsidR="00A96982" w:rsidRPr="00A96982" w:rsidRDefault="00A96982" w:rsidP="00A96982">
      <w:pPr>
        <w:spacing w:line="360" w:lineRule="auto"/>
        <w:jc w:val="both"/>
        <w:rPr>
          <w:rFonts w:ascii="Times New Roman" w:eastAsia="Times New Roman" w:hAnsi="Times New Roman" w:cs="Times New Roman"/>
          <w:sz w:val="24"/>
          <w:szCs w:val="24"/>
        </w:rPr>
      </w:pPr>
      <w:r w:rsidRPr="00A96982">
        <w:rPr>
          <w:rFonts w:ascii="Times New Roman" w:eastAsia="Times New Roman" w:hAnsi="Times New Roman" w:cs="Times New Roman"/>
          <w:sz w:val="24"/>
          <w:szCs w:val="24"/>
        </w:rPr>
        <w:t xml:space="preserve">It would be very kind if you accept the report and give your valuable time to revise the report. I would be happy to response on any of your queries and welcome any feedback you want to give me. </w:t>
      </w:r>
    </w:p>
    <w:p w:rsidR="00A96982" w:rsidRPr="00A96982" w:rsidRDefault="00A96982" w:rsidP="00A96982">
      <w:pPr>
        <w:spacing w:line="360" w:lineRule="auto"/>
        <w:jc w:val="both"/>
        <w:rPr>
          <w:rFonts w:ascii="Times New Roman" w:eastAsia="Times New Roman" w:hAnsi="Times New Roman" w:cs="Times New Roman"/>
          <w:sz w:val="24"/>
          <w:szCs w:val="24"/>
        </w:rPr>
      </w:pPr>
    </w:p>
    <w:p w:rsidR="00A96982" w:rsidRPr="00A96982" w:rsidRDefault="00A96982" w:rsidP="00A96982">
      <w:pPr>
        <w:spacing w:line="360" w:lineRule="auto"/>
        <w:jc w:val="both"/>
        <w:rPr>
          <w:rFonts w:ascii="Times New Roman" w:eastAsia="Times New Roman" w:hAnsi="Times New Roman" w:cs="Times New Roman"/>
          <w:sz w:val="24"/>
          <w:szCs w:val="24"/>
        </w:rPr>
      </w:pPr>
      <w:r w:rsidRPr="00A96982">
        <w:rPr>
          <w:rFonts w:ascii="Times New Roman" w:eastAsia="Times New Roman" w:hAnsi="Times New Roman" w:cs="Times New Roman"/>
          <w:sz w:val="24"/>
          <w:szCs w:val="24"/>
        </w:rPr>
        <w:t>Thank You.</w:t>
      </w:r>
    </w:p>
    <w:p w:rsidR="00A96982" w:rsidRPr="00A96982" w:rsidRDefault="00A96982" w:rsidP="00A96982">
      <w:pPr>
        <w:spacing w:line="360" w:lineRule="auto"/>
        <w:jc w:val="both"/>
        <w:rPr>
          <w:rFonts w:ascii="Times New Roman" w:eastAsia="Times New Roman" w:hAnsi="Times New Roman" w:cs="Times New Roman"/>
          <w:sz w:val="24"/>
          <w:szCs w:val="24"/>
        </w:rPr>
      </w:pPr>
    </w:p>
    <w:p w:rsidR="00A96982" w:rsidRPr="00A96982" w:rsidRDefault="00A96982" w:rsidP="00A96982">
      <w:pPr>
        <w:spacing w:line="360" w:lineRule="auto"/>
        <w:jc w:val="both"/>
        <w:rPr>
          <w:rFonts w:ascii="Times New Roman" w:eastAsia="Times New Roman" w:hAnsi="Times New Roman" w:cs="Times New Roman"/>
          <w:sz w:val="24"/>
          <w:szCs w:val="24"/>
        </w:rPr>
      </w:pPr>
      <w:r w:rsidRPr="00A96982">
        <w:rPr>
          <w:rFonts w:ascii="Times New Roman" w:eastAsia="Times New Roman" w:hAnsi="Times New Roman" w:cs="Times New Roman"/>
          <w:sz w:val="24"/>
          <w:szCs w:val="24"/>
        </w:rPr>
        <w:t>Sincerely,</w:t>
      </w:r>
    </w:p>
    <w:p w:rsidR="00A96982" w:rsidRPr="00A96982" w:rsidRDefault="00A96982" w:rsidP="00A96982">
      <w:pPr>
        <w:spacing w:line="360" w:lineRule="auto"/>
        <w:jc w:val="both"/>
        <w:rPr>
          <w:rFonts w:ascii="Times New Roman" w:eastAsia="Times New Roman" w:hAnsi="Times New Roman" w:cs="Times New Roman"/>
          <w:sz w:val="24"/>
          <w:szCs w:val="24"/>
        </w:rPr>
      </w:pPr>
      <w:r w:rsidRPr="00A96982">
        <w:rPr>
          <w:rFonts w:ascii="Times New Roman" w:eastAsia="Times New Roman" w:hAnsi="Times New Roman" w:cs="Times New Roman"/>
          <w:sz w:val="24"/>
          <w:szCs w:val="24"/>
        </w:rPr>
        <w:t>_________________________</w:t>
      </w:r>
    </w:p>
    <w:p w:rsidR="00A96982" w:rsidRPr="00A96982" w:rsidRDefault="00A96982" w:rsidP="00A96982">
      <w:pPr>
        <w:spacing w:line="360" w:lineRule="auto"/>
        <w:contextualSpacing/>
        <w:jc w:val="both"/>
        <w:rPr>
          <w:rFonts w:ascii="Times New Roman" w:eastAsia="Times New Roman" w:hAnsi="Times New Roman" w:cs="Times New Roman"/>
          <w:sz w:val="24"/>
          <w:szCs w:val="24"/>
        </w:rPr>
      </w:pPr>
      <w:r w:rsidRPr="00A96982">
        <w:rPr>
          <w:rFonts w:ascii="Times New Roman" w:eastAsia="Times New Roman" w:hAnsi="Times New Roman" w:cs="Times New Roman"/>
          <w:sz w:val="24"/>
          <w:szCs w:val="24"/>
        </w:rPr>
        <w:t xml:space="preserve">Md. </w:t>
      </w:r>
      <w:proofErr w:type="spellStart"/>
      <w:r w:rsidRPr="00A96982">
        <w:rPr>
          <w:rFonts w:ascii="Times New Roman" w:eastAsia="Times New Roman" w:hAnsi="Times New Roman" w:cs="Times New Roman"/>
          <w:sz w:val="24"/>
          <w:szCs w:val="24"/>
        </w:rPr>
        <w:t>Moin</w:t>
      </w:r>
      <w:proofErr w:type="spellEnd"/>
      <w:r w:rsidRPr="00A96982">
        <w:rPr>
          <w:rFonts w:ascii="Times New Roman" w:eastAsia="Times New Roman" w:hAnsi="Times New Roman" w:cs="Times New Roman"/>
          <w:sz w:val="24"/>
          <w:szCs w:val="24"/>
        </w:rPr>
        <w:t xml:space="preserve"> Khan</w:t>
      </w:r>
    </w:p>
    <w:p w:rsidR="00A96982" w:rsidRPr="00A96982" w:rsidRDefault="00A96982" w:rsidP="00A96982">
      <w:pPr>
        <w:spacing w:line="360" w:lineRule="auto"/>
        <w:jc w:val="both"/>
        <w:rPr>
          <w:rFonts w:ascii="Times New Roman" w:eastAsia="Times New Roman" w:hAnsi="Times New Roman" w:cs="Times New Roman"/>
          <w:sz w:val="24"/>
          <w:szCs w:val="24"/>
        </w:rPr>
      </w:pPr>
      <w:r w:rsidRPr="00A96982">
        <w:rPr>
          <w:rFonts w:ascii="Times New Roman" w:eastAsia="Times New Roman" w:hAnsi="Times New Roman" w:cs="Times New Roman"/>
          <w:sz w:val="24"/>
          <w:szCs w:val="24"/>
        </w:rPr>
        <w:t>ID: 111 151 568</w:t>
      </w:r>
    </w:p>
    <w:p w:rsidR="00F75A34" w:rsidRDefault="00F75A34" w:rsidP="00F75A34">
      <w:pPr>
        <w:spacing w:line="360" w:lineRule="auto"/>
        <w:jc w:val="center"/>
        <w:rPr>
          <w:rFonts w:ascii="Times New Roman" w:hAnsi="Times New Roman" w:cs="Times New Roman"/>
          <w:b/>
          <w:sz w:val="36"/>
          <w:szCs w:val="36"/>
        </w:rPr>
      </w:pPr>
    </w:p>
    <w:p w:rsidR="002E56EC" w:rsidRPr="002E56EC" w:rsidRDefault="00A96982" w:rsidP="00F75A34">
      <w:pPr>
        <w:spacing w:line="360" w:lineRule="auto"/>
        <w:jc w:val="center"/>
        <w:rPr>
          <w:rFonts w:ascii="Times New Roman" w:hAnsi="Times New Roman" w:cs="Times New Roman"/>
          <w:b/>
          <w:sz w:val="36"/>
          <w:szCs w:val="36"/>
        </w:rPr>
      </w:pPr>
      <w:r w:rsidRPr="002E56EC">
        <w:rPr>
          <w:rFonts w:ascii="Times New Roman" w:hAnsi="Times New Roman" w:cs="Times New Roman"/>
          <w:b/>
          <w:sz w:val="36"/>
          <w:szCs w:val="36"/>
        </w:rPr>
        <w:t>Acknowledgement</w:t>
      </w:r>
    </w:p>
    <w:p w:rsidR="00A96982" w:rsidRDefault="00A96982" w:rsidP="00A96982">
      <w:pPr>
        <w:spacing w:line="360" w:lineRule="auto"/>
        <w:jc w:val="both"/>
        <w:rPr>
          <w:rFonts w:ascii="Times New Roman" w:hAnsi="Times New Roman" w:cs="Times New Roman"/>
          <w:sz w:val="24"/>
          <w:szCs w:val="24"/>
        </w:rPr>
      </w:pPr>
      <w:r w:rsidRPr="00A96982">
        <w:rPr>
          <w:rFonts w:ascii="Times New Roman" w:eastAsia="Times New Roman" w:hAnsi="Times New Roman" w:cs="Times New Roman"/>
          <w:sz w:val="24"/>
          <w:szCs w:val="24"/>
        </w:rPr>
        <w:t xml:space="preserve">At first, I would like to express my gratitude to Mr. Muhammad </w:t>
      </w:r>
      <w:proofErr w:type="spellStart"/>
      <w:r w:rsidRPr="00A96982">
        <w:rPr>
          <w:rFonts w:ascii="Times New Roman" w:eastAsia="Times New Roman" w:hAnsi="Times New Roman" w:cs="Times New Roman"/>
          <w:sz w:val="24"/>
          <w:szCs w:val="24"/>
        </w:rPr>
        <w:t>Enamul</w:t>
      </w:r>
      <w:proofErr w:type="spellEnd"/>
      <w:r w:rsidRPr="00A96982">
        <w:rPr>
          <w:rFonts w:ascii="Times New Roman" w:eastAsia="Times New Roman" w:hAnsi="Times New Roman" w:cs="Times New Roman"/>
          <w:sz w:val="24"/>
          <w:szCs w:val="24"/>
        </w:rPr>
        <w:t xml:space="preserve"> </w:t>
      </w:r>
      <w:proofErr w:type="spellStart"/>
      <w:r w:rsidRPr="00A96982">
        <w:rPr>
          <w:rFonts w:ascii="Times New Roman" w:eastAsia="Times New Roman" w:hAnsi="Times New Roman" w:cs="Times New Roman"/>
          <w:sz w:val="24"/>
          <w:szCs w:val="24"/>
        </w:rPr>
        <w:t>Haque</w:t>
      </w:r>
      <w:proofErr w:type="spellEnd"/>
      <w:r w:rsidRPr="00A96982">
        <w:rPr>
          <w:rFonts w:ascii="Times New Roman" w:eastAsia="Times New Roman" w:hAnsi="Times New Roman" w:cs="Times New Roman"/>
          <w:sz w:val="24"/>
          <w:szCs w:val="24"/>
        </w:rPr>
        <w:t xml:space="preserve"> for giving me opportunity to prepare this report. </w:t>
      </w:r>
      <w:r w:rsidRPr="00A96982">
        <w:rPr>
          <w:rFonts w:ascii="Times New Roman" w:hAnsi="Times New Roman" w:cs="Times New Roman"/>
          <w:sz w:val="24"/>
          <w:szCs w:val="24"/>
        </w:rPr>
        <w:t xml:space="preserve">Without whom this report would not have been possible to accomplish. His continuous guidance and consultation enabled me to prepare this complicated report within a short period. </w:t>
      </w:r>
    </w:p>
    <w:p w:rsidR="00F75A34" w:rsidRDefault="00A96982" w:rsidP="00A96982">
      <w:pPr>
        <w:spacing w:line="360" w:lineRule="auto"/>
        <w:jc w:val="both"/>
        <w:rPr>
          <w:rFonts w:ascii="Times New Roman" w:hAnsi="Times New Roman" w:cs="Times New Roman"/>
          <w:iCs/>
          <w:sz w:val="24"/>
          <w:szCs w:val="24"/>
        </w:rPr>
      </w:pPr>
      <w:r w:rsidRPr="00A96982">
        <w:rPr>
          <w:rFonts w:ascii="Times New Roman" w:hAnsi="Times New Roman" w:cs="Times New Roman"/>
          <w:iCs/>
          <w:sz w:val="24"/>
          <w:szCs w:val="24"/>
        </w:rPr>
        <w:t>Secondly,</w:t>
      </w:r>
      <w:r w:rsidRPr="00A96982">
        <w:rPr>
          <w:rFonts w:ascii="Times New Roman" w:hAnsi="Times New Roman" w:cs="Times New Roman"/>
          <w:sz w:val="24"/>
          <w:szCs w:val="24"/>
        </w:rPr>
        <w:t xml:space="preserve"> I would like to thank the concerned authority of Dhaka Stock Exchange Commission for providing most of the necessary information via their website. </w:t>
      </w:r>
      <w:r w:rsidRPr="00A96982">
        <w:rPr>
          <w:rFonts w:ascii="Times New Roman" w:hAnsi="Times New Roman" w:cs="Times New Roman"/>
          <w:iCs/>
          <w:sz w:val="24"/>
          <w:szCs w:val="24"/>
        </w:rPr>
        <w:t>I would also like to thank the authority of the selected Mutual Funds, their Asset Management Companies, Trustees and Custodians for making several crucial information publicly available which I us</w:t>
      </w:r>
      <w:r w:rsidR="00F75A34">
        <w:rPr>
          <w:rFonts w:ascii="Times New Roman" w:hAnsi="Times New Roman" w:cs="Times New Roman"/>
          <w:iCs/>
          <w:sz w:val="24"/>
          <w:szCs w:val="24"/>
        </w:rPr>
        <w:t>ed on my report.</w:t>
      </w:r>
    </w:p>
    <w:p w:rsidR="00A96982" w:rsidRPr="00F75A34" w:rsidRDefault="00A96982" w:rsidP="00A96982">
      <w:pPr>
        <w:spacing w:line="360" w:lineRule="auto"/>
        <w:jc w:val="both"/>
        <w:rPr>
          <w:rFonts w:ascii="Times New Roman" w:hAnsi="Times New Roman" w:cs="Times New Roman"/>
          <w:iCs/>
          <w:sz w:val="24"/>
          <w:szCs w:val="24"/>
        </w:rPr>
      </w:pPr>
      <w:r w:rsidRPr="00A96982">
        <w:rPr>
          <w:rFonts w:ascii="Times New Roman" w:hAnsi="Times New Roman" w:cs="Times New Roman"/>
          <w:iCs/>
          <w:sz w:val="24"/>
          <w:szCs w:val="24"/>
        </w:rPr>
        <w:t xml:space="preserve">Thirdly, I would like to share my appreciation for authors of several articles and books as their work contributed on my report significantly. Without their writings, it was not even possible for me to select the topic of the report or choosing the model of this study.   </w:t>
      </w:r>
    </w:p>
    <w:p w:rsidR="00A96982" w:rsidRPr="00A96982" w:rsidRDefault="00A96982" w:rsidP="00A96982">
      <w:pPr>
        <w:spacing w:line="360" w:lineRule="auto"/>
        <w:jc w:val="both"/>
        <w:rPr>
          <w:rFonts w:ascii="Times New Roman" w:hAnsi="Times New Roman" w:cs="Times New Roman"/>
          <w:sz w:val="24"/>
          <w:szCs w:val="24"/>
        </w:rPr>
      </w:pPr>
      <w:r w:rsidRPr="00A96982">
        <w:rPr>
          <w:rFonts w:ascii="Times New Roman" w:hAnsi="Times New Roman" w:cs="Times New Roman"/>
          <w:sz w:val="24"/>
          <w:szCs w:val="24"/>
        </w:rPr>
        <w:t xml:space="preserve">Finally, I would like to give a special thanks to the authority of United International University for allowing me to work on this project report, which has allowed me to gain a lot of practical knowledge.   </w:t>
      </w:r>
    </w:p>
    <w:p w:rsidR="00A96982" w:rsidRPr="00A96982" w:rsidRDefault="00A96982" w:rsidP="00A96982">
      <w:pPr>
        <w:spacing w:line="360" w:lineRule="auto"/>
        <w:jc w:val="both"/>
        <w:rPr>
          <w:rFonts w:ascii="Times New Roman" w:hAnsi="Times New Roman" w:cs="Times New Roman"/>
          <w:sz w:val="24"/>
          <w:szCs w:val="24"/>
        </w:rPr>
      </w:pPr>
    </w:p>
    <w:p w:rsidR="00A96982" w:rsidRPr="00A96982" w:rsidRDefault="00A96982" w:rsidP="00A96982">
      <w:pPr>
        <w:spacing w:line="360" w:lineRule="auto"/>
        <w:jc w:val="both"/>
        <w:rPr>
          <w:rFonts w:ascii="Times New Roman" w:hAnsi="Times New Roman" w:cs="Times New Roman"/>
          <w:sz w:val="24"/>
          <w:szCs w:val="24"/>
        </w:rPr>
      </w:pPr>
    </w:p>
    <w:p w:rsidR="00A96982" w:rsidRPr="00A96982" w:rsidRDefault="00A96982" w:rsidP="00A96982">
      <w:pPr>
        <w:spacing w:line="360" w:lineRule="auto"/>
        <w:jc w:val="both"/>
        <w:rPr>
          <w:rFonts w:ascii="Times New Roman" w:hAnsi="Times New Roman" w:cs="Times New Roman"/>
          <w:sz w:val="24"/>
          <w:szCs w:val="24"/>
        </w:rPr>
      </w:pPr>
    </w:p>
    <w:p w:rsidR="00A96982" w:rsidRPr="00A96982" w:rsidRDefault="00A96982" w:rsidP="00A96982">
      <w:pPr>
        <w:spacing w:line="360" w:lineRule="auto"/>
        <w:jc w:val="both"/>
        <w:rPr>
          <w:rFonts w:ascii="Times New Roman" w:hAnsi="Times New Roman" w:cs="Times New Roman"/>
          <w:sz w:val="24"/>
          <w:szCs w:val="24"/>
        </w:rPr>
      </w:pPr>
    </w:p>
    <w:p w:rsidR="00A96982" w:rsidRPr="00A96982" w:rsidRDefault="00A96982" w:rsidP="00A96982">
      <w:pPr>
        <w:spacing w:line="360" w:lineRule="auto"/>
        <w:jc w:val="both"/>
        <w:rPr>
          <w:rFonts w:ascii="Times New Roman" w:hAnsi="Times New Roman" w:cs="Times New Roman"/>
          <w:sz w:val="24"/>
          <w:szCs w:val="24"/>
        </w:rPr>
      </w:pPr>
    </w:p>
    <w:p w:rsidR="00A96982" w:rsidRPr="00A96982" w:rsidRDefault="00A96982" w:rsidP="00A96982">
      <w:pPr>
        <w:spacing w:line="360" w:lineRule="auto"/>
        <w:jc w:val="both"/>
        <w:rPr>
          <w:rFonts w:ascii="Times New Roman" w:hAnsi="Times New Roman" w:cs="Times New Roman"/>
          <w:sz w:val="24"/>
          <w:szCs w:val="24"/>
        </w:rPr>
      </w:pPr>
    </w:p>
    <w:p w:rsidR="00A96982" w:rsidRPr="00A96982" w:rsidRDefault="00A96982" w:rsidP="00A96982">
      <w:pPr>
        <w:spacing w:line="360" w:lineRule="auto"/>
        <w:jc w:val="both"/>
        <w:rPr>
          <w:rFonts w:ascii="Times New Roman" w:hAnsi="Times New Roman" w:cs="Times New Roman"/>
          <w:sz w:val="24"/>
          <w:szCs w:val="24"/>
        </w:rPr>
      </w:pPr>
    </w:p>
    <w:p w:rsidR="00A96982" w:rsidRPr="00A96982" w:rsidRDefault="00A96982" w:rsidP="00A96982">
      <w:pPr>
        <w:spacing w:line="360" w:lineRule="auto"/>
        <w:jc w:val="both"/>
        <w:rPr>
          <w:rFonts w:ascii="Times New Roman" w:hAnsi="Times New Roman" w:cs="Times New Roman"/>
          <w:sz w:val="24"/>
          <w:szCs w:val="24"/>
        </w:rPr>
      </w:pPr>
    </w:p>
    <w:p w:rsidR="00A96982" w:rsidRPr="00A96982" w:rsidRDefault="00A96982" w:rsidP="00A96982">
      <w:pPr>
        <w:spacing w:line="360" w:lineRule="auto"/>
        <w:jc w:val="both"/>
        <w:rPr>
          <w:rFonts w:ascii="Times New Roman" w:hAnsi="Times New Roman" w:cs="Times New Roman"/>
          <w:sz w:val="24"/>
          <w:szCs w:val="24"/>
        </w:rPr>
      </w:pPr>
    </w:p>
    <w:p w:rsidR="00A96982" w:rsidRDefault="00A96982" w:rsidP="00A96982">
      <w:pPr>
        <w:spacing w:line="360" w:lineRule="auto"/>
        <w:jc w:val="both"/>
        <w:rPr>
          <w:rFonts w:ascii="Times New Roman" w:hAnsi="Times New Roman" w:cs="Times New Roman"/>
          <w:sz w:val="24"/>
          <w:szCs w:val="24"/>
        </w:rPr>
      </w:pPr>
    </w:p>
    <w:p w:rsidR="00A96982" w:rsidRDefault="00A96982" w:rsidP="00A96982">
      <w:pPr>
        <w:spacing w:line="360" w:lineRule="auto"/>
        <w:jc w:val="both"/>
        <w:rPr>
          <w:rFonts w:ascii="Times New Roman" w:hAnsi="Times New Roman" w:cs="Times New Roman"/>
          <w:sz w:val="24"/>
          <w:szCs w:val="24"/>
        </w:rPr>
      </w:pPr>
    </w:p>
    <w:p w:rsidR="00A96982" w:rsidRPr="00F75A34" w:rsidRDefault="00A96982" w:rsidP="00F75A34">
      <w:pPr>
        <w:spacing w:line="360" w:lineRule="auto"/>
        <w:jc w:val="center"/>
        <w:rPr>
          <w:rFonts w:ascii="Times New Roman" w:hAnsi="Times New Roman" w:cs="Times New Roman"/>
          <w:b/>
          <w:sz w:val="36"/>
          <w:szCs w:val="36"/>
        </w:rPr>
      </w:pPr>
      <w:r w:rsidRPr="00F75A34">
        <w:rPr>
          <w:rFonts w:ascii="Times New Roman" w:hAnsi="Times New Roman" w:cs="Times New Roman"/>
          <w:b/>
          <w:sz w:val="36"/>
          <w:szCs w:val="36"/>
        </w:rPr>
        <w:t>Executive Summary</w:t>
      </w:r>
    </w:p>
    <w:p w:rsidR="00A96982" w:rsidRPr="00A96982" w:rsidRDefault="002C4E62" w:rsidP="00A96982">
      <w:pPr>
        <w:spacing w:line="360" w:lineRule="auto"/>
        <w:jc w:val="both"/>
        <w:rPr>
          <w:rFonts w:ascii="Times New Roman" w:hAnsi="Times New Roman" w:cs="Times New Roman"/>
          <w:sz w:val="24"/>
          <w:szCs w:val="24"/>
        </w:rPr>
      </w:pPr>
      <w:r w:rsidRPr="00A96982">
        <w:rPr>
          <w:rFonts w:ascii="Times New Roman" w:hAnsi="Times New Roman" w:cs="Times New Roman"/>
          <w:sz w:val="24"/>
          <w:szCs w:val="24"/>
        </w:rPr>
        <w:t>This report includes</w:t>
      </w:r>
      <w:r w:rsidR="00A96982" w:rsidRPr="00A96982">
        <w:rPr>
          <w:rFonts w:ascii="Times New Roman" w:hAnsi="Times New Roman" w:cs="Times New Roman"/>
          <w:sz w:val="24"/>
          <w:szCs w:val="24"/>
        </w:rPr>
        <w:t xml:space="preserve"> a comparative study on performance evaluation of ten mutual funds in Bangladesh. Evaluating the performance of mutual fund industry of Bangladesh was the prime objective of this study. To fulfill the objective of the study, we have considered four models that are Sharpe ratio, </w:t>
      </w:r>
      <w:proofErr w:type="spellStart"/>
      <w:r w:rsidR="00A96982" w:rsidRPr="00A96982">
        <w:rPr>
          <w:rFonts w:ascii="Times New Roman" w:hAnsi="Times New Roman" w:cs="Times New Roman"/>
          <w:sz w:val="24"/>
          <w:szCs w:val="24"/>
        </w:rPr>
        <w:t>Treynor</w:t>
      </w:r>
      <w:proofErr w:type="spellEnd"/>
      <w:r w:rsidR="00A96982" w:rsidRPr="00A96982">
        <w:rPr>
          <w:rFonts w:ascii="Times New Roman" w:hAnsi="Times New Roman" w:cs="Times New Roman"/>
          <w:sz w:val="24"/>
          <w:szCs w:val="24"/>
        </w:rPr>
        <w:t xml:space="preserve"> ratio, Jensen’s index and Capital Asset Pricing Model. The chosen models were applied on ten randomly selected mutual funds, which </w:t>
      </w:r>
      <w:r w:rsidRPr="00A96982">
        <w:rPr>
          <w:rFonts w:ascii="Times New Roman" w:hAnsi="Times New Roman" w:cs="Times New Roman"/>
          <w:sz w:val="24"/>
          <w:szCs w:val="24"/>
        </w:rPr>
        <w:t>include</w:t>
      </w:r>
      <w:r w:rsidR="00A96982" w:rsidRPr="00A96982">
        <w:rPr>
          <w:rFonts w:ascii="Times New Roman" w:hAnsi="Times New Roman" w:cs="Times New Roman"/>
          <w:sz w:val="24"/>
          <w:szCs w:val="24"/>
        </w:rPr>
        <w:t xml:space="preserve"> ABB1STMF, AIBL1STMF, ATCSLGF, DBH1STMF, EBL1SMF, EBLNRBMF, 1JANATAMF, 1STPRIMFMF, EXIM1STMF and FBFIF.  In the first part of the report an introduction of mutual fund were provided. After that, the theoretic models were discussed. It even contains some basic financial and statistical analysis. Advanced analysis based on the adopted model were included on the last part just before summary of findings. Last of all a concluding remarks were drawn. On the analytical portion lot of charts and graphs were used to provide visual demonstration of performance and side-by-side comparison. The findings of the study reflect unstable condition of mutual fund industry in Bangladesh as none of the mutual fund </w:t>
      </w:r>
      <w:r w:rsidRPr="00A96982">
        <w:rPr>
          <w:rFonts w:ascii="Times New Roman" w:hAnsi="Times New Roman" w:cs="Times New Roman"/>
          <w:sz w:val="24"/>
          <w:szCs w:val="24"/>
        </w:rPr>
        <w:t>was</w:t>
      </w:r>
      <w:r w:rsidR="00A96982" w:rsidRPr="00A96982">
        <w:rPr>
          <w:rFonts w:ascii="Times New Roman" w:hAnsi="Times New Roman" w:cs="Times New Roman"/>
          <w:sz w:val="24"/>
          <w:szCs w:val="24"/>
        </w:rPr>
        <w:t xml:space="preserve"> actually able to provide any sign of good performance in terms of NAV. In consideration of closing share price DBH1STMF has scored positive figure on every single models that were applied in this study, which made it the best performing mutual fund among the ten selected samples.        </w:t>
      </w:r>
    </w:p>
    <w:p w:rsidR="002B77AF" w:rsidRDefault="002B77AF">
      <w:pPr>
        <w:rPr>
          <w:rFonts w:ascii="Times New Roman" w:hAnsi="Times New Roman" w:cs="Times New Roman"/>
          <w:sz w:val="24"/>
          <w:szCs w:val="24"/>
        </w:rPr>
      </w:pPr>
    </w:p>
    <w:p w:rsidR="002B77AF" w:rsidRDefault="002B77AF">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color w:val="auto"/>
          <w:sz w:val="22"/>
          <w:szCs w:val="22"/>
        </w:rPr>
        <w:id w:val="-2013590931"/>
        <w:docPartObj>
          <w:docPartGallery w:val="Table of Contents"/>
          <w:docPartUnique/>
        </w:docPartObj>
      </w:sdtPr>
      <w:sdtEndPr>
        <w:rPr>
          <w:b/>
          <w:bCs/>
          <w:noProof/>
        </w:rPr>
      </w:sdtEndPr>
      <w:sdtContent>
        <w:p w:rsidR="005C425D" w:rsidRDefault="005C425D">
          <w:pPr>
            <w:pStyle w:val="TOCHeading"/>
          </w:pPr>
          <w:r>
            <w:t>Table of Contents</w:t>
          </w:r>
        </w:p>
        <w:p w:rsidR="00FD5387" w:rsidRDefault="005C425D">
          <w:pPr>
            <w:pStyle w:val="TOC1"/>
            <w:tabs>
              <w:tab w:val="right" w:leader="dot" w:pos="9016"/>
            </w:tabs>
            <w:rPr>
              <w:rFonts w:cstheme="minorBidi"/>
              <w:noProof/>
            </w:rPr>
          </w:pPr>
          <w:r>
            <w:rPr>
              <w:b/>
              <w:bCs/>
              <w:noProof/>
            </w:rPr>
            <w:fldChar w:fldCharType="begin"/>
          </w:r>
          <w:r>
            <w:rPr>
              <w:b/>
              <w:bCs/>
              <w:noProof/>
            </w:rPr>
            <w:instrText xml:space="preserve"> TOC \o "1-3" \h \z \u </w:instrText>
          </w:r>
          <w:r>
            <w:rPr>
              <w:b/>
              <w:bCs/>
              <w:noProof/>
            </w:rPr>
            <w:fldChar w:fldCharType="separate"/>
          </w:r>
          <w:hyperlink w:anchor="_Toc13070797" w:history="1">
            <w:r w:rsidR="00FD5387" w:rsidRPr="00D43735">
              <w:rPr>
                <w:rStyle w:val="Hyperlink"/>
                <w:rFonts w:ascii="Times New Roman" w:hAnsi="Times New Roman"/>
                <w:b/>
                <w:noProof/>
              </w:rPr>
              <w:t>Chapter 1</w:t>
            </w:r>
            <w:r w:rsidR="00FD5387">
              <w:rPr>
                <w:noProof/>
                <w:webHidden/>
              </w:rPr>
              <w:tab/>
            </w:r>
            <w:r w:rsidR="00FD5387">
              <w:rPr>
                <w:noProof/>
                <w:webHidden/>
              </w:rPr>
              <w:fldChar w:fldCharType="begin"/>
            </w:r>
            <w:r w:rsidR="00FD5387">
              <w:rPr>
                <w:noProof/>
                <w:webHidden/>
              </w:rPr>
              <w:instrText xml:space="preserve"> PAGEREF _Toc13070797 \h </w:instrText>
            </w:r>
            <w:r w:rsidR="00FD5387">
              <w:rPr>
                <w:noProof/>
                <w:webHidden/>
              </w:rPr>
            </w:r>
            <w:r w:rsidR="00FD5387">
              <w:rPr>
                <w:noProof/>
                <w:webHidden/>
              </w:rPr>
              <w:fldChar w:fldCharType="separate"/>
            </w:r>
            <w:r w:rsidR="00FD5387">
              <w:rPr>
                <w:noProof/>
                <w:webHidden/>
              </w:rPr>
              <w:t>1</w:t>
            </w:r>
            <w:r w:rsidR="00FD5387">
              <w:rPr>
                <w:noProof/>
                <w:webHidden/>
              </w:rPr>
              <w:fldChar w:fldCharType="end"/>
            </w:r>
          </w:hyperlink>
        </w:p>
        <w:p w:rsidR="00FD5387" w:rsidRDefault="00EB3B47">
          <w:pPr>
            <w:pStyle w:val="TOC1"/>
            <w:tabs>
              <w:tab w:val="right" w:leader="dot" w:pos="9016"/>
            </w:tabs>
            <w:rPr>
              <w:rFonts w:cstheme="minorBidi"/>
              <w:noProof/>
            </w:rPr>
          </w:pPr>
          <w:hyperlink w:anchor="_Toc13070798" w:history="1">
            <w:r w:rsidR="00FD5387" w:rsidRPr="00D43735">
              <w:rPr>
                <w:rStyle w:val="Hyperlink"/>
                <w:rFonts w:ascii="Times New Roman" w:hAnsi="Times New Roman"/>
                <w:b/>
                <w:noProof/>
              </w:rPr>
              <w:t>Introduction</w:t>
            </w:r>
            <w:r w:rsidR="00FD5387">
              <w:rPr>
                <w:noProof/>
                <w:webHidden/>
              </w:rPr>
              <w:tab/>
            </w:r>
            <w:r w:rsidR="00FD5387">
              <w:rPr>
                <w:noProof/>
                <w:webHidden/>
              </w:rPr>
              <w:fldChar w:fldCharType="begin"/>
            </w:r>
            <w:r w:rsidR="00FD5387">
              <w:rPr>
                <w:noProof/>
                <w:webHidden/>
              </w:rPr>
              <w:instrText xml:space="preserve"> PAGEREF _Toc13070798 \h </w:instrText>
            </w:r>
            <w:r w:rsidR="00FD5387">
              <w:rPr>
                <w:noProof/>
                <w:webHidden/>
              </w:rPr>
            </w:r>
            <w:r w:rsidR="00FD5387">
              <w:rPr>
                <w:noProof/>
                <w:webHidden/>
              </w:rPr>
              <w:fldChar w:fldCharType="separate"/>
            </w:r>
            <w:r w:rsidR="00FD5387">
              <w:rPr>
                <w:noProof/>
                <w:webHidden/>
              </w:rPr>
              <w:t>2</w:t>
            </w:r>
            <w:r w:rsidR="00FD5387">
              <w:rPr>
                <w:noProof/>
                <w:webHidden/>
              </w:rPr>
              <w:fldChar w:fldCharType="end"/>
            </w:r>
          </w:hyperlink>
        </w:p>
        <w:p w:rsidR="00FD5387" w:rsidRDefault="00EB3B47">
          <w:pPr>
            <w:pStyle w:val="TOC2"/>
            <w:tabs>
              <w:tab w:val="right" w:leader="dot" w:pos="9016"/>
            </w:tabs>
            <w:rPr>
              <w:rFonts w:cstheme="minorBidi"/>
              <w:noProof/>
            </w:rPr>
          </w:pPr>
          <w:hyperlink w:anchor="_Toc13070799" w:history="1">
            <w:r w:rsidR="00FD5387" w:rsidRPr="00D43735">
              <w:rPr>
                <w:rStyle w:val="Hyperlink"/>
                <w:rFonts w:ascii="Times New Roman" w:hAnsi="Times New Roman"/>
                <w:b/>
                <w:noProof/>
              </w:rPr>
              <w:t>Origin of the Report</w:t>
            </w:r>
            <w:r w:rsidR="00FD5387">
              <w:rPr>
                <w:noProof/>
                <w:webHidden/>
              </w:rPr>
              <w:tab/>
            </w:r>
            <w:r w:rsidR="00FD5387">
              <w:rPr>
                <w:noProof/>
                <w:webHidden/>
              </w:rPr>
              <w:fldChar w:fldCharType="begin"/>
            </w:r>
            <w:r w:rsidR="00FD5387">
              <w:rPr>
                <w:noProof/>
                <w:webHidden/>
              </w:rPr>
              <w:instrText xml:space="preserve"> PAGEREF _Toc13070799 \h </w:instrText>
            </w:r>
            <w:r w:rsidR="00FD5387">
              <w:rPr>
                <w:noProof/>
                <w:webHidden/>
              </w:rPr>
            </w:r>
            <w:r w:rsidR="00FD5387">
              <w:rPr>
                <w:noProof/>
                <w:webHidden/>
              </w:rPr>
              <w:fldChar w:fldCharType="separate"/>
            </w:r>
            <w:r w:rsidR="00FD5387">
              <w:rPr>
                <w:noProof/>
                <w:webHidden/>
              </w:rPr>
              <w:t>2</w:t>
            </w:r>
            <w:r w:rsidR="00FD5387">
              <w:rPr>
                <w:noProof/>
                <w:webHidden/>
              </w:rPr>
              <w:fldChar w:fldCharType="end"/>
            </w:r>
          </w:hyperlink>
        </w:p>
        <w:p w:rsidR="00FD5387" w:rsidRDefault="00EB3B47">
          <w:pPr>
            <w:pStyle w:val="TOC2"/>
            <w:tabs>
              <w:tab w:val="right" w:leader="dot" w:pos="9016"/>
            </w:tabs>
            <w:rPr>
              <w:rFonts w:cstheme="minorBidi"/>
              <w:noProof/>
            </w:rPr>
          </w:pPr>
          <w:hyperlink w:anchor="_Toc13070800" w:history="1">
            <w:r w:rsidR="00FD5387" w:rsidRPr="00D43735">
              <w:rPr>
                <w:rStyle w:val="Hyperlink"/>
                <w:rFonts w:ascii="Times New Roman" w:hAnsi="Times New Roman"/>
                <w:b/>
                <w:noProof/>
              </w:rPr>
              <w:t>Objectives of the Study</w:t>
            </w:r>
            <w:r w:rsidR="00FD5387">
              <w:rPr>
                <w:noProof/>
                <w:webHidden/>
              </w:rPr>
              <w:tab/>
            </w:r>
            <w:r w:rsidR="00FD5387">
              <w:rPr>
                <w:noProof/>
                <w:webHidden/>
              </w:rPr>
              <w:fldChar w:fldCharType="begin"/>
            </w:r>
            <w:r w:rsidR="00FD5387">
              <w:rPr>
                <w:noProof/>
                <w:webHidden/>
              </w:rPr>
              <w:instrText xml:space="preserve"> PAGEREF _Toc13070800 \h </w:instrText>
            </w:r>
            <w:r w:rsidR="00FD5387">
              <w:rPr>
                <w:noProof/>
                <w:webHidden/>
              </w:rPr>
            </w:r>
            <w:r w:rsidR="00FD5387">
              <w:rPr>
                <w:noProof/>
                <w:webHidden/>
              </w:rPr>
              <w:fldChar w:fldCharType="separate"/>
            </w:r>
            <w:r w:rsidR="00FD5387">
              <w:rPr>
                <w:noProof/>
                <w:webHidden/>
              </w:rPr>
              <w:t>3</w:t>
            </w:r>
            <w:r w:rsidR="00FD5387">
              <w:rPr>
                <w:noProof/>
                <w:webHidden/>
              </w:rPr>
              <w:fldChar w:fldCharType="end"/>
            </w:r>
          </w:hyperlink>
        </w:p>
        <w:p w:rsidR="00FD5387" w:rsidRDefault="00EB3B47">
          <w:pPr>
            <w:pStyle w:val="TOC2"/>
            <w:tabs>
              <w:tab w:val="right" w:leader="dot" w:pos="9016"/>
            </w:tabs>
            <w:rPr>
              <w:rFonts w:cstheme="minorBidi"/>
              <w:noProof/>
            </w:rPr>
          </w:pPr>
          <w:hyperlink w:anchor="_Toc13070801" w:history="1">
            <w:r w:rsidR="00FD5387" w:rsidRPr="00D43735">
              <w:rPr>
                <w:rStyle w:val="Hyperlink"/>
                <w:rFonts w:ascii="Times New Roman" w:hAnsi="Times New Roman"/>
                <w:b/>
                <w:noProof/>
              </w:rPr>
              <w:t>Sources of Data and Methodology</w:t>
            </w:r>
            <w:r w:rsidR="00FD5387">
              <w:rPr>
                <w:noProof/>
                <w:webHidden/>
              </w:rPr>
              <w:tab/>
            </w:r>
            <w:r w:rsidR="00FD5387">
              <w:rPr>
                <w:noProof/>
                <w:webHidden/>
              </w:rPr>
              <w:fldChar w:fldCharType="begin"/>
            </w:r>
            <w:r w:rsidR="00FD5387">
              <w:rPr>
                <w:noProof/>
                <w:webHidden/>
              </w:rPr>
              <w:instrText xml:space="preserve"> PAGEREF _Toc13070801 \h </w:instrText>
            </w:r>
            <w:r w:rsidR="00FD5387">
              <w:rPr>
                <w:noProof/>
                <w:webHidden/>
              </w:rPr>
            </w:r>
            <w:r w:rsidR="00FD5387">
              <w:rPr>
                <w:noProof/>
                <w:webHidden/>
              </w:rPr>
              <w:fldChar w:fldCharType="separate"/>
            </w:r>
            <w:r w:rsidR="00FD5387">
              <w:rPr>
                <w:noProof/>
                <w:webHidden/>
              </w:rPr>
              <w:t>3</w:t>
            </w:r>
            <w:r w:rsidR="00FD5387">
              <w:rPr>
                <w:noProof/>
                <w:webHidden/>
              </w:rPr>
              <w:fldChar w:fldCharType="end"/>
            </w:r>
          </w:hyperlink>
        </w:p>
        <w:p w:rsidR="00FD5387" w:rsidRDefault="00EB3B47">
          <w:pPr>
            <w:pStyle w:val="TOC2"/>
            <w:tabs>
              <w:tab w:val="right" w:leader="dot" w:pos="9016"/>
            </w:tabs>
            <w:rPr>
              <w:rFonts w:cstheme="minorBidi"/>
              <w:noProof/>
            </w:rPr>
          </w:pPr>
          <w:hyperlink w:anchor="_Toc13070802" w:history="1">
            <w:r w:rsidR="00FD5387" w:rsidRPr="00D43735">
              <w:rPr>
                <w:rStyle w:val="Hyperlink"/>
                <w:rFonts w:ascii="Times New Roman" w:hAnsi="Times New Roman"/>
                <w:b/>
                <w:noProof/>
              </w:rPr>
              <w:t>Limitation of the Study</w:t>
            </w:r>
            <w:r w:rsidR="00FD5387">
              <w:rPr>
                <w:noProof/>
                <w:webHidden/>
              </w:rPr>
              <w:tab/>
            </w:r>
            <w:r w:rsidR="00FD5387">
              <w:rPr>
                <w:noProof/>
                <w:webHidden/>
              </w:rPr>
              <w:fldChar w:fldCharType="begin"/>
            </w:r>
            <w:r w:rsidR="00FD5387">
              <w:rPr>
                <w:noProof/>
                <w:webHidden/>
              </w:rPr>
              <w:instrText xml:space="preserve"> PAGEREF _Toc13070802 \h </w:instrText>
            </w:r>
            <w:r w:rsidR="00FD5387">
              <w:rPr>
                <w:noProof/>
                <w:webHidden/>
              </w:rPr>
            </w:r>
            <w:r w:rsidR="00FD5387">
              <w:rPr>
                <w:noProof/>
                <w:webHidden/>
              </w:rPr>
              <w:fldChar w:fldCharType="separate"/>
            </w:r>
            <w:r w:rsidR="00FD5387">
              <w:rPr>
                <w:noProof/>
                <w:webHidden/>
              </w:rPr>
              <w:t>4</w:t>
            </w:r>
            <w:r w:rsidR="00FD5387">
              <w:rPr>
                <w:noProof/>
                <w:webHidden/>
              </w:rPr>
              <w:fldChar w:fldCharType="end"/>
            </w:r>
          </w:hyperlink>
        </w:p>
        <w:p w:rsidR="00FD5387" w:rsidRDefault="00EB3B47">
          <w:pPr>
            <w:pStyle w:val="TOC1"/>
            <w:tabs>
              <w:tab w:val="right" w:leader="dot" w:pos="9016"/>
            </w:tabs>
            <w:rPr>
              <w:rFonts w:cstheme="minorBidi"/>
              <w:noProof/>
            </w:rPr>
          </w:pPr>
          <w:hyperlink w:anchor="_Toc13070803" w:history="1">
            <w:r w:rsidR="00FD5387" w:rsidRPr="00D43735">
              <w:rPr>
                <w:rStyle w:val="Hyperlink"/>
                <w:rFonts w:ascii="Times New Roman" w:hAnsi="Times New Roman"/>
                <w:b/>
                <w:noProof/>
              </w:rPr>
              <w:t>Chapter 2</w:t>
            </w:r>
            <w:r w:rsidR="00FD5387">
              <w:rPr>
                <w:noProof/>
                <w:webHidden/>
              </w:rPr>
              <w:tab/>
            </w:r>
            <w:r w:rsidR="00FD5387">
              <w:rPr>
                <w:noProof/>
                <w:webHidden/>
              </w:rPr>
              <w:fldChar w:fldCharType="begin"/>
            </w:r>
            <w:r w:rsidR="00FD5387">
              <w:rPr>
                <w:noProof/>
                <w:webHidden/>
              </w:rPr>
              <w:instrText xml:space="preserve"> PAGEREF _Toc13070803 \h </w:instrText>
            </w:r>
            <w:r w:rsidR="00FD5387">
              <w:rPr>
                <w:noProof/>
                <w:webHidden/>
              </w:rPr>
            </w:r>
            <w:r w:rsidR="00FD5387">
              <w:rPr>
                <w:noProof/>
                <w:webHidden/>
              </w:rPr>
              <w:fldChar w:fldCharType="separate"/>
            </w:r>
            <w:r w:rsidR="00FD5387">
              <w:rPr>
                <w:noProof/>
                <w:webHidden/>
              </w:rPr>
              <w:t>5</w:t>
            </w:r>
            <w:r w:rsidR="00FD5387">
              <w:rPr>
                <w:noProof/>
                <w:webHidden/>
              </w:rPr>
              <w:fldChar w:fldCharType="end"/>
            </w:r>
          </w:hyperlink>
        </w:p>
        <w:p w:rsidR="00FD5387" w:rsidRDefault="00EB3B47">
          <w:pPr>
            <w:pStyle w:val="TOC1"/>
            <w:tabs>
              <w:tab w:val="right" w:leader="dot" w:pos="9016"/>
            </w:tabs>
            <w:rPr>
              <w:rFonts w:cstheme="minorBidi"/>
              <w:noProof/>
            </w:rPr>
          </w:pPr>
          <w:hyperlink w:anchor="_Toc13070804" w:history="1">
            <w:r w:rsidR="00FD5387" w:rsidRPr="00D43735">
              <w:rPr>
                <w:rStyle w:val="Hyperlink"/>
                <w:rFonts w:ascii="Times New Roman" w:hAnsi="Times New Roman"/>
                <w:b/>
                <w:noProof/>
              </w:rPr>
              <w:t>Background of the Report</w:t>
            </w:r>
            <w:r w:rsidR="00FD5387">
              <w:rPr>
                <w:noProof/>
                <w:webHidden/>
              </w:rPr>
              <w:tab/>
            </w:r>
            <w:r w:rsidR="00FD5387">
              <w:rPr>
                <w:noProof/>
                <w:webHidden/>
              </w:rPr>
              <w:fldChar w:fldCharType="begin"/>
            </w:r>
            <w:r w:rsidR="00FD5387">
              <w:rPr>
                <w:noProof/>
                <w:webHidden/>
              </w:rPr>
              <w:instrText xml:space="preserve"> PAGEREF _Toc13070804 \h </w:instrText>
            </w:r>
            <w:r w:rsidR="00FD5387">
              <w:rPr>
                <w:noProof/>
                <w:webHidden/>
              </w:rPr>
            </w:r>
            <w:r w:rsidR="00FD5387">
              <w:rPr>
                <w:noProof/>
                <w:webHidden/>
              </w:rPr>
              <w:fldChar w:fldCharType="separate"/>
            </w:r>
            <w:r w:rsidR="00FD5387">
              <w:rPr>
                <w:noProof/>
                <w:webHidden/>
              </w:rPr>
              <w:t>6</w:t>
            </w:r>
            <w:r w:rsidR="00FD5387">
              <w:rPr>
                <w:noProof/>
                <w:webHidden/>
              </w:rPr>
              <w:fldChar w:fldCharType="end"/>
            </w:r>
          </w:hyperlink>
        </w:p>
        <w:p w:rsidR="00FD5387" w:rsidRDefault="00EB3B47">
          <w:pPr>
            <w:pStyle w:val="TOC2"/>
            <w:tabs>
              <w:tab w:val="right" w:leader="dot" w:pos="9016"/>
            </w:tabs>
            <w:rPr>
              <w:rFonts w:cstheme="minorBidi"/>
              <w:noProof/>
            </w:rPr>
          </w:pPr>
          <w:hyperlink w:anchor="_Toc13070805" w:history="1">
            <w:r w:rsidR="00FD5387" w:rsidRPr="00D43735">
              <w:rPr>
                <w:rStyle w:val="Hyperlink"/>
                <w:rFonts w:ascii="Times New Roman" w:hAnsi="Times New Roman"/>
                <w:b/>
                <w:noProof/>
              </w:rPr>
              <w:t>Brief Outline of Mutual Fund Industry</w:t>
            </w:r>
            <w:r w:rsidR="00FD5387">
              <w:rPr>
                <w:noProof/>
                <w:webHidden/>
              </w:rPr>
              <w:tab/>
            </w:r>
            <w:r w:rsidR="00FD5387">
              <w:rPr>
                <w:noProof/>
                <w:webHidden/>
              </w:rPr>
              <w:fldChar w:fldCharType="begin"/>
            </w:r>
            <w:r w:rsidR="00FD5387">
              <w:rPr>
                <w:noProof/>
                <w:webHidden/>
              </w:rPr>
              <w:instrText xml:space="preserve"> PAGEREF _Toc13070805 \h </w:instrText>
            </w:r>
            <w:r w:rsidR="00FD5387">
              <w:rPr>
                <w:noProof/>
                <w:webHidden/>
              </w:rPr>
            </w:r>
            <w:r w:rsidR="00FD5387">
              <w:rPr>
                <w:noProof/>
                <w:webHidden/>
              </w:rPr>
              <w:fldChar w:fldCharType="separate"/>
            </w:r>
            <w:r w:rsidR="00FD5387">
              <w:rPr>
                <w:noProof/>
                <w:webHidden/>
              </w:rPr>
              <w:t>6</w:t>
            </w:r>
            <w:r w:rsidR="00FD5387">
              <w:rPr>
                <w:noProof/>
                <w:webHidden/>
              </w:rPr>
              <w:fldChar w:fldCharType="end"/>
            </w:r>
          </w:hyperlink>
        </w:p>
        <w:p w:rsidR="00FD5387" w:rsidRDefault="00EB3B47">
          <w:pPr>
            <w:pStyle w:val="TOC2"/>
            <w:tabs>
              <w:tab w:val="right" w:leader="dot" w:pos="9016"/>
            </w:tabs>
            <w:rPr>
              <w:rFonts w:cstheme="minorBidi"/>
              <w:noProof/>
            </w:rPr>
          </w:pPr>
          <w:hyperlink w:anchor="_Toc13070806" w:history="1">
            <w:r w:rsidR="00FD5387" w:rsidRPr="00D43735">
              <w:rPr>
                <w:rStyle w:val="Hyperlink"/>
                <w:rFonts w:ascii="Times New Roman" w:hAnsi="Times New Roman"/>
                <w:b/>
                <w:noProof/>
              </w:rPr>
              <w:t>Classification and Scheme</w:t>
            </w:r>
            <w:r w:rsidR="00FD5387">
              <w:rPr>
                <w:noProof/>
                <w:webHidden/>
              </w:rPr>
              <w:tab/>
            </w:r>
            <w:r w:rsidR="00FD5387">
              <w:rPr>
                <w:noProof/>
                <w:webHidden/>
              </w:rPr>
              <w:fldChar w:fldCharType="begin"/>
            </w:r>
            <w:r w:rsidR="00FD5387">
              <w:rPr>
                <w:noProof/>
                <w:webHidden/>
              </w:rPr>
              <w:instrText xml:space="preserve"> PAGEREF _Toc13070806 \h </w:instrText>
            </w:r>
            <w:r w:rsidR="00FD5387">
              <w:rPr>
                <w:noProof/>
                <w:webHidden/>
              </w:rPr>
            </w:r>
            <w:r w:rsidR="00FD5387">
              <w:rPr>
                <w:noProof/>
                <w:webHidden/>
              </w:rPr>
              <w:fldChar w:fldCharType="separate"/>
            </w:r>
            <w:r w:rsidR="00FD5387">
              <w:rPr>
                <w:noProof/>
                <w:webHidden/>
              </w:rPr>
              <w:t>7</w:t>
            </w:r>
            <w:r w:rsidR="00FD5387">
              <w:rPr>
                <w:noProof/>
                <w:webHidden/>
              </w:rPr>
              <w:fldChar w:fldCharType="end"/>
            </w:r>
          </w:hyperlink>
        </w:p>
        <w:p w:rsidR="00FD5387" w:rsidRDefault="00EB3B47">
          <w:pPr>
            <w:pStyle w:val="TOC1"/>
            <w:tabs>
              <w:tab w:val="right" w:leader="dot" w:pos="9016"/>
            </w:tabs>
            <w:rPr>
              <w:rFonts w:cstheme="minorBidi"/>
              <w:noProof/>
            </w:rPr>
          </w:pPr>
          <w:hyperlink w:anchor="_Toc13070807" w:history="1">
            <w:r w:rsidR="00FD5387" w:rsidRPr="00D43735">
              <w:rPr>
                <w:rStyle w:val="Hyperlink"/>
                <w:rFonts w:ascii="Times New Roman" w:hAnsi="Times New Roman"/>
                <w:b/>
                <w:noProof/>
              </w:rPr>
              <w:t>Chapter 3</w:t>
            </w:r>
            <w:r w:rsidR="00FD5387">
              <w:rPr>
                <w:noProof/>
                <w:webHidden/>
              </w:rPr>
              <w:tab/>
            </w:r>
            <w:r w:rsidR="00FD5387">
              <w:rPr>
                <w:noProof/>
                <w:webHidden/>
              </w:rPr>
              <w:fldChar w:fldCharType="begin"/>
            </w:r>
            <w:r w:rsidR="00FD5387">
              <w:rPr>
                <w:noProof/>
                <w:webHidden/>
              </w:rPr>
              <w:instrText xml:space="preserve"> PAGEREF _Toc13070807 \h </w:instrText>
            </w:r>
            <w:r w:rsidR="00FD5387">
              <w:rPr>
                <w:noProof/>
                <w:webHidden/>
              </w:rPr>
            </w:r>
            <w:r w:rsidR="00FD5387">
              <w:rPr>
                <w:noProof/>
                <w:webHidden/>
              </w:rPr>
              <w:fldChar w:fldCharType="separate"/>
            </w:r>
            <w:r w:rsidR="00FD5387">
              <w:rPr>
                <w:noProof/>
                <w:webHidden/>
              </w:rPr>
              <w:t>12</w:t>
            </w:r>
            <w:r w:rsidR="00FD5387">
              <w:rPr>
                <w:noProof/>
                <w:webHidden/>
              </w:rPr>
              <w:fldChar w:fldCharType="end"/>
            </w:r>
          </w:hyperlink>
        </w:p>
        <w:p w:rsidR="00FD5387" w:rsidRDefault="00EB3B47">
          <w:pPr>
            <w:pStyle w:val="TOC1"/>
            <w:tabs>
              <w:tab w:val="right" w:leader="dot" w:pos="9016"/>
            </w:tabs>
            <w:rPr>
              <w:rFonts w:cstheme="minorBidi"/>
              <w:noProof/>
            </w:rPr>
          </w:pPr>
          <w:hyperlink w:anchor="_Toc13070808" w:history="1">
            <w:r w:rsidR="00FD5387" w:rsidRPr="00D43735">
              <w:rPr>
                <w:rStyle w:val="Hyperlink"/>
                <w:rFonts w:ascii="Times New Roman" w:hAnsi="Times New Roman"/>
                <w:b/>
                <w:noProof/>
              </w:rPr>
              <w:t>Literature Review</w:t>
            </w:r>
            <w:r w:rsidR="00FD5387">
              <w:rPr>
                <w:noProof/>
                <w:webHidden/>
              </w:rPr>
              <w:tab/>
            </w:r>
            <w:r w:rsidR="00FD5387">
              <w:rPr>
                <w:noProof/>
                <w:webHidden/>
              </w:rPr>
              <w:fldChar w:fldCharType="begin"/>
            </w:r>
            <w:r w:rsidR="00FD5387">
              <w:rPr>
                <w:noProof/>
                <w:webHidden/>
              </w:rPr>
              <w:instrText xml:space="preserve"> PAGEREF _Toc13070808 \h </w:instrText>
            </w:r>
            <w:r w:rsidR="00FD5387">
              <w:rPr>
                <w:noProof/>
                <w:webHidden/>
              </w:rPr>
            </w:r>
            <w:r w:rsidR="00FD5387">
              <w:rPr>
                <w:noProof/>
                <w:webHidden/>
              </w:rPr>
              <w:fldChar w:fldCharType="separate"/>
            </w:r>
            <w:r w:rsidR="00FD5387">
              <w:rPr>
                <w:noProof/>
                <w:webHidden/>
              </w:rPr>
              <w:t>13</w:t>
            </w:r>
            <w:r w:rsidR="00FD5387">
              <w:rPr>
                <w:noProof/>
                <w:webHidden/>
              </w:rPr>
              <w:fldChar w:fldCharType="end"/>
            </w:r>
          </w:hyperlink>
        </w:p>
        <w:p w:rsidR="00FD5387" w:rsidRDefault="00EB3B47">
          <w:pPr>
            <w:pStyle w:val="TOC1"/>
            <w:tabs>
              <w:tab w:val="right" w:leader="dot" w:pos="9016"/>
            </w:tabs>
            <w:rPr>
              <w:rFonts w:cstheme="minorBidi"/>
              <w:noProof/>
            </w:rPr>
          </w:pPr>
          <w:hyperlink w:anchor="_Toc13070809" w:history="1">
            <w:r w:rsidR="00FD5387" w:rsidRPr="00D43735">
              <w:rPr>
                <w:rStyle w:val="Hyperlink"/>
                <w:rFonts w:ascii="Times New Roman" w:hAnsi="Times New Roman"/>
                <w:b/>
                <w:noProof/>
              </w:rPr>
              <w:t>Chapter 4</w:t>
            </w:r>
            <w:r w:rsidR="00FD5387">
              <w:rPr>
                <w:noProof/>
                <w:webHidden/>
              </w:rPr>
              <w:tab/>
            </w:r>
            <w:r w:rsidR="00FD5387">
              <w:rPr>
                <w:noProof/>
                <w:webHidden/>
              </w:rPr>
              <w:fldChar w:fldCharType="begin"/>
            </w:r>
            <w:r w:rsidR="00FD5387">
              <w:rPr>
                <w:noProof/>
                <w:webHidden/>
              </w:rPr>
              <w:instrText xml:space="preserve"> PAGEREF _Toc13070809 \h </w:instrText>
            </w:r>
            <w:r w:rsidR="00FD5387">
              <w:rPr>
                <w:noProof/>
                <w:webHidden/>
              </w:rPr>
            </w:r>
            <w:r w:rsidR="00FD5387">
              <w:rPr>
                <w:noProof/>
                <w:webHidden/>
              </w:rPr>
              <w:fldChar w:fldCharType="separate"/>
            </w:r>
            <w:r w:rsidR="00FD5387">
              <w:rPr>
                <w:noProof/>
                <w:webHidden/>
              </w:rPr>
              <w:t>17</w:t>
            </w:r>
            <w:r w:rsidR="00FD5387">
              <w:rPr>
                <w:noProof/>
                <w:webHidden/>
              </w:rPr>
              <w:fldChar w:fldCharType="end"/>
            </w:r>
          </w:hyperlink>
        </w:p>
        <w:p w:rsidR="00FD5387" w:rsidRDefault="00EB3B47">
          <w:pPr>
            <w:pStyle w:val="TOC1"/>
            <w:tabs>
              <w:tab w:val="right" w:leader="dot" w:pos="9016"/>
            </w:tabs>
            <w:rPr>
              <w:rFonts w:cstheme="minorBidi"/>
              <w:noProof/>
            </w:rPr>
          </w:pPr>
          <w:hyperlink w:anchor="_Toc13070810" w:history="1">
            <w:r w:rsidR="00FD5387" w:rsidRPr="00D43735">
              <w:rPr>
                <w:rStyle w:val="Hyperlink"/>
                <w:rFonts w:ascii="Times New Roman" w:hAnsi="Times New Roman"/>
                <w:b/>
                <w:noProof/>
                <w:shd w:val="clear" w:color="auto" w:fill="FFFFFF"/>
              </w:rPr>
              <w:t>Explanation of Methodology</w:t>
            </w:r>
            <w:r w:rsidR="00FD5387">
              <w:rPr>
                <w:noProof/>
                <w:webHidden/>
              </w:rPr>
              <w:tab/>
            </w:r>
            <w:r w:rsidR="00FD5387">
              <w:rPr>
                <w:noProof/>
                <w:webHidden/>
              </w:rPr>
              <w:fldChar w:fldCharType="begin"/>
            </w:r>
            <w:r w:rsidR="00FD5387">
              <w:rPr>
                <w:noProof/>
                <w:webHidden/>
              </w:rPr>
              <w:instrText xml:space="preserve"> PAGEREF _Toc13070810 \h </w:instrText>
            </w:r>
            <w:r w:rsidR="00FD5387">
              <w:rPr>
                <w:noProof/>
                <w:webHidden/>
              </w:rPr>
            </w:r>
            <w:r w:rsidR="00FD5387">
              <w:rPr>
                <w:noProof/>
                <w:webHidden/>
              </w:rPr>
              <w:fldChar w:fldCharType="separate"/>
            </w:r>
            <w:r w:rsidR="00FD5387">
              <w:rPr>
                <w:noProof/>
                <w:webHidden/>
              </w:rPr>
              <w:t>18</w:t>
            </w:r>
            <w:r w:rsidR="00FD5387">
              <w:rPr>
                <w:noProof/>
                <w:webHidden/>
              </w:rPr>
              <w:fldChar w:fldCharType="end"/>
            </w:r>
          </w:hyperlink>
        </w:p>
        <w:p w:rsidR="00FD5387" w:rsidRDefault="00EB3B47">
          <w:pPr>
            <w:pStyle w:val="TOC2"/>
            <w:tabs>
              <w:tab w:val="right" w:leader="dot" w:pos="9016"/>
            </w:tabs>
            <w:rPr>
              <w:rFonts w:cstheme="minorBidi"/>
              <w:noProof/>
            </w:rPr>
          </w:pPr>
          <w:hyperlink w:anchor="_Toc13070811" w:history="1">
            <w:r w:rsidR="00FD5387" w:rsidRPr="00D43735">
              <w:rPr>
                <w:rStyle w:val="Hyperlink"/>
                <w:rFonts w:ascii="Times New Roman" w:hAnsi="Times New Roman"/>
                <w:b/>
                <w:noProof/>
              </w:rPr>
              <w:t>Sharpe Ratio</w:t>
            </w:r>
            <w:r w:rsidR="00FD5387">
              <w:rPr>
                <w:noProof/>
                <w:webHidden/>
              </w:rPr>
              <w:tab/>
            </w:r>
            <w:r w:rsidR="00FD5387">
              <w:rPr>
                <w:noProof/>
                <w:webHidden/>
              </w:rPr>
              <w:fldChar w:fldCharType="begin"/>
            </w:r>
            <w:r w:rsidR="00FD5387">
              <w:rPr>
                <w:noProof/>
                <w:webHidden/>
              </w:rPr>
              <w:instrText xml:space="preserve"> PAGEREF _Toc13070811 \h </w:instrText>
            </w:r>
            <w:r w:rsidR="00FD5387">
              <w:rPr>
                <w:noProof/>
                <w:webHidden/>
              </w:rPr>
            </w:r>
            <w:r w:rsidR="00FD5387">
              <w:rPr>
                <w:noProof/>
                <w:webHidden/>
              </w:rPr>
              <w:fldChar w:fldCharType="separate"/>
            </w:r>
            <w:r w:rsidR="00FD5387">
              <w:rPr>
                <w:noProof/>
                <w:webHidden/>
              </w:rPr>
              <w:t>18</w:t>
            </w:r>
            <w:r w:rsidR="00FD5387">
              <w:rPr>
                <w:noProof/>
                <w:webHidden/>
              </w:rPr>
              <w:fldChar w:fldCharType="end"/>
            </w:r>
          </w:hyperlink>
        </w:p>
        <w:p w:rsidR="00FD5387" w:rsidRDefault="00EB3B47">
          <w:pPr>
            <w:pStyle w:val="TOC2"/>
            <w:tabs>
              <w:tab w:val="right" w:leader="dot" w:pos="9016"/>
            </w:tabs>
            <w:rPr>
              <w:rFonts w:cstheme="minorBidi"/>
              <w:noProof/>
            </w:rPr>
          </w:pPr>
          <w:hyperlink w:anchor="_Toc13070812" w:history="1">
            <w:r w:rsidR="00FD5387" w:rsidRPr="00D43735">
              <w:rPr>
                <w:rStyle w:val="Hyperlink"/>
                <w:rFonts w:ascii="Times New Roman" w:hAnsi="Times New Roman"/>
                <w:b/>
                <w:noProof/>
              </w:rPr>
              <w:t>Treynor Ratio</w:t>
            </w:r>
            <w:r w:rsidR="00FD5387">
              <w:rPr>
                <w:noProof/>
                <w:webHidden/>
              </w:rPr>
              <w:tab/>
            </w:r>
            <w:r w:rsidR="00FD5387">
              <w:rPr>
                <w:noProof/>
                <w:webHidden/>
              </w:rPr>
              <w:fldChar w:fldCharType="begin"/>
            </w:r>
            <w:r w:rsidR="00FD5387">
              <w:rPr>
                <w:noProof/>
                <w:webHidden/>
              </w:rPr>
              <w:instrText xml:space="preserve"> PAGEREF _Toc13070812 \h </w:instrText>
            </w:r>
            <w:r w:rsidR="00FD5387">
              <w:rPr>
                <w:noProof/>
                <w:webHidden/>
              </w:rPr>
            </w:r>
            <w:r w:rsidR="00FD5387">
              <w:rPr>
                <w:noProof/>
                <w:webHidden/>
              </w:rPr>
              <w:fldChar w:fldCharType="separate"/>
            </w:r>
            <w:r w:rsidR="00FD5387">
              <w:rPr>
                <w:noProof/>
                <w:webHidden/>
              </w:rPr>
              <w:t>19</w:t>
            </w:r>
            <w:r w:rsidR="00FD5387">
              <w:rPr>
                <w:noProof/>
                <w:webHidden/>
              </w:rPr>
              <w:fldChar w:fldCharType="end"/>
            </w:r>
          </w:hyperlink>
        </w:p>
        <w:p w:rsidR="00FD5387" w:rsidRDefault="00EB3B47">
          <w:pPr>
            <w:pStyle w:val="TOC2"/>
            <w:tabs>
              <w:tab w:val="right" w:leader="dot" w:pos="9016"/>
            </w:tabs>
            <w:rPr>
              <w:rFonts w:cstheme="minorBidi"/>
              <w:noProof/>
            </w:rPr>
          </w:pPr>
          <w:hyperlink w:anchor="_Toc13070813" w:history="1">
            <w:r w:rsidR="00FD5387" w:rsidRPr="00D43735">
              <w:rPr>
                <w:rStyle w:val="Hyperlink"/>
                <w:rFonts w:ascii="Times New Roman" w:hAnsi="Times New Roman"/>
                <w:b/>
                <w:noProof/>
                <w:shd w:val="clear" w:color="auto" w:fill="FFFFFF"/>
              </w:rPr>
              <w:t>Jensen's Measure</w:t>
            </w:r>
            <w:r w:rsidR="00FD5387">
              <w:rPr>
                <w:noProof/>
                <w:webHidden/>
              </w:rPr>
              <w:tab/>
            </w:r>
            <w:r w:rsidR="00FD5387">
              <w:rPr>
                <w:noProof/>
                <w:webHidden/>
              </w:rPr>
              <w:fldChar w:fldCharType="begin"/>
            </w:r>
            <w:r w:rsidR="00FD5387">
              <w:rPr>
                <w:noProof/>
                <w:webHidden/>
              </w:rPr>
              <w:instrText xml:space="preserve"> PAGEREF _Toc13070813 \h </w:instrText>
            </w:r>
            <w:r w:rsidR="00FD5387">
              <w:rPr>
                <w:noProof/>
                <w:webHidden/>
              </w:rPr>
            </w:r>
            <w:r w:rsidR="00FD5387">
              <w:rPr>
                <w:noProof/>
                <w:webHidden/>
              </w:rPr>
              <w:fldChar w:fldCharType="separate"/>
            </w:r>
            <w:r w:rsidR="00FD5387">
              <w:rPr>
                <w:noProof/>
                <w:webHidden/>
              </w:rPr>
              <w:t>20</w:t>
            </w:r>
            <w:r w:rsidR="00FD5387">
              <w:rPr>
                <w:noProof/>
                <w:webHidden/>
              </w:rPr>
              <w:fldChar w:fldCharType="end"/>
            </w:r>
          </w:hyperlink>
        </w:p>
        <w:p w:rsidR="00FD5387" w:rsidRDefault="00EB3B47">
          <w:pPr>
            <w:pStyle w:val="TOC1"/>
            <w:tabs>
              <w:tab w:val="right" w:leader="dot" w:pos="9016"/>
            </w:tabs>
            <w:rPr>
              <w:rFonts w:cstheme="minorBidi"/>
              <w:noProof/>
            </w:rPr>
          </w:pPr>
          <w:hyperlink w:anchor="_Toc13070814" w:history="1">
            <w:r w:rsidR="00FD5387" w:rsidRPr="00D43735">
              <w:rPr>
                <w:rStyle w:val="Hyperlink"/>
                <w:rFonts w:ascii="Times New Roman" w:eastAsiaTheme="majorEastAsia" w:hAnsi="Times New Roman"/>
                <w:b/>
                <w:noProof/>
              </w:rPr>
              <w:t>Chapter 5</w:t>
            </w:r>
            <w:r w:rsidR="00FD5387">
              <w:rPr>
                <w:noProof/>
                <w:webHidden/>
              </w:rPr>
              <w:tab/>
            </w:r>
            <w:r w:rsidR="00FD5387">
              <w:rPr>
                <w:noProof/>
                <w:webHidden/>
              </w:rPr>
              <w:fldChar w:fldCharType="begin"/>
            </w:r>
            <w:r w:rsidR="00FD5387">
              <w:rPr>
                <w:noProof/>
                <w:webHidden/>
              </w:rPr>
              <w:instrText xml:space="preserve"> PAGEREF _Toc13070814 \h </w:instrText>
            </w:r>
            <w:r w:rsidR="00FD5387">
              <w:rPr>
                <w:noProof/>
                <w:webHidden/>
              </w:rPr>
            </w:r>
            <w:r w:rsidR="00FD5387">
              <w:rPr>
                <w:noProof/>
                <w:webHidden/>
              </w:rPr>
              <w:fldChar w:fldCharType="separate"/>
            </w:r>
            <w:r w:rsidR="00FD5387">
              <w:rPr>
                <w:noProof/>
                <w:webHidden/>
              </w:rPr>
              <w:t>23</w:t>
            </w:r>
            <w:r w:rsidR="00FD5387">
              <w:rPr>
                <w:noProof/>
                <w:webHidden/>
              </w:rPr>
              <w:fldChar w:fldCharType="end"/>
            </w:r>
          </w:hyperlink>
        </w:p>
        <w:p w:rsidR="00FD5387" w:rsidRDefault="00EB3B47">
          <w:pPr>
            <w:pStyle w:val="TOC1"/>
            <w:tabs>
              <w:tab w:val="right" w:leader="dot" w:pos="9016"/>
            </w:tabs>
            <w:rPr>
              <w:rFonts w:cstheme="minorBidi"/>
              <w:noProof/>
            </w:rPr>
          </w:pPr>
          <w:hyperlink w:anchor="_Toc13070815" w:history="1">
            <w:r w:rsidR="00FD5387" w:rsidRPr="00D43735">
              <w:rPr>
                <w:rStyle w:val="Hyperlink"/>
                <w:rFonts w:ascii="Times New Roman" w:hAnsi="Times New Roman"/>
                <w:b/>
                <w:noProof/>
              </w:rPr>
              <w:t>Analysis and Findings</w:t>
            </w:r>
            <w:r w:rsidR="00FD5387">
              <w:rPr>
                <w:noProof/>
                <w:webHidden/>
              </w:rPr>
              <w:tab/>
            </w:r>
            <w:r w:rsidR="00FD5387">
              <w:rPr>
                <w:noProof/>
                <w:webHidden/>
              </w:rPr>
              <w:fldChar w:fldCharType="begin"/>
            </w:r>
            <w:r w:rsidR="00FD5387">
              <w:rPr>
                <w:noProof/>
                <w:webHidden/>
              </w:rPr>
              <w:instrText xml:space="preserve"> PAGEREF _Toc13070815 \h </w:instrText>
            </w:r>
            <w:r w:rsidR="00FD5387">
              <w:rPr>
                <w:noProof/>
                <w:webHidden/>
              </w:rPr>
            </w:r>
            <w:r w:rsidR="00FD5387">
              <w:rPr>
                <w:noProof/>
                <w:webHidden/>
              </w:rPr>
              <w:fldChar w:fldCharType="separate"/>
            </w:r>
            <w:r w:rsidR="00FD5387">
              <w:rPr>
                <w:noProof/>
                <w:webHidden/>
              </w:rPr>
              <w:t>23</w:t>
            </w:r>
            <w:r w:rsidR="00FD5387">
              <w:rPr>
                <w:noProof/>
                <w:webHidden/>
              </w:rPr>
              <w:fldChar w:fldCharType="end"/>
            </w:r>
          </w:hyperlink>
        </w:p>
        <w:p w:rsidR="00FD5387" w:rsidRDefault="00EB3B47">
          <w:pPr>
            <w:pStyle w:val="TOC2"/>
            <w:tabs>
              <w:tab w:val="right" w:leader="dot" w:pos="9016"/>
            </w:tabs>
            <w:rPr>
              <w:rFonts w:cstheme="minorBidi"/>
              <w:noProof/>
            </w:rPr>
          </w:pPr>
          <w:hyperlink w:anchor="_Toc13070816" w:history="1">
            <w:r w:rsidR="00FD5387" w:rsidRPr="00D43735">
              <w:rPr>
                <w:rStyle w:val="Hyperlink"/>
                <w:rFonts w:ascii="Times New Roman" w:hAnsi="Times New Roman"/>
                <w:b/>
                <w:noProof/>
              </w:rPr>
              <w:t>Analysis</w:t>
            </w:r>
            <w:r w:rsidR="00FD5387">
              <w:rPr>
                <w:noProof/>
                <w:webHidden/>
              </w:rPr>
              <w:tab/>
            </w:r>
            <w:r w:rsidR="00FD5387">
              <w:rPr>
                <w:noProof/>
                <w:webHidden/>
              </w:rPr>
              <w:fldChar w:fldCharType="begin"/>
            </w:r>
            <w:r w:rsidR="00FD5387">
              <w:rPr>
                <w:noProof/>
                <w:webHidden/>
              </w:rPr>
              <w:instrText xml:space="preserve"> PAGEREF _Toc13070816 \h </w:instrText>
            </w:r>
            <w:r w:rsidR="00FD5387">
              <w:rPr>
                <w:noProof/>
                <w:webHidden/>
              </w:rPr>
            </w:r>
            <w:r w:rsidR="00FD5387">
              <w:rPr>
                <w:noProof/>
                <w:webHidden/>
              </w:rPr>
              <w:fldChar w:fldCharType="separate"/>
            </w:r>
            <w:r w:rsidR="00FD5387">
              <w:rPr>
                <w:noProof/>
                <w:webHidden/>
              </w:rPr>
              <w:t>24</w:t>
            </w:r>
            <w:r w:rsidR="00FD5387">
              <w:rPr>
                <w:noProof/>
                <w:webHidden/>
              </w:rPr>
              <w:fldChar w:fldCharType="end"/>
            </w:r>
          </w:hyperlink>
        </w:p>
        <w:p w:rsidR="00FD5387" w:rsidRDefault="00EB3B47">
          <w:pPr>
            <w:pStyle w:val="TOC3"/>
            <w:tabs>
              <w:tab w:val="right" w:leader="dot" w:pos="9016"/>
            </w:tabs>
            <w:rPr>
              <w:rFonts w:cstheme="minorBidi"/>
              <w:noProof/>
            </w:rPr>
          </w:pPr>
          <w:hyperlink w:anchor="_Toc13070817" w:history="1">
            <w:r w:rsidR="00FD5387" w:rsidRPr="00D43735">
              <w:rPr>
                <w:rStyle w:val="Hyperlink"/>
                <w:rFonts w:ascii="Times New Roman" w:hAnsi="Times New Roman"/>
                <w:b/>
                <w:noProof/>
              </w:rPr>
              <w:t>Performance Evaluation Based on Weekly NAV</w:t>
            </w:r>
            <w:r w:rsidR="00FD5387">
              <w:rPr>
                <w:noProof/>
                <w:webHidden/>
              </w:rPr>
              <w:tab/>
            </w:r>
            <w:r w:rsidR="00FD5387">
              <w:rPr>
                <w:noProof/>
                <w:webHidden/>
              </w:rPr>
              <w:fldChar w:fldCharType="begin"/>
            </w:r>
            <w:r w:rsidR="00FD5387">
              <w:rPr>
                <w:noProof/>
                <w:webHidden/>
              </w:rPr>
              <w:instrText xml:space="preserve"> PAGEREF _Toc13070817 \h </w:instrText>
            </w:r>
            <w:r w:rsidR="00FD5387">
              <w:rPr>
                <w:noProof/>
                <w:webHidden/>
              </w:rPr>
            </w:r>
            <w:r w:rsidR="00FD5387">
              <w:rPr>
                <w:noProof/>
                <w:webHidden/>
              </w:rPr>
              <w:fldChar w:fldCharType="separate"/>
            </w:r>
            <w:r w:rsidR="00FD5387">
              <w:rPr>
                <w:noProof/>
                <w:webHidden/>
              </w:rPr>
              <w:t>24</w:t>
            </w:r>
            <w:r w:rsidR="00FD5387">
              <w:rPr>
                <w:noProof/>
                <w:webHidden/>
              </w:rPr>
              <w:fldChar w:fldCharType="end"/>
            </w:r>
          </w:hyperlink>
        </w:p>
        <w:p w:rsidR="00FD5387" w:rsidRDefault="00EB3B47">
          <w:pPr>
            <w:pStyle w:val="TOC3"/>
            <w:tabs>
              <w:tab w:val="right" w:leader="dot" w:pos="9016"/>
            </w:tabs>
            <w:rPr>
              <w:rFonts w:cstheme="minorBidi"/>
              <w:noProof/>
            </w:rPr>
          </w:pPr>
          <w:hyperlink w:anchor="_Toc13070818" w:history="1">
            <w:r w:rsidR="00FD5387" w:rsidRPr="00D43735">
              <w:rPr>
                <w:rStyle w:val="Hyperlink"/>
                <w:rFonts w:ascii="Times New Roman" w:hAnsi="Times New Roman"/>
                <w:b/>
                <w:noProof/>
              </w:rPr>
              <w:t>Performance Analysis Based on Return of Weekly Closing Price</w:t>
            </w:r>
            <w:r w:rsidR="00FD5387">
              <w:rPr>
                <w:noProof/>
                <w:webHidden/>
              </w:rPr>
              <w:tab/>
            </w:r>
            <w:r w:rsidR="00FD5387">
              <w:rPr>
                <w:noProof/>
                <w:webHidden/>
              </w:rPr>
              <w:fldChar w:fldCharType="begin"/>
            </w:r>
            <w:r w:rsidR="00FD5387">
              <w:rPr>
                <w:noProof/>
                <w:webHidden/>
              </w:rPr>
              <w:instrText xml:space="preserve"> PAGEREF _Toc13070818 \h </w:instrText>
            </w:r>
            <w:r w:rsidR="00FD5387">
              <w:rPr>
                <w:noProof/>
                <w:webHidden/>
              </w:rPr>
            </w:r>
            <w:r w:rsidR="00FD5387">
              <w:rPr>
                <w:noProof/>
                <w:webHidden/>
              </w:rPr>
              <w:fldChar w:fldCharType="separate"/>
            </w:r>
            <w:r w:rsidR="00FD5387">
              <w:rPr>
                <w:noProof/>
                <w:webHidden/>
              </w:rPr>
              <w:t>32</w:t>
            </w:r>
            <w:r w:rsidR="00FD5387">
              <w:rPr>
                <w:noProof/>
                <w:webHidden/>
              </w:rPr>
              <w:fldChar w:fldCharType="end"/>
            </w:r>
          </w:hyperlink>
        </w:p>
        <w:p w:rsidR="00FD5387" w:rsidRDefault="00EB3B47">
          <w:pPr>
            <w:pStyle w:val="TOC3"/>
            <w:tabs>
              <w:tab w:val="right" w:leader="dot" w:pos="9016"/>
            </w:tabs>
            <w:rPr>
              <w:rFonts w:cstheme="minorBidi"/>
              <w:noProof/>
            </w:rPr>
          </w:pPr>
          <w:hyperlink w:anchor="_Toc13070819" w:history="1">
            <w:r w:rsidR="00FD5387" w:rsidRPr="00D43735">
              <w:rPr>
                <w:rStyle w:val="Hyperlink"/>
                <w:rFonts w:ascii="Times New Roman" w:hAnsi="Times New Roman"/>
                <w:b/>
                <w:noProof/>
              </w:rPr>
              <w:t>Performance Analysis Based on Return of Daily Closing Price</w:t>
            </w:r>
            <w:r w:rsidR="00FD5387">
              <w:rPr>
                <w:noProof/>
                <w:webHidden/>
              </w:rPr>
              <w:tab/>
            </w:r>
            <w:r w:rsidR="00FD5387">
              <w:rPr>
                <w:noProof/>
                <w:webHidden/>
              </w:rPr>
              <w:fldChar w:fldCharType="begin"/>
            </w:r>
            <w:r w:rsidR="00FD5387">
              <w:rPr>
                <w:noProof/>
                <w:webHidden/>
              </w:rPr>
              <w:instrText xml:space="preserve"> PAGEREF _Toc13070819 \h </w:instrText>
            </w:r>
            <w:r w:rsidR="00FD5387">
              <w:rPr>
                <w:noProof/>
                <w:webHidden/>
              </w:rPr>
            </w:r>
            <w:r w:rsidR="00FD5387">
              <w:rPr>
                <w:noProof/>
                <w:webHidden/>
              </w:rPr>
              <w:fldChar w:fldCharType="separate"/>
            </w:r>
            <w:r w:rsidR="00FD5387">
              <w:rPr>
                <w:noProof/>
                <w:webHidden/>
              </w:rPr>
              <w:t>39</w:t>
            </w:r>
            <w:r w:rsidR="00FD5387">
              <w:rPr>
                <w:noProof/>
                <w:webHidden/>
              </w:rPr>
              <w:fldChar w:fldCharType="end"/>
            </w:r>
          </w:hyperlink>
        </w:p>
        <w:p w:rsidR="00FD5387" w:rsidRDefault="00EB3B47">
          <w:pPr>
            <w:pStyle w:val="TOC1"/>
            <w:tabs>
              <w:tab w:val="right" w:leader="dot" w:pos="9016"/>
            </w:tabs>
            <w:rPr>
              <w:rFonts w:cstheme="minorBidi"/>
              <w:noProof/>
            </w:rPr>
          </w:pPr>
          <w:hyperlink w:anchor="_Toc13070820" w:history="1">
            <w:r w:rsidR="00FD5387" w:rsidRPr="00D43735">
              <w:rPr>
                <w:rStyle w:val="Hyperlink"/>
                <w:rFonts w:ascii="Times New Roman" w:hAnsi="Times New Roman"/>
                <w:b/>
                <w:noProof/>
              </w:rPr>
              <w:t>Chapter 6</w:t>
            </w:r>
            <w:r w:rsidR="00FD5387">
              <w:rPr>
                <w:noProof/>
                <w:webHidden/>
              </w:rPr>
              <w:tab/>
            </w:r>
            <w:r w:rsidR="00FD5387">
              <w:rPr>
                <w:noProof/>
                <w:webHidden/>
              </w:rPr>
              <w:fldChar w:fldCharType="begin"/>
            </w:r>
            <w:r w:rsidR="00FD5387">
              <w:rPr>
                <w:noProof/>
                <w:webHidden/>
              </w:rPr>
              <w:instrText xml:space="preserve"> PAGEREF _Toc13070820 \h </w:instrText>
            </w:r>
            <w:r w:rsidR="00FD5387">
              <w:rPr>
                <w:noProof/>
                <w:webHidden/>
              </w:rPr>
            </w:r>
            <w:r w:rsidR="00FD5387">
              <w:rPr>
                <w:noProof/>
                <w:webHidden/>
              </w:rPr>
              <w:fldChar w:fldCharType="separate"/>
            </w:r>
            <w:r w:rsidR="00FD5387">
              <w:rPr>
                <w:noProof/>
                <w:webHidden/>
              </w:rPr>
              <w:t>48</w:t>
            </w:r>
            <w:r w:rsidR="00FD5387">
              <w:rPr>
                <w:noProof/>
                <w:webHidden/>
              </w:rPr>
              <w:fldChar w:fldCharType="end"/>
            </w:r>
          </w:hyperlink>
        </w:p>
        <w:p w:rsidR="00FD5387" w:rsidRDefault="00EB3B47">
          <w:pPr>
            <w:pStyle w:val="TOC2"/>
            <w:tabs>
              <w:tab w:val="right" w:leader="dot" w:pos="9016"/>
            </w:tabs>
            <w:rPr>
              <w:rFonts w:cstheme="minorBidi"/>
              <w:noProof/>
            </w:rPr>
          </w:pPr>
          <w:hyperlink w:anchor="_Toc13070821" w:history="1">
            <w:r w:rsidR="00FD5387" w:rsidRPr="00D43735">
              <w:rPr>
                <w:rStyle w:val="Hyperlink"/>
                <w:rFonts w:ascii="Times New Roman" w:hAnsi="Times New Roman"/>
                <w:b/>
                <w:noProof/>
              </w:rPr>
              <w:t>Conclusion</w:t>
            </w:r>
            <w:r w:rsidR="00FD5387">
              <w:rPr>
                <w:noProof/>
                <w:webHidden/>
              </w:rPr>
              <w:tab/>
            </w:r>
            <w:r w:rsidR="00FD5387">
              <w:rPr>
                <w:noProof/>
                <w:webHidden/>
              </w:rPr>
              <w:fldChar w:fldCharType="begin"/>
            </w:r>
            <w:r w:rsidR="00FD5387">
              <w:rPr>
                <w:noProof/>
                <w:webHidden/>
              </w:rPr>
              <w:instrText xml:space="preserve"> PAGEREF _Toc13070821 \h </w:instrText>
            </w:r>
            <w:r w:rsidR="00FD5387">
              <w:rPr>
                <w:noProof/>
                <w:webHidden/>
              </w:rPr>
            </w:r>
            <w:r w:rsidR="00FD5387">
              <w:rPr>
                <w:noProof/>
                <w:webHidden/>
              </w:rPr>
              <w:fldChar w:fldCharType="separate"/>
            </w:r>
            <w:r w:rsidR="00FD5387">
              <w:rPr>
                <w:noProof/>
                <w:webHidden/>
              </w:rPr>
              <w:t>49</w:t>
            </w:r>
            <w:r w:rsidR="00FD5387">
              <w:rPr>
                <w:noProof/>
                <w:webHidden/>
              </w:rPr>
              <w:fldChar w:fldCharType="end"/>
            </w:r>
          </w:hyperlink>
        </w:p>
        <w:p w:rsidR="00FD5387" w:rsidRDefault="00EB3B47">
          <w:pPr>
            <w:pStyle w:val="TOC1"/>
            <w:tabs>
              <w:tab w:val="right" w:leader="dot" w:pos="9016"/>
            </w:tabs>
            <w:rPr>
              <w:rFonts w:cstheme="minorBidi"/>
              <w:noProof/>
            </w:rPr>
          </w:pPr>
          <w:hyperlink w:anchor="_Toc13070822" w:history="1">
            <w:r w:rsidR="00FD5387" w:rsidRPr="00D43735">
              <w:rPr>
                <w:rStyle w:val="Hyperlink"/>
                <w:rFonts w:ascii="Times New Roman" w:hAnsi="Times New Roman"/>
                <w:b/>
                <w:noProof/>
              </w:rPr>
              <w:t>Reference</w:t>
            </w:r>
            <w:r w:rsidR="00FD5387">
              <w:rPr>
                <w:noProof/>
                <w:webHidden/>
              </w:rPr>
              <w:tab/>
            </w:r>
            <w:r w:rsidR="00FD5387">
              <w:rPr>
                <w:noProof/>
                <w:webHidden/>
              </w:rPr>
              <w:fldChar w:fldCharType="begin"/>
            </w:r>
            <w:r w:rsidR="00FD5387">
              <w:rPr>
                <w:noProof/>
                <w:webHidden/>
              </w:rPr>
              <w:instrText xml:space="preserve"> PAGEREF _Toc13070822 \h </w:instrText>
            </w:r>
            <w:r w:rsidR="00FD5387">
              <w:rPr>
                <w:noProof/>
                <w:webHidden/>
              </w:rPr>
            </w:r>
            <w:r w:rsidR="00FD5387">
              <w:rPr>
                <w:noProof/>
                <w:webHidden/>
              </w:rPr>
              <w:fldChar w:fldCharType="separate"/>
            </w:r>
            <w:r w:rsidR="00FD5387">
              <w:rPr>
                <w:noProof/>
                <w:webHidden/>
              </w:rPr>
              <w:t>50</w:t>
            </w:r>
            <w:r w:rsidR="00FD5387">
              <w:rPr>
                <w:noProof/>
                <w:webHidden/>
              </w:rPr>
              <w:fldChar w:fldCharType="end"/>
            </w:r>
          </w:hyperlink>
        </w:p>
        <w:p w:rsidR="00FD5387" w:rsidRDefault="00EB3B47">
          <w:pPr>
            <w:pStyle w:val="TOC1"/>
            <w:tabs>
              <w:tab w:val="right" w:leader="dot" w:pos="9016"/>
            </w:tabs>
            <w:rPr>
              <w:rFonts w:cstheme="minorBidi"/>
              <w:noProof/>
            </w:rPr>
          </w:pPr>
          <w:hyperlink w:anchor="_Toc13070823" w:history="1">
            <w:r w:rsidR="00FD5387" w:rsidRPr="00D43735">
              <w:rPr>
                <w:rStyle w:val="Hyperlink"/>
                <w:rFonts w:ascii="Times New Roman" w:hAnsi="Times New Roman"/>
                <w:b/>
                <w:noProof/>
              </w:rPr>
              <w:t>Appendix</w:t>
            </w:r>
            <w:r w:rsidR="00FD5387">
              <w:rPr>
                <w:noProof/>
                <w:webHidden/>
              </w:rPr>
              <w:tab/>
            </w:r>
            <w:r w:rsidR="00FD5387">
              <w:rPr>
                <w:noProof/>
                <w:webHidden/>
              </w:rPr>
              <w:fldChar w:fldCharType="begin"/>
            </w:r>
            <w:r w:rsidR="00FD5387">
              <w:rPr>
                <w:noProof/>
                <w:webHidden/>
              </w:rPr>
              <w:instrText xml:space="preserve"> PAGEREF _Toc13070823 \h </w:instrText>
            </w:r>
            <w:r w:rsidR="00FD5387">
              <w:rPr>
                <w:noProof/>
                <w:webHidden/>
              </w:rPr>
            </w:r>
            <w:r w:rsidR="00FD5387">
              <w:rPr>
                <w:noProof/>
                <w:webHidden/>
              </w:rPr>
              <w:fldChar w:fldCharType="separate"/>
            </w:r>
            <w:r w:rsidR="00FD5387">
              <w:rPr>
                <w:noProof/>
                <w:webHidden/>
              </w:rPr>
              <w:t>52</w:t>
            </w:r>
            <w:r w:rsidR="00FD5387">
              <w:rPr>
                <w:noProof/>
                <w:webHidden/>
              </w:rPr>
              <w:fldChar w:fldCharType="end"/>
            </w:r>
          </w:hyperlink>
        </w:p>
        <w:p w:rsidR="003427C8" w:rsidRPr="00860C25" w:rsidRDefault="005C425D">
          <w:pPr>
            <w:sectPr w:rsidR="003427C8" w:rsidRPr="00860C25" w:rsidSect="00117324">
              <w:footerReference w:type="default" r:id="rId11"/>
              <w:pgSz w:w="11906" w:h="16838" w:code="9"/>
              <w:pgMar w:top="1440" w:right="1440" w:bottom="1440" w:left="1440" w:header="720" w:footer="720" w:gutter="0"/>
              <w:pgNumType w:fmt="lowerRoman" w:start="1"/>
              <w:cols w:space="720"/>
              <w:docGrid w:linePitch="360"/>
            </w:sectPr>
          </w:pPr>
          <w:r>
            <w:rPr>
              <w:b/>
              <w:bCs/>
              <w:noProof/>
            </w:rPr>
            <w:fldChar w:fldCharType="end"/>
          </w:r>
        </w:p>
      </w:sdtContent>
    </w:sdt>
    <w:p w:rsidR="005F1EA4" w:rsidRDefault="005F1EA4" w:rsidP="00C73AF6">
      <w:pPr>
        <w:pStyle w:val="Heading1"/>
      </w:pPr>
    </w:p>
    <w:p w:rsidR="005F1EA4" w:rsidRDefault="005F1EA4" w:rsidP="00C73AF6">
      <w:pPr>
        <w:pStyle w:val="Heading1"/>
      </w:pPr>
    </w:p>
    <w:p w:rsidR="005F1EA4" w:rsidRDefault="005F1EA4" w:rsidP="00C73AF6">
      <w:pPr>
        <w:pStyle w:val="Heading1"/>
      </w:pPr>
    </w:p>
    <w:p w:rsidR="003F27C7" w:rsidRDefault="003F27C7" w:rsidP="003F27C7"/>
    <w:p w:rsidR="003F27C7" w:rsidRDefault="003F27C7" w:rsidP="003F27C7"/>
    <w:p w:rsidR="003F27C7" w:rsidRDefault="003F27C7" w:rsidP="003F27C7"/>
    <w:p w:rsidR="003F27C7" w:rsidRDefault="003F27C7" w:rsidP="003F27C7"/>
    <w:p w:rsidR="00942C7D" w:rsidRDefault="00942C7D" w:rsidP="0085081B">
      <w:pPr>
        <w:pStyle w:val="Heading1"/>
        <w:spacing w:line="276" w:lineRule="auto"/>
        <w:rPr>
          <w:rFonts w:ascii="Times New Roman" w:hAnsi="Times New Roman" w:cs="Times New Roman"/>
          <w:b/>
          <w:sz w:val="40"/>
          <w:szCs w:val="40"/>
        </w:rPr>
      </w:pPr>
    </w:p>
    <w:p w:rsidR="00942C7D" w:rsidRDefault="00942C7D" w:rsidP="00942C7D">
      <w:pPr>
        <w:pStyle w:val="Heading1"/>
        <w:spacing w:line="276" w:lineRule="auto"/>
        <w:jc w:val="center"/>
        <w:rPr>
          <w:rFonts w:ascii="Times New Roman" w:hAnsi="Times New Roman" w:cs="Times New Roman"/>
          <w:b/>
          <w:sz w:val="40"/>
          <w:szCs w:val="40"/>
        </w:rPr>
      </w:pPr>
    </w:p>
    <w:p w:rsidR="001F4AF6" w:rsidRPr="00D7027B" w:rsidRDefault="00D82AF1" w:rsidP="0085081B">
      <w:pPr>
        <w:pStyle w:val="Heading1"/>
        <w:spacing w:before="0" w:line="276" w:lineRule="auto"/>
        <w:contextualSpacing/>
        <w:jc w:val="center"/>
        <w:rPr>
          <w:rFonts w:ascii="Times New Roman" w:hAnsi="Times New Roman" w:cs="Times New Roman"/>
          <w:b/>
          <w:color w:val="auto"/>
          <w:sz w:val="40"/>
          <w:szCs w:val="40"/>
        </w:rPr>
      </w:pPr>
      <w:bookmarkStart w:id="0" w:name="_Toc13070797"/>
      <w:r w:rsidRPr="00D7027B">
        <w:rPr>
          <w:rFonts w:ascii="Times New Roman" w:hAnsi="Times New Roman" w:cs="Times New Roman"/>
          <w:b/>
          <w:color w:val="auto"/>
          <w:sz w:val="40"/>
          <w:szCs w:val="40"/>
        </w:rPr>
        <w:t>Chapter 1</w:t>
      </w:r>
      <w:bookmarkEnd w:id="0"/>
    </w:p>
    <w:p w:rsidR="00C5092F" w:rsidRDefault="00D7027B" w:rsidP="0085081B">
      <w:pPr>
        <w:spacing w:line="276" w:lineRule="auto"/>
        <w:contextualSpacing/>
      </w:pPr>
      <w:r>
        <w:rPr>
          <w:rFonts w:ascii="Times New Roman" w:hAnsi="Times New Roman" w:cs="Times New Roman"/>
          <w:b/>
          <w:noProof/>
          <w:sz w:val="40"/>
          <w:szCs w:val="4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margin">
                  <wp:posOffset>3583655</wp:posOffset>
                </wp:positionV>
                <wp:extent cx="2228850" cy="0"/>
                <wp:effectExtent l="0" t="0" r="19050" b="19050"/>
                <wp:wrapSquare wrapText="bothSides"/>
                <wp:docPr id="3" name="Straight Connector 3"/>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3601579" id="Straight Connector 3" o:spid="_x0000_s1026" style="position:absolute;z-index:251665408;visibility:visible;mso-wrap-style:square;mso-wrap-distance-left:9pt;mso-wrap-distance-top:0;mso-wrap-distance-right:9pt;mso-wrap-distance-bottom:0;mso-position-horizontal:center;mso-position-horizontal-relative:margin;mso-position-vertical:absolute;mso-position-vertical-relative:margin" from="0,282.2pt" to="175.5pt,2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" strokecolor="#5b9bd5 [3204]" strokeweight=".5pt">
                <v:stroke joinstyle="miter"/>
                <w10:wrap type="square" anchorx="margin" anchory="margin"/>
              </v:line>
            </w:pict>
          </mc:Fallback>
        </mc:AlternateContent>
      </w:r>
    </w:p>
    <w:p w:rsidR="00C5092F" w:rsidRDefault="0085081B" w:rsidP="0085081B">
      <w:pPr>
        <w:spacing w:line="276" w:lineRule="auto"/>
        <w:contextualSpacing/>
        <w:jc w:val="center"/>
      </w:pPr>
      <w:r w:rsidRPr="00AF397A">
        <w:rPr>
          <w:rFonts w:ascii="Times New Roman" w:hAnsi="Times New Roman" w:cs="Times New Roman"/>
          <w:b/>
          <w:sz w:val="36"/>
          <w:szCs w:val="36"/>
        </w:rPr>
        <w:t>Introduction</w:t>
      </w:r>
    </w:p>
    <w:p w:rsidR="00C5092F" w:rsidRDefault="00C5092F" w:rsidP="0085081B">
      <w:pPr>
        <w:spacing w:line="276" w:lineRule="auto"/>
        <w:ind w:firstLine="720"/>
      </w:pPr>
    </w:p>
    <w:p w:rsidR="0080492A" w:rsidRPr="003500DE" w:rsidRDefault="00C5092F" w:rsidP="003500DE">
      <w:pPr>
        <w:pStyle w:val="Heading1"/>
        <w:spacing w:after="240"/>
        <w:rPr>
          <w:rFonts w:ascii="Times New Roman" w:hAnsi="Times New Roman" w:cs="Times New Roman"/>
          <w:b/>
          <w:sz w:val="36"/>
          <w:szCs w:val="36"/>
        </w:rPr>
      </w:pPr>
      <w:r>
        <w:br w:type="page"/>
      </w:r>
      <w:bookmarkStart w:id="1" w:name="_Toc13070798"/>
      <w:r w:rsidR="00DA67F3" w:rsidRPr="003500DE">
        <w:rPr>
          <w:rFonts w:ascii="Times New Roman" w:hAnsi="Times New Roman" w:cs="Times New Roman"/>
          <w:b/>
          <w:color w:val="auto"/>
          <w:sz w:val="36"/>
          <w:szCs w:val="36"/>
        </w:rPr>
        <w:lastRenderedPageBreak/>
        <w:t>Introduction</w:t>
      </w:r>
      <w:bookmarkEnd w:id="1"/>
      <w:r w:rsidR="00DA67F3" w:rsidRPr="003500DE">
        <w:rPr>
          <w:rFonts w:ascii="Times New Roman" w:hAnsi="Times New Roman" w:cs="Times New Roman"/>
          <w:b/>
          <w:sz w:val="36"/>
          <w:szCs w:val="36"/>
        </w:rPr>
        <w:t xml:space="preserve"> </w:t>
      </w:r>
    </w:p>
    <w:p w:rsidR="00DF7CC1" w:rsidRDefault="00DA67F3" w:rsidP="00034E3D">
      <w:pPr>
        <w:spacing w:line="360" w:lineRule="auto"/>
        <w:jc w:val="both"/>
        <w:rPr>
          <w:rFonts w:ascii="Times New Roman" w:hAnsi="Times New Roman" w:cs="Times New Roman"/>
          <w:sz w:val="24"/>
          <w:szCs w:val="24"/>
        </w:rPr>
      </w:pPr>
      <w:r w:rsidRPr="00DA67F3">
        <w:rPr>
          <w:rFonts w:ascii="Times New Roman" w:hAnsi="Times New Roman" w:cs="Times New Roman"/>
          <w:sz w:val="24"/>
          <w:szCs w:val="24"/>
        </w:rPr>
        <w:t xml:space="preserve">Mutual fund </w:t>
      </w:r>
      <w:r w:rsidR="002C4E62" w:rsidRPr="00DA67F3">
        <w:rPr>
          <w:rFonts w:ascii="Times New Roman" w:hAnsi="Times New Roman" w:cs="Times New Roman"/>
          <w:sz w:val="24"/>
          <w:szCs w:val="24"/>
        </w:rPr>
        <w:t>industry plays</w:t>
      </w:r>
      <w:r w:rsidRPr="00DA67F3">
        <w:rPr>
          <w:rFonts w:ascii="Times New Roman" w:hAnsi="Times New Roman" w:cs="Times New Roman"/>
          <w:sz w:val="24"/>
          <w:szCs w:val="24"/>
        </w:rPr>
        <w:t xml:space="preserve"> a crucial role in overall development of economy and capital market. There is evidence of increasing popularity of mutual funds since the innovation of revolutionary financial theories like Capital Asset Pricing Model and Modern Portfolio Theory, which has also managed to draw attention of many ranchers. Evaluation of performance is one of the most common research regarding mutual fund. Many researchers have tried to assess performance of mutual fund in many unique and common ways in multiple dimension. However, objectives of their research was not entirely similar. Different researchers had different hypothesis and they took different measures to test their hypothesis but ultimately all of the researches were related with performance analysis. Most of the research paper entitled to study mutual funds’ performance incorporate Sharpe ratio, </w:t>
      </w:r>
      <w:proofErr w:type="spellStart"/>
      <w:r w:rsidRPr="00DA67F3">
        <w:rPr>
          <w:rFonts w:ascii="Times New Roman" w:hAnsi="Times New Roman" w:cs="Times New Roman"/>
          <w:sz w:val="24"/>
          <w:szCs w:val="24"/>
        </w:rPr>
        <w:t>Treynor</w:t>
      </w:r>
      <w:proofErr w:type="spellEnd"/>
      <w:r w:rsidRPr="00DA67F3">
        <w:rPr>
          <w:rFonts w:ascii="Times New Roman" w:hAnsi="Times New Roman" w:cs="Times New Roman"/>
          <w:sz w:val="24"/>
          <w:szCs w:val="24"/>
        </w:rPr>
        <w:t xml:space="preserve"> ratio, Jensen’s Alpha and Capital Asset Pricing Model, as they are highly acceptable and most legitimate. Considering few number of research regarding mutual funds’ performance in Bangladesh this paper took an attempt to study the most recent data of ten selected mutual funds under the mentioned theoretical models. The selected mutual funds were randomly chosen as sample to represent performance of listed mutual fund in Dhaka Stock Exchange and to provide some basic idea regarding performance of mutual</w:t>
      </w:r>
      <w:r w:rsidR="00DF7CC1">
        <w:rPr>
          <w:rFonts w:ascii="Times New Roman" w:hAnsi="Times New Roman" w:cs="Times New Roman"/>
          <w:sz w:val="24"/>
          <w:szCs w:val="24"/>
        </w:rPr>
        <w:t xml:space="preserve"> fund industry in the country.</w:t>
      </w:r>
    </w:p>
    <w:p w:rsidR="003C2B44" w:rsidRPr="006F3E2C" w:rsidRDefault="00781C21" w:rsidP="006F3E2C">
      <w:pPr>
        <w:pStyle w:val="Heading2"/>
        <w:spacing w:after="240"/>
        <w:rPr>
          <w:rFonts w:ascii="Times New Roman" w:hAnsi="Times New Roman" w:cs="Times New Roman"/>
          <w:b/>
          <w:color w:val="auto"/>
          <w:sz w:val="32"/>
          <w:szCs w:val="32"/>
        </w:rPr>
      </w:pPr>
      <w:bookmarkStart w:id="2" w:name="_Toc13070799"/>
      <w:r w:rsidRPr="006F3E2C">
        <w:rPr>
          <w:rFonts w:ascii="Times New Roman" w:hAnsi="Times New Roman" w:cs="Times New Roman"/>
          <w:b/>
          <w:color w:val="auto"/>
          <w:sz w:val="32"/>
          <w:szCs w:val="32"/>
        </w:rPr>
        <w:t>Origin of the Report</w:t>
      </w:r>
      <w:bookmarkEnd w:id="2"/>
    </w:p>
    <w:p w:rsidR="00781C21" w:rsidRDefault="00781C21" w:rsidP="007A66E0">
      <w:pPr>
        <w:spacing w:line="360" w:lineRule="auto"/>
        <w:jc w:val="both"/>
        <w:rPr>
          <w:rFonts w:ascii="Times New Roman" w:hAnsi="Times New Roman" w:cs="Times New Roman"/>
          <w:sz w:val="24"/>
          <w:szCs w:val="24"/>
        </w:rPr>
      </w:pPr>
      <w:r w:rsidRPr="00FF5597">
        <w:rPr>
          <w:rFonts w:ascii="Times New Roman" w:hAnsi="Times New Roman" w:cs="Times New Roman"/>
          <w:sz w:val="24"/>
          <w:szCs w:val="24"/>
        </w:rPr>
        <w:t xml:space="preserve">I prepared this project report under the supervision of </w:t>
      </w:r>
      <w:r w:rsidRPr="00FF5597">
        <w:rPr>
          <w:rFonts w:ascii="Times New Roman" w:eastAsia="Times New Roman" w:hAnsi="Times New Roman" w:cs="Times New Roman"/>
          <w:sz w:val="24"/>
          <w:szCs w:val="24"/>
        </w:rPr>
        <w:t xml:space="preserve">Muhammad </w:t>
      </w:r>
      <w:proofErr w:type="spellStart"/>
      <w:r w:rsidRPr="00FF5597">
        <w:rPr>
          <w:rFonts w:ascii="Times New Roman" w:eastAsia="Times New Roman" w:hAnsi="Times New Roman" w:cs="Times New Roman"/>
          <w:sz w:val="24"/>
          <w:szCs w:val="24"/>
        </w:rPr>
        <w:t>Enamul</w:t>
      </w:r>
      <w:proofErr w:type="spellEnd"/>
      <w:r w:rsidRPr="00FF5597">
        <w:rPr>
          <w:rFonts w:ascii="Times New Roman" w:eastAsia="Times New Roman" w:hAnsi="Times New Roman" w:cs="Times New Roman"/>
          <w:sz w:val="24"/>
          <w:szCs w:val="24"/>
        </w:rPr>
        <w:t xml:space="preserve"> </w:t>
      </w:r>
      <w:proofErr w:type="spellStart"/>
      <w:r w:rsidRPr="00FF5597">
        <w:rPr>
          <w:rFonts w:ascii="Times New Roman" w:eastAsia="Times New Roman" w:hAnsi="Times New Roman" w:cs="Times New Roman"/>
          <w:sz w:val="24"/>
          <w:szCs w:val="24"/>
        </w:rPr>
        <w:t>Haque</w:t>
      </w:r>
      <w:proofErr w:type="spellEnd"/>
      <w:r w:rsidRPr="00FF5597">
        <w:rPr>
          <w:rFonts w:ascii="Times New Roman" w:eastAsia="Times New Roman" w:hAnsi="Times New Roman" w:cs="Times New Roman"/>
          <w:sz w:val="24"/>
          <w:szCs w:val="24"/>
        </w:rPr>
        <w:t>, Assistant Professor, School of Business and Economics, United International University</w:t>
      </w:r>
      <w:r w:rsidRPr="00FF5597">
        <w:rPr>
          <w:rFonts w:ascii="Times New Roman" w:hAnsi="Times New Roman" w:cs="Times New Roman"/>
          <w:sz w:val="24"/>
          <w:szCs w:val="24"/>
        </w:rPr>
        <w:t xml:space="preserve"> to fulfill the compulsory requirement of B.B.A program. This report allowed me to gain some real life essence of financial research by letting me to apply my theoretic knowledge that I have gained through my B.B.A life as a student of finance in </w:t>
      </w:r>
      <w:r w:rsidRPr="00FF5597">
        <w:rPr>
          <w:rFonts w:ascii="Times New Roman" w:eastAsia="Times New Roman" w:hAnsi="Times New Roman" w:cs="Times New Roman"/>
          <w:sz w:val="24"/>
          <w:szCs w:val="24"/>
        </w:rPr>
        <w:t>United International University</w:t>
      </w:r>
      <w:r w:rsidRPr="00FF5597">
        <w:rPr>
          <w:rFonts w:ascii="Times New Roman" w:hAnsi="Times New Roman" w:cs="Times New Roman"/>
          <w:sz w:val="24"/>
          <w:szCs w:val="24"/>
        </w:rPr>
        <w:t xml:space="preserve">. </w:t>
      </w:r>
    </w:p>
    <w:p w:rsidR="00781C21" w:rsidRDefault="00781C21" w:rsidP="00781C21">
      <w:pPr>
        <w:spacing w:line="360" w:lineRule="auto"/>
        <w:contextualSpacing/>
        <w:jc w:val="both"/>
        <w:rPr>
          <w:rFonts w:ascii="Times New Roman" w:hAnsi="Times New Roman" w:cs="Times New Roman"/>
          <w:sz w:val="24"/>
          <w:szCs w:val="24"/>
        </w:rPr>
      </w:pPr>
      <w:r w:rsidRPr="00FF5597">
        <w:rPr>
          <w:rFonts w:ascii="Times New Roman" w:hAnsi="Times New Roman" w:cs="Times New Roman"/>
          <w:sz w:val="24"/>
          <w:szCs w:val="24"/>
        </w:rPr>
        <w:t>T</w:t>
      </w:r>
      <w:r>
        <w:rPr>
          <w:rFonts w:ascii="Times New Roman" w:hAnsi="Times New Roman" w:cs="Times New Roman"/>
          <w:sz w:val="24"/>
          <w:szCs w:val="24"/>
        </w:rPr>
        <w:t>he</w:t>
      </w:r>
      <w:r w:rsidRPr="00FF5597">
        <w:rPr>
          <w:rFonts w:ascii="Times New Roman" w:hAnsi="Times New Roman" w:cs="Times New Roman"/>
          <w:sz w:val="24"/>
          <w:szCs w:val="24"/>
        </w:rPr>
        <w:t xml:space="preserve"> report was prepared under the title of “</w:t>
      </w:r>
      <w:r w:rsidRPr="00FF5597">
        <w:rPr>
          <w:rFonts w:ascii="Times New Roman" w:eastAsia="Times New Roman" w:hAnsi="Times New Roman" w:cs="Times New Roman"/>
          <w:sz w:val="24"/>
          <w:szCs w:val="24"/>
        </w:rPr>
        <w:t>A Comprehensive Study on Performance Evaluation of Ten Mutual Funds in Bangladesh”. For the purpose of the study, I had to collect several data like closing share price and weekly NAV from and T-bill rate</w:t>
      </w:r>
      <w:r w:rsidRPr="00FF5597">
        <w:rPr>
          <w:rFonts w:ascii="Times New Roman" w:hAnsi="Times New Roman" w:cs="Times New Roman"/>
          <w:sz w:val="24"/>
          <w:szCs w:val="24"/>
        </w:rPr>
        <w:t xml:space="preserve"> </w:t>
      </w:r>
      <w:r w:rsidRPr="00FF5597">
        <w:rPr>
          <w:rFonts w:ascii="Times New Roman" w:eastAsia="Times New Roman" w:hAnsi="Times New Roman" w:cs="Times New Roman"/>
          <w:sz w:val="24"/>
          <w:szCs w:val="24"/>
        </w:rPr>
        <w:t xml:space="preserve">from authentic sources such as Dhaka Stock Exchange website and Bangladesh Bank website. In my study, I applied four models including </w:t>
      </w:r>
      <w:r w:rsidRPr="00FF5597">
        <w:rPr>
          <w:rFonts w:ascii="Times New Roman" w:hAnsi="Times New Roman" w:cs="Times New Roman"/>
          <w:sz w:val="24"/>
          <w:szCs w:val="24"/>
        </w:rPr>
        <w:t xml:space="preserve">Sharpe ratio, </w:t>
      </w:r>
      <w:proofErr w:type="spellStart"/>
      <w:r w:rsidRPr="00FF5597">
        <w:rPr>
          <w:rFonts w:ascii="Times New Roman" w:hAnsi="Times New Roman" w:cs="Times New Roman"/>
          <w:sz w:val="24"/>
          <w:szCs w:val="24"/>
        </w:rPr>
        <w:t>Treynor</w:t>
      </w:r>
      <w:proofErr w:type="spellEnd"/>
      <w:r w:rsidRPr="00FF5597">
        <w:rPr>
          <w:rFonts w:ascii="Times New Roman" w:hAnsi="Times New Roman" w:cs="Times New Roman"/>
          <w:sz w:val="24"/>
          <w:szCs w:val="24"/>
        </w:rPr>
        <w:t xml:space="preserve"> ratio, Jensen’s index and Capital Asset Pricing Model on ten randomly selected sample from listed mutual funds in Bangladesh. For theoretic knowledge, I revised some of the books that were in my B.B.A syllabus and I </w:t>
      </w:r>
      <w:r>
        <w:rPr>
          <w:rFonts w:ascii="Times New Roman" w:hAnsi="Times New Roman" w:cs="Times New Roman"/>
          <w:sz w:val="24"/>
          <w:szCs w:val="24"/>
        </w:rPr>
        <w:t xml:space="preserve">also </w:t>
      </w:r>
      <w:r w:rsidRPr="00FF5597">
        <w:rPr>
          <w:rFonts w:ascii="Times New Roman" w:hAnsi="Times New Roman" w:cs="Times New Roman"/>
          <w:sz w:val="24"/>
          <w:szCs w:val="24"/>
        </w:rPr>
        <w:t xml:space="preserve">considered some published </w:t>
      </w:r>
      <w:proofErr w:type="gramStart"/>
      <w:r w:rsidRPr="00FF5597">
        <w:rPr>
          <w:rFonts w:ascii="Times New Roman" w:hAnsi="Times New Roman" w:cs="Times New Roman"/>
          <w:sz w:val="24"/>
          <w:szCs w:val="24"/>
        </w:rPr>
        <w:t>article which were</w:t>
      </w:r>
      <w:proofErr w:type="gramEnd"/>
      <w:r w:rsidRPr="00FF5597">
        <w:rPr>
          <w:rFonts w:ascii="Times New Roman" w:hAnsi="Times New Roman" w:cs="Times New Roman"/>
          <w:sz w:val="24"/>
          <w:szCs w:val="24"/>
        </w:rPr>
        <w:t xml:space="preserve"> relevant with my study.  </w:t>
      </w:r>
    </w:p>
    <w:p w:rsidR="00781C21" w:rsidRPr="00FF5597" w:rsidRDefault="00781C21" w:rsidP="00781C21">
      <w:pPr>
        <w:spacing w:line="360" w:lineRule="auto"/>
        <w:contextualSpacing/>
        <w:jc w:val="both"/>
        <w:rPr>
          <w:rFonts w:ascii="Times New Roman" w:hAnsi="Times New Roman" w:cs="Times New Roman"/>
          <w:sz w:val="24"/>
          <w:szCs w:val="24"/>
        </w:rPr>
      </w:pPr>
    </w:p>
    <w:p w:rsidR="0077270D" w:rsidRDefault="00781C21" w:rsidP="00781C21">
      <w:pPr>
        <w:spacing w:line="360" w:lineRule="auto"/>
        <w:contextualSpacing/>
        <w:jc w:val="both"/>
        <w:rPr>
          <w:rFonts w:ascii="Times New Roman" w:hAnsi="Times New Roman" w:cs="Times New Roman"/>
          <w:sz w:val="24"/>
          <w:szCs w:val="24"/>
        </w:rPr>
      </w:pPr>
      <w:r w:rsidRPr="00FF5597">
        <w:rPr>
          <w:rFonts w:ascii="Times New Roman" w:hAnsi="Times New Roman" w:cs="Times New Roman"/>
          <w:sz w:val="24"/>
          <w:szCs w:val="24"/>
        </w:rPr>
        <w:t>The whole report was prepared with help and cordial guidance of my supervisor. The experience of preparing this report has provided me opportunity to bridge the gap between theoretical and practical knowledge.</w:t>
      </w:r>
    </w:p>
    <w:p w:rsidR="00DB4E1F" w:rsidRPr="00F70743" w:rsidRDefault="00DB4E1F" w:rsidP="007A66E0">
      <w:pPr>
        <w:pStyle w:val="Heading2"/>
        <w:spacing w:line="360" w:lineRule="auto"/>
        <w:jc w:val="both"/>
        <w:rPr>
          <w:rFonts w:ascii="Times New Roman" w:hAnsi="Times New Roman" w:cs="Times New Roman"/>
          <w:b/>
          <w:color w:val="auto"/>
          <w:sz w:val="32"/>
          <w:szCs w:val="32"/>
        </w:rPr>
      </w:pPr>
      <w:bookmarkStart w:id="3" w:name="_Toc12181219"/>
      <w:bookmarkStart w:id="4" w:name="_Toc13070800"/>
      <w:r w:rsidRPr="00F70743">
        <w:rPr>
          <w:rFonts w:ascii="Times New Roman" w:hAnsi="Times New Roman" w:cs="Times New Roman"/>
          <w:b/>
          <w:color w:val="auto"/>
          <w:sz w:val="32"/>
          <w:szCs w:val="32"/>
        </w:rPr>
        <w:t>Objectives of the Study</w:t>
      </w:r>
      <w:bookmarkEnd w:id="3"/>
      <w:bookmarkEnd w:id="4"/>
    </w:p>
    <w:p w:rsidR="0055312E" w:rsidRDefault="004F74CF" w:rsidP="00D67D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By </w:t>
      </w:r>
      <w:r w:rsidR="0019799E">
        <w:rPr>
          <w:rFonts w:ascii="Times New Roman" w:hAnsi="Times New Roman" w:cs="Times New Roman"/>
          <w:sz w:val="24"/>
          <w:szCs w:val="24"/>
        </w:rPr>
        <w:t>break</w:t>
      </w:r>
      <w:r>
        <w:rPr>
          <w:rFonts w:ascii="Times New Roman" w:hAnsi="Times New Roman" w:cs="Times New Roman"/>
          <w:sz w:val="24"/>
          <w:szCs w:val="24"/>
        </w:rPr>
        <w:t>ing</w:t>
      </w:r>
      <w:r w:rsidR="0019799E">
        <w:rPr>
          <w:rFonts w:ascii="Times New Roman" w:hAnsi="Times New Roman" w:cs="Times New Roman"/>
          <w:sz w:val="24"/>
          <w:szCs w:val="24"/>
        </w:rPr>
        <w:t xml:space="preserve"> down the </w:t>
      </w:r>
      <w:r w:rsidR="00AB489B">
        <w:rPr>
          <w:rFonts w:ascii="Times New Roman" w:hAnsi="Times New Roman" w:cs="Times New Roman"/>
          <w:sz w:val="24"/>
          <w:szCs w:val="24"/>
        </w:rPr>
        <w:t>objective of the study, we can differentiate</w:t>
      </w:r>
      <w:r w:rsidR="002F5CBA">
        <w:rPr>
          <w:rFonts w:ascii="Times New Roman" w:hAnsi="Times New Roman" w:cs="Times New Roman"/>
          <w:sz w:val="24"/>
          <w:szCs w:val="24"/>
        </w:rPr>
        <w:t xml:space="preserve"> it in</w:t>
      </w:r>
      <w:r w:rsidR="00AB489B">
        <w:rPr>
          <w:rFonts w:ascii="Times New Roman" w:hAnsi="Times New Roman" w:cs="Times New Roman"/>
          <w:sz w:val="24"/>
          <w:szCs w:val="24"/>
        </w:rPr>
        <w:t xml:space="preserve"> two parts.</w:t>
      </w:r>
      <w:r w:rsidR="002F5CBA">
        <w:rPr>
          <w:rFonts w:ascii="Times New Roman" w:hAnsi="Times New Roman" w:cs="Times New Roman"/>
          <w:sz w:val="24"/>
          <w:szCs w:val="24"/>
        </w:rPr>
        <w:t xml:space="preserve"> One part is primary objective that shows us the </w:t>
      </w:r>
      <w:r w:rsidR="00DD2431">
        <w:rPr>
          <w:rFonts w:ascii="Times New Roman" w:hAnsi="Times New Roman" w:cs="Times New Roman"/>
          <w:sz w:val="24"/>
          <w:szCs w:val="24"/>
        </w:rPr>
        <w:t xml:space="preserve">prime concern of this study and the other part is secondary objective that </w:t>
      </w:r>
      <w:r w:rsidR="00B74617">
        <w:rPr>
          <w:rFonts w:ascii="Times New Roman" w:hAnsi="Times New Roman" w:cs="Times New Roman"/>
          <w:sz w:val="24"/>
          <w:szCs w:val="24"/>
        </w:rPr>
        <w:t>reflect</w:t>
      </w:r>
      <w:r w:rsidR="00381B9B">
        <w:rPr>
          <w:rFonts w:ascii="Times New Roman" w:hAnsi="Times New Roman" w:cs="Times New Roman"/>
          <w:sz w:val="24"/>
          <w:szCs w:val="24"/>
        </w:rPr>
        <w:t xml:space="preserve"> some</w:t>
      </w:r>
      <w:r w:rsidR="00DC5AA3">
        <w:rPr>
          <w:rFonts w:ascii="Times New Roman" w:hAnsi="Times New Roman" w:cs="Times New Roman"/>
          <w:sz w:val="24"/>
          <w:szCs w:val="24"/>
        </w:rPr>
        <w:t xml:space="preserve"> detailed </w:t>
      </w:r>
      <w:r w:rsidR="00381B9B">
        <w:rPr>
          <w:rFonts w:ascii="Times New Roman" w:hAnsi="Times New Roman" w:cs="Times New Roman"/>
          <w:sz w:val="24"/>
          <w:szCs w:val="24"/>
        </w:rPr>
        <w:t xml:space="preserve">idea </w:t>
      </w:r>
      <w:r w:rsidR="00D972EB">
        <w:rPr>
          <w:rFonts w:ascii="Times New Roman" w:hAnsi="Times New Roman" w:cs="Times New Roman"/>
          <w:sz w:val="24"/>
          <w:szCs w:val="24"/>
        </w:rPr>
        <w:t xml:space="preserve">about </w:t>
      </w:r>
      <w:r w:rsidR="00381B9B">
        <w:rPr>
          <w:rFonts w:ascii="Times New Roman" w:hAnsi="Times New Roman" w:cs="Times New Roman"/>
          <w:sz w:val="24"/>
          <w:szCs w:val="24"/>
        </w:rPr>
        <w:t>the</w:t>
      </w:r>
      <w:r w:rsidR="00D9296D">
        <w:rPr>
          <w:rFonts w:ascii="Times New Roman" w:hAnsi="Times New Roman" w:cs="Times New Roman"/>
          <w:sz w:val="24"/>
          <w:szCs w:val="24"/>
        </w:rPr>
        <w:t xml:space="preserve"> primary objective. </w:t>
      </w:r>
      <w:r w:rsidR="00D972EB">
        <w:rPr>
          <w:rFonts w:ascii="Times New Roman" w:hAnsi="Times New Roman" w:cs="Times New Roman"/>
          <w:sz w:val="24"/>
          <w:szCs w:val="24"/>
        </w:rPr>
        <w:t>The secondary objectives are always complimentary</w:t>
      </w:r>
      <w:r w:rsidR="00517E40">
        <w:rPr>
          <w:rFonts w:ascii="Times New Roman" w:hAnsi="Times New Roman" w:cs="Times New Roman"/>
          <w:sz w:val="24"/>
          <w:szCs w:val="24"/>
        </w:rPr>
        <w:t xml:space="preserve"> and relevant</w:t>
      </w:r>
      <w:r w:rsidR="00D972EB">
        <w:rPr>
          <w:rFonts w:ascii="Times New Roman" w:hAnsi="Times New Roman" w:cs="Times New Roman"/>
          <w:sz w:val="24"/>
          <w:szCs w:val="24"/>
        </w:rPr>
        <w:t xml:space="preserve"> with the primary objective.</w:t>
      </w:r>
      <w:r w:rsidR="00DD2431">
        <w:rPr>
          <w:rFonts w:ascii="Times New Roman" w:hAnsi="Times New Roman" w:cs="Times New Roman"/>
          <w:sz w:val="24"/>
          <w:szCs w:val="24"/>
        </w:rPr>
        <w:t xml:space="preserve"> </w:t>
      </w:r>
    </w:p>
    <w:p w:rsidR="007A66E0" w:rsidRDefault="00F84926" w:rsidP="00D67D58">
      <w:pPr>
        <w:spacing w:after="0" w:line="360" w:lineRule="auto"/>
        <w:jc w:val="both"/>
        <w:rPr>
          <w:rFonts w:ascii="Times New Roman" w:hAnsi="Times New Roman" w:cs="Times New Roman"/>
          <w:b/>
          <w:sz w:val="24"/>
          <w:szCs w:val="24"/>
        </w:rPr>
      </w:pPr>
      <w:r w:rsidRPr="0055312E">
        <w:rPr>
          <w:rFonts w:ascii="Times New Roman" w:hAnsi="Times New Roman" w:cs="Times New Roman"/>
          <w:b/>
          <w:sz w:val="24"/>
          <w:szCs w:val="24"/>
        </w:rPr>
        <w:t>Primary objective</w:t>
      </w:r>
      <w:r w:rsidR="004F74CF" w:rsidRPr="0055312E">
        <w:rPr>
          <w:rFonts w:ascii="Times New Roman" w:hAnsi="Times New Roman" w:cs="Times New Roman"/>
          <w:b/>
          <w:sz w:val="24"/>
          <w:szCs w:val="24"/>
        </w:rPr>
        <w:t xml:space="preserve"> </w:t>
      </w:r>
      <w:r w:rsidR="00AB489B" w:rsidRPr="0055312E">
        <w:rPr>
          <w:rFonts w:ascii="Times New Roman" w:hAnsi="Times New Roman" w:cs="Times New Roman"/>
          <w:b/>
          <w:sz w:val="24"/>
          <w:szCs w:val="24"/>
        </w:rPr>
        <w:t xml:space="preserve"> </w:t>
      </w:r>
    </w:p>
    <w:p w:rsidR="00320F69" w:rsidRDefault="00DB4E1F" w:rsidP="00D67D58">
      <w:pPr>
        <w:spacing w:after="0" w:line="360" w:lineRule="auto"/>
        <w:jc w:val="both"/>
        <w:rPr>
          <w:rFonts w:ascii="Times New Roman" w:hAnsi="Times New Roman" w:cs="Times New Roman"/>
          <w:b/>
          <w:sz w:val="24"/>
          <w:szCs w:val="24"/>
        </w:rPr>
      </w:pPr>
      <w:r w:rsidRPr="00262325">
        <w:rPr>
          <w:rFonts w:ascii="Times New Roman" w:hAnsi="Times New Roman" w:cs="Times New Roman"/>
          <w:sz w:val="24"/>
          <w:szCs w:val="24"/>
        </w:rPr>
        <w:t>The prime concern of this paper is to evaluate performance of the selec</w:t>
      </w:r>
      <w:r w:rsidR="00262325" w:rsidRPr="00262325">
        <w:rPr>
          <w:rFonts w:ascii="Times New Roman" w:hAnsi="Times New Roman" w:cs="Times New Roman"/>
          <w:sz w:val="24"/>
          <w:szCs w:val="24"/>
        </w:rPr>
        <w:t>ted mutual funds in Bangladesh using</w:t>
      </w:r>
      <w:r w:rsidR="00262325">
        <w:rPr>
          <w:rFonts w:ascii="Times New Roman" w:hAnsi="Times New Roman" w:cs="Times New Roman"/>
          <w:sz w:val="24"/>
          <w:szCs w:val="24"/>
        </w:rPr>
        <w:t xml:space="preserve"> models like Sharpe, </w:t>
      </w:r>
      <w:proofErr w:type="spellStart"/>
      <w:proofErr w:type="gramStart"/>
      <w:r w:rsidR="00262325">
        <w:rPr>
          <w:rFonts w:ascii="Times New Roman" w:hAnsi="Times New Roman" w:cs="Times New Roman"/>
          <w:sz w:val="24"/>
          <w:szCs w:val="24"/>
        </w:rPr>
        <w:t>Treynor</w:t>
      </w:r>
      <w:proofErr w:type="spellEnd"/>
      <w:r w:rsidR="00262325">
        <w:rPr>
          <w:rFonts w:ascii="Times New Roman" w:hAnsi="Times New Roman" w:cs="Times New Roman"/>
          <w:sz w:val="24"/>
          <w:szCs w:val="24"/>
        </w:rPr>
        <w:t xml:space="preserve"> ,</w:t>
      </w:r>
      <w:proofErr w:type="gramEnd"/>
      <w:r w:rsidR="00262325">
        <w:rPr>
          <w:rFonts w:ascii="Times New Roman" w:hAnsi="Times New Roman" w:cs="Times New Roman"/>
          <w:sz w:val="24"/>
          <w:szCs w:val="24"/>
        </w:rPr>
        <w:t xml:space="preserve"> </w:t>
      </w:r>
      <w:r w:rsidR="00262325" w:rsidRPr="00262325">
        <w:rPr>
          <w:rFonts w:ascii="Times New Roman" w:hAnsi="Times New Roman" w:cs="Times New Roman"/>
          <w:sz w:val="24"/>
          <w:szCs w:val="24"/>
        </w:rPr>
        <w:t>Jensen</w:t>
      </w:r>
      <w:r w:rsidR="00262325">
        <w:rPr>
          <w:rFonts w:ascii="Times New Roman" w:hAnsi="Times New Roman" w:cs="Times New Roman"/>
          <w:sz w:val="24"/>
          <w:szCs w:val="24"/>
        </w:rPr>
        <w:t>’s Alpha and CAPM</w:t>
      </w:r>
      <w:r w:rsidR="00D648FB">
        <w:rPr>
          <w:rFonts w:ascii="Times New Roman" w:hAnsi="Times New Roman" w:cs="Times New Roman"/>
          <w:sz w:val="24"/>
          <w:szCs w:val="24"/>
        </w:rPr>
        <w:t>.</w:t>
      </w:r>
      <w:r w:rsidR="00262325">
        <w:rPr>
          <w:rFonts w:ascii="Times New Roman" w:hAnsi="Times New Roman" w:cs="Times New Roman"/>
          <w:sz w:val="24"/>
          <w:szCs w:val="24"/>
        </w:rPr>
        <w:t xml:space="preserve"> </w:t>
      </w:r>
      <w:r w:rsidR="00262325" w:rsidRPr="00262325">
        <w:rPr>
          <w:rFonts w:ascii="Times New Roman" w:hAnsi="Times New Roman" w:cs="Times New Roman"/>
          <w:sz w:val="24"/>
          <w:szCs w:val="24"/>
        </w:rPr>
        <w:t xml:space="preserve"> </w:t>
      </w:r>
    </w:p>
    <w:p w:rsidR="00320F69" w:rsidRDefault="0087288F" w:rsidP="00D67D58">
      <w:pPr>
        <w:spacing w:after="0" w:line="360" w:lineRule="auto"/>
        <w:jc w:val="both"/>
        <w:rPr>
          <w:rFonts w:ascii="Times New Roman" w:hAnsi="Times New Roman" w:cs="Times New Roman"/>
          <w:b/>
          <w:sz w:val="24"/>
          <w:szCs w:val="24"/>
        </w:rPr>
      </w:pPr>
      <w:r w:rsidRPr="0055312E">
        <w:rPr>
          <w:rFonts w:ascii="Times New Roman" w:hAnsi="Times New Roman" w:cs="Times New Roman"/>
          <w:b/>
          <w:sz w:val="24"/>
          <w:szCs w:val="24"/>
        </w:rPr>
        <w:t>Secondary objecti</w:t>
      </w:r>
      <w:r w:rsidR="00320F69">
        <w:rPr>
          <w:rFonts w:ascii="Times New Roman" w:hAnsi="Times New Roman" w:cs="Times New Roman"/>
          <w:b/>
          <w:sz w:val="24"/>
          <w:szCs w:val="24"/>
        </w:rPr>
        <w:t>ve</w:t>
      </w:r>
    </w:p>
    <w:p w:rsidR="00DB4E1F" w:rsidRPr="00320F69" w:rsidRDefault="00DB4E1F" w:rsidP="00D67D58">
      <w:pPr>
        <w:spacing w:after="0" w:line="360" w:lineRule="auto"/>
        <w:jc w:val="both"/>
        <w:rPr>
          <w:rFonts w:ascii="Times New Roman" w:hAnsi="Times New Roman" w:cs="Times New Roman"/>
          <w:b/>
          <w:sz w:val="24"/>
          <w:szCs w:val="24"/>
        </w:rPr>
      </w:pPr>
      <w:r w:rsidRPr="006B19D5">
        <w:rPr>
          <w:rFonts w:ascii="Times New Roman" w:hAnsi="Times New Roman" w:cs="Times New Roman"/>
          <w:sz w:val="24"/>
          <w:szCs w:val="24"/>
        </w:rPr>
        <w:t>However if we break down the purpose of the study we can come up with several objective such as:</w:t>
      </w:r>
    </w:p>
    <w:p w:rsidR="00DB4E1F" w:rsidRPr="006B19D5" w:rsidRDefault="00DB4E1F" w:rsidP="00DB4E1F">
      <w:pPr>
        <w:pStyle w:val="ListParagraph"/>
        <w:numPr>
          <w:ilvl w:val="0"/>
          <w:numId w:val="9"/>
        </w:num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To analyze performance in terms of return relative to risk</w:t>
      </w:r>
      <w:r w:rsidR="002A6FE3">
        <w:rPr>
          <w:rFonts w:ascii="Times New Roman" w:hAnsi="Times New Roman" w:cs="Times New Roman"/>
          <w:sz w:val="24"/>
          <w:szCs w:val="24"/>
        </w:rPr>
        <w:t>.</w:t>
      </w:r>
    </w:p>
    <w:p w:rsidR="00DB4E1F" w:rsidRPr="00A95196" w:rsidRDefault="00DB4E1F" w:rsidP="00A95196">
      <w:pPr>
        <w:pStyle w:val="ListParagraph"/>
        <w:numPr>
          <w:ilvl w:val="0"/>
          <w:numId w:val="9"/>
        </w:num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To analyze trend and fluctuation of share price</w:t>
      </w:r>
      <w:r w:rsidR="00E4500E">
        <w:rPr>
          <w:rFonts w:ascii="Times New Roman" w:hAnsi="Times New Roman" w:cs="Times New Roman"/>
          <w:sz w:val="24"/>
          <w:szCs w:val="24"/>
        </w:rPr>
        <w:t xml:space="preserve"> and Net Asset Value of mutual fu</w:t>
      </w:r>
      <w:r w:rsidR="00A95196">
        <w:rPr>
          <w:rFonts w:ascii="Times New Roman" w:hAnsi="Times New Roman" w:cs="Times New Roman"/>
          <w:sz w:val="24"/>
          <w:szCs w:val="24"/>
        </w:rPr>
        <w:t xml:space="preserve">nd to determine volatility level and level of return. </w:t>
      </w:r>
      <w:r w:rsidRPr="006B19D5">
        <w:rPr>
          <w:rFonts w:ascii="Times New Roman" w:hAnsi="Times New Roman" w:cs="Times New Roman"/>
          <w:sz w:val="24"/>
          <w:szCs w:val="24"/>
        </w:rPr>
        <w:t xml:space="preserve"> </w:t>
      </w:r>
    </w:p>
    <w:p w:rsidR="00DB4E1F" w:rsidRPr="006B19D5" w:rsidRDefault="00DB4E1F" w:rsidP="00DB4E1F">
      <w:pPr>
        <w:pStyle w:val="ListParagraph"/>
        <w:numPr>
          <w:ilvl w:val="0"/>
          <w:numId w:val="9"/>
        </w:num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To analyze trend of mutual fund considering growth, size and volume</w:t>
      </w:r>
      <w:r w:rsidR="002A6FE3">
        <w:rPr>
          <w:rFonts w:ascii="Times New Roman" w:hAnsi="Times New Roman" w:cs="Times New Roman"/>
          <w:sz w:val="24"/>
          <w:szCs w:val="24"/>
        </w:rPr>
        <w:t>.</w:t>
      </w:r>
      <w:r w:rsidRPr="006B19D5">
        <w:rPr>
          <w:rFonts w:ascii="Times New Roman" w:hAnsi="Times New Roman" w:cs="Times New Roman"/>
          <w:sz w:val="24"/>
          <w:szCs w:val="24"/>
        </w:rPr>
        <w:t xml:space="preserve"> </w:t>
      </w:r>
    </w:p>
    <w:p w:rsidR="00DB4E1F" w:rsidRPr="0066019C" w:rsidRDefault="00DB4E1F" w:rsidP="0066019C">
      <w:pPr>
        <w:pStyle w:val="ListParagraph"/>
        <w:numPr>
          <w:ilvl w:val="0"/>
          <w:numId w:val="9"/>
        </w:num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To compare the mutual funds return with benchmark index of Dhaka Stock Exchange</w:t>
      </w:r>
      <w:r w:rsidR="0066019C">
        <w:rPr>
          <w:rFonts w:ascii="Times New Roman" w:hAnsi="Times New Roman" w:cs="Times New Roman"/>
          <w:sz w:val="24"/>
          <w:szCs w:val="24"/>
        </w:rPr>
        <w:t xml:space="preserve"> </w:t>
      </w:r>
      <w:r w:rsidR="002A6FE3">
        <w:rPr>
          <w:rFonts w:ascii="Times New Roman" w:hAnsi="Times New Roman" w:cs="Times New Roman"/>
          <w:sz w:val="24"/>
          <w:szCs w:val="24"/>
        </w:rPr>
        <w:t>for generating</w:t>
      </w:r>
      <w:r w:rsidR="0066019C">
        <w:rPr>
          <w:rFonts w:ascii="Times New Roman" w:hAnsi="Times New Roman" w:cs="Times New Roman"/>
          <w:sz w:val="24"/>
          <w:szCs w:val="24"/>
        </w:rPr>
        <w:t xml:space="preserve"> </w:t>
      </w:r>
      <w:r w:rsidR="0066019C" w:rsidRPr="0066019C">
        <w:rPr>
          <w:rFonts w:ascii="Times New Roman" w:hAnsi="Times New Roman" w:cs="Times New Roman"/>
          <w:sz w:val="24"/>
          <w:szCs w:val="24"/>
        </w:rPr>
        <w:t>useful</w:t>
      </w:r>
      <w:r w:rsidRPr="0066019C">
        <w:rPr>
          <w:rFonts w:ascii="Times New Roman" w:hAnsi="Times New Roman" w:cs="Times New Roman"/>
          <w:sz w:val="24"/>
          <w:szCs w:val="24"/>
        </w:rPr>
        <w:t xml:space="preserve"> information for the investor</w:t>
      </w:r>
      <w:r w:rsidR="002A6FE3">
        <w:rPr>
          <w:rFonts w:ascii="Times New Roman" w:hAnsi="Times New Roman" w:cs="Times New Roman"/>
          <w:sz w:val="24"/>
          <w:szCs w:val="24"/>
        </w:rPr>
        <w:t>.</w:t>
      </w:r>
      <w:r w:rsidRPr="0066019C">
        <w:rPr>
          <w:rFonts w:ascii="Times New Roman" w:hAnsi="Times New Roman" w:cs="Times New Roman"/>
          <w:sz w:val="24"/>
          <w:szCs w:val="24"/>
        </w:rPr>
        <w:t xml:space="preserve"> </w:t>
      </w:r>
    </w:p>
    <w:p w:rsidR="00494A1E" w:rsidRDefault="00DB4E1F" w:rsidP="00494A1E">
      <w:pPr>
        <w:pStyle w:val="ListParagraph"/>
        <w:numPr>
          <w:ilvl w:val="0"/>
          <w:numId w:val="9"/>
        </w:num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To provide an updated overview of the mutual fund industry in Bangladesh</w:t>
      </w:r>
      <w:r w:rsidR="0066019C">
        <w:rPr>
          <w:rFonts w:ascii="Times New Roman" w:hAnsi="Times New Roman" w:cs="Times New Roman"/>
          <w:sz w:val="24"/>
          <w:szCs w:val="24"/>
        </w:rPr>
        <w:t>.</w:t>
      </w:r>
    </w:p>
    <w:p w:rsidR="006B2BDF" w:rsidRPr="00F70743" w:rsidRDefault="0077270D" w:rsidP="00BE614B">
      <w:pPr>
        <w:pStyle w:val="Heading2"/>
        <w:spacing w:after="240"/>
        <w:rPr>
          <w:rFonts w:ascii="Times New Roman" w:hAnsi="Times New Roman" w:cs="Times New Roman"/>
          <w:b/>
          <w:color w:val="auto"/>
          <w:sz w:val="32"/>
          <w:szCs w:val="32"/>
        </w:rPr>
      </w:pPr>
      <w:bookmarkStart w:id="5" w:name="_Toc13070801"/>
      <w:r w:rsidRPr="00F70743">
        <w:rPr>
          <w:rFonts w:ascii="Times New Roman" w:hAnsi="Times New Roman" w:cs="Times New Roman"/>
          <w:b/>
          <w:color w:val="auto"/>
          <w:sz w:val="32"/>
          <w:szCs w:val="32"/>
        </w:rPr>
        <w:t>Sources of Data and Methodology</w:t>
      </w:r>
      <w:bookmarkEnd w:id="5"/>
    </w:p>
    <w:p w:rsidR="00BE614B" w:rsidRDefault="0077270D" w:rsidP="00D67D58">
      <w:pPr>
        <w:spacing w:after="0" w:line="360" w:lineRule="auto"/>
        <w:jc w:val="both"/>
        <w:rPr>
          <w:rFonts w:ascii="Times New Roman" w:hAnsi="Times New Roman" w:cs="Times New Roman"/>
          <w:b/>
          <w:sz w:val="28"/>
          <w:szCs w:val="28"/>
        </w:rPr>
      </w:pPr>
      <w:bookmarkStart w:id="6" w:name="_Toc12181220"/>
      <w:r w:rsidRPr="00F70743">
        <w:rPr>
          <w:rFonts w:ascii="Times New Roman" w:hAnsi="Times New Roman" w:cs="Times New Roman"/>
          <w:b/>
          <w:sz w:val="28"/>
          <w:szCs w:val="28"/>
        </w:rPr>
        <w:t>Sources of Data</w:t>
      </w:r>
      <w:bookmarkEnd w:id="6"/>
      <w:r w:rsidRPr="00F70743">
        <w:rPr>
          <w:rFonts w:ascii="Times New Roman" w:hAnsi="Times New Roman" w:cs="Times New Roman"/>
          <w:b/>
          <w:sz w:val="28"/>
          <w:szCs w:val="28"/>
        </w:rPr>
        <w:t xml:space="preserve"> </w:t>
      </w:r>
    </w:p>
    <w:p w:rsidR="0077270D" w:rsidRPr="00BE614B" w:rsidRDefault="0077270D" w:rsidP="00D67D58">
      <w:pPr>
        <w:spacing w:after="0" w:line="360" w:lineRule="auto"/>
        <w:jc w:val="both"/>
        <w:rPr>
          <w:rFonts w:ascii="Times New Roman" w:hAnsi="Times New Roman" w:cs="Times New Roman"/>
          <w:b/>
          <w:sz w:val="28"/>
          <w:szCs w:val="28"/>
        </w:rPr>
      </w:pPr>
      <w:r w:rsidRPr="0077270D">
        <w:rPr>
          <w:rFonts w:ascii="Times New Roman" w:hAnsi="Times New Roman" w:cs="Times New Roman"/>
          <w:sz w:val="24"/>
          <w:szCs w:val="24"/>
        </w:rPr>
        <w:t>For the purpose of the study, several types of data were collected from various legitimate secondary sources. These sources include:</w:t>
      </w:r>
    </w:p>
    <w:p w:rsidR="0077270D" w:rsidRPr="0077270D" w:rsidRDefault="0077270D" w:rsidP="0077270D">
      <w:pPr>
        <w:numPr>
          <w:ilvl w:val="0"/>
          <w:numId w:val="2"/>
        </w:numPr>
        <w:spacing w:line="360" w:lineRule="auto"/>
        <w:contextualSpacing/>
        <w:jc w:val="both"/>
        <w:rPr>
          <w:rFonts w:ascii="Times New Roman" w:hAnsi="Times New Roman" w:cs="Times New Roman"/>
          <w:sz w:val="24"/>
          <w:szCs w:val="24"/>
        </w:rPr>
      </w:pPr>
      <w:r w:rsidRPr="0077270D">
        <w:rPr>
          <w:rFonts w:ascii="Times New Roman" w:hAnsi="Times New Roman" w:cs="Times New Roman"/>
          <w:sz w:val="24"/>
          <w:szCs w:val="24"/>
        </w:rPr>
        <w:t>Website of Dhaka Stock Exchange</w:t>
      </w:r>
    </w:p>
    <w:p w:rsidR="0077270D" w:rsidRPr="0077270D" w:rsidRDefault="0077270D" w:rsidP="0077270D">
      <w:pPr>
        <w:numPr>
          <w:ilvl w:val="0"/>
          <w:numId w:val="2"/>
        </w:numPr>
        <w:spacing w:line="360" w:lineRule="auto"/>
        <w:contextualSpacing/>
        <w:jc w:val="both"/>
        <w:rPr>
          <w:rFonts w:ascii="Times New Roman" w:hAnsi="Times New Roman" w:cs="Times New Roman"/>
          <w:sz w:val="24"/>
          <w:szCs w:val="24"/>
        </w:rPr>
      </w:pPr>
      <w:r w:rsidRPr="0077270D">
        <w:rPr>
          <w:rFonts w:ascii="Times New Roman" w:hAnsi="Times New Roman" w:cs="Times New Roman"/>
          <w:sz w:val="24"/>
          <w:szCs w:val="24"/>
        </w:rPr>
        <w:t>Website of Bangladesh Bank and</w:t>
      </w:r>
    </w:p>
    <w:p w:rsidR="0077270D" w:rsidRPr="0077270D" w:rsidRDefault="0077270D" w:rsidP="009837C6">
      <w:pPr>
        <w:numPr>
          <w:ilvl w:val="0"/>
          <w:numId w:val="2"/>
        </w:numPr>
        <w:spacing w:line="360" w:lineRule="auto"/>
        <w:contextualSpacing/>
        <w:jc w:val="both"/>
        <w:rPr>
          <w:rFonts w:ascii="Times New Roman" w:hAnsi="Times New Roman" w:cs="Times New Roman"/>
          <w:sz w:val="24"/>
          <w:szCs w:val="24"/>
        </w:rPr>
      </w:pPr>
      <w:r w:rsidRPr="0077270D">
        <w:rPr>
          <w:rFonts w:ascii="Times New Roman" w:hAnsi="Times New Roman" w:cs="Times New Roman"/>
          <w:sz w:val="24"/>
          <w:szCs w:val="24"/>
        </w:rPr>
        <w:t>Numerous number of article and books.</w:t>
      </w:r>
    </w:p>
    <w:p w:rsidR="00662FE9" w:rsidRDefault="0077270D" w:rsidP="00EB4407">
      <w:pPr>
        <w:spacing w:before="240" w:line="360" w:lineRule="auto"/>
        <w:contextualSpacing/>
        <w:jc w:val="both"/>
        <w:rPr>
          <w:rFonts w:ascii="Times New Roman" w:hAnsi="Times New Roman" w:cs="Times New Roman"/>
          <w:sz w:val="24"/>
          <w:szCs w:val="24"/>
        </w:rPr>
      </w:pPr>
      <w:r w:rsidRPr="0077270D">
        <w:rPr>
          <w:rFonts w:ascii="Times New Roman" w:hAnsi="Times New Roman" w:cs="Times New Roman"/>
          <w:sz w:val="24"/>
          <w:szCs w:val="24"/>
        </w:rPr>
        <w:t xml:space="preserve">The data of daily share price, weekly NAV and DSEX index were gathered from website of Dhaka Stock Exchange. The rate of 1-year Treasury bill rate was collected from Bangladesh Bank’s website. Numerous </w:t>
      </w:r>
      <w:proofErr w:type="gramStart"/>
      <w:r w:rsidRPr="0077270D">
        <w:rPr>
          <w:rFonts w:ascii="Times New Roman" w:hAnsi="Times New Roman" w:cs="Times New Roman"/>
          <w:sz w:val="24"/>
          <w:szCs w:val="24"/>
        </w:rPr>
        <w:t>number</w:t>
      </w:r>
      <w:proofErr w:type="gramEnd"/>
      <w:r w:rsidRPr="0077270D">
        <w:rPr>
          <w:rFonts w:ascii="Times New Roman" w:hAnsi="Times New Roman" w:cs="Times New Roman"/>
          <w:sz w:val="24"/>
          <w:szCs w:val="24"/>
        </w:rPr>
        <w:t xml:space="preserve"> of articles and publication were considered for studying </w:t>
      </w:r>
      <w:r w:rsidRPr="0077270D">
        <w:rPr>
          <w:rFonts w:ascii="Times New Roman" w:hAnsi="Times New Roman" w:cs="Times New Roman"/>
          <w:sz w:val="24"/>
          <w:szCs w:val="24"/>
        </w:rPr>
        <w:lastRenderedPageBreak/>
        <w:t xml:space="preserve">historical data and theoretic model. For clarifying theoretic understanding, some help was also taken from several books of finance. </w:t>
      </w:r>
      <w:bookmarkStart w:id="7" w:name="_Toc12181221"/>
    </w:p>
    <w:p w:rsidR="00FF0127" w:rsidRPr="00F70743" w:rsidRDefault="0077270D" w:rsidP="00BE614B">
      <w:pPr>
        <w:spacing w:before="240" w:line="360" w:lineRule="auto"/>
        <w:contextualSpacing/>
        <w:jc w:val="both"/>
        <w:rPr>
          <w:rFonts w:ascii="Times New Roman" w:hAnsi="Times New Roman" w:cs="Times New Roman"/>
          <w:sz w:val="28"/>
          <w:szCs w:val="28"/>
        </w:rPr>
      </w:pPr>
      <w:r w:rsidRPr="00F70743">
        <w:rPr>
          <w:rFonts w:ascii="Times New Roman" w:hAnsi="Times New Roman" w:cs="Times New Roman"/>
          <w:b/>
          <w:sz w:val="28"/>
          <w:szCs w:val="28"/>
        </w:rPr>
        <w:t>Methodology</w:t>
      </w:r>
      <w:bookmarkEnd w:id="7"/>
    </w:p>
    <w:p w:rsidR="0077270D" w:rsidRDefault="0077270D" w:rsidP="00781C21">
      <w:pPr>
        <w:spacing w:line="360" w:lineRule="auto"/>
        <w:contextualSpacing/>
        <w:jc w:val="both"/>
        <w:rPr>
          <w:rFonts w:ascii="Times New Roman" w:hAnsi="Times New Roman" w:cs="Times New Roman"/>
          <w:sz w:val="24"/>
          <w:szCs w:val="24"/>
        </w:rPr>
      </w:pPr>
      <w:r w:rsidRPr="0077270D">
        <w:rPr>
          <w:rFonts w:ascii="Times New Roman" w:hAnsi="Times New Roman" w:cs="Times New Roman"/>
          <w:sz w:val="24"/>
          <w:szCs w:val="24"/>
        </w:rPr>
        <w:t>First of all from the list of mutual fund in Dhaka Stock Exchange 10 mutual fund was randomly selected as sample. For calculating return, this paper</w:t>
      </w:r>
      <w:r w:rsidR="007467A9">
        <w:rPr>
          <w:rFonts w:ascii="Times New Roman" w:hAnsi="Times New Roman" w:cs="Times New Roman"/>
          <w:sz w:val="24"/>
          <w:szCs w:val="24"/>
        </w:rPr>
        <w:t xml:space="preserve"> is considering both daily closing</w:t>
      </w:r>
      <w:r w:rsidRPr="0077270D">
        <w:rPr>
          <w:rFonts w:ascii="Times New Roman" w:hAnsi="Times New Roman" w:cs="Times New Roman"/>
          <w:sz w:val="24"/>
          <w:szCs w:val="24"/>
        </w:rPr>
        <w:t xml:space="preserve"> price and weekly NAV. To fulfill the requirement of the model adopted by this research, DSEX broad index was taken as benchmark of daily market return. Data were sorted to fit weekly basis calculation. For the risk free </w:t>
      </w:r>
      <w:r w:rsidR="007467A9" w:rsidRPr="0077270D">
        <w:rPr>
          <w:rFonts w:ascii="Times New Roman" w:hAnsi="Times New Roman" w:cs="Times New Roman"/>
          <w:sz w:val="24"/>
          <w:szCs w:val="24"/>
        </w:rPr>
        <w:t>rate,</w:t>
      </w:r>
      <w:r w:rsidRPr="0077270D">
        <w:rPr>
          <w:rFonts w:ascii="Times New Roman" w:hAnsi="Times New Roman" w:cs="Times New Roman"/>
          <w:sz w:val="24"/>
          <w:szCs w:val="24"/>
        </w:rPr>
        <w:t xml:space="preserve"> we are using </w:t>
      </w:r>
      <w:r w:rsidR="007467A9" w:rsidRPr="0077270D">
        <w:rPr>
          <w:rFonts w:ascii="Times New Roman" w:hAnsi="Times New Roman" w:cs="Times New Roman"/>
          <w:sz w:val="24"/>
          <w:szCs w:val="24"/>
        </w:rPr>
        <w:t>1-year</w:t>
      </w:r>
      <w:r w:rsidRPr="0077270D">
        <w:rPr>
          <w:rFonts w:ascii="Times New Roman" w:hAnsi="Times New Roman" w:cs="Times New Roman"/>
          <w:sz w:val="24"/>
          <w:szCs w:val="24"/>
        </w:rPr>
        <w:t xml:space="preserve"> </w:t>
      </w:r>
      <w:r w:rsidR="007467A9" w:rsidRPr="0077270D">
        <w:rPr>
          <w:rFonts w:ascii="Times New Roman" w:hAnsi="Times New Roman" w:cs="Times New Roman"/>
          <w:sz w:val="24"/>
          <w:szCs w:val="24"/>
        </w:rPr>
        <w:t>Treasury</w:t>
      </w:r>
      <w:r w:rsidRPr="0077270D">
        <w:rPr>
          <w:rFonts w:ascii="Times New Roman" w:hAnsi="Times New Roman" w:cs="Times New Roman"/>
          <w:sz w:val="24"/>
          <w:szCs w:val="24"/>
        </w:rPr>
        <w:t xml:space="preserve"> bill </w:t>
      </w:r>
      <w:r w:rsidR="007467A9" w:rsidRPr="0077270D">
        <w:rPr>
          <w:rFonts w:ascii="Times New Roman" w:hAnsi="Times New Roman" w:cs="Times New Roman"/>
          <w:sz w:val="24"/>
          <w:szCs w:val="24"/>
        </w:rPr>
        <w:t>rate, which</w:t>
      </w:r>
      <w:r w:rsidRPr="0077270D">
        <w:rPr>
          <w:rFonts w:ascii="Times New Roman" w:hAnsi="Times New Roman" w:cs="Times New Roman"/>
          <w:sz w:val="24"/>
          <w:szCs w:val="24"/>
        </w:rPr>
        <w:t xml:space="preserve"> is 5.50%. It should be denoted that we are working with data of 556 trading days in total starting from January 1, 2017 to April 8, 2019 and simple rate of return were assumed. Average of return, Standard Deviation and Beta were calculated for each individual fund. Using general mathematical measures and statistical assumption, these data were converted to fit the formula for Sharpe Ratio, </w:t>
      </w:r>
      <w:proofErr w:type="spellStart"/>
      <w:r w:rsidRPr="0077270D">
        <w:rPr>
          <w:rFonts w:ascii="Times New Roman" w:hAnsi="Times New Roman" w:cs="Times New Roman"/>
          <w:sz w:val="24"/>
          <w:szCs w:val="24"/>
        </w:rPr>
        <w:t>Treynor</w:t>
      </w:r>
      <w:proofErr w:type="spellEnd"/>
      <w:r w:rsidRPr="0077270D">
        <w:rPr>
          <w:rFonts w:ascii="Times New Roman" w:hAnsi="Times New Roman" w:cs="Times New Roman"/>
          <w:sz w:val="24"/>
          <w:szCs w:val="24"/>
        </w:rPr>
        <w:t xml:space="preserve"> Ratio and Jensen Alpha and Capital Asset Pricing Model. At last, using the appropriate formula and sorted data the selected models were applied for performance evaluation of each mutual fund. </w:t>
      </w:r>
    </w:p>
    <w:p w:rsidR="009A17A8" w:rsidRPr="000C0257" w:rsidRDefault="009A17A8" w:rsidP="001F1303">
      <w:pPr>
        <w:pStyle w:val="Heading2"/>
        <w:spacing w:line="360" w:lineRule="auto"/>
        <w:rPr>
          <w:rFonts w:ascii="Times New Roman" w:hAnsi="Times New Roman" w:cs="Times New Roman"/>
          <w:b/>
          <w:color w:val="auto"/>
          <w:sz w:val="32"/>
          <w:szCs w:val="32"/>
        </w:rPr>
      </w:pPr>
      <w:bookmarkStart w:id="8" w:name="_Toc12181222"/>
      <w:bookmarkStart w:id="9" w:name="_Toc13070802"/>
      <w:r w:rsidRPr="000C0257">
        <w:rPr>
          <w:rFonts w:ascii="Times New Roman" w:hAnsi="Times New Roman" w:cs="Times New Roman"/>
          <w:b/>
          <w:color w:val="auto"/>
          <w:sz w:val="32"/>
          <w:szCs w:val="32"/>
        </w:rPr>
        <w:t>Limitation of the Study</w:t>
      </w:r>
      <w:bookmarkEnd w:id="8"/>
      <w:bookmarkEnd w:id="9"/>
    </w:p>
    <w:p w:rsidR="009A17A8" w:rsidRDefault="009A17A8" w:rsidP="009837C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 after providing best </w:t>
      </w:r>
      <w:r w:rsidR="002C4E62">
        <w:rPr>
          <w:rFonts w:ascii="Times New Roman" w:eastAsia="Times New Roman" w:hAnsi="Times New Roman" w:cs="Times New Roman"/>
          <w:sz w:val="24"/>
          <w:szCs w:val="24"/>
        </w:rPr>
        <w:t>effort there was</w:t>
      </w:r>
      <w:r>
        <w:rPr>
          <w:rFonts w:ascii="Times New Roman" w:eastAsia="Times New Roman" w:hAnsi="Times New Roman" w:cs="Times New Roman"/>
          <w:sz w:val="24"/>
          <w:szCs w:val="24"/>
        </w:rPr>
        <w:t xml:space="preserve"> some issues, which were not solvable. The limitations of the report are disclosed below:</w:t>
      </w:r>
    </w:p>
    <w:p w:rsidR="00A06326" w:rsidRPr="00165742" w:rsidRDefault="009A17A8" w:rsidP="00165742">
      <w:pPr>
        <w:pStyle w:val="ListParagraph"/>
        <w:numPr>
          <w:ilvl w:val="0"/>
          <w:numId w:val="3"/>
        </w:numPr>
        <w:spacing w:line="360" w:lineRule="auto"/>
        <w:jc w:val="both"/>
        <w:rPr>
          <w:rFonts w:ascii="Times New Roman" w:eastAsia="Times New Roman" w:hAnsi="Times New Roman" w:cs="Times New Roman"/>
          <w:sz w:val="24"/>
          <w:szCs w:val="24"/>
        </w:rPr>
      </w:pPr>
      <w:r w:rsidRPr="006B3775">
        <w:rPr>
          <w:rFonts w:ascii="Times New Roman" w:eastAsia="Times New Roman" w:hAnsi="Times New Roman" w:cs="Times New Roman"/>
          <w:sz w:val="24"/>
          <w:szCs w:val="24"/>
        </w:rPr>
        <w:t xml:space="preserve">The model adopted by the research does not necessarily </w:t>
      </w:r>
      <w:r>
        <w:rPr>
          <w:rFonts w:ascii="Times New Roman" w:eastAsia="Times New Roman" w:hAnsi="Times New Roman" w:cs="Times New Roman"/>
          <w:sz w:val="24"/>
          <w:szCs w:val="24"/>
        </w:rPr>
        <w:t xml:space="preserve">predict future performance because the market can change direction at any time. For instance, portfolio held by any worst performing mutual fund can provide higher return in future. Instability of capital market does not allow any theory to make proper estimation. </w:t>
      </w:r>
    </w:p>
    <w:p w:rsidR="009A17A8" w:rsidRPr="00165742" w:rsidRDefault="009A17A8" w:rsidP="00165742">
      <w:pPr>
        <w:pStyle w:val="ListParagraph"/>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research does not include portfolio analysis held by the mutual fund neither it discuss any insight regarding certain cause that has impact on its performance. </w:t>
      </w:r>
    </w:p>
    <w:p w:rsidR="00A06326" w:rsidRPr="00165742" w:rsidRDefault="009A17A8" w:rsidP="00165742">
      <w:pPr>
        <w:pStyle w:val="ListParagraph"/>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 all of the mutual fund announced its weekly NAV on December 29, 2016, 1STPRIMFMF declared its weekly NAV on December 27, 2016. Though, it was matched with DSEX index for comparison but still there has mismatch of 2 Days with other mutual fund.</w:t>
      </w:r>
    </w:p>
    <w:p w:rsidR="00A06326" w:rsidRPr="00165742" w:rsidRDefault="009A17A8" w:rsidP="00165742">
      <w:pPr>
        <w:pStyle w:val="ListParagraph"/>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weekly closing price the return for January 5, 2017 could not derived because we did not know the closing price of the previous week.</w:t>
      </w:r>
    </w:p>
    <w:p w:rsidR="009A17A8" w:rsidRPr="00BD3F7F" w:rsidRDefault="009A17A8" w:rsidP="009A17A8">
      <w:pPr>
        <w:pStyle w:val="ListParagraph"/>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entire study assume simple rate of return where practically an investor has option to gain complex return by reinvestment of earning. </w:t>
      </w:r>
    </w:p>
    <w:p w:rsidR="00A06326" w:rsidRPr="006B19D5" w:rsidRDefault="00A06326" w:rsidP="009A17A8">
      <w:pPr>
        <w:spacing w:line="360" w:lineRule="auto"/>
        <w:jc w:val="both"/>
        <w:rPr>
          <w:rFonts w:ascii="Times New Roman" w:hAnsi="Times New Roman" w:cs="Times New Roman"/>
          <w:sz w:val="24"/>
          <w:szCs w:val="24"/>
        </w:rPr>
      </w:pPr>
    </w:p>
    <w:p w:rsidR="00692800" w:rsidRDefault="00692800" w:rsidP="001F1303">
      <w:pPr>
        <w:pStyle w:val="Heading1"/>
        <w:jc w:val="center"/>
        <w:rPr>
          <w:rFonts w:ascii="Times New Roman" w:hAnsi="Times New Roman" w:cs="Times New Roman"/>
          <w:b/>
          <w:sz w:val="40"/>
          <w:szCs w:val="40"/>
        </w:rPr>
      </w:pPr>
    </w:p>
    <w:p w:rsidR="00692800" w:rsidRDefault="00692800" w:rsidP="001F1303">
      <w:pPr>
        <w:pStyle w:val="Heading1"/>
        <w:jc w:val="center"/>
        <w:rPr>
          <w:rFonts w:ascii="Times New Roman" w:hAnsi="Times New Roman" w:cs="Times New Roman"/>
          <w:b/>
          <w:sz w:val="40"/>
          <w:szCs w:val="40"/>
        </w:rPr>
      </w:pPr>
    </w:p>
    <w:p w:rsidR="00692800" w:rsidRDefault="00692800" w:rsidP="001F1303">
      <w:pPr>
        <w:pStyle w:val="Heading1"/>
        <w:jc w:val="center"/>
        <w:rPr>
          <w:rFonts w:ascii="Times New Roman" w:hAnsi="Times New Roman" w:cs="Times New Roman"/>
          <w:b/>
          <w:sz w:val="40"/>
          <w:szCs w:val="40"/>
        </w:rPr>
      </w:pPr>
    </w:p>
    <w:p w:rsidR="00692800" w:rsidRDefault="00692800" w:rsidP="001F1303">
      <w:pPr>
        <w:pStyle w:val="Heading1"/>
        <w:jc w:val="center"/>
        <w:rPr>
          <w:rFonts w:ascii="Times New Roman" w:hAnsi="Times New Roman" w:cs="Times New Roman"/>
          <w:b/>
          <w:sz w:val="40"/>
          <w:szCs w:val="40"/>
        </w:rPr>
      </w:pPr>
    </w:p>
    <w:p w:rsidR="00692800" w:rsidRDefault="00692800" w:rsidP="001F1303">
      <w:pPr>
        <w:pStyle w:val="Heading1"/>
        <w:jc w:val="center"/>
        <w:rPr>
          <w:rFonts w:ascii="Times New Roman" w:hAnsi="Times New Roman" w:cs="Times New Roman"/>
          <w:b/>
          <w:sz w:val="40"/>
          <w:szCs w:val="40"/>
        </w:rPr>
      </w:pPr>
    </w:p>
    <w:p w:rsidR="00692800" w:rsidRDefault="00692800" w:rsidP="001F1303">
      <w:pPr>
        <w:pStyle w:val="Heading1"/>
        <w:jc w:val="center"/>
        <w:rPr>
          <w:rFonts w:ascii="Times New Roman" w:hAnsi="Times New Roman" w:cs="Times New Roman"/>
          <w:b/>
          <w:sz w:val="40"/>
          <w:szCs w:val="40"/>
        </w:rPr>
      </w:pPr>
    </w:p>
    <w:p w:rsidR="005B5529" w:rsidRPr="00C978D4" w:rsidRDefault="004955AF" w:rsidP="00C978D4">
      <w:pPr>
        <w:pStyle w:val="Heading1"/>
        <w:spacing w:line="240" w:lineRule="auto"/>
        <w:jc w:val="center"/>
        <w:rPr>
          <w:rFonts w:ascii="Times New Roman" w:hAnsi="Times New Roman" w:cs="Times New Roman"/>
          <w:b/>
          <w:color w:val="auto"/>
          <w:sz w:val="40"/>
          <w:szCs w:val="40"/>
        </w:rPr>
      </w:pPr>
      <w:bookmarkStart w:id="10" w:name="_Toc13070803"/>
      <w:r w:rsidRPr="00C978D4">
        <w:rPr>
          <w:rFonts w:ascii="Times New Roman" w:hAnsi="Times New Roman" w:cs="Times New Roman"/>
          <w:b/>
          <w:color w:val="auto"/>
          <w:sz w:val="40"/>
          <w:szCs w:val="40"/>
        </w:rPr>
        <w:t>Chapter 2</w:t>
      </w:r>
      <w:bookmarkEnd w:id="10"/>
    </w:p>
    <w:p w:rsidR="001E0822" w:rsidRDefault="00CD3DBB" w:rsidP="00C978D4">
      <w:pPr>
        <w:spacing w:line="240" w:lineRule="auto"/>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margin">
                  <wp:posOffset>3652520</wp:posOffset>
                </wp:positionV>
                <wp:extent cx="3267986" cy="0"/>
                <wp:effectExtent l="0" t="0" r="27940" b="19050"/>
                <wp:wrapSquare wrapText="bothSides"/>
                <wp:docPr id="5" name="Straight Connector 5"/>
                <wp:cNvGraphicFramePr/>
                <a:graphic xmlns:a="http://schemas.openxmlformats.org/drawingml/2006/main">
                  <a:graphicData uri="http://schemas.microsoft.com/office/word/2010/wordprocessingShape">
                    <wps:wsp>
                      <wps:cNvCnPr/>
                      <wps:spPr>
                        <a:xfrm>
                          <a:off x="0" y="0"/>
                          <a:ext cx="326798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52BA61C" id="Straight Connector 5"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margin" from="0,287.6pt" to="257.3pt,2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" strokecolor="#5b9bd5 [3204]" strokeweight=".5pt">
                <v:stroke joinstyle="miter"/>
                <w10:wrap type="square" anchorx="margin" anchory="margin"/>
              </v:line>
            </w:pict>
          </mc:Fallback>
        </mc:AlternateContent>
      </w:r>
    </w:p>
    <w:p w:rsidR="006A55D7" w:rsidRPr="001F1303" w:rsidRDefault="006A55D7" w:rsidP="00C978D4">
      <w:pPr>
        <w:spacing w:line="240" w:lineRule="auto"/>
        <w:jc w:val="center"/>
        <w:rPr>
          <w:rFonts w:ascii="Times New Roman" w:hAnsi="Times New Roman" w:cs="Times New Roman"/>
          <w:b/>
          <w:sz w:val="36"/>
          <w:szCs w:val="36"/>
        </w:rPr>
      </w:pPr>
      <w:r w:rsidRPr="001F1303">
        <w:rPr>
          <w:rFonts w:ascii="Times New Roman" w:hAnsi="Times New Roman" w:cs="Times New Roman"/>
          <w:b/>
          <w:sz w:val="36"/>
          <w:szCs w:val="36"/>
        </w:rPr>
        <w:t>Background of the Report</w:t>
      </w:r>
    </w:p>
    <w:p w:rsidR="00123FBF" w:rsidRDefault="00123FBF" w:rsidP="00DA67F3">
      <w:pPr>
        <w:spacing w:line="360" w:lineRule="auto"/>
        <w:jc w:val="both"/>
      </w:pPr>
    </w:p>
    <w:p w:rsidR="00123FBF" w:rsidRDefault="00123FBF">
      <w:r>
        <w:br w:type="page"/>
      </w:r>
    </w:p>
    <w:p w:rsidR="00123FBF" w:rsidRPr="006F4BF4" w:rsidRDefault="00123FBF" w:rsidP="006F4BF4">
      <w:pPr>
        <w:pStyle w:val="Heading1"/>
        <w:spacing w:after="240"/>
        <w:rPr>
          <w:rFonts w:ascii="Times New Roman" w:hAnsi="Times New Roman" w:cs="Times New Roman"/>
          <w:b/>
          <w:color w:val="auto"/>
          <w:sz w:val="36"/>
          <w:szCs w:val="36"/>
        </w:rPr>
      </w:pPr>
      <w:bookmarkStart w:id="11" w:name="_Toc12181209"/>
      <w:bookmarkStart w:id="12" w:name="_Toc13070804"/>
      <w:r w:rsidRPr="006F4BF4">
        <w:rPr>
          <w:rFonts w:ascii="Times New Roman" w:hAnsi="Times New Roman" w:cs="Times New Roman"/>
          <w:b/>
          <w:color w:val="auto"/>
          <w:sz w:val="36"/>
          <w:szCs w:val="36"/>
        </w:rPr>
        <w:lastRenderedPageBreak/>
        <w:t>Background of the Report</w:t>
      </w:r>
      <w:bookmarkEnd w:id="11"/>
      <w:bookmarkEnd w:id="12"/>
    </w:p>
    <w:p w:rsidR="00123FBF" w:rsidRPr="006B19D5" w:rsidRDefault="00123FBF" w:rsidP="00FF0127">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Since the development of Capital Asset Pricing Model and other portfolio theories in 1960</w:t>
      </w:r>
      <w:r>
        <w:rPr>
          <w:rFonts w:ascii="Times New Roman" w:hAnsi="Times New Roman" w:cs="Times New Roman"/>
          <w:sz w:val="24"/>
          <w:szCs w:val="24"/>
        </w:rPr>
        <w:t>s,</w:t>
      </w:r>
      <w:r w:rsidRPr="006B19D5">
        <w:rPr>
          <w:rFonts w:ascii="Times New Roman" w:hAnsi="Times New Roman" w:cs="Times New Roman"/>
          <w:sz w:val="24"/>
          <w:szCs w:val="24"/>
        </w:rPr>
        <w:t xml:space="preserve"> the number of study on performance evaluation of mutual fund has increased in a huge quantity because those theories allowed the researcher to study the market</w:t>
      </w:r>
      <w:r>
        <w:rPr>
          <w:rFonts w:ascii="Times New Roman" w:hAnsi="Times New Roman" w:cs="Times New Roman"/>
          <w:sz w:val="24"/>
          <w:szCs w:val="24"/>
        </w:rPr>
        <w:t>,</w:t>
      </w:r>
      <w:r w:rsidRPr="006B19D5">
        <w:rPr>
          <w:rFonts w:ascii="Times New Roman" w:hAnsi="Times New Roman" w:cs="Times New Roman"/>
          <w:sz w:val="24"/>
          <w:szCs w:val="24"/>
        </w:rPr>
        <w:t xml:space="preserve"> or in particular mutual fund in this case</w:t>
      </w:r>
      <w:r>
        <w:rPr>
          <w:rFonts w:ascii="Times New Roman" w:hAnsi="Times New Roman" w:cs="Times New Roman"/>
          <w:sz w:val="24"/>
          <w:szCs w:val="24"/>
        </w:rPr>
        <w:t>,</w:t>
      </w:r>
      <w:r w:rsidRPr="006B19D5">
        <w:rPr>
          <w:rFonts w:ascii="Times New Roman" w:hAnsi="Times New Roman" w:cs="Times New Roman"/>
          <w:sz w:val="24"/>
          <w:szCs w:val="24"/>
        </w:rPr>
        <w:t xml:space="preserve"> in multiple dimension. In reflect to that</w:t>
      </w:r>
      <w:r>
        <w:rPr>
          <w:rFonts w:ascii="Times New Roman" w:hAnsi="Times New Roman" w:cs="Times New Roman"/>
          <w:sz w:val="24"/>
          <w:szCs w:val="24"/>
        </w:rPr>
        <w:t>,</w:t>
      </w:r>
      <w:r w:rsidRPr="006B19D5">
        <w:rPr>
          <w:rFonts w:ascii="Times New Roman" w:hAnsi="Times New Roman" w:cs="Times New Roman"/>
          <w:sz w:val="24"/>
          <w:szCs w:val="24"/>
        </w:rPr>
        <w:t xml:space="preserve"> popularity of mutual fund among the private investors also increased because the research works on the mutual fund provided them with broader insight to boost confident </w:t>
      </w:r>
      <w:r>
        <w:rPr>
          <w:rFonts w:ascii="Times New Roman" w:hAnsi="Times New Roman" w:cs="Times New Roman"/>
          <w:sz w:val="24"/>
          <w:szCs w:val="24"/>
        </w:rPr>
        <w:t xml:space="preserve">and make </w:t>
      </w:r>
      <w:r w:rsidRPr="006B19D5">
        <w:rPr>
          <w:rFonts w:ascii="Times New Roman" w:hAnsi="Times New Roman" w:cs="Times New Roman"/>
          <w:sz w:val="24"/>
          <w:szCs w:val="24"/>
        </w:rPr>
        <w:t>investment in such sector. However, unfortunately in Bangladesh there is no</w:t>
      </w:r>
      <w:r>
        <w:rPr>
          <w:rFonts w:ascii="Times New Roman" w:hAnsi="Times New Roman" w:cs="Times New Roman"/>
          <w:sz w:val="24"/>
          <w:szCs w:val="24"/>
        </w:rPr>
        <w:t>t</w:t>
      </w:r>
      <w:r w:rsidRPr="006B19D5">
        <w:rPr>
          <w:rFonts w:ascii="Times New Roman" w:hAnsi="Times New Roman" w:cs="Times New Roman"/>
          <w:sz w:val="24"/>
          <w:szCs w:val="24"/>
        </w:rPr>
        <w:t xml:space="preserve"> much study on performance analysis of mutual fund to contribute on investor’s rational decision-making process. In spite of that, there is no doubt that mutual fund industry in Bangladesh is increasing at a very high growth rate. Historical study refers that market value of mutual fund in Bangladesh has increased from about 7.5 million in 1980 to 280 billion in 2017. </w:t>
      </w:r>
      <w:r>
        <w:rPr>
          <w:rFonts w:ascii="Times New Roman" w:hAnsi="Times New Roman" w:cs="Times New Roman"/>
          <w:sz w:val="24"/>
          <w:szCs w:val="24"/>
        </w:rPr>
        <w:t xml:space="preserve">Considering this factor this paper took an initiative to analyze performance of 10 renowned mutual funds in Bangladesh  </w:t>
      </w:r>
    </w:p>
    <w:p w:rsidR="00123FBF" w:rsidRPr="00CD3DBB" w:rsidRDefault="00123FBF" w:rsidP="009B6BFA">
      <w:pPr>
        <w:pStyle w:val="Heading2"/>
        <w:spacing w:line="360" w:lineRule="auto"/>
        <w:rPr>
          <w:rFonts w:ascii="Times New Roman" w:hAnsi="Times New Roman" w:cs="Times New Roman"/>
          <w:b/>
          <w:color w:val="auto"/>
          <w:sz w:val="32"/>
          <w:szCs w:val="32"/>
        </w:rPr>
      </w:pPr>
      <w:bookmarkStart w:id="13" w:name="_Toc12181210"/>
      <w:bookmarkStart w:id="14" w:name="_Toc13070805"/>
      <w:r w:rsidRPr="00CD3DBB">
        <w:rPr>
          <w:rFonts w:ascii="Times New Roman" w:hAnsi="Times New Roman" w:cs="Times New Roman"/>
          <w:b/>
          <w:color w:val="auto"/>
          <w:sz w:val="32"/>
          <w:szCs w:val="32"/>
        </w:rPr>
        <w:t>Brief Outline of Mutual Fund Industry</w:t>
      </w:r>
      <w:bookmarkEnd w:id="13"/>
      <w:bookmarkEnd w:id="14"/>
    </w:p>
    <w:p w:rsidR="00123FBF" w:rsidRPr="009B6BFA" w:rsidRDefault="00123FBF" w:rsidP="00123FBF">
      <w:pPr>
        <w:spacing w:line="360" w:lineRule="auto"/>
        <w:jc w:val="both"/>
        <w:rPr>
          <w:rFonts w:ascii="Times New Roman" w:hAnsi="Times New Roman" w:cs="Times New Roman"/>
          <w:sz w:val="24"/>
          <w:szCs w:val="24"/>
        </w:rPr>
      </w:pPr>
      <w:r w:rsidRPr="009B6BFA">
        <w:rPr>
          <w:rFonts w:ascii="Times New Roman" w:hAnsi="Times New Roman" w:cs="Times New Roman"/>
          <w:sz w:val="24"/>
          <w:szCs w:val="24"/>
        </w:rPr>
        <w:t xml:space="preserve">Mutual fund is a type of financial institution that is established by accumulated fund generated from its shareholders with a view to manage their investments and create a highly risk diversified portfolio consisting of several financial instruments like stocks, bonds, treasury bills, commercial paper, certificate of deposit and other forms of assets like commodity such as gold; using its information resources, human resources and physical infrastructure to serve purpose of the investment. It is essentially a trust managed by highly professional and skilled finance individual. Mutual funds let the retail investors to gain advantage of having professional management body dedicated to serve their common objective. For serving the general purpose of the investors, managers of such institutions desperately focuses on advanced financial analysis and engineering to best match the investment objective of the shareholders. In mutual fund, funds are invested in different sectors and different categories of asset to bypass the unsystematic risk or chance of potential loss associated with each individual asset. The most challenging task in a mutual fund is perhaps choosing the combination of assets to find out the optimal risky portfolio. They have to consider requirements of the investors as well as relationship between risk and reward for a given set of assets. It is challenging because usually in case of mutual fund people tend to seek profit in exchange of lowest amount of possible risk but the cost of fund management  and requirement of high portfolio diversification makes it difficult to earn positive return for </w:t>
      </w:r>
      <w:r w:rsidRPr="009B6BFA">
        <w:rPr>
          <w:rFonts w:ascii="Times New Roman" w:hAnsi="Times New Roman" w:cs="Times New Roman"/>
          <w:sz w:val="24"/>
          <w:szCs w:val="24"/>
        </w:rPr>
        <w:lastRenderedPageBreak/>
        <w:t>the investors. It is obvious that highly diversified set of investments or portfolio reduces risk but it should also be taken in account that it also decreases the chance of earning abnormal return. However, despite of having some disadvantages from the investor’s perspective mutual fund is still popular among the investor as it facilitate the investors with the opportunity to invest their savings in a well-organized systematic manner under supervision of highly skilled portfolio managers without requirement of paying high fees. By narrowing down the activities and difficulties related with investment mutual fund, encourage retail investors to invest their saving in productive function of the economy. Through mutual fund, general people who lack time and knowledge of finance can participate in financial market such as money market and capital market, which not only contribute to individual earning but also contribute to economy as a whole. Moreover, as mutual fund constantly involve in analysis of the market and other sorts of research activities related with the economy often it generates information resources and new finding or theories, which not only serve the interest of the mutual fund or its investors but also provide significantly important data to government and public. It helps the government to make policy and take crucial decision; independent investors can use the information to make his/her investment decision and the common people might be benefited as these information’s contribute in overall idea of economy and economic health of the country.</w:t>
      </w:r>
    </w:p>
    <w:p w:rsidR="00123FBF" w:rsidRPr="00CD3DBB" w:rsidRDefault="00123FBF" w:rsidP="009F7849">
      <w:pPr>
        <w:pStyle w:val="Heading2"/>
        <w:spacing w:line="360" w:lineRule="auto"/>
        <w:rPr>
          <w:rFonts w:ascii="Times New Roman" w:hAnsi="Times New Roman" w:cs="Times New Roman"/>
          <w:b/>
          <w:color w:val="auto"/>
          <w:sz w:val="32"/>
          <w:szCs w:val="32"/>
        </w:rPr>
      </w:pPr>
      <w:bookmarkStart w:id="15" w:name="_Toc12181215"/>
      <w:bookmarkStart w:id="16" w:name="_Toc13070806"/>
      <w:r w:rsidRPr="00CD3DBB">
        <w:rPr>
          <w:rFonts w:ascii="Times New Roman" w:hAnsi="Times New Roman" w:cs="Times New Roman"/>
          <w:b/>
          <w:color w:val="auto"/>
          <w:sz w:val="32"/>
          <w:szCs w:val="32"/>
        </w:rPr>
        <w:t>Classification and Schem</w:t>
      </w:r>
      <w:bookmarkEnd w:id="15"/>
      <w:r w:rsidR="00037B12" w:rsidRPr="00CD3DBB">
        <w:rPr>
          <w:rFonts w:ascii="Times New Roman" w:hAnsi="Times New Roman" w:cs="Times New Roman"/>
          <w:b/>
          <w:color w:val="auto"/>
          <w:sz w:val="32"/>
          <w:szCs w:val="32"/>
        </w:rPr>
        <w:t>e</w:t>
      </w:r>
      <w:bookmarkEnd w:id="16"/>
      <w:r w:rsidR="00037B12" w:rsidRPr="00CD3DBB">
        <w:rPr>
          <w:rFonts w:ascii="Times New Roman" w:hAnsi="Times New Roman" w:cs="Times New Roman"/>
          <w:b/>
          <w:color w:val="auto"/>
          <w:sz w:val="32"/>
          <w:szCs w:val="32"/>
        </w:rPr>
        <w:t xml:space="preserve"> </w:t>
      </w:r>
    </w:p>
    <w:p w:rsidR="00037B12" w:rsidRDefault="00123FBF" w:rsidP="00037B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Considering scheme, policy and functionality a mutual fund can be categorized from several </w:t>
      </w:r>
      <w:proofErr w:type="gramStart"/>
      <w:r>
        <w:rPr>
          <w:rFonts w:ascii="Times New Roman" w:hAnsi="Times New Roman" w:cs="Times New Roman"/>
          <w:sz w:val="24"/>
          <w:szCs w:val="24"/>
        </w:rPr>
        <w:t>point</w:t>
      </w:r>
      <w:proofErr w:type="gramEnd"/>
      <w:r>
        <w:rPr>
          <w:rFonts w:ascii="Times New Roman" w:hAnsi="Times New Roman" w:cs="Times New Roman"/>
          <w:sz w:val="24"/>
          <w:szCs w:val="24"/>
        </w:rPr>
        <w:t xml:space="preserve"> of view. A discussion regarding types of mutual, in considerate of several </w:t>
      </w:r>
      <w:proofErr w:type="gramStart"/>
      <w:r>
        <w:rPr>
          <w:rFonts w:ascii="Times New Roman" w:hAnsi="Times New Roman" w:cs="Times New Roman"/>
          <w:sz w:val="24"/>
          <w:szCs w:val="24"/>
        </w:rPr>
        <w:t>basis</w:t>
      </w:r>
      <w:proofErr w:type="gramEnd"/>
      <w:r>
        <w:rPr>
          <w:rFonts w:ascii="Times New Roman" w:hAnsi="Times New Roman" w:cs="Times New Roman"/>
          <w:sz w:val="24"/>
          <w:szCs w:val="24"/>
        </w:rPr>
        <w:t xml:space="preserve"> is provided in the following section. </w:t>
      </w:r>
    </w:p>
    <w:p w:rsidR="00037B12" w:rsidRDefault="00123FBF" w:rsidP="00797E5B">
      <w:pPr>
        <w:spacing w:after="0" w:line="360" w:lineRule="auto"/>
        <w:jc w:val="both"/>
        <w:rPr>
          <w:rFonts w:ascii="Times New Roman" w:hAnsi="Times New Roman" w:cs="Times New Roman"/>
          <w:sz w:val="24"/>
          <w:szCs w:val="24"/>
        </w:rPr>
      </w:pPr>
      <w:r w:rsidRPr="00F31C11">
        <w:rPr>
          <w:rFonts w:ascii="Times New Roman" w:hAnsi="Times New Roman" w:cs="Times New Roman"/>
          <w:b/>
          <w:sz w:val="28"/>
          <w:szCs w:val="28"/>
        </w:rPr>
        <w:t>Based on the maturity period</w:t>
      </w:r>
    </w:p>
    <w:p w:rsidR="009E2083" w:rsidRDefault="00123FBF" w:rsidP="009E2083">
      <w:pPr>
        <w:spacing w:line="360" w:lineRule="auto"/>
        <w:jc w:val="both"/>
        <w:rPr>
          <w:rFonts w:ascii="Times New Roman" w:hAnsi="Times New Roman" w:cs="Times New Roman"/>
          <w:sz w:val="24"/>
          <w:szCs w:val="24"/>
        </w:rPr>
      </w:pPr>
      <w:r>
        <w:rPr>
          <w:rFonts w:ascii="Times New Roman" w:hAnsi="Times New Roman" w:cs="Times New Roman"/>
          <w:sz w:val="24"/>
          <w:szCs w:val="24"/>
        </w:rPr>
        <w:t>Mutual fund can be categorized considering its maturity period. In consideration of maturity, there are three types of mutual fund. They are open-ended, close-ended and interval. A brief summary describing characteristics and feature o</w:t>
      </w:r>
      <w:r w:rsidR="009E2083">
        <w:rPr>
          <w:rFonts w:ascii="Times New Roman" w:hAnsi="Times New Roman" w:cs="Times New Roman"/>
          <w:sz w:val="24"/>
          <w:szCs w:val="24"/>
        </w:rPr>
        <w:t xml:space="preserve">f these funds is given below.  </w:t>
      </w:r>
    </w:p>
    <w:p w:rsidR="00037B12" w:rsidRDefault="00123FBF" w:rsidP="009E2083">
      <w:pPr>
        <w:spacing w:after="0" w:line="360" w:lineRule="auto"/>
        <w:jc w:val="both"/>
        <w:rPr>
          <w:rFonts w:ascii="Times New Roman" w:hAnsi="Times New Roman" w:cs="Times New Roman"/>
          <w:sz w:val="24"/>
          <w:szCs w:val="24"/>
        </w:rPr>
      </w:pPr>
      <w:r w:rsidRPr="00822EB2">
        <w:rPr>
          <w:rFonts w:ascii="Times New Roman" w:hAnsi="Times New Roman" w:cs="Times New Roman"/>
          <w:b/>
          <w:sz w:val="24"/>
          <w:szCs w:val="24"/>
        </w:rPr>
        <w:t>Open-ended Fund</w:t>
      </w:r>
    </w:p>
    <w:p w:rsidR="00037B12" w:rsidRDefault="00123FBF" w:rsidP="00037B1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An open-ended mutual fund do not have any fixed maturity neither it have any obligation on share issue. Therefore, the key benefit here is liquidation. New shareholders can directly buy share from the fund itself. They can also withdraw or sale the share anytime at the latest reported Net Asset Value to the issuer directly. In a nutshell they can be exchanged throughout the </w:t>
      </w:r>
      <w:proofErr w:type="gramStart"/>
      <w:r w:rsidRPr="006B19D5">
        <w:rPr>
          <w:rFonts w:ascii="Times New Roman" w:hAnsi="Times New Roman" w:cs="Times New Roman"/>
          <w:sz w:val="24"/>
          <w:szCs w:val="24"/>
        </w:rPr>
        <w:t>year continuously which add</w:t>
      </w:r>
      <w:proofErr w:type="gramEnd"/>
      <w:r w:rsidRPr="006B19D5">
        <w:rPr>
          <w:rFonts w:ascii="Times New Roman" w:hAnsi="Times New Roman" w:cs="Times New Roman"/>
          <w:sz w:val="24"/>
          <w:szCs w:val="24"/>
        </w:rPr>
        <w:t xml:space="preserve"> some extra convenient to the investor. However, </w:t>
      </w:r>
      <w:r w:rsidRPr="006B19D5">
        <w:rPr>
          <w:rFonts w:ascii="Times New Roman" w:hAnsi="Times New Roman" w:cs="Times New Roman"/>
          <w:sz w:val="24"/>
          <w:szCs w:val="24"/>
        </w:rPr>
        <w:lastRenderedPageBreak/>
        <w:t>this convenience comes with a price; usually return of these types of fund tends to be lower than the close-ended fund.</w:t>
      </w:r>
    </w:p>
    <w:p w:rsidR="00037B12" w:rsidRDefault="00123FBF" w:rsidP="00797E5B">
      <w:pPr>
        <w:spacing w:after="0" w:line="360" w:lineRule="auto"/>
        <w:jc w:val="both"/>
        <w:rPr>
          <w:rFonts w:ascii="Times New Roman" w:hAnsi="Times New Roman" w:cs="Times New Roman"/>
          <w:sz w:val="24"/>
          <w:szCs w:val="24"/>
        </w:rPr>
      </w:pPr>
      <w:r w:rsidRPr="00822EB2">
        <w:rPr>
          <w:rFonts w:ascii="Times New Roman" w:hAnsi="Times New Roman" w:cs="Times New Roman"/>
          <w:b/>
          <w:sz w:val="24"/>
          <w:szCs w:val="24"/>
        </w:rPr>
        <w:t>Close-ended Fund</w:t>
      </w:r>
    </w:p>
    <w:p w:rsidR="002728FD" w:rsidRDefault="00123FBF" w:rsidP="002728FD">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In contrast to open-ended mutual fund, close-ended mutual fund has a fixed maturity. IPO allows it to issue only a fixed number of shares. They can be described more like an exchange traded fund rather than a mutual fund. Although they issue a set amount of share, their value is still based on Net Asset Value. Nevertheless, in real world their price is affected by supply and demand as they can only be traded among investor in secondary market. At initial launching period these </w:t>
      </w:r>
      <w:proofErr w:type="gramStart"/>
      <w:r w:rsidRPr="006B19D5">
        <w:rPr>
          <w:rFonts w:ascii="Times New Roman" w:hAnsi="Times New Roman" w:cs="Times New Roman"/>
          <w:sz w:val="24"/>
          <w:szCs w:val="24"/>
        </w:rPr>
        <w:t>type</w:t>
      </w:r>
      <w:proofErr w:type="gramEnd"/>
      <w:r w:rsidRPr="006B19D5">
        <w:rPr>
          <w:rFonts w:ascii="Times New Roman" w:hAnsi="Times New Roman" w:cs="Times New Roman"/>
          <w:sz w:val="24"/>
          <w:szCs w:val="24"/>
        </w:rPr>
        <w:t xml:space="preserve"> of funds can be exchanged continuously for a definite period. These funds tend to give a bit higher return comparing to open-ended fund. </w:t>
      </w:r>
    </w:p>
    <w:p w:rsidR="00037B12" w:rsidRPr="002728FD" w:rsidRDefault="00037B12" w:rsidP="00797E5B">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Interval Funds</w:t>
      </w:r>
    </w:p>
    <w:p w:rsidR="00F77D05" w:rsidRDefault="00123FBF" w:rsidP="0051667F">
      <w:pPr>
        <w:spacing w:line="360" w:lineRule="auto"/>
        <w:jc w:val="both"/>
        <w:rPr>
          <w:rFonts w:ascii="Times New Roman" w:hAnsi="Times New Roman" w:cs="Times New Roman"/>
          <w:b/>
          <w:sz w:val="24"/>
          <w:szCs w:val="24"/>
        </w:rPr>
      </w:pPr>
      <w:r w:rsidRPr="006B19D5">
        <w:rPr>
          <w:rFonts w:ascii="Times New Roman" w:hAnsi="Times New Roman" w:cs="Times New Roman"/>
          <w:sz w:val="24"/>
          <w:szCs w:val="24"/>
        </w:rPr>
        <w:t xml:space="preserve">Interval fund is kind of a hybrid combination of both open-ended fund and closed-ended fund. In this type of fund </w:t>
      </w:r>
      <w:proofErr w:type="gramStart"/>
      <w:r w:rsidRPr="006B19D5">
        <w:rPr>
          <w:rFonts w:ascii="Times New Roman" w:hAnsi="Times New Roman" w:cs="Times New Roman"/>
          <w:sz w:val="24"/>
          <w:szCs w:val="24"/>
        </w:rPr>
        <w:t>issuer company</w:t>
      </w:r>
      <w:proofErr w:type="gramEnd"/>
      <w:r w:rsidRPr="006B19D5">
        <w:rPr>
          <w:rFonts w:ascii="Times New Roman" w:hAnsi="Times New Roman" w:cs="Times New Roman"/>
          <w:sz w:val="24"/>
          <w:szCs w:val="24"/>
        </w:rPr>
        <w:t xml:space="preserve"> periodically offers repurchase of share. This type of fund can be traded at exchange or be redeemed at latest NAV by the investor but at a fixed interval. So, this is basically a non-traditional type of close-ended fund. Usually both fees and return of this type of fund tend to be higher than tradition mutual fund. </w:t>
      </w:r>
    </w:p>
    <w:p w:rsidR="002728FD" w:rsidRDefault="00123FBF" w:rsidP="00797E5B">
      <w:pPr>
        <w:spacing w:after="0" w:line="360" w:lineRule="auto"/>
        <w:rPr>
          <w:rFonts w:ascii="Times New Roman" w:hAnsi="Times New Roman" w:cs="Times New Roman"/>
          <w:b/>
          <w:sz w:val="24"/>
          <w:szCs w:val="24"/>
        </w:rPr>
      </w:pPr>
      <w:r w:rsidRPr="00822EB2">
        <w:rPr>
          <w:rFonts w:ascii="Times New Roman" w:hAnsi="Times New Roman" w:cs="Times New Roman"/>
          <w:b/>
          <w:sz w:val="28"/>
          <w:szCs w:val="28"/>
        </w:rPr>
        <w:t>Based on investment objectives</w:t>
      </w:r>
    </w:p>
    <w:p w:rsidR="0051667F" w:rsidRDefault="00123FBF" w:rsidP="009E20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 investor invest in a business with some certain objective. These objectives might vary from investor to investor, yet some investor shares some common objective. An investor will only invest on a mutual fund, if the mutual fund’s investment objective is linen with that potential investor. So, considering common investment objectives that are shared by the investors, mutual fund provide different types of scheme. </w:t>
      </w:r>
      <w:proofErr w:type="gramStart"/>
      <w:r>
        <w:rPr>
          <w:rFonts w:ascii="Times New Roman" w:hAnsi="Times New Roman" w:cs="Times New Roman"/>
          <w:sz w:val="24"/>
          <w:szCs w:val="24"/>
        </w:rPr>
        <w:t>An introductory discussion regarding these schemes are</w:t>
      </w:r>
      <w:proofErr w:type="gramEnd"/>
      <w:r>
        <w:rPr>
          <w:rFonts w:ascii="Times New Roman" w:hAnsi="Times New Roman" w:cs="Times New Roman"/>
          <w:sz w:val="24"/>
          <w:szCs w:val="24"/>
        </w:rPr>
        <w:t xml:space="preserve"> delivered below.   </w:t>
      </w:r>
    </w:p>
    <w:p w:rsidR="002728FD" w:rsidRDefault="00123FBF" w:rsidP="00797E5B">
      <w:pPr>
        <w:spacing w:after="0" w:line="360" w:lineRule="auto"/>
        <w:rPr>
          <w:rFonts w:ascii="Times New Roman" w:hAnsi="Times New Roman" w:cs="Times New Roman"/>
          <w:b/>
          <w:sz w:val="24"/>
          <w:szCs w:val="24"/>
        </w:rPr>
      </w:pPr>
      <w:r w:rsidRPr="00D1770A">
        <w:rPr>
          <w:rFonts w:ascii="Times New Roman" w:hAnsi="Times New Roman" w:cs="Times New Roman"/>
          <w:b/>
          <w:sz w:val="24"/>
          <w:szCs w:val="24"/>
        </w:rPr>
        <w:t>Equity/Growth Funds</w:t>
      </w:r>
    </w:p>
    <w:p w:rsidR="002728FD" w:rsidRDefault="00123FBF" w:rsidP="0051667F">
      <w:pPr>
        <w:spacing w:line="360" w:lineRule="auto"/>
        <w:jc w:val="both"/>
        <w:rPr>
          <w:rFonts w:ascii="Times New Roman" w:hAnsi="Times New Roman" w:cs="Times New Roman"/>
          <w:b/>
          <w:sz w:val="24"/>
          <w:szCs w:val="24"/>
        </w:rPr>
      </w:pPr>
      <w:r w:rsidRPr="006B19D5">
        <w:rPr>
          <w:rFonts w:ascii="Times New Roman" w:hAnsi="Times New Roman" w:cs="Times New Roman"/>
          <w:sz w:val="24"/>
          <w:szCs w:val="24"/>
        </w:rPr>
        <w:t xml:space="preserve">This type of fund usually focuses on mid-term to long-term capital appreciation with minimum 65% of investment in equity and equity related assets in its portfolio. Purchasing share of equity fund allow investor to become partly owner of the securities of the fund’s portfolio. As most of the fund’s portfolio consist of stock in this type of mutual fund, it contains higher level of risk. Sometimes these type of fund focuses on a particular industry and sometime it focuses on diversified set of industry. Growth scheme is suitable for investor who are seeking for long-term investment opportunity with good amount of appreciation over a long period. Some growth scheme provide different option like dividend and capital </w:t>
      </w:r>
      <w:r w:rsidRPr="006B19D5">
        <w:rPr>
          <w:rFonts w:ascii="Times New Roman" w:hAnsi="Times New Roman" w:cs="Times New Roman"/>
          <w:sz w:val="24"/>
          <w:szCs w:val="24"/>
        </w:rPr>
        <w:lastRenderedPageBreak/>
        <w:t xml:space="preserve">appreciation. Investors have one among the two option. Often they are also provided with the opportunity to alter their choice. </w:t>
      </w:r>
    </w:p>
    <w:p w:rsidR="00123FBF" w:rsidRPr="002728FD" w:rsidRDefault="00123FBF" w:rsidP="006C4AEB">
      <w:pPr>
        <w:spacing w:after="0" w:line="360" w:lineRule="auto"/>
        <w:jc w:val="both"/>
        <w:rPr>
          <w:rFonts w:ascii="Times New Roman" w:hAnsi="Times New Roman" w:cs="Times New Roman"/>
          <w:b/>
          <w:sz w:val="24"/>
          <w:szCs w:val="24"/>
        </w:rPr>
      </w:pPr>
      <w:r w:rsidRPr="00D1770A">
        <w:rPr>
          <w:rFonts w:ascii="Times New Roman" w:hAnsi="Times New Roman" w:cs="Times New Roman"/>
          <w:b/>
          <w:sz w:val="24"/>
          <w:szCs w:val="24"/>
        </w:rPr>
        <w:t xml:space="preserve">Debt/Income Funds  </w:t>
      </w:r>
    </w:p>
    <w:p w:rsidR="00B92C00" w:rsidRDefault="00123FBF" w:rsidP="0051667F">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In contrast to the equity fund portfolio of debt fund, include approximately 65% debt or debt related investment. This type fund usually incorporate government bond, </w:t>
      </w:r>
      <w:proofErr w:type="gramStart"/>
      <w:r w:rsidRPr="006B19D5">
        <w:rPr>
          <w:rFonts w:ascii="Times New Roman" w:hAnsi="Times New Roman" w:cs="Times New Roman"/>
          <w:sz w:val="24"/>
          <w:szCs w:val="24"/>
        </w:rPr>
        <w:t>treasury</w:t>
      </w:r>
      <w:proofErr w:type="gramEnd"/>
      <w:r w:rsidRPr="006B19D5">
        <w:rPr>
          <w:rFonts w:ascii="Times New Roman" w:hAnsi="Times New Roman" w:cs="Times New Roman"/>
          <w:sz w:val="24"/>
          <w:szCs w:val="24"/>
        </w:rPr>
        <w:t xml:space="preserve"> bill, corporate bond, corporate debenture and etcetera. As debt fund, include very less percentage of volatile asset such as equity it contains a very lower level of risk. Less vulnerability of investment on debt, make income fund super secure. However, return generated from this type of fund is obviously inferior to the equity fund because profit comes with price of risk. Debt or income fund can be </w:t>
      </w:r>
      <w:proofErr w:type="gramStart"/>
      <w:r w:rsidRPr="006B19D5">
        <w:rPr>
          <w:rFonts w:ascii="Times New Roman" w:hAnsi="Times New Roman" w:cs="Times New Roman"/>
          <w:sz w:val="24"/>
          <w:szCs w:val="24"/>
        </w:rPr>
        <w:t>effected</w:t>
      </w:r>
      <w:proofErr w:type="gramEnd"/>
      <w:r w:rsidRPr="006B19D5">
        <w:rPr>
          <w:rFonts w:ascii="Times New Roman" w:hAnsi="Times New Roman" w:cs="Times New Roman"/>
          <w:sz w:val="24"/>
          <w:szCs w:val="24"/>
        </w:rPr>
        <w:t xml:space="preserve"> by the change in interest rate of the country in short run. Net asset value of debt fund tend to increase when interest rate decrease and tend to decrease when interest rate increase. This phenomenon usually last for long period. Therefore, people who tend for a long period of investment does not bother about this minor fluctuation. Although this type of fund limit the scope of capital appreciation, they provide superior security in terms of capital preservation and ensure an acceptable steady level of income for a regular basis. That is why they are popular to many investor.</w:t>
      </w:r>
    </w:p>
    <w:p w:rsidR="00123FBF" w:rsidRPr="0051667F" w:rsidRDefault="00123FBF" w:rsidP="006C4AEB">
      <w:pPr>
        <w:spacing w:after="0" w:line="360" w:lineRule="auto"/>
        <w:jc w:val="both"/>
        <w:rPr>
          <w:rFonts w:ascii="Times New Roman" w:hAnsi="Times New Roman" w:cs="Times New Roman"/>
          <w:sz w:val="24"/>
          <w:szCs w:val="24"/>
        </w:rPr>
      </w:pPr>
      <w:r w:rsidRPr="00D1770A">
        <w:rPr>
          <w:rFonts w:ascii="Times New Roman" w:hAnsi="Times New Roman" w:cs="Times New Roman"/>
          <w:b/>
          <w:sz w:val="24"/>
          <w:szCs w:val="24"/>
        </w:rPr>
        <w:t xml:space="preserve">Balanced Funds  </w:t>
      </w:r>
    </w:p>
    <w:p w:rsidR="0051667F" w:rsidRDefault="00123FBF" w:rsidP="00123FBF">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Balanced fund contains both equity and debt instrument at a moderate level. Usually on average, it contain 60% equity and 40% of debt. Higher amount of equity allow these type of fund to earn higher return comparing to the debt fund. As this type of fund contain large level equity, it is volatile and subject to higher level of market risk comparing to debt fund. However, the risk is still lower comparing to the equity fund as it contain less percentage of volatile asset. Balance fund not only secure return but also ensure capital preservation so it is very convenient to most number of rational investor. It perfectly matches the goal of investor who look for moderate gro</w:t>
      </w:r>
      <w:r w:rsidR="0051667F">
        <w:rPr>
          <w:rFonts w:ascii="Times New Roman" w:hAnsi="Times New Roman" w:cs="Times New Roman"/>
          <w:sz w:val="24"/>
          <w:szCs w:val="24"/>
        </w:rPr>
        <w:t xml:space="preserve">wth with acceptable income.    </w:t>
      </w:r>
    </w:p>
    <w:p w:rsidR="00123FBF" w:rsidRPr="00D1770A" w:rsidRDefault="00123FBF" w:rsidP="006C4AEB">
      <w:pPr>
        <w:spacing w:after="0" w:line="360" w:lineRule="auto"/>
        <w:jc w:val="both"/>
        <w:rPr>
          <w:rFonts w:ascii="Times New Roman" w:hAnsi="Times New Roman" w:cs="Times New Roman"/>
          <w:sz w:val="24"/>
          <w:szCs w:val="24"/>
        </w:rPr>
      </w:pPr>
      <w:r w:rsidRPr="00D1770A">
        <w:rPr>
          <w:rFonts w:ascii="Times New Roman" w:hAnsi="Times New Roman" w:cs="Times New Roman"/>
          <w:b/>
          <w:sz w:val="24"/>
          <w:szCs w:val="24"/>
        </w:rPr>
        <w:t>Money Market/ Liquid Funds</w:t>
      </w:r>
    </w:p>
    <w:p w:rsidR="00123FBF" w:rsidRDefault="00123FBF" w:rsidP="00123FBF">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Higher liquidity and short-term investment is the key characteristics of money market fund. Portfolio of this type of fund consist of short term instrument such as certificate of deposit, treasury bill, government bond, interbank call money, commercial paper and etcetera. This type of fund have three advantages that are liquidity, safety and moderate level of income. Due to the short-term characteristics return of such funds are comparatively less volatile. This fund allow investor to attain some moderate income by using surplus that are available for </w:t>
      </w:r>
      <w:r w:rsidRPr="006B19D5">
        <w:rPr>
          <w:rFonts w:ascii="Times New Roman" w:hAnsi="Times New Roman" w:cs="Times New Roman"/>
          <w:sz w:val="24"/>
          <w:szCs w:val="24"/>
        </w:rPr>
        <w:lastRenderedPageBreak/>
        <w:t xml:space="preserve">shorter period. The convenience of liquid fund makes it popular among individual and corporate investor.    </w:t>
      </w:r>
    </w:p>
    <w:p w:rsidR="00123FBF" w:rsidRPr="00D1770A" w:rsidRDefault="00123FBF" w:rsidP="006C4AEB">
      <w:pPr>
        <w:spacing w:after="0" w:line="360" w:lineRule="auto"/>
        <w:jc w:val="both"/>
        <w:rPr>
          <w:rFonts w:ascii="Times New Roman" w:hAnsi="Times New Roman" w:cs="Times New Roman"/>
          <w:b/>
          <w:sz w:val="24"/>
          <w:szCs w:val="24"/>
        </w:rPr>
      </w:pPr>
      <w:r w:rsidRPr="00D1770A">
        <w:rPr>
          <w:rFonts w:ascii="Times New Roman" w:hAnsi="Times New Roman" w:cs="Times New Roman"/>
          <w:b/>
          <w:sz w:val="24"/>
          <w:szCs w:val="24"/>
        </w:rPr>
        <w:t xml:space="preserve">Gilt Funds </w:t>
      </w:r>
    </w:p>
    <w:p w:rsidR="00D1770A" w:rsidRDefault="00123FBF" w:rsidP="00123FBF">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Gilt funds are distinctive because they are exclusively invested on government securities. Zero default risk of government securities make this type of fund super secure. However, systematic risk such as change in interest rate may still effect the return generated by gilt fund. The return is obviously lower but ultimate security provided by government ensure at list some positive ret</w:t>
      </w:r>
      <w:r w:rsidR="00D1770A">
        <w:rPr>
          <w:rFonts w:ascii="Times New Roman" w:hAnsi="Times New Roman" w:cs="Times New Roman"/>
          <w:sz w:val="24"/>
          <w:szCs w:val="24"/>
        </w:rPr>
        <w:t xml:space="preserve">urn to the owner of gilt fund. </w:t>
      </w:r>
    </w:p>
    <w:p w:rsidR="00123FBF" w:rsidRPr="00D1770A" w:rsidRDefault="00123FBF" w:rsidP="006C4AEB">
      <w:pPr>
        <w:spacing w:after="0" w:line="360" w:lineRule="auto"/>
        <w:jc w:val="both"/>
        <w:rPr>
          <w:rFonts w:ascii="Times New Roman" w:hAnsi="Times New Roman" w:cs="Times New Roman"/>
          <w:b/>
          <w:sz w:val="24"/>
          <w:szCs w:val="24"/>
        </w:rPr>
      </w:pPr>
      <w:r w:rsidRPr="00D1770A">
        <w:rPr>
          <w:rFonts w:ascii="Times New Roman" w:hAnsi="Times New Roman" w:cs="Times New Roman"/>
          <w:b/>
          <w:sz w:val="24"/>
          <w:szCs w:val="24"/>
        </w:rPr>
        <w:t xml:space="preserve">Index Funds    </w:t>
      </w:r>
    </w:p>
    <w:p w:rsidR="00B72C63" w:rsidRDefault="00123FBF" w:rsidP="00B72C63">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This type of fund is dedicated to replicate a particular market index such as S&amp;P or DSEX. To achieve its objective, it distributes assets in its portfolio as per as the weight of the asset in the targeted index. So, the </w:t>
      </w:r>
      <w:proofErr w:type="gramStart"/>
      <w:r w:rsidRPr="006B19D5">
        <w:rPr>
          <w:rFonts w:ascii="Times New Roman" w:hAnsi="Times New Roman" w:cs="Times New Roman"/>
          <w:sz w:val="24"/>
          <w:szCs w:val="24"/>
        </w:rPr>
        <w:t>value of NAV in such fund fluctuate</w:t>
      </w:r>
      <w:proofErr w:type="gramEnd"/>
      <w:r w:rsidRPr="006B19D5">
        <w:rPr>
          <w:rFonts w:ascii="Times New Roman" w:hAnsi="Times New Roman" w:cs="Times New Roman"/>
          <w:sz w:val="24"/>
          <w:szCs w:val="24"/>
        </w:rPr>
        <w:t xml:space="preserve"> in accordance with the index. Yet it might not exactly able to replicate same percentage because of some factors like not being able to track the market index 100% accurately due to some limitation or technical error. An index fund is subject to necessary disclosure to its investor and sometime it can also be seen to be traded in </w:t>
      </w:r>
      <w:proofErr w:type="gramStart"/>
      <w:r w:rsidRPr="006B19D5">
        <w:rPr>
          <w:rFonts w:ascii="Times New Roman" w:hAnsi="Times New Roman" w:cs="Times New Roman"/>
          <w:sz w:val="24"/>
          <w:szCs w:val="24"/>
        </w:rPr>
        <w:t>an</w:t>
      </w:r>
      <w:proofErr w:type="gramEnd"/>
      <w:r w:rsidRPr="006B19D5">
        <w:rPr>
          <w:rFonts w:ascii="Times New Roman" w:hAnsi="Times New Roman" w:cs="Times New Roman"/>
          <w:sz w:val="24"/>
          <w:szCs w:val="24"/>
        </w:rPr>
        <w:t xml:space="preserve"> stock exchange. </w:t>
      </w:r>
      <w:bookmarkStart w:id="17" w:name="_Toc12181216"/>
    </w:p>
    <w:p w:rsidR="00E53F50" w:rsidRPr="00B37958" w:rsidRDefault="00123FBF" w:rsidP="006C4AEB">
      <w:pPr>
        <w:spacing w:after="0" w:line="360" w:lineRule="auto"/>
        <w:jc w:val="both"/>
        <w:rPr>
          <w:rFonts w:ascii="Times New Roman" w:hAnsi="Times New Roman" w:cs="Times New Roman"/>
          <w:sz w:val="32"/>
          <w:szCs w:val="32"/>
        </w:rPr>
      </w:pPr>
      <w:r w:rsidRPr="00B37958">
        <w:rPr>
          <w:rFonts w:ascii="Times New Roman" w:hAnsi="Times New Roman" w:cs="Times New Roman"/>
          <w:b/>
          <w:sz w:val="32"/>
          <w:szCs w:val="32"/>
        </w:rPr>
        <w:t>Selected Mutual Funds</w:t>
      </w:r>
      <w:bookmarkEnd w:id="17"/>
    </w:p>
    <w:p w:rsidR="00B1271C" w:rsidRDefault="00123FBF" w:rsidP="00D24A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Currently there are 38 mutual fund listed in Dhaka Stock Exchange. For the purpose of the study only 10 mutual funds were considered due to the limitation.</w:t>
      </w:r>
    </w:p>
    <w:p w:rsidR="007070A2" w:rsidRDefault="00503706" w:rsidP="007070A2">
      <w:pPr>
        <w:spacing w:line="360" w:lineRule="auto"/>
        <w:jc w:val="both"/>
        <w:rPr>
          <w:rFonts w:ascii="Times New Roman" w:hAnsi="Times New Roman" w:cs="Times New Roman"/>
          <w:sz w:val="24"/>
          <w:szCs w:val="24"/>
        </w:rPr>
      </w:pPr>
      <w:r>
        <w:rPr>
          <w:noProof/>
        </w:rPr>
        <w:drawing>
          <wp:anchor distT="0" distB="0" distL="114300" distR="114300" simplePos="0" relativeHeight="251773951" behindDoc="0" locked="0" layoutInCell="1" allowOverlap="1" wp14:anchorId="02AF7F8A" wp14:editId="21BC8AD4">
            <wp:simplePos x="0" y="0"/>
            <wp:positionH relativeFrom="margin">
              <wp:align>right</wp:align>
            </wp:positionH>
            <wp:positionV relativeFrom="margin">
              <wp:posOffset>7376160</wp:posOffset>
            </wp:positionV>
            <wp:extent cx="5724525" cy="1780540"/>
            <wp:effectExtent l="0" t="0" r="9525" b="10160"/>
            <wp:wrapSquare wrapText="bothSides"/>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863FA6">
        <w:rPr>
          <w:rFonts w:ascii="Times New Roman" w:hAnsi="Times New Roman" w:cs="Times New Roman"/>
          <w:sz w:val="24"/>
          <w:szCs w:val="24"/>
        </w:rPr>
        <w:t xml:space="preserve">The selected mutual funds are </w:t>
      </w:r>
      <w:r w:rsidR="00123FBF" w:rsidRPr="004D3057">
        <w:rPr>
          <w:rFonts w:ascii="Times New Roman" w:hAnsi="Times New Roman" w:cs="Times New Roman"/>
          <w:sz w:val="24"/>
          <w:szCs w:val="24"/>
        </w:rPr>
        <w:t xml:space="preserve">AB </w:t>
      </w:r>
      <w:r w:rsidR="00040C38" w:rsidRPr="004D3057">
        <w:rPr>
          <w:rFonts w:ascii="Times New Roman" w:hAnsi="Times New Roman" w:cs="Times New Roman"/>
          <w:sz w:val="24"/>
          <w:szCs w:val="24"/>
        </w:rPr>
        <w:t>Bank 1st Mutual fund</w:t>
      </w:r>
      <w:r w:rsidR="00863FA6">
        <w:rPr>
          <w:rFonts w:ascii="Times New Roman" w:hAnsi="Times New Roman" w:cs="Times New Roman"/>
          <w:sz w:val="24"/>
          <w:szCs w:val="24"/>
        </w:rPr>
        <w:t xml:space="preserve">, AIBL 1st Islamic Mutual Fund, </w:t>
      </w:r>
      <w:r w:rsidR="00123FBF" w:rsidRPr="004D3057">
        <w:rPr>
          <w:rFonts w:ascii="Times New Roman" w:hAnsi="Times New Roman" w:cs="Times New Roman"/>
          <w:sz w:val="24"/>
          <w:szCs w:val="24"/>
        </w:rPr>
        <w:t xml:space="preserve">Asian Tiger </w:t>
      </w:r>
      <w:proofErr w:type="spellStart"/>
      <w:r w:rsidR="00123FBF" w:rsidRPr="004D3057">
        <w:rPr>
          <w:rFonts w:ascii="Times New Roman" w:hAnsi="Times New Roman" w:cs="Times New Roman"/>
          <w:sz w:val="24"/>
          <w:szCs w:val="24"/>
        </w:rPr>
        <w:t>Sandhani</w:t>
      </w:r>
      <w:proofErr w:type="spellEnd"/>
      <w:r w:rsidR="00123FBF" w:rsidRPr="004D3057">
        <w:rPr>
          <w:rFonts w:ascii="Times New Roman" w:hAnsi="Times New Roman" w:cs="Times New Roman"/>
          <w:sz w:val="24"/>
          <w:szCs w:val="24"/>
        </w:rPr>
        <w:t xml:space="preserve"> Life Growth Fund</w:t>
      </w:r>
      <w:r w:rsidR="00863FA6">
        <w:rPr>
          <w:rFonts w:ascii="Times New Roman" w:hAnsi="Times New Roman" w:cs="Times New Roman"/>
          <w:sz w:val="24"/>
          <w:szCs w:val="24"/>
        </w:rPr>
        <w:t xml:space="preserve">, </w:t>
      </w:r>
      <w:r w:rsidR="00123FBF" w:rsidRPr="004D3057">
        <w:rPr>
          <w:rFonts w:ascii="Times New Roman" w:hAnsi="Times New Roman" w:cs="Times New Roman"/>
          <w:sz w:val="24"/>
          <w:szCs w:val="24"/>
        </w:rPr>
        <w:t>DBH First Mutual Fund</w:t>
      </w:r>
      <w:r w:rsidR="00863FA6">
        <w:rPr>
          <w:rFonts w:ascii="Times New Roman" w:hAnsi="Times New Roman" w:cs="Times New Roman"/>
          <w:sz w:val="24"/>
          <w:szCs w:val="24"/>
        </w:rPr>
        <w:t xml:space="preserve">, </w:t>
      </w:r>
      <w:r w:rsidR="00123FBF" w:rsidRPr="004D3057">
        <w:rPr>
          <w:rFonts w:ascii="Times New Roman" w:hAnsi="Times New Roman" w:cs="Times New Roman"/>
          <w:sz w:val="24"/>
          <w:szCs w:val="24"/>
        </w:rPr>
        <w:t>EBL First Mutual Fund</w:t>
      </w:r>
      <w:r w:rsidR="00863FA6">
        <w:rPr>
          <w:rFonts w:ascii="Times New Roman" w:hAnsi="Times New Roman" w:cs="Times New Roman"/>
          <w:sz w:val="24"/>
          <w:szCs w:val="24"/>
        </w:rPr>
        <w:t xml:space="preserve">, EBL NRB Mutual Fund, </w:t>
      </w:r>
      <w:r w:rsidR="00123FBF" w:rsidRPr="004D3057">
        <w:rPr>
          <w:rFonts w:ascii="Times New Roman" w:hAnsi="Times New Roman" w:cs="Times New Roman"/>
          <w:sz w:val="24"/>
          <w:szCs w:val="24"/>
        </w:rPr>
        <w:t>First Janata Bank Mutual Fund</w:t>
      </w:r>
      <w:r w:rsidR="00863FA6">
        <w:rPr>
          <w:rFonts w:ascii="Times New Roman" w:hAnsi="Times New Roman" w:cs="Times New Roman"/>
          <w:sz w:val="24"/>
          <w:szCs w:val="24"/>
        </w:rPr>
        <w:t xml:space="preserve">, Prime Finance First Mutual Fund, </w:t>
      </w:r>
      <w:r w:rsidR="00382FAC" w:rsidRPr="004D3057">
        <w:rPr>
          <w:rFonts w:ascii="Times New Roman" w:hAnsi="Times New Roman" w:cs="Times New Roman"/>
          <w:sz w:val="24"/>
          <w:szCs w:val="24"/>
        </w:rPr>
        <w:t>EXIM Bank 1st Mutual Fund</w:t>
      </w:r>
      <w:r w:rsidR="00AE2550">
        <w:rPr>
          <w:rFonts w:ascii="Times New Roman" w:hAnsi="Times New Roman" w:cs="Times New Roman"/>
          <w:sz w:val="24"/>
          <w:szCs w:val="24"/>
        </w:rPr>
        <w:t xml:space="preserve"> and</w:t>
      </w:r>
      <w:r w:rsidR="00863FA6">
        <w:rPr>
          <w:rFonts w:ascii="Times New Roman" w:hAnsi="Times New Roman" w:cs="Times New Roman"/>
          <w:sz w:val="24"/>
          <w:szCs w:val="24"/>
        </w:rPr>
        <w:t xml:space="preserve"> </w:t>
      </w:r>
      <w:r w:rsidR="00123FBF" w:rsidRPr="004D3057">
        <w:rPr>
          <w:rFonts w:ascii="Times New Roman" w:hAnsi="Times New Roman" w:cs="Times New Roman"/>
          <w:sz w:val="24"/>
          <w:szCs w:val="24"/>
        </w:rPr>
        <w:t>Fi</w:t>
      </w:r>
      <w:r w:rsidR="0016674C">
        <w:rPr>
          <w:rFonts w:ascii="Times New Roman" w:hAnsi="Times New Roman" w:cs="Times New Roman"/>
          <w:sz w:val="24"/>
          <w:szCs w:val="24"/>
        </w:rPr>
        <w:t>rst Bangladesh Fixed Income Fund</w:t>
      </w:r>
      <w:r w:rsidR="00AE2550">
        <w:rPr>
          <w:rFonts w:ascii="Times New Roman" w:hAnsi="Times New Roman" w:cs="Times New Roman"/>
          <w:sz w:val="24"/>
          <w:szCs w:val="24"/>
        </w:rPr>
        <w:t>. Their trading codes are respectively</w:t>
      </w:r>
      <w:r w:rsidR="00682691">
        <w:rPr>
          <w:rFonts w:ascii="Times New Roman" w:hAnsi="Times New Roman" w:cs="Times New Roman"/>
          <w:sz w:val="24"/>
          <w:szCs w:val="24"/>
        </w:rPr>
        <w:t xml:space="preserve"> </w:t>
      </w:r>
      <w:r w:rsidR="00682691" w:rsidRPr="00A96982">
        <w:rPr>
          <w:rFonts w:ascii="Times New Roman" w:hAnsi="Times New Roman" w:cs="Times New Roman"/>
          <w:sz w:val="24"/>
          <w:szCs w:val="24"/>
        </w:rPr>
        <w:t>ABB1STMF, AIBL1STMF, ATCSLGF, DBH1STMF, EBL1SMF, EBLNRBMF,</w:t>
      </w:r>
      <w:r w:rsidR="007070A2">
        <w:rPr>
          <w:rFonts w:ascii="Times New Roman" w:hAnsi="Times New Roman" w:cs="Times New Roman"/>
          <w:sz w:val="24"/>
          <w:szCs w:val="24"/>
        </w:rPr>
        <w:t xml:space="preserve"> </w:t>
      </w:r>
      <w:r w:rsidR="007070A2" w:rsidRPr="00A96982">
        <w:rPr>
          <w:rFonts w:ascii="Times New Roman" w:hAnsi="Times New Roman" w:cs="Times New Roman"/>
          <w:sz w:val="24"/>
          <w:szCs w:val="24"/>
        </w:rPr>
        <w:t>1JANATAMF, 1STPRIMFMF, EXIM1STMF and FBFIF</w:t>
      </w:r>
      <w:r w:rsidR="007070A2">
        <w:rPr>
          <w:rFonts w:ascii="Times New Roman" w:hAnsi="Times New Roman" w:cs="Times New Roman"/>
          <w:sz w:val="24"/>
          <w:szCs w:val="24"/>
        </w:rPr>
        <w:t>. The most recent data of yearly NAV of mentioned mutual funds are given below:</w:t>
      </w:r>
    </w:p>
    <w:p w:rsidR="007070A2" w:rsidRDefault="007070A2" w:rsidP="007070A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From the chart above, we can see that the </w:t>
      </w:r>
      <w:r w:rsidRPr="00A96982">
        <w:rPr>
          <w:rFonts w:ascii="Times New Roman" w:hAnsi="Times New Roman" w:cs="Times New Roman"/>
          <w:sz w:val="24"/>
          <w:szCs w:val="24"/>
        </w:rPr>
        <w:t>1STPRIMFMF</w:t>
      </w:r>
      <w:r>
        <w:rPr>
          <w:rFonts w:ascii="Times New Roman" w:hAnsi="Times New Roman" w:cs="Times New Roman"/>
          <w:sz w:val="24"/>
          <w:szCs w:val="24"/>
        </w:rPr>
        <w:t xml:space="preserve"> had the highest NAV and 1JANATAMF had the lowest NAV among the selected mutual fund. However, we cannot assume the </w:t>
      </w:r>
      <w:proofErr w:type="spellStart"/>
      <w:r>
        <w:rPr>
          <w:rFonts w:ascii="Times New Roman" w:hAnsi="Times New Roman" w:cs="Times New Roman"/>
          <w:sz w:val="24"/>
          <w:szCs w:val="24"/>
        </w:rPr>
        <w:t>funds</w:t>
      </w:r>
      <w:proofErr w:type="spellEnd"/>
      <w:r>
        <w:rPr>
          <w:rFonts w:ascii="Times New Roman" w:hAnsi="Times New Roman" w:cs="Times New Roman"/>
          <w:sz w:val="24"/>
          <w:szCs w:val="24"/>
        </w:rPr>
        <w:t xml:space="preserve"> performance basing on only this set of information because performance need to be determined from return and here we cannot see any projection of funds historical return. Still this chart is important because it is providing us idea about the selected mutual funds NAV of the most recent year.  </w:t>
      </w:r>
    </w:p>
    <w:p w:rsidR="00682691" w:rsidRDefault="00682691" w:rsidP="007070A2">
      <w:pPr>
        <w:spacing w:line="360" w:lineRule="auto"/>
        <w:jc w:val="both"/>
        <w:rPr>
          <w:rFonts w:ascii="Times New Roman" w:hAnsi="Times New Roman" w:cs="Times New Roman"/>
          <w:sz w:val="24"/>
          <w:szCs w:val="24"/>
        </w:rPr>
      </w:pPr>
    </w:p>
    <w:p w:rsidR="00503706" w:rsidRDefault="00503706" w:rsidP="007070A2">
      <w:pPr>
        <w:spacing w:line="360" w:lineRule="auto"/>
        <w:jc w:val="both"/>
        <w:rPr>
          <w:rFonts w:ascii="Times New Roman" w:hAnsi="Times New Roman" w:cs="Times New Roman"/>
          <w:sz w:val="24"/>
          <w:szCs w:val="24"/>
        </w:rPr>
      </w:pPr>
    </w:p>
    <w:p w:rsidR="00503706" w:rsidRDefault="00503706" w:rsidP="007070A2">
      <w:pPr>
        <w:spacing w:line="360" w:lineRule="auto"/>
        <w:jc w:val="both"/>
        <w:rPr>
          <w:rFonts w:ascii="Times New Roman" w:hAnsi="Times New Roman" w:cs="Times New Roman"/>
          <w:sz w:val="24"/>
          <w:szCs w:val="24"/>
        </w:rPr>
      </w:pPr>
    </w:p>
    <w:p w:rsidR="00682691" w:rsidRDefault="00682691" w:rsidP="00123FBF">
      <w:pPr>
        <w:spacing w:line="360" w:lineRule="auto"/>
        <w:jc w:val="both"/>
        <w:rPr>
          <w:rFonts w:ascii="Times New Roman" w:hAnsi="Times New Roman" w:cs="Times New Roman"/>
          <w:sz w:val="24"/>
          <w:szCs w:val="24"/>
        </w:rPr>
      </w:pPr>
    </w:p>
    <w:p w:rsidR="00682691" w:rsidRDefault="00682691" w:rsidP="00123FBF">
      <w:pPr>
        <w:spacing w:line="360" w:lineRule="auto"/>
        <w:jc w:val="both"/>
        <w:rPr>
          <w:rFonts w:ascii="Times New Roman" w:hAnsi="Times New Roman" w:cs="Times New Roman"/>
          <w:sz w:val="24"/>
          <w:szCs w:val="24"/>
        </w:rPr>
      </w:pPr>
    </w:p>
    <w:p w:rsidR="00682691" w:rsidRDefault="00682691" w:rsidP="00123FBF">
      <w:pPr>
        <w:spacing w:line="360" w:lineRule="auto"/>
        <w:jc w:val="both"/>
        <w:rPr>
          <w:rFonts w:ascii="Times New Roman" w:hAnsi="Times New Roman" w:cs="Times New Roman"/>
          <w:sz w:val="24"/>
          <w:szCs w:val="24"/>
        </w:rPr>
      </w:pPr>
    </w:p>
    <w:p w:rsidR="00682691" w:rsidRDefault="00682691" w:rsidP="00123FBF">
      <w:pPr>
        <w:spacing w:line="360" w:lineRule="auto"/>
        <w:jc w:val="both"/>
        <w:rPr>
          <w:rFonts w:ascii="Times New Roman" w:hAnsi="Times New Roman" w:cs="Times New Roman"/>
          <w:sz w:val="24"/>
          <w:szCs w:val="24"/>
        </w:rPr>
      </w:pPr>
    </w:p>
    <w:p w:rsidR="00682691" w:rsidRDefault="00682691" w:rsidP="00123FBF">
      <w:pPr>
        <w:spacing w:line="360" w:lineRule="auto"/>
        <w:jc w:val="both"/>
        <w:rPr>
          <w:rFonts w:ascii="Times New Roman" w:hAnsi="Times New Roman" w:cs="Times New Roman"/>
          <w:sz w:val="24"/>
          <w:szCs w:val="24"/>
        </w:rPr>
      </w:pPr>
    </w:p>
    <w:p w:rsidR="00682691" w:rsidRPr="004D3057" w:rsidRDefault="00682691" w:rsidP="00123FBF">
      <w:pPr>
        <w:spacing w:line="360" w:lineRule="auto"/>
        <w:jc w:val="both"/>
        <w:rPr>
          <w:rFonts w:ascii="Times New Roman" w:hAnsi="Times New Roman" w:cs="Times New Roman"/>
          <w:sz w:val="24"/>
          <w:szCs w:val="24"/>
        </w:rPr>
      </w:pPr>
    </w:p>
    <w:p w:rsidR="00694BE7" w:rsidRDefault="00694BE7" w:rsidP="00694BE7"/>
    <w:p w:rsidR="00694BE7" w:rsidRDefault="00694BE7" w:rsidP="00694BE7"/>
    <w:p w:rsidR="00694BE7" w:rsidRDefault="00694BE7" w:rsidP="00694BE7"/>
    <w:p w:rsidR="0091074B" w:rsidRDefault="0091074B" w:rsidP="00694BE7"/>
    <w:p w:rsidR="00B1271C" w:rsidRDefault="00B1271C" w:rsidP="003B7EA2">
      <w:pPr>
        <w:pStyle w:val="Heading1"/>
        <w:spacing w:line="360" w:lineRule="auto"/>
        <w:jc w:val="center"/>
        <w:rPr>
          <w:rFonts w:ascii="Times New Roman" w:hAnsi="Times New Roman" w:cs="Times New Roman"/>
          <w:b/>
          <w:sz w:val="40"/>
          <w:szCs w:val="40"/>
        </w:rPr>
      </w:pPr>
    </w:p>
    <w:p w:rsidR="00B1271C" w:rsidRDefault="00B1271C" w:rsidP="003B7EA2">
      <w:pPr>
        <w:pStyle w:val="Heading1"/>
        <w:spacing w:line="360" w:lineRule="auto"/>
        <w:jc w:val="center"/>
        <w:rPr>
          <w:rFonts w:ascii="Times New Roman" w:hAnsi="Times New Roman" w:cs="Times New Roman"/>
          <w:b/>
          <w:sz w:val="40"/>
          <w:szCs w:val="40"/>
        </w:rPr>
      </w:pPr>
    </w:p>
    <w:p w:rsidR="00B1271C" w:rsidRDefault="00B1271C" w:rsidP="003B7EA2">
      <w:pPr>
        <w:pStyle w:val="Heading1"/>
        <w:spacing w:line="360" w:lineRule="auto"/>
        <w:jc w:val="center"/>
        <w:rPr>
          <w:rFonts w:ascii="Times New Roman" w:hAnsi="Times New Roman" w:cs="Times New Roman"/>
          <w:b/>
          <w:sz w:val="40"/>
          <w:szCs w:val="40"/>
        </w:rPr>
      </w:pPr>
    </w:p>
    <w:p w:rsidR="006B51E7" w:rsidRDefault="006B51E7" w:rsidP="006B51E7"/>
    <w:p w:rsidR="0091074B" w:rsidRDefault="0091074B" w:rsidP="006B51E7"/>
    <w:p w:rsidR="0091074B" w:rsidRDefault="0091074B" w:rsidP="006B51E7"/>
    <w:p w:rsidR="00503706" w:rsidRDefault="00503706" w:rsidP="0091074B">
      <w:pPr>
        <w:pStyle w:val="Heading1"/>
        <w:spacing w:line="360" w:lineRule="auto"/>
        <w:jc w:val="center"/>
        <w:rPr>
          <w:rFonts w:ascii="Times New Roman" w:hAnsi="Times New Roman" w:cs="Times New Roman"/>
          <w:b/>
          <w:sz w:val="40"/>
          <w:szCs w:val="40"/>
        </w:rPr>
      </w:pPr>
    </w:p>
    <w:p w:rsidR="00503706" w:rsidRDefault="00503706" w:rsidP="0091074B">
      <w:pPr>
        <w:pStyle w:val="Heading1"/>
        <w:spacing w:line="360" w:lineRule="auto"/>
        <w:jc w:val="center"/>
        <w:rPr>
          <w:rFonts w:ascii="Times New Roman" w:hAnsi="Times New Roman" w:cs="Times New Roman"/>
          <w:b/>
          <w:sz w:val="40"/>
          <w:szCs w:val="40"/>
        </w:rPr>
      </w:pPr>
    </w:p>
    <w:p w:rsidR="00503706" w:rsidRDefault="00503706" w:rsidP="0091074B">
      <w:pPr>
        <w:pStyle w:val="Heading1"/>
        <w:spacing w:line="360" w:lineRule="auto"/>
        <w:jc w:val="center"/>
        <w:rPr>
          <w:rFonts w:ascii="Times New Roman" w:hAnsi="Times New Roman" w:cs="Times New Roman"/>
          <w:b/>
          <w:sz w:val="40"/>
          <w:szCs w:val="40"/>
        </w:rPr>
      </w:pPr>
    </w:p>
    <w:p w:rsidR="00503706" w:rsidRDefault="00503706" w:rsidP="0091074B">
      <w:pPr>
        <w:pStyle w:val="Heading1"/>
        <w:spacing w:line="360" w:lineRule="auto"/>
        <w:jc w:val="center"/>
        <w:rPr>
          <w:rFonts w:ascii="Times New Roman" w:hAnsi="Times New Roman" w:cs="Times New Roman"/>
          <w:b/>
          <w:sz w:val="40"/>
          <w:szCs w:val="40"/>
        </w:rPr>
      </w:pPr>
    </w:p>
    <w:bookmarkStart w:id="18" w:name="_Toc13070807"/>
    <w:p w:rsidR="00942C7D" w:rsidRPr="00942C7D" w:rsidRDefault="00942C7D" w:rsidP="006A3AB7">
      <w:pPr>
        <w:pStyle w:val="Heading1"/>
        <w:spacing w:line="360" w:lineRule="auto"/>
        <w:jc w:val="center"/>
        <w:rPr>
          <w:rFonts w:ascii="Times New Roman" w:hAnsi="Times New Roman" w:cs="Times New Roman"/>
          <w:b/>
          <w:sz w:val="40"/>
          <w:szCs w:val="40"/>
        </w:rPr>
      </w:pPr>
      <w:r>
        <w:rPr>
          <w:rFonts w:ascii="Times New Roman" w:hAnsi="Times New Roman" w:cs="Times New Roman"/>
          <w:b/>
          <w:noProof/>
          <w:sz w:val="40"/>
          <w:szCs w:val="40"/>
        </w:rPr>
        <mc:AlternateContent>
          <mc:Choice Requires="wps">
            <w:drawing>
              <wp:anchor distT="0" distB="0" distL="114300" distR="114300" simplePos="0" relativeHeight="251777023" behindDoc="0" locked="0" layoutInCell="1" allowOverlap="1">
                <wp:simplePos x="0" y="0"/>
                <wp:positionH relativeFrom="margin">
                  <wp:align>center</wp:align>
                </wp:positionH>
                <wp:positionV relativeFrom="paragraph">
                  <wp:posOffset>544033</wp:posOffset>
                </wp:positionV>
                <wp:extent cx="2838893"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283889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19C5819" id="Straight Connector 10" o:spid="_x0000_s1026" style="position:absolute;z-index:251777023;visibility:visible;mso-wrap-style:square;mso-wrap-distance-left:9pt;mso-wrap-distance-top:0;mso-wrap-distance-right:9pt;mso-wrap-distance-bottom:0;mso-position-horizontal:center;mso-position-horizontal-relative:margin;mso-position-vertical:absolute;mso-position-vertical-relative:text" from="0,42.85pt" to="223.55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" strokecolor="#5b9bd5 [3204]" strokeweight=".5pt">
                <v:stroke joinstyle="miter"/>
                <w10:wrap anchorx="margin"/>
              </v:line>
            </w:pict>
          </mc:Fallback>
        </mc:AlternateContent>
      </w:r>
      <w:r w:rsidR="0091074B" w:rsidRPr="00316FC6">
        <w:rPr>
          <w:rFonts w:ascii="Times New Roman" w:hAnsi="Times New Roman" w:cs="Times New Roman"/>
          <w:b/>
          <w:sz w:val="40"/>
          <w:szCs w:val="40"/>
        </w:rPr>
        <w:t>Chapter 3</w:t>
      </w:r>
      <w:bookmarkEnd w:id="18"/>
    </w:p>
    <w:p w:rsidR="0091074B" w:rsidRPr="003B7EA2" w:rsidRDefault="0091074B" w:rsidP="006A3AB7">
      <w:pPr>
        <w:spacing w:line="360" w:lineRule="auto"/>
        <w:jc w:val="center"/>
        <w:rPr>
          <w:rFonts w:ascii="Times New Roman" w:hAnsi="Times New Roman" w:cs="Times New Roman"/>
          <w:b/>
          <w:sz w:val="36"/>
          <w:szCs w:val="36"/>
        </w:rPr>
      </w:pPr>
      <w:r w:rsidRPr="003B7EA2">
        <w:rPr>
          <w:rFonts w:ascii="Times New Roman" w:hAnsi="Times New Roman" w:cs="Times New Roman"/>
          <w:b/>
          <w:sz w:val="36"/>
          <w:szCs w:val="36"/>
        </w:rPr>
        <w:t>Literature Review</w:t>
      </w:r>
    </w:p>
    <w:p w:rsidR="0091074B" w:rsidRPr="006B51E7" w:rsidRDefault="0091074B" w:rsidP="006B51E7"/>
    <w:p w:rsidR="006B51E7" w:rsidRPr="006B51E7" w:rsidRDefault="006B51E7" w:rsidP="006B51E7"/>
    <w:p w:rsidR="006B51E7" w:rsidRPr="006B51E7" w:rsidRDefault="006B51E7" w:rsidP="006B51E7"/>
    <w:p w:rsidR="006B51E7" w:rsidRPr="006B51E7" w:rsidRDefault="006B51E7" w:rsidP="006B51E7"/>
    <w:p w:rsidR="006B51E7" w:rsidRDefault="006B51E7" w:rsidP="006B51E7"/>
    <w:p w:rsidR="006B51E7" w:rsidRDefault="006B51E7" w:rsidP="006B51E7"/>
    <w:p w:rsidR="006B51E7" w:rsidRDefault="006B51E7">
      <w:r>
        <w:br w:type="page"/>
      </w:r>
    </w:p>
    <w:p w:rsidR="000E2C8B" w:rsidRPr="000B3DD5" w:rsidRDefault="00E45982" w:rsidP="00503706">
      <w:pPr>
        <w:pStyle w:val="Heading1"/>
        <w:spacing w:after="240"/>
        <w:rPr>
          <w:rFonts w:ascii="Times New Roman" w:hAnsi="Times New Roman" w:cs="Times New Roman"/>
          <w:b/>
          <w:color w:val="auto"/>
          <w:sz w:val="36"/>
          <w:szCs w:val="36"/>
        </w:rPr>
      </w:pPr>
      <w:bookmarkStart w:id="19" w:name="_Toc12181218"/>
      <w:bookmarkStart w:id="20" w:name="_Toc13070808"/>
      <w:r w:rsidRPr="000B3DD5">
        <w:rPr>
          <w:rFonts w:ascii="Times New Roman" w:hAnsi="Times New Roman" w:cs="Times New Roman"/>
          <w:b/>
          <w:color w:val="auto"/>
          <w:sz w:val="36"/>
          <w:szCs w:val="36"/>
        </w:rPr>
        <w:lastRenderedPageBreak/>
        <w:t>Literature Review</w:t>
      </w:r>
      <w:bookmarkEnd w:id="19"/>
      <w:bookmarkEnd w:id="20"/>
    </w:p>
    <w:p w:rsidR="00E45982" w:rsidRPr="006B19D5"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Many researches regarding performance assessment of mutual fund has been conducted all over the world. Some of these researches were purely theory oriented where others were more empirical in nature. There are also some researches that were concerned with justifying implication of theory in practical scenario. Evidence of numerous number of historical study regarding the topic in both developed and developing countries is highly noticeable and significant. However, in this section, it is considered to represent a brief overview of some of these research papers that are crucially significant to set plot of this particular study. </w:t>
      </w:r>
    </w:p>
    <w:p w:rsidR="00E45982" w:rsidRPr="006B19D5"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American economist William Forsyth Sharpe conducted a research on 34 open-end mutual fund throughout 1944-1963 to evaluate performance. Later this study was published as an article and became one of the first to incorporate modern portfolio theories such as capital asset pricing model and Sharpe ratio, which evaluates performance considering both return and the risk. Findings of the study shows that the average performance of mutual fund was lower comparing to DJIA (Dow Jones Industrial Average). Further interpretation of the study reveals that the good performance is related with low expense ratio and there is very less significant or </w:t>
      </w:r>
      <w:r w:rsidR="00044E2E" w:rsidRPr="006B19D5">
        <w:rPr>
          <w:rFonts w:ascii="Times New Roman" w:hAnsi="Times New Roman" w:cs="Times New Roman"/>
          <w:sz w:val="24"/>
          <w:szCs w:val="24"/>
        </w:rPr>
        <w:t>inferior relationship</w:t>
      </w:r>
      <w:r w:rsidRPr="006B19D5">
        <w:rPr>
          <w:rFonts w:ascii="Times New Roman" w:hAnsi="Times New Roman" w:cs="Times New Roman"/>
          <w:sz w:val="24"/>
          <w:szCs w:val="24"/>
        </w:rPr>
        <w:t xml:space="preserve"> between funds size and performance.  </w:t>
      </w:r>
    </w:p>
    <w:p w:rsidR="00E45982" w:rsidRPr="006B19D5"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An interesting study performed by </w:t>
      </w:r>
      <w:proofErr w:type="spellStart"/>
      <w:r w:rsidRPr="006B19D5">
        <w:rPr>
          <w:rFonts w:ascii="Times New Roman" w:hAnsi="Times New Roman" w:cs="Times New Roman"/>
          <w:sz w:val="24"/>
          <w:szCs w:val="24"/>
        </w:rPr>
        <w:t>Treynor</w:t>
      </w:r>
      <w:proofErr w:type="spellEnd"/>
      <w:r w:rsidRPr="006B19D5">
        <w:rPr>
          <w:rFonts w:ascii="Times New Roman" w:hAnsi="Times New Roman" w:cs="Times New Roman"/>
          <w:sz w:val="24"/>
          <w:szCs w:val="24"/>
        </w:rPr>
        <w:t xml:space="preserve"> and </w:t>
      </w:r>
      <w:proofErr w:type="spellStart"/>
      <w:r w:rsidRPr="006B19D5">
        <w:rPr>
          <w:rFonts w:ascii="Times New Roman" w:hAnsi="Times New Roman" w:cs="Times New Roman"/>
          <w:sz w:val="24"/>
          <w:szCs w:val="24"/>
        </w:rPr>
        <w:t>Mazuy</w:t>
      </w:r>
      <w:proofErr w:type="spellEnd"/>
      <w:r w:rsidRPr="006B19D5">
        <w:rPr>
          <w:rFonts w:ascii="Times New Roman" w:hAnsi="Times New Roman" w:cs="Times New Roman"/>
          <w:sz w:val="24"/>
          <w:szCs w:val="24"/>
        </w:rPr>
        <w:t xml:space="preserve"> on 57 funds during the period of 1953 to 1962 argue that none of the investment managers could anticipate the market movement, hence none of them should be held responsible.   </w:t>
      </w:r>
    </w:p>
    <w:p w:rsidR="00E45982" w:rsidRPr="006B19D5"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A distinctive study by Jensen attempted to evaluate performances of 115 funds by means of “alpha” which was considered as an indicator of the portfolio managers forecasting aptitude. However, according to the study fund managers did not have superior performance to counterbalance their research expenditure and management costs. </w:t>
      </w:r>
    </w:p>
    <w:p w:rsidR="00E45982" w:rsidRPr="006B19D5"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John G. McDonald (1974) used monthly data for the period 1960-1969 to assess purposes and performance of 123 mutual fund. He had considered four measures including non-risk-adjusted average return, Jensen’s alpha, Sharpe Ratio and </w:t>
      </w:r>
      <w:proofErr w:type="spellStart"/>
      <w:r w:rsidRPr="006B19D5">
        <w:rPr>
          <w:rFonts w:ascii="Times New Roman" w:hAnsi="Times New Roman" w:cs="Times New Roman"/>
          <w:sz w:val="24"/>
          <w:szCs w:val="24"/>
        </w:rPr>
        <w:t>Treynor</w:t>
      </w:r>
      <w:proofErr w:type="spellEnd"/>
      <w:r w:rsidRPr="006B19D5">
        <w:rPr>
          <w:rFonts w:ascii="Times New Roman" w:hAnsi="Times New Roman" w:cs="Times New Roman"/>
          <w:sz w:val="24"/>
          <w:szCs w:val="24"/>
        </w:rPr>
        <w:t xml:space="preserve"> Ratio. It was found that the fund did not </w:t>
      </w:r>
      <w:proofErr w:type="gramStart"/>
      <w:r w:rsidRPr="006B19D5">
        <w:rPr>
          <w:rFonts w:ascii="Times New Roman" w:hAnsi="Times New Roman" w:cs="Times New Roman"/>
          <w:sz w:val="24"/>
          <w:szCs w:val="24"/>
        </w:rPr>
        <w:t>performed</w:t>
      </w:r>
      <w:proofErr w:type="gramEnd"/>
      <w:r w:rsidRPr="006B19D5">
        <w:rPr>
          <w:rFonts w:ascii="Times New Roman" w:hAnsi="Times New Roman" w:cs="Times New Roman"/>
          <w:sz w:val="24"/>
          <w:szCs w:val="24"/>
        </w:rPr>
        <w:t xml:space="preserve"> significantly different comparing to the overall market.</w:t>
      </w:r>
    </w:p>
    <w:p w:rsidR="00E45982" w:rsidRPr="006B19D5" w:rsidRDefault="00E45982" w:rsidP="00E45982">
      <w:pPr>
        <w:spacing w:line="360" w:lineRule="auto"/>
        <w:jc w:val="both"/>
        <w:rPr>
          <w:rFonts w:ascii="Times New Roman" w:hAnsi="Times New Roman" w:cs="Times New Roman"/>
          <w:sz w:val="24"/>
          <w:szCs w:val="24"/>
        </w:rPr>
      </w:pPr>
      <w:proofErr w:type="spellStart"/>
      <w:r w:rsidRPr="006B19D5">
        <w:rPr>
          <w:rFonts w:ascii="Times New Roman" w:hAnsi="Times New Roman" w:cs="Times New Roman"/>
          <w:sz w:val="24"/>
          <w:szCs w:val="24"/>
        </w:rPr>
        <w:t>Kon</w:t>
      </w:r>
      <w:proofErr w:type="spellEnd"/>
      <w:r w:rsidRPr="006B19D5">
        <w:rPr>
          <w:rFonts w:ascii="Times New Roman" w:hAnsi="Times New Roman" w:cs="Times New Roman"/>
          <w:sz w:val="24"/>
          <w:szCs w:val="24"/>
        </w:rPr>
        <w:t xml:space="preserve"> and Jen considered the study of capital asset pricing model developed by Sharpe, </w:t>
      </w:r>
      <w:proofErr w:type="spellStart"/>
      <w:r w:rsidRPr="006B19D5">
        <w:rPr>
          <w:rFonts w:ascii="Times New Roman" w:hAnsi="Times New Roman" w:cs="Times New Roman"/>
          <w:sz w:val="24"/>
          <w:szCs w:val="24"/>
        </w:rPr>
        <w:t>Lintern</w:t>
      </w:r>
      <w:proofErr w:type="spellEnd"/>
      <w:r w:rsidRPr="006B19D5">
        <w:rPr>
          <w:rFonts w:ascii="Times New Roman" w:hAnsi="Times New Roman" w:cs="Times New Roman"/>
          <w:sz w:val="24"/>
          <w:szCs w:val="24"/>
        </w:rPr>
        <w:t xml:space="preserve"> and </w:t>
      </w:r>
      <w:proofErr w:type="spellStart"/>
      <w:r w:rsidRPr="006B19D5">
        <w:rPr>
          <w:rFonts w:ascii="Times New Roman" w:hAnsi="Times New Roman" w:cs="Times New Roman"/>
          <w:sz w:val="24"/>
          <w:szCs w:val="24"/>
        </w:rPr>
        <w:t>Mossin</w:t>
      </w:r>
      <w:proofErr w:type="spellEnd"/>
      <w:r w:rsidRPr="006B19D5">
        <w:rPr>
          <w:rFonts w:ascii="Times New Roman" w:hAnsi="Times New Roman" w:cs="Times New Roman"/>
          <w:sz w:val="24"/>
          <w:szCs w:val="24"/>
        </w:rPr>
        <w:t xml:space="preserve"> (SLM) alongside Black models of market equilibrium to evaluate stock selectivity performance of mutual fund when managers are actively involved in market timing. According to their finding on average, neither fund managers nor individuals are able </w:t>
      </w:r>
      <w:r w:rsidRPr="006B19D5">
        <w:rPr>
          <w:rFonts w:ascii="Times New Roman" w:hAnsi="Times New Roman" w:cs="Times New Roman"/>
          <w:sz w:val="24"/>
          <w:szCs w:val="24"/>
        </w:rPr>
        <w:lastRenderedPageBreak/>
        <w:t xml:space="preserve">to cope up with the expenses and fees related with research, management and commission to select individual securities perfectly. </w:t>
      </w:r>
    </w:p>
    <w:p w:rsidR="00E45982"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Eugene </w:t>
      </w:r>
      <w:proofErr w:type="spellStart"/>
      <w:r w:rsidRPr="006B19D5">
        <w:rPr>
          <w:rFonts w:ascii="Times New Roman" w:hAnsi="Times New Roman" w:cs="Times New Roman"/>
          <w:sz w:val="24"/>
          <w:szCs w:val="24"/>
        </w:rPr>
        <w:t>Fama</w:t>
      </w:r>
      <w:proofErr w:type="spellEnd"/>
      <w:r w:rsidRPr="006B19D5">
        <w:rPr>
          <w:rFonts w:ascii="Times New Roman" w:hAnsi="Times New Roman" w:cs="Times New Roman"/>
          <w:sz w:val="24"/>
          <w:szCs w:val="24"/>
        </w:rPr>
        <w:t xml:space="preserve"> developed a model for assessing investment performance of managed portfolios. According to his recommendation, the overall performance of a managed portfolio should be broken down into different number of individual components and return could be subdivided into two parts consisting of return for security selection and return for bearing risk. He proposed that the gained return of a fund could be attained by the fund manager’s ability of to select the best securities at a given level of risk. Here the ability of the fund managers choosing the best security in terms of risk and return could be referred as selectivity ability. Further, he argued that some percentage of the return could also be influenced by the forecast of general market price movements, which is associated with market timing ability of the fund managers. He also suggested other finer subdivisions of both selectivity and risk. The model introduced by </w:t>
      </w:r>
      <w:proofErr w:type="spellStart"/>
      <w:r w:rsidRPr="006B19D5">
        <w:rPr>
          <w:rFonts w:ascii="Times New Roman" w:hAnsi="Times New Roman" w:cs="Times New Roman"/>
          <w:sz w:val="24"/>
          <w:szCs w:val="24"/>
        </w:rPr>
        <w:t>Fama</w:t>
      </w:r>
      <w:proofErr w:type="spellEnd"/>
      <w:r w:rsidRPr="006B19D5">
        <w:rPr>
          <w:rFonts w:ascii="Times New Roman" w:hAnsi="Times New Roman" w:cs="Times New Roman"/>
          <w:sz w:val="24"/>
          <w:szCs w:val="24"/>
        </w:rPr>
        <w:t xml:space="preserve"> not only incorporate modern portfolio theory for selecting stocks and capital market equilibrium but also mix them up with the essence of traditional concept of creating an optimal portfolio. </w:t>
      </w:r>
    </w:p>
    <w:p w:rsidR="00674BCB" w:rsidRPr="006B19D5" w:rsidRDefault="00674BCB" w:rsidP="00674BCB">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Brown and Vickers conducted a multidimensional research on mutual fund considering its portfolio related activities, performance evaluation and impact on market, which reveals that the performance of the mutual fund is on average almost similar to the composite markets from which portfolio manager select securities. The </w:t>
      </w:r>
      <w:r>
        <w:rPr>
          <w:rFonts w:ascii="Times New Roman" w:hAnsi="Times New Roman" w:cs="Times New Roman"/>
          <w:sz w:val="24"/>
          <w:szCs w:val="24"/>
        </w:rPr>
        <w:t xml:space="preserve">study further interpreted that </w:t>
      </w:r>
      <w:r w:rsidRPr="006B19D5">
        <w:rPr>
          <w:rFonts w:ascii="Times New Roman" w:hAnsi="Times New Roman" w:cs="Times New Roman"/>
          <w:sz w:val="24"/>
          <w:szCs w:val="24"/>
        </w:rPr>
        <w:t xml:space="preserve">there is no significant link between variation of fund portfolio turnover rates and variation of performance. According to the study market price is influenced by fund’s portfolio activity particularly for individual securities in short run.   </w:t>
      </w:r>
    </w:p>
    <w:p w:rsidR="00E45982" w:rsidRPr="006B19D5"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For evaluating market timing and investment performance, Chang and </w:t>
      </w:r>
      <w:proofErr w:type="spellStart"/>
      <w:r w:rsidRPr="006B19D5">
        <w:rPr>
          <w:rFonts w:ascii="Times New Roman" w:hAnsi="Times New Roman" w:cs="Times New Roman"/>
          <w:sz w:val="24"/>
          <w:szCs w:val="24"/>
        </w:rPr>
        <w:t>Lewellen</w:t>
      </w:r>
      <w:proofErr w:type="spellEnd"/>
      <w:r w:rsidRPr="006B19D5">
        <w:rPr>
          <w:rFonts w:ascii="Times New Roman" w:hAnsi="Times New Roman" w:cs="Times New Roman"/>
          <w:sz w:val="24"/>
          <w:szCs w:val="24"/>
        </w:rPr>
        <w:t xml:space="preserve"> studied a sample of 67 mutual fund where they employed a methodology incorporating market timing and selection of security. The findings of the study do not reflect any evidence of highly distinctive superior skill shown by the managers toward market timing or security selection       </w:t>
      </w:r>
    </w:p>
    <w:p w:rsidR="00E45982" w:rsidRPr="006B19D5"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An equation was developed and deployed by </w:t>
      </w:r>
      <w:proofErr w:type="spellStart"/>
      <w:r w:rsidRPr="006B19D5">
        <w:rPr>
          <w:rFonts w:ascii="Times New Roman" w:hAnsi="Times New Roman" w:cs="Times New Roman"/>
          <w:sz w:val="24"/>
          <w:szCs w:val="24"/>
        </w:rPr>
        <w:t>Henriksson</w:t>
      </w:r>
      <w:proofErr w:type="spellEnd"/>
      <w:r w:rsidRPr="006B19D5">
        <w:rPr>
          <w:rFonts w:ascii="Times New Roman" w:hAnsi="Times New Roman" w:cs="Times New Roman"/>
          <w:sz w:val="24"/>
          <w:szCs w:val="24"/>
        </w:rPr>
        <w:t xml:space="preserve"> and Robert on 116 mutual funds in 1968-1980 where little evidenced of market timing ability of the managers were found </w:t>
      </w:r>
    </w:p>
    <w:p w:rsidR="00BC1437"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According to </w:t>
      </w:r>
      <w:proofErr w:type="spellStart"/>
      <w:r w:rsidRPr="006B19D5">
        <w:rPr>
          <w:rFonts w:ascii="Times New Roman" w:hAnsi="Times New Roman" w:cs="Times New Roman"/>
          <w:sz w:val="24"/>
          <w:szCs w:val="24"/>
        </w:rPr>
        <w:t>Grinblatt</w:t>
      </w:r>
      <w:proofErr w:type="spellEnd"/>
      <w:r w:rsidRPr="006B19D5">
        <w:rPr>
          <w:rFonts w:ascii="Times New Roman" w:hAnsi="Times New Roman" w:cs="Times New Roman"/>
          <w:sz w:val="24"/>
          <w:szCs w:val="24"/>
        </w:rPr>
        <w:t xml:space="preserve"> and Titman superior performance might exist among mutual fund but due to management expense it is not possible for the investor t</w:t>
      </w:r>
      <w:r w:rsidR="00BC1437">
        <w:rPr>
          <w:rFonts w:ascii="Times New Roman" w:hAnsi="Times New Roman" w:cs="Times New Roman"/>
          <w:sz w:val="24"/>
          <w:szCs w:val="24"/>
        </w:rPr>
        <w:t xml:space="preserve">o extract any benefit out of it. </w:t>
      </w:r>
    </w:p>
    <w:p w:rsidR="00E45982" w:rsidRPr="006B19D5"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lastRenderedPageBreak/>
        <w:t xml:space="preserve">In a study of 332 funds in 1980 to 1990, </w:t>
      </w:r>
      <w:proofErr w:type="spellStart"/>
      <w:r w:rsidRPr="006B19D5">
        <w:rPr>
          <w:rFonts w:ascii="Times New Roman" w:hAnsi="Times New Roman" w:cs="Times New Roman"/>
          <w:sz w:val="24"/>
          <w:szCs w:val="24"/>
        </w:rPr>
        <w:t>Volkman</w:t>
      </w:r>
      <w:proofErr w:type="spellEnd"/>
      <w:r w:rsidRPr="006B19D5">
        <w:rPr>
          <w:rFonts w:ascii="Times New Roman" w:hAnsi="Times New Roman" w:cs="Times New Roman"/>
          <w:sz w:val="24"/>
          <w:szCs w:val="24"/>
        </w:rPr>
        <w:t xml:space="preserve"> observed that during high volatility period only</w:t>
      </w:r>
      <w:r w:rsidR="00BC1437">
        <w:rPr>
          <w:rFonts w:ascii="Times New Roman" w:hAnsi="Times New Roman" w:cs="Times New Roman"/>
          <w:sz w:val="24"/>
          <w:szCs w:val="24"/>
        </w:rPr>
        <w:t xml:space="preserve"> </w:t>
      </w:r>
      <w:r w:rsidRPr="006B19D5">
        <w:rPr>
          <w:rFonts w:ascii="Times New Roman" w:hAnsi="Times New Roman" w:cs="Times New Roman"/>
          <w:sz w:val="24"/>
          <w:szCs w:val="24"/>
        </w:rPr>
        <w:t>few managers were able to predict market movements. Even though most of the funds were able to outperform the market by security selection.</w:t>
      </w:r>
    </w:p>
    <w:p w:rsidR="00E45982" w:rsidRPr="006B19D5"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In a research conducted in India by </w:t>
      </w:r>
      <w:proofErr w:type="spellStart"/>
      <w:r w:rsidRPr="006B19D5">
        <w:rPr>
          <w:rFonts w:ascii="Times New Roman" w:hAnsi="Times New Roman" w:cs="Times New Roman"/>
          <w:sz w:val="24"/>
          <w:szCs w:val="24"/>
        </w:rPr>
        <w:t>Jayadev</w:t>
      </w:r>
      <w:proofErr w:type="spellEnd"/>
      <w:r w:rsidRPr="006B19D5">
        <w:rPr>
          <w:rFonts w:ascii="Times New Roman" w:hAnsi="Times New Roman" w:cs="Times New Roman"/>
          <w:sz w:val="24"/>
          <w:szCs w:val="24"/>
        </w:rPr>
        <w:t xml:space="preserve">, Mutual funds were not found to perform better comparing to benchmark indicator. According to the study fund managers were not able to exhibit efficient timing and selection skill adequately.    </w:t>
      </w:r>
    </w:p>
    <w:p w:rsidR="00E45982" w:rsidRPr="006B19D5"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Many studies regarding mutual fund were also conducted in Bangladesh. For example we might consider </w:t>
      </w:r>
      <w:proofErr w:type="spellStart"/>
      <w:r w:rsidRPr="006B19D5">
        <w:rPr>
          <w:rFonts w:ascii="Times New Roman" w:hAnsi="Times New Roman" w:cs="Times New Roman"/>
          <w:sz w:val="24"/>
          <w:szCs w:val="24"/>
        </w:rPr>
        <w:t>Qamruzzaman’s</w:t>
      </w:r>
      <w:proofErr w:type="spellEnd"/>
      <w:r w:rsidRPr="006B19D5">
        <w:rPr>
          <w:rFonts w:ascii="Times New Roman" w:hAnsi="Times New Roman" w:cs="Times New Roman"/>
          <w:sz w:val="24"/>
          <w:szCs w:val="24"/>
        </w:rPr>
        <w:t xml:space="preserve"> study on 32 mutual </w:t>
      </w:r>
      <w:proofErr w:type="gramStart"/>
      <w:r w:rsidRPr="006B19D5">
        <w:rPr>
          <w:rFonts w:ascii="Times New Roman" w:hAnsi="Times New Roman" w:cs="Times New Roman"/>
          <w:sz w:val="24"/>
          <w:szCs w:val="24"/>
        </w:rPr>
        <w:t>fund</w:t>
      </w:r>
      <w:proofErr w:type="gramEnd"/>
      <w:r w:rsidRPr="006B19D5">
        <w:rPr>
          <w:rFonts w:ascii="Times New Roman" w:hAnsi="Times New Roman" w:cs="Times New Roman"/>
          <w:sz w:val="24"/>
          <w:szCs w:val="24"/>
        </w:rPr>
        <w:t xml:space="preserve"> where he used popular measures like Sharpe, </w:t>
      </w:r>
      <w:proofErr w:type="spellStart"/>
      <w:r w:rsidRPr="006B19D5">
        <w:rPr>
          <w:rFonts w:ascii="Times New Roman" w:hAnsi="Times New Roman" w:cs="Times New Roman"/>
          <w:sz w:val="24"/>
          <w:szCs w:val="24"/>
        </w:rPr>
        <w:t>Treynor</w:t>
      </w:r>
      <w:proofErr w:type="spellEnd"/>
      <w:r w:rsidRPr="006B19D5">
        <w:rPr>
          <w:rFonts w:ascii="Times New Roman" w:hAnsi="Times New Roman" w:cs="Times New Roman"/>
          <w:sz w:val="24"/>
          <w:szCs w:val="24"/>
        </w:rPr>
        <w:t xml:space="preserve"> and Jensen alpha to evaluate performance. In another study, Das and Rahman applied widely known risk adjusted performance ratios.</w:t>
      </w:r>
    </w:p>
    <w:p w:rsidR="00E45982" w:rsidRPr="006B19D5"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A cross-country study was conducted by Ferreira, M., Miguel, A., &amp; Ramos, S. (2006) to investigate association among performance, attribute and characteristics of the fund. For the purpose of the study total 10568 open-end mutual fund across 19 Asian </w:t>
      </w:r>
      <w:proofErr w:type="gramStart"/>
      <w:r w:rsidRPr="006B19D5">
        <w:rPr>
          <w:rFonts w:ascii="Times New Roman" w:hAnsi="Times New Roman" w:cs="Times New Roman"/>
          <w:sz w:val="24"/>
          <w:szCs w:val="24"/>
        </w:rPr>
        <w:t>country</w:t>
      </w:r>
      <w:proofErr w:type="gramEnd"/>
      <w:r w:rsidRPr="006B19D5">
        <w:rPr>
          <w:rFonts w:ascii="Times New Roman" w:hAnsi="Times New Roman" w:cs="Times New Roman"/>
          <w:sz w:val="24"/>
          <w:szCs w:val="24"/>
        </w:rPr>
        <w:t xml:space="preserve"> were observed for the period of 1999 to 2005. The researcher considered alternative benchmark model such as </w:t>
      </w:r>
      <w:proofErr w:type="spellStart"/>
      <w:r w:rsidRPr="006B19D5">
        <w:rPr>
          <w:rFonts w:ascii="Times New Roman" w:hAnsi="Times New Roman" w:cs="Times New Roman"/>
          <w:sz w:val="24"/>
          <w:szCs w:val="24"/>
        </w:rPr>
        <w:t>Carhart</w:t>
      </w:r>
      <w:proofErr w:type="spellEnd"/>
      <w:r w:rsidRPr="006B19D5">
        <w:rPr>
          <w:rFonts w:ascii="Times New Roman" w:hAnsi="Times New Roman" w:cs="Times New Roman"/>
          <w:sz w:val="24"/>
          <w:szCs w:val="24"/>
        </w:rPr>
        <w:t xml:space="preserve"> four factor model including both domestic and international version. The interpretation of findings of the research suggest that large fund can earn better return as they can reach up to the economy of the scale. It also suggest that individual managers with higher experience can earn better performance but they incorporate higher fees to obsolete the advantage. Further breakdown of the paper reveals strong legal framework help to attain better performance whereas weak form of legal structure create issues in gaining better performance. According to the study developed country allow domestic mutual fund to perform better by ensuring high liquidity of stocks. In case of international investment the study, propose to consider two important </w:t>
      </w:r>
      <w:proofErr w:type="gramStart"/>
      <w:r w:rsidRPr="006B19D5">
        <w:rPr>
          <w:rFonts w:ascii="Times New Roman" w:hAnsi="Times New Roman" w:cs="Times New Roman"/>
          <w:sz w:val="24"/>
          <w:szCs w:val="24"/>
        </w:rPr>
        <w:t>factor</w:t>
      </w:r>
      <w:proofErr w:type="gramEnd"/>
      <w:r w:rsidRPr="006B19D5">
        <w:rPr>
          <w:rFonts w:ascii="Times New Roman" w:hAnsi="Times New Roman" w:cs="Times New Roman"/>
          <w:sz w:val="24"/>
          <w:szCs w:val="24"/>
        </w:rPr>
        <w:t xml:space="preserve">, which is described as familiarity and proximity.     </w:t>
      </w:r>
    </w:p>
    <w:p w:rsidR="00E45982" w:rsidRPr="006B19D5"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 A different type of study was conducted by </w:t>
      </w:r>
      <w:proofErr w:type="spellStart"/>
      <w:r w:rsidRPr="006B19D5">
        <w:rPr>
          <w:rFonts w:ascii="Times New Roman" w:hAnsi="Times New Roman" w:cs="Times New Roman"/>
          <w:sz w:val="24"/>
          <w:szCs w:val="24"/>
        </w:rPr>
        <w:t>Goel</w:t>
      </w:r>
      <w:proofErr w:type="spellEnd"/>
      <w:r w:rsidRPr="006B19D5">
        <w:rPr>
          <w:rFonts w:ascii="Times New Roman" w:hAnsi="Times New Roman" w:cs="Times New Roman"/>
          <w:sz w:val="24"/>
          <w:szCs w:val="24"/>
        </w:rPr>
        <w:t xml:space="preserve">, Mani &amp; Sharma in 2012 with the title of “A review of performance indicators of mutual fund” where the moto was to identify the performance indicator and their influence on performance of mutual fund. Other factors like persistence of performance, expense ratio, turnover, asset size, </w:t>
      </w:r>
      <w:proofErr w:type="gramStart"/>
      <w:r w:rsidRPr="006B19D5">
        <w:rPr>
          <w:rFonts w:ascii="Times New Roman" w:hAnsi="Times New Roman" w:cs="Times New Roman"/>
          <w:sz w:val="24"/>
          <w:szCs w:val="24"/>
        </w:rPr>
        <w:t>load</w:t>
      </w:r>
      <w:proofErr w:type="gramEnd"/>
      <w:r w:rsidRPr="006B19D5">
        <w:rPr>
          <w:rFonts w:ascii="Times New Roman" w:hAnsi="Times New Roman" w:cs="Times New Roman"/>
          <w:sz w:val="24"/>
          <w:szCs w:val="24"/>
        </w:rPr>
        <w:t xml:space="preserve"> fee, investment style, management body, and firm structure was also revised by the authors. There were also discussion of contradiction and gap presented in the literature regarding performance indicator. In the study positive association between funds’ performance and expense ratio were found. It also shows that companies with higher turnover have performed better in </w:t>
      </w:r>
      <w:r w:rsidRPr="006B19D5">
        <w:rPr>
          <w:rFonts w:ascii="Times New Roman" w:hAnsi="Times New Roman" w:cs="Times New Roman"/>
          <w:sz w:val="24"/>
          <w:szCs w:val="24"/>
        </w:rPr>
        <w:lastRenderedPageBreak/>
        <w:t xml:space="preserve">comparison with companies having lower turnover. Larger size, larger asset base, better stock selectivity and lengthy tenure have favorable correlation with performance. Ownership </w:t>
      </w:r>
      <w:proofErr w:type="gramStart"/>
      <w:r w:rsidRPr="006B19D5">
        <w:rPr>
          <w:rFonts w:ascii="Times New Roman" w:hAnsi="Times New Roman" w:cs="Times New Roman"/>
          <w:sz w:val="24"/>
          <w:szCs w:val="24"/>
        </w:rPr>
        <w:t>structure also have</w:t>
      </w:r>
      <w:proofErr w:type="gramEnd"/>
      <w:r w:rsidRPr="006B19D5">
        <w:rPr>
          <w:rFonts w:ascii="Times New Roman" w:hAnsi="Times New Roman" w:cs="Times New Roman"/>
          <w:sz w:val="24"/>
          <w:szCs w:val="24"/>
        </w:rPr>
        <w:t xml:space="preserve"> implication on performance, which is implied by better performance of local fund comparing to foreign fund. The study did not find any association between load fee and performance.     </w:t>
      </w:r>
    </w:p>
    <w:p w:rsidR="00E45982" w:rsidRPr="006B19D5"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Abdullah M. N., </w:t>
      </w:r>
      <w:proofErr w:type="spellStart"/>
      <w:proofErr w:type="gramStart"/>
      <w:r w:rsidRPr="006B19D5">
        <w:rPr>
          <w:rFonts w:ascii="Times New Roman" w:hAnsi="Times New Roman" w:cs="Times New Roman"/>
          <w:sz w:val="24"/>
          <w:szCs w:val="24"/>
        </w:rPr>
        <w:t>Parvez</w:t>
      </w:r>
      <w:proofErr w:type="spellEnd"/>
      <w:r w:rsidRPr="006B19D5">
        <w:rPr>
          <w:rFonts w:ascii="Times New Roman" w:hAnsi="Times New Roman" w:cs="Times New Roman"/>
          <w:sz w:val="24"/>
          <w:szCs w:val="24"/>
        </w:rPr>
        <w:t xml:space="preserve">  K</w:t>
      </w:r>
      <w:proofErr w:type="gramEnd"/>
      <w:r w:rsidRPr="006B19D5">
        <w:rPr>
          <w:rFonts w:ascii="Times New Roman" w:hAnsi="Times New Roman" w:cs="Times New Roman"/>
          <w:sz w:val="24"/>
          <w:szCs w:val="24"/>
        </w:rPr>
        <w:t xml:space="preserve">. (2012) wrote a theory based research paper basing on secondary data about mutual fund regulation which was titled as “Corporate Governance of Mutual Fund In Bangladesh”. The paper tried to represent a serious argument regarding requirements of mutual fund and their implication considering asset management companies in Bangladesh. The research incorporate lots of facts and views that comes up with lot of findings and recommendation that are mostly gathered from the officials of asset management companies. However, researchers also mentioned about the cost related factors associated with governance including hiring dedicated professionals like corporate secretary, independent director or other specialists. They said hiring auditor or consultant might cost significantly high amount of money but it is important to have a good governing body otherwise it is impossible to ensure control and transparency and preserve shareholders right.  </w:t>
      </w:r>
    </w:p>
    <w:p w:rsidR="00714C5D" w:rsidRDefault="00E45982" w:rsidP="00E45982">
      <w:pPr>
        <w:spacing w:line="360" w:lineRule="auto"/>
        <w:jc w:val="both"/>
        <w:rPr>
          <w:rFonts w:ascii="Times New Roman" w:hAnsi="Times New Roman" w:cs="Times New Roman"/>
          <w:sz w:val="24"/>
          <w:szCs w:val="24"/>
        </w:rPr>
      </w:pPr>
      <w:r w:rsidRPr="006B19D5">
        <w:rPr>
          <w:rFonts w:ascii="Times New Roman" w:hAnsi="Times New Roman" w:cs="Times New Roman"/>
          <w:sz w:val="24"/>
          <w:szCs w:val="24"/>
        </w:rPr>
        <w:t xml:space="preserve">“Determinants of Mutual Fund Performance: A Bayesian Stochastic Frontier Approach” is a research paper prepared by </w:t>
      </w:r>
      <w:proofErr w:type="spellStart"/>
      <w:r w:rsidRPr="006B19D5">
        <w:rPr>
          <w:rFonts w:ascii="Times New Roman" w:hAnsi="Times New Roman" w:cs="Times New Roman"/>
          <w:sz w:val="24"/>
          <w:szCs w:val="24"/>
        </w:rPr>
        <w:t>Annaert</w:t>
      </w:r>
      <w:proofErr w:type="spellEnd"/>
      <w:r w:rsidRPr="006B19D5">
        <w:rPr>
          <w:rFonts w:ascii="Times New Roman" w:hAnsi="Times New Roman" w:cs="Times New Roman"/>
          <w:sz w:val="24"/>
          <w:szCs w:val="24"/>
        </w:rPr>
        <w:t xml:space="preserve"> J., </w:t>
      </w:r>
      <w:proofErr w:type="spellStart"/>
      <w:r w:rsidRPr="006B19D5">
        <w:rPr>
          <w:rFonts w:ascii="Times New Roman" w:hAnsi="Times New Roman" w:cs="Times New Roman"/>
          <w:sz w:val="24"/>
          <w:szCs w:val="24"/>
        </w:rPr>
        <w:t>Broeck</w:t>
      </w:r>
      <w:proofErr w:type="spellEnd"/>
      <w:r w:rsidRPr="006B19D5">
        <w:rPr>
          <w:rFonts w:ascii="Times New Roman" w:hAnsi="Times New Roman" w:cs="Times New Roman"/>
          <w:sz w:val="24"/>
          <w:szCs w:val="24"/>
        </w:rPr>
        <w:t xml:space="preserve"> J. V. D. &amp; </w:t>
      </w:r>
      <w:proofErr w:type="spellStart"/>
      <w:r w:rsidRPr="006B19D5">
        <w:rPr>
          <w:rFonts w:ascii="Times New Roman" w:hAnsi="Times New Roman" w:cs="Times New Roman"/>
          <w:sz w:val="24"/>
          <w:szCs w:val="24"/>
        </w:rPr>
        <w:t>Vennet</w:t>
      </w:r>
      <w:proofErr w:type="spellEnd"/>
      <w:r w:rsidRPr="006B19D5">
        <w:rPr>
          <w:rFonts w:ascii="Times New Roman" w:hAnsi="Times New Roman" w:cs="Times New Roman"/>
          <w:sz w:val="24"/>
          <w:szCs w:val="24"/>
        </w:rPr>
        <w:t xml:space="preserve"> R. V. which was published in 2001. The purpose of the research paper was to associate currently available fund related forecasted statistical data with future performance of European equity fund in 1995-1998. The methodology of the research incorporate Jensen’s alpha and stochastic frontier analysis (SFA) considering cross-sectional data. According to the findings provided by the research paper efficiency of fund performance is related with the size of the fund. Larger funds can attain the level of economy and ensure relatively larger capital inflows which ultimately lead them to success. On the other hand, poor performer funds have a tendency to be less efficient in a following period. However as per as further interpretation relatively better performance is not essentially implied by greater level of efficiency. The research paper also reveals that there is association between historical performance and efficiency of the fund. Nonetheless, no evidence of cross-sectional efficiency differences across the age groups </w:t>
      </w:r>
      <w:proofErr w:type="gramStart"/>
      <w:r w:rsidRPr="006B19D5">
        <w:rPr>
          <w:rFonts w:ascii="Times New Roman" w:hAnsi="Times New Roman" w:cs="Times New Roman"/>
          <w:sz w:val="24"/>
          <w:szCs w:val="24"/>
        </w:rPr>
        <w:t>were</w:t>
      </w:r>
      <w:proofErr w:type="gramEnd"/>
      <w:r w:rsidRPr="006B19D5">
        <w:rPr>
          <w:rFonts w:ascii="Times New Roman" w:hAnsi="Times New Roman" w:cs="Times New Roman"/>
          <w:sz w:val="24"/>
          <w:szCs w:val="24"/>
        </w:rPr>
        <w:t xml:space="preserve"> found.    </w:t>
      </w:r>
    </w:p>
    <w:p w:rsidR="00714C5D" w:rsidRDefault="00714C5D">
      <w:pPr>
        <w:rPr>
          <w:rFonts w:ascii="Times New Roman" w:hAnsi="Times New Roman" w:cs="Times New Roman"/>
          <w:sz w:val="24"/>
          <w:szCs w:val="24"/>
        </w:rPr>
      </w:pPr>
      <w:r>
        <w:rPr>
          <w:rFonts w:ascii="Times New Roman" w:hAnsi="Times New Roman" w:cs="Times New Roman"/>
          <w:sz w:val="24"/>
          <w:szCs w:val="24"/>
        </w:rPr>
        <w:br w:type="page"/>
      </w:r>
    </w:p>
    <w:p w:rsidR="002A437F" w:rsidRDefault="002A437F" w:rsidP="00994480">
      <w:pPr>
        <w:spacing w:line="360" w:lineRule="auto"/>
        <w:rPr>
          <w:rFonts w:ascii="Times New Roman" w:hAnsi="Times New Roman" w:cs="Times New Roman"/>
          <w:sz w:val="32"/>
          <w:szCs w:val="32"/>
        </w:rPr>
      </w:pPr>
    </w:p>
    <w:p w:rsidR="006615C2" w:rsidRDefault="006615C2" w:rsidP="006615C2">
      <w:pPr>
        <w:pStyle w:val="Heading1"/>
        <w:spacing w:line="360" w:lineRule="auto"/>
        <w:jc w:val="center"/>
        <w:rPr>
          <w:rFonts w:ascii="Times New Roman" w:hAnsi="Times New Roman" w:cs="Times New Roman"/>
          <w:b/>
          <w:sz w:val="40"/>
          <w:szCs w:val="40"/>
        </w:rPr>
      </w:pPr>
    </w:p>
    <w:p w:rsidR="006615C2" w:rsidRDefault="006615C2" w:rsidP="006615C2">
      <w:pPr>
        <w:pStyle w:val="Heading1"/>
        <w:spacing w:line="360" w:lineRule="auto"/>
        <w:jc w:val="center"/>
        <w:rPr>
          <w:rFonts w:ascii="Times New Roman" w:hAnsi="Times New Roman" w:cs="Times New Roman"/>
          <w:b/>
          <w:sz w:val="40"/>
          <w:szCs w:val="40"/>
        </w:rPr>
      </w:pPr>
    </w:p>
    <w:p w:rsidR="006615C2" w:rsidRDefault="006615C2" w:rsidP="006615C2">
      <w:pPr>
        <w:pStyle w:val="Heading1"/>
        <w:spacing w:line="360" w:lineRule="auto"/>
        <w:jc w:val="center"/>
        <w:rPr>
          <w:rFonts w:ascii="Times New Roman" w:hAnsi="Times New Roman" w:cs="Times New Roman"/>
          <w:b/>
          <w:sz w:val="40"/>
          <w:szCs w:val="40"/>
        </w:rPr>
      </w:pPr>
    </w:p>
    <w:p w:rsidR="00942C7D" w:rsidRDefault="00942C7D" w:rsidP="00942C7D">
      <w:pPr>
        <w:pStyle w:val="Heading1"/>
        <w:spacing w:line="360" w:lineRule="auto"/>
        <w:rPr>
          <w:rFonts w:ascii="Times New Roman" w:hAnsi="Times New Roman" w:cs="Times New Roman"/>
          <w:b/>
          <w:sz w:val="40"/>
          <w:szCs w:val="40"/>
        </w:rPr>
      </w:pPr>
    </w:p>
    <w:bookmarkStart w:id="21" w:name="_Toc13070809"/>
    <w:p w:rsidR="002A437F" w:rsidRPr="006A3AB7" w:rsidRDefault="00942C7D" w:rsidP="00942C7D">
      <w:pPr>
        <w:pStyle w:val="Heading1"/>
        <w:spacing w:line="360" w:lineRule="auto"/>
        <w:jc w:val="center"/>
        <w:rPr>
          <w:rFonts w:ascii="Times New Roman" w:hAnsi="Times New Roman" w:cs="Times New Roman"/>
          <w:b/>
          <w:color w:val="auto"/>
          <w:sz w:val="40"/>
          <w:szCs w:val="40"/>
        </w:rPr>
      </w:pPr>
      <w:r w:rsidRPr="006A3AB7">
        <w:rPr>
          <w:rFonts w:ascii="Times New Roman" w:hAnsi="Times New Roman" w:cs="Times New Roman"/>
          <w:b/>
          <w:noProof/>
          <w:color w:val="auto"/>
          <w:sz w:val="40"/>
          <w:szCs w:val="40"/>
        </w:rPr>
        <mc:AlternateContent>
          <mc:Choice Requires="wps">
            <w:drawing>
              <wp:anchor distT="0" distB="0" distL="114300" distR="114300" simplePos="0" relativeHeight="251778047" behindDoc="0" locked="0" layoutInCell="1" allowOverlap="1">
                <wp:simplePos x="0" y="0"/>
                <wp:positionH relativeFrom="column">
                  <wp:posOffset>1244009</wp:posOffset>
                </wp:positionH>
                <wp:positionV relativeFrom="paragraph">
                  <wp:posOffset>530210</wp:posOffset>
                </wp:positionV>
                <wp:extent cx="3338624" cy="0"/>
                <wp:effectExtent l="0" t="0" r="14605" b="19050"/>
                <wp:wrapNone/>
                <wp:docPr id="11" name="Straight Connector 11"/>
                <wp:cNvGraphicFramePr/>
                <a:graphic xmlns:a="http://schemas.openxmlformats.org/drawingml/2006/main">
                  <a:graphicData uri="http://schemas.microsoft.com/office/word/2010/wordprocessingShape">
                    <wps:wsp>
                      <wps:cNvCnPr/>
                      <wps:spPr>
                        <a:xfrm>
                          <a:off x="0" y="0"/>
                          <a:ext cx="33386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5AF35D0" id="Straight Connector 11" o:spid="_x0000_s1026" style="position:absolute;z-index:251778047;visibility:visible;mso-wrap-style:square;mso-wrap-distance-left:9pt;mso-wrap-distance-top:0;mso-wrap-distance-right:9pt;mso-wrap-distance-bottom:0;mso-position-horizontal:absolute;mso-position-horizontal-relative:text;mso-position-vertical:absolute;mso-position-vertical-relative:text" from="97.95pt,41.75pt" to="360.8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" strokecolor="#5b9bd5 [3204]" strokeweight=".5pt">
                <v:stroke joinstyle="miter"/>
              </v:line>
            </w:pict>
          </mc:Fallback>
        </mc:AlternateContent>
      </w:r>
      <w:r w:rsidR="002A437F" w:rsidRPr="006A3AB7">
        <w:rPr>
          <w:rFonts w:ascii="Times New Roman" w:hAnsi="Times New Roman" w:cs="Times New Roman"/>
          <w:b/>
          <w:color w:val="auto"/>
          <w:sz w:val="40"/>
          <w:szCs w:val="40"/>
        </w:rPr>
        <w:t>Chapter 4</w:t>
      </w:r>
      <w:bookmarkEnd w:id="21"/>
    </w:p>
    <w:p w:rsidR="00994480" w:rsidRPr="006A3AB7" w:rsidRDefault="00994480" w:rsidP="006615C2">
      <w:pPr>
        <w:spacing w:line="360" w:lineRule="auto"/>
        <w:jc w:val="center"/>
        <w:rPr>
          <w:rFonts w:ascii="Times New Roman" w:hAnsi="Times New Roman" w:cs="Times New Roman"/>
          <w:b/>
          <w:sz w:val="36"/>
          <w:szCs w:val="36"/>
        </w:rPr>
      </w:pPr>
      <w:r w:rsidRPr="006A3AB7">
        <w:rPr>
          <w:rFonts w:ascii="Times New Roman" w:hAnsi="Times New Roman" w:cs="Times New Roman"/>
          <w:b/>
          <w:sz w:val="36"/>
          <w:szCs w:val="36"/>
        </w:rPr>
        <w:t>Explanation of Methodology</w:t>
      </w:r>
    </w:p>
    <w:p w:rsidR="003C4546" w:rsidRDefault="003C4546" w:rsidP="003C4546">
      <w:pPr>
        <w:spacing w:line="360" w:lineRule="auto"/>
      </w:pPr>
    </w:p>
    <w:p w:rsidR="0065284F" w:rsidRPr="006B19D5" w:rsidRDefault="0065284F" w:rsidP="00E45982">
      <w:pPr>
        <w:spacing w:line="360" w:lineRule="auto"/>
        <w:jc w:val="both"/>
        <w:rPr>
          <w:rFonts w:ascii="Times New Roman" w:hAnsi="Times New Roman" w:cs="Times New Roman"/>
          <w:sz w:val="24"/>
          <w:szCs w:val="24"/>
        </w:rPr>
      </w:pPr>
    </w:p>
    <w:p w:rsidR="00994480" w:rsidRDefault="00994480" w:rsidP="006B51E7"/>
    <w:p w:rsidR="00994480" w:rsidRDefault="00994480">
      <w:r>
        <w:br w:type="page"/>
      </w:r>
    </w:p>
    <w:p w:rsidR="00D305CC" w:rsidRDefault="00D305CC" w:rsidP="00DE6016">
      <w:pPr>
        <w:pStyle w:val="Heading1"/>
        <w:spacing w:after="240"/>
        <w:rPr>
          <w:rFonts w:ascii="Times New Roman" w:hAnsi="Times New Roman" w:cs="Times New Roman"/>
          <w:b/>
          <w:color w:val="auto"/>
          <w:sz w:val="36"/>
          <w:szCs w:val="36"/>
          <w:shd w:val="clear" w:color="auto" w:fill="FFFFFF"/>
        </w:rPr>
      </w:pPr>
      <w:bookmarkStart w:id="22" w:name="_Toc13070810"/>
      <w:r w:rsidRPr="00DE6016">
        <w:rPr>
          <w:rFonts w:ascii="Times New Roman" w:hAnsi="Times New Roman" w:cs="Times New Roman"/>
          <w:b/>
          <w:color w:val="auto"/>
          <w:sz w:val="36"/>
          <w:szCs w:val="36"/>
          <w:shd w:val="clear" w:color="auto" w:fill="FFFFFF"/>
        </w:rPr>
        <w:lastRenderedPageBreak/>
        <w:t>Explanation of Methodology</w:t>
      </w:r>
      <w:bookmarkEnd w:id="22"/>
    </w:p>
    <w:p w:rsidR="00DE6016" w:rsidRPr="00AC2293" w:rsidRDefault="00DE6016" w:rsidP="00AC2293">
      <w:pPr>
        <w:spacing w:line="360" w:lineRule="auto"/>
        <w:jc w:val="both"/>
        <w:rPr>
          <w:rFonts w:ascii="Times New Roman" w:hAnsi="Times New Roman" w:cs="Times New Roman"/>
          <w:sz w:val="24"/>
          <w:szCs w:val="24"/>
        </w:rPr>
      </w:pPr>
      <w:r w:rsidRPr="00AC2293">
        <w:rPr>
          <w:rFonts w:ascii="Times New Roman" w:hAnsi="Times New Roman" w:cs="Times New Roman"/>
          <w:sz w:val="24"/>
          <w:szCs w:val="24"/>
        </w:rPr>
        <w:t xml:space="preserve">In this chapter we have discussed </w:t>
      </w:r>
      <w:r w:rsidR="00AC2293" w:rsidRPr="00AC2293">
        <w:rPr>
          <w:rFonts w:ascii="Times New Roman" w:hAnsi="Times New Roman" w:cs="Times New Roman"/>
          <w:sz w:val="24"/>
          <w:szCs w:val="24"/>
        </w:rPr>
        <w:t xml:space="preserve">in details </w:t>
      </w:r>
      <w:r w:rsidRPr="00AC2293">
        <w:rPr>
          <w:rFonts w:ascii="Times New Roman" w:hAnsi="Times New Roman" w:cs="Times New Roman"/>
          <w:sz w:val="24"/>
          <w:szCs w:val="24"/>
        </w:rPr>
        <w:t xml:space="preserve">about the chosen models of the study Sharpe, </w:t>
      </w:r>
      <w:proofErr w:type="spellStart"/>
      <w:r w:rsidRPr="00AC2293">
        <w:rPr>
          <w:rFonts w:ascii="Times New Roman" w:hAnsi="Times New Roman" w:cs="Times New Roman"/>
          <w:sz w:val="24"/>
          <w:szCs w:val="24"/>
        </w:rPr>
        <w:t>Treynor</w:t>
      </w:r>
      <w:proofErr w:type="spellEnd"/>
      <w:r w:rsidR="00AC2293" w:rsidRPr="00AC2293">
        <w:rPr>
          <w:rFonts w:ascii="Times New Roman" w:hAnsi="Times New Roman" w:cs="Times New Roman"/>
          <w:sz w:val="24"/>
          <w:szCs w:val="24"/>
        </w:rPr>
        <w:t>, Jensen’s Alpha and CAPM</w:t>
      </w:r>
      <w:r w:rsidR="00AC2293">
        <w:rPr>
          <w:rFonts w:ascii="Times New Roman" w:hAnsi="Times New Roman" w:cs="Times New Roman"/>
          <w:sz w:val="24"/>
          <w:szCs w:val="24"/>
        </w:rPr>
        <w:t>.</w:t>
      </w:r>
    </w:p>
    <w:p w:rsidR="00B06A8F" w:rsidRPr="00CC0885" w:rsidRDefault="00D305CC" w:rsidP="00CC0885">
      <w:pPr>
        <w:pStyle w:val="Heading2"/>
        <w:spacing w:after="240"/>
        <w:rPr>
          <w:rFonts w:ascii="Times New Roman" w:hAnsi="Times New Roman" w:cs="Times New Roman"/>
          <w:b/>
          <w:color w:val="auto"/>
          <w:sz w:val="32"/>
          <w:szCs w:val="32"/>
        </w:rPr>
      </w:pPr>
      <w:bookmarkStart w:id="23" w:name="_Toc13070811"/>
      <w:r w:rsidRPr="00CC0885">
        <w:rPr>
          <w:rFonts w:ascii="Times New Roman" w:hAnsi="Times New Roman" w:cs="Times New Roman"/>
          <w:b/>
          <w:color w:val="auto"/>
          <w:sz w:val="32"/>
          <w:szCs w:val="32"/>
        </w:rPr>
        <w:t>Sharpe Ratio</w:t>
      </w:r>
      <w:bookmarkEnd w:id="23"/>
    </w:p>
    <w:p w:rsidR="00D305CC" w:rsidRPr="006B19D5" w:rsidRDefault="00D305CC" w:rsidP="005D3E31">
      <w:pPr>
        <w:spacing w:line="360" w:lineRule="auto"/>
        <w:jc w:val="both"/>
        <w:rPr>
          <w:rFonts w:ascii="Times New Roman" w:hAnsi="Times New Roman" w:cs="Times New Roman"/>
          <w:color w:val="111111"/>
          <w:sz w:val="24"/>
          <w:szCs w:val="24"/>
          <w:shd w:val="clear" w:color="auto" w:fill="FFFFFF"/>
        </w:rPr>
      </w:pPr>
      <w:r w:rsidRPr="006B19D5">
        <w:rPr>
          <w:rFonts w:ascii="Times New Roman" w:hAnsi="Times New Roman" w:cs="Times New Roman"/>
          <w:color w:val="111111"/>
          <w:sz w:val="24"/>
          <w:szCs w:val="24"/>
          <w:shd w:val="clear" w:color="auto" w:fill="FFFFFF"/>
        </w:rPr>
        <w:t xml:space="preserve">Sharpe ratio is also known as Shape index, Sharpe measure and reward to variability ratio. The name of the ratio is originated from name of its creator William F. Sharpe. Since its invention in 1966, it has become one of the most used reference in modern finance. William F. Sharpe is one among those people who is considered as one of the originator of capital asset pricing model. Due to his significant contribution in economic science, he won the Nobel Prize in 1990. The credibility and acceptability of Sharpe ratio further increased after this phenomenon. The Sharpe ratio is a measure that consider return in relation to risk, which provide a figure that pretty much describe the risk adjusted return. From Sharpe ratio an investor can justify how much risk he is affording for an extra amount of return. Risk means uncertainty or potential chance of lose. In finance, variability is considered as a terminology for risk. Variability represents fluctuation in return. But there have some assets that provide nonvolatile return. Government bond, Treasury bill etcetera  might be example of such asset as they do not contain any risk of default or any sort of diversifiable or systematic risk and ensure certain amount of return. So theoretically and practically investors do not have to afford any significant risk for this type of asset. The rate of return generated from this type of asset is called risk free rate and sometimes the asset itself is addressed as risk free asset or risk free investment. There is no logical reason for an investor to ignore the scope of earning some return without taking any risk. The Sharpe ratio take this in consideration. Instead of using average or regular return, it uses the risk premium. Risk premium is return in excess of risk free rate. In mathematical interpretation risk premium is equal to return from return risk containing asset minus risk free rate. The Sharpe </w:t>
      </w:r>
      <w:proofErr w:type="gramStart"/>
      <w:r w:rsidRPr="006B19D5">
        <w:rPr>
          <w:rFonts w:ascii="Times New Roman" w:hAnsi="Times New Roman" w:cs="Times New Roman"/>
          <w:color w:val="111111"/>
          <w:sz w:val="24"/>
          <w:szCs w:val="24"/>
          <w:shd w:val="clear" w:color="auto" w:fill="FFFFFF"/>
        </w:rPr>
        <w:t>ratio take</w:t>
      </w:r>
      <w:proofErr w:type="gramEnd"/>
      <w:r w:rsidRPr="006B19D5">
        <w:rPr>
          <w:rFonts w:ascii="Times New Roman" w:hAnsi="Times New Roman" w:cs="Times New Roman"/>
          <w:color w:val="111111"/>
          <w:sz w:val="24"/>
          <w:szCs w:val="24"/>
          <w:shd w:val="clear" w:color="auto" w:fill="FFFFFF"/>
        </w:rPr>
        <w:t xml:space="preserve"> all of the previously discussed factor in consideration. By breaking down elements in Sharpe ratio, 3 elements can be found. They are</w:t>
      </w:r>
    </w:p>
    <w:p w:rsidR="00D305CC" w:rsidRPr="006B19D5" w:rsidRDefault="00D305CC" w:rsidP="00D305CC">
      <w:pPr>
        <w:pStyle w:val="ListParagraph"/>
        <w:numPr>
          <w:ilvl w:val="0"/>
          <w:numId w:val="10"/>
        </w:numPr>
        <w:spacing w:line="360" w:lineRule="auto"/>
        <w:jc w:val="both"/>
        <w:rPr>
          <w:rFonts w:ascii="Times New Roman" w:hAnsi="Times New Roman" w:cs="Times New Roman"/>
          <w:color w:val="111111"/>
          <w:sz w:val="24"/>
          <w:szCs w:val="24"/>
          <w:shd w:val="clear" w:color="auto" w:fill="FFFFFF"/>
        </w:rPr>
      </w:pPr>
      <w:proofErr w:type="spellStart"/>
      <w:r w:rsidRPr="006B19D5">
        <w:rPr>
          <w:rFonts w:ascii="Times New Roman" w:hAnsi="Times New Roman" w:cs="Times New Roman"/>
          <w:color w:val="111111"/>
          <w:sz w:val="24"/>
          <w:szCs w:val="24"/>
          <w:shd w:val="clear" w:color="auto" w:fill="FFFFFF"/>
        </w:rPr>
        <w:t>Rp</w:t>
      </w:r>
      <w:proofErr w:type="spellEnd"/>
      <w:r w:rsidRPr="006B19D5">
        <w:rPr>
          <w:rFonts w:ascii="Times New Roman" w:hAnsi="Times New Roman" w:cs="Times New Roman"/>
          <w:color w:val="111111"/>
          <w:sz w:val="24"/>
          <w:szCs w:val="24"/>
          <w:shd w:val="clear" w:color="auto" w:fill="FFFFFF"/>
        </w:rPr>
        <w:t>=return of portfolio</w:t>
      </w:r>
    </w:p>
    <w:p w:rsidR="00D305CC" w:rsidRPr="006B19D5" w:rsidRDefault="00D305CC" w:rsidP="00D305CC">
      <w:pPr>
        <w:pStyle w:val="ListParagraph"/>
        <w:numPr>
          <w:ilvl w:val="0"/>
          <w:numId w:val="10"/>
        </w:numPr>
        <w:spacing w:line="360" w:lineRule="auto"/>
        <w:jc w:val="both"/>
        <w:rPr>
          <w:rFonts w:ascii="Times New Roman" w:hAnsi="Times New Roman" w:cs="Times New Roman"/>
          <w:color w:val="111111"/>
          <w:sz w:val="24"/>
          <w:szCs w:val="24"/>
          <w:shd w:val="clear" w:color="auto" w:fill="FFFFFF"/>
        </w:rPr>
      </w:pPr>
      <w:proofErr w:type="spellStart"/>
      <w:r w:rsidRPr="006B19D5">
        <w:rPr>
          <w:rFonts w:ascii="Times New Roman" w:hAnsi="Times New Roman" w:cs="Times New Roman"/>
          <w:color w:val="111111"/>
          <w:sz w:val="24"/>
          <w:szCs w:val="24"/>
          <w:shd w:val="clear" w:color="auto" w:fill="FFFFFF"/>
        </w:rPr>
        <w:t>Rf</w:t>
      </w:r>
      <w:proofErr w:type="spellEnd"/>
      <w:r w:rsidRPr="006B19D5">
        <w:rPr>
          <w:rFonts w:ascii="Times New Roman" w:hAnsi="Times New Roman" w:cs="Times New Roman"/>
          <w:color w:val="111111"/>
          <w:sz w:val="24"/>
          <w:szCs w:val="24"/>
          <w:shd w:val="clear" w:color="auto" w:fill="FFFFFF"/>
        </w:rPr>
        <w:t>=risk-free rate</w:t>
      </w:r>
    </w:p>
    <w:p w:rsidR="00D305CC" w:rsidRPr="006B19D5" w:rsidRDefault="00D305CC" w:rsidP="00D305CC">
      <w:pPr>
        <w:pStyle w:val="ListParagraph"/>
        <w:numPr>
          <w:ilvl w:val="0"/>
          <w:numId w:val="10"/>
        </w:numPr>
        <w:spacing w:line="360" w:lineRule="auto"/>
        <w:jc w:val="both"/>
        <w:rPr>
          <w:rFonts w:ascii="Times New Roman" w:hAnsi="Times New Roman" w:cs="Times New Roman"/>
          <w:color w:val="111111"/>
          <w:sz w:val="24"/>
          <w:szCs w:val="24"/>
          <w:shd w:val="clear" w:color="auto" w:fill="FFFFFF"/>
        </w:rPr>
      </w:pPr>
      <w:proofErr w:type="spellStart"/>
      <w:r w:rsidRPr="006B19D5">
        <w:rPr>
          <w:rFonts w:ascii="Times New Roman" w:hAnsi="Times New Roman" w:cs="Times New Roman"/>
          <w:color w:val="111111"/>
          <w:sz w:val="24"/>
          <w:szCs w:val="24"/>
          <w:shd w:val="clear" w:color="auto" w:fill="FFFFFF"/>
        </w:rPr>
        <w:t>σp</w:t>
      </w:r>
      <w:proofErr w:type="spellEnd"/>
      <w:r w:rsidRPr="006B19D5">
        <w:rPr>
          <w:rFonts w:ascii="Times New Roman" w:hAnsi="Times New Roman" w:cs="Times New Roman"/>
          <w:color w:val="111111"/>
          <w:sz w:val="24"/>
          <w:szCs w:val="24"/>
          <w:shd w:val="clear" w:color="auto" w:fill="FFFFFF"/>
        </w:rPr>
        <w:t xml:space="preserve">=standard deviation of the portfolio’s return  </w:t>
      </w:r>
    </w:p>
    <w:p w:rsidR="00D305CC" w:rsidRPr="006B19D5" w:rsidRDefault="00D305CC" w:rsidP="00D305CC">
      <w:pPr>
        <w:spacing w:line="360" w:lineRule="auto"/>
        <w:jc w:val="both"/>
        <w:rPr>
          <w:rFonts w:ascii="Times New Roman" w:hAnsi="Times New Roman" w:cs="Times New Roman"/>
          <w:color w:val="111111"/>
          <w:sz w:val="24"/>
          <w:szCs w:val="24"/>
          <w:shd w:val="clear" w:color="auto" w:fill="FFFFFF"/>
        </w:rPr>
      </w:pPr>
      <w:proofErr w:type="spellStart"/>
      <w:r w:rsidRPr="006B19D5">
        <w:rPr>
          <w:rFonts w:ascii="Times New Roman" w:hAnsi="Times New Roman" w:cs="Times New Roman"/>
          <w:color w:val="111111"/>
          <w:sz w:val="24"/>
          <w:szCs w:val="24"/>
          <w:shd w:val="clear" w:color="auto" w:fill="FFFFFF"/>
        </w:rPr>
        <w:lastRenderedPageBreak/>
        <w:t>Rp</w:t>
      </w:r>
      <w:proofErr w:type="spellEnd"/>
      <w:r w:rsidRPr="006B19D5">
        <w:rPr>
          <w:rFonts w:ascii="Times New Roman" w:hAnsi="Times New Roman" w:cs="Times New Roman"/>
          <w:color w:val="111111"/>
          <w:sz w:val="24"/>
          <w:szCs w:val="24"/>
          <w:shd w:val="clear" w:color="auto" w:fill="FFFFFF"/>
        </w:rPr>
        <w:t xml:space="preserve"> represents return of portfolio. Return of portfolio is the average return or expected return of the portfolio or a particular risk-containing asset. </w:t>
      </w:r>
      <w:proofErr w:type="spellStart"/>
      <w:proofErr w:type="gramStart"/>
      <w:r w:rsidRPr="006B19D5">
        <w:rPr>
          <w:rFonts w:ascii="Times New Roman" w:hAnsi="Times New Roman" w:cs="Times New Roman"/>
          <w:color w:val="111111"/>
          <w:sz w:val="24"/>
          <w:szCs w:val="24"/>
          <w:shd w:val="clear" w:color="auto" w:fill="FFFFFF"/>
        </w:rPr>
        <w:t>Rf</w:t>
      </w:r>
      <w:proofErr w:type="spellEnd"/>
      <w:proofErr w:type="gramEnd"/>
      <w:r w:rsidRPr="006B19D5">
        <w:rPr>
          <w:rFonts w:ascii="Times New Roman" w:hAnsi="Times New Roman" w:cs="Times New Roman"/>
          <w:color w:val="111111"/>
          <w:sz w:val="24"/>
          <w:szCs w:val="24"/>
          <w:shd w:val="clear" w:color="auto" w:fill="FFFFFF"/>
        </w:rPr>
        <w:t xml:space="preserve"> represents risk free rate which might be government bond or any sort of non-risk containing asset that allow to gain some return certain at rate. Standard deviation is </w:t>
      </w:r>
      <w:proofErr w:type="gramStart"/>
      <w:r w:rsidRPr="006B19D5">
        <w:rPr>
          <w:rFonts w:ascii="Times New Roman" w:hAnsi="Times New Roman" w:cs="Times New Roman"/>
          <w:color w:val="111111"/>
          <w:sz w:val="24"/>
          <w:szCs w:val="24"/>
          <w:shd w:val="clear" w:color="auto" w:fill="FFFFFF"/>
        </w:rPr>
        <w:t>an</w:t>
      </w:r>
      <w:proofErr w:type="gramEnd"/>
      <w:r w:rsidRPr="006B19D5">
        <w:rPr>
          <w:rFonts w:ascii="Times New Roman" w:hAnsi="Times New Roman" w:cs="Times New Roman"/>
          <w:color w:val="111111"/>
          <w:sz w:val="24"/>
          <w:szCs w:val="24"/>
          <w:shd w:val="clear" w:color="auto" w:fill="FFFFFF"/>
        </w:rPr>
        <w:t xml:space="preserve"> statistical measure that represents variation or deviation from the mean value. Here, standard deviation is the measure of variability which is representative of risk. </w:t>
      </w:r>
    </w:p>
    <w:p w:rsidR="00D305CC" w:rsidRPr="006B19D5" w:rsidRDefault="00D305CC" w:rsidP="00D305CC">
      <w:pPr>
        <w:spacing w:line="360" w:lineRule="auto"/>
        <w:jc w:val="both"/>
        <w:rPr>
          <w:rFonts w:ascii="Times New Roman" w:hAnsi="Times New Roman" w:cs="Times New Roman"/>
          <w:color w:val="111111"/>
          <w:sz w:val="24"/>
          <w:szCs w:val="24"/>
          <w:shd w:val="clear" w:color="auto" w:fill="FFFFFF"/>
        </w:rPr>
      </w:pPr>
      <m:oMathPara>
        <m:oMathParaPr>
          <m:jc m:val="left"/>
        </m:oMathParaPr>
        <m:oMath>
          <m:r>
            <w:rPr>
              <w:rFonts w:ascii="Cambria Math" w:hAnsi="Cambria Math" w:cs="Times New Roman"/>
              <w:color w:val="111111"/>
              <w:sz w:val="24"/>
              <w:szCs w:val="24"/>
              <w:shd w:val="clear" w:color="auto" w:fill="FFFFFF"/>
            </w:rPr>
            <m:t>Sharpe Ratio=</m:t>
          </m:r>
          <m:f>
            <m:fPr>
              <m:ctrlPr>
                <w:rPr>
                  <w:rFonts w:ascii="Cambria Math" w:hAnsi="Cambria Math" w:cs="Times New Roman"/>
                  <w:i/>
                  <w:color w:val="111111"/>
                  <w:sz w:val="24"/>
                  <w:szCs w:val="24"/>
                  <w:shd w:val="clear" w:color="auto" w:fill="FFFFFF"/>
                </w:rPr>
              </m:ctrlPr>
            </m:fPr>
            <m:num>
              <m:r>
                <w:rPr>
                  <w:rFonts w:ascii="Cambria Math" w:hAnsi="Cambria Math" w:cs="Times New Roman"/>
                  <w:color w:val="111111"/>
                  <w:sz w:val="24"/>
                  <w:szCs w:val="24"/>
                  <w:shd w:val="clear" w:color="auto" w:fill="FFFFFF"/>
                </w:rPr>
                <m:t>Rp-Rf</m:t>
              </m:r>
            </m:num>
            <m:den>
              <m:r>
                <w:rPr>
                  <w:rFonts w:ascii="Cambria Math" w:hAnsi="Cambria Math" w:cs="Times New Roman"/>
                  <w:color w:val="111111"/>
                  <w:sz w:val="24"/>
                  <w:szCs w:val="24"/>
                  <w:shd w:val="clear" w:color="auto" w:fill="FFFFFF"/>
                </w:rPr>
                <m:t>σp</m:t>
              </m:r>
            </m:den>
          </m:f>
        </m:oMath>
      </m:oMathPara>
    </w:p>
    <w:p w:rsidR="005D3E31" w:rsidRDefault="00D305CC" w:rsidP="005D3E31">
      <w:pPr>
        <w:spacing w:line="360" w:lineRule="auto"/>
        <w:jc w:val="both"/>
        <w:rPr>
          <w:rStyle w:val="vlist-s"/>
          <w:rFonts w:ascii="Times New Roman" w:hAnsi="Times New Roman" w:cs="Times New Roman"/>
          <w:color w:val="111111"/>
          <w:sz w:val="24"/>
          <w:szCs w:val="24"/>
          <w:shd w:val="clear" w:color="auto" w:fill="FFFFFF"/>
        </w:rPr>
      </w:pPr>
      <w:r w:rsidRPr="006B19D5">
        <w:rPr>
          <w:rStyle w:val="vlist-s"/>
          <w:rFonts w:ascii="Times New Roman" w:hAnsi="Times New Roman" w:cs="Times New Roman"/>
          <w:color w:val="111111"/>
          <w:sz w:val="24"/>
          <w:szCs w:val="24"/>
          <w:shd w:val="clear" w:color="auto" w:fill="FFFFFF"/>
        </w:rPr>
        <w:t xml:space="preserve">​Shape ratio is a popular tool to calculate risk-adjusted return. Higher value of the Sharpe ratio represent higher return relative to risk. The Sharpe Ratio can be used for evaluating past data or forecasted data. In historic data, applying Sharpe measure is very state forward because here the actual return is known but in case of prediction, one </w:t>
      </w:r>
      <w:proofErr w:type="gramStart"/>
      <w:r w:rsidRPr="006B19D5">
        <w:rPr>
          <w:rStyle w:val="vlist-s"/>
          <w:rFonts w:ascii="Times New Roman" w:hAnsi="Times New Roman" w:cs="Times New Roman"/>
          <w:color w:val="111111"/>
          <w:sz w:val="24"/>
          <w:szCs w:val="24"/>
          <w:shd w:val="clear" w:color="auto" w:fill="FFFFFF"/>
        </w:rPr>
        <w:t>h</w:t>
      </w:r>
      <w:r w:rsidR="005D3E31">
        <w:rPr>
          <w:rStyle w:val="vlist-s"/>
          <w:rFonts w:ascii="Times New Roman" w:hAnsi="Times New Roman" w:cs="Times New Roman"/>
          <w:color w:val="111111"/>
          <w:sz w:val="24"/>
          <w:szCs w:val="24"/>
          <w:shd w:val="clear" w:color="auto" w:fill="FFFFFF"/>
        </w:rPr>
        <w:t>ave</w:t>
      </w:r>
      <w:proofErr w:type="gramEnd"/>
      <w:r w:rsidR="005D3E31">
        <w:rPr>
          <w:rStyle w:val="vlist-s"/>
          <w:rFonts w:ascii="Times New Roman" w:hAnsi="Times New Roman" w:cs="Times New Roman"/>
          <w:color w:val="111111"/>
          <w:sz w:val="24"/>
          <w:szCs w:val="24"/>
          <w:shd w:val="clear" w:color="auto" w:fill="FFFFFF"/>
        </w:rPr>
        <w:t xml:space="preserve"> to estimate future return. </w:t>
      </w:r>
    </w:p>
    <w:p w:rsidR="0059297C" w:rsidRPr="00CC0885" w:rsidRDefault="00D305CC" w:rsidP="00CC0885">
      <w:pPr>
        <w:pStyle w:val="Heading2"/>
        <w:spacing w:after="240"/>
        <w:rPr>
          <w:rStyle w:val="vlist-s"/>
          <w:rFonts w:ascii="Times New Roman" w:hAnsi="Times New Roman" w:cs="Times New Roman"/>
          <w:b/>
          <w:color w:val="auto"/>
          <w:sz w:val="32"/>
          <w:szCs w:val="32"/>
        </w:rPr>
      </w:pPr>
      <w:bookmarkStart w:id="24" w:name="_Toc13070812"/>
      <w:proofErr w:type="spellStart"/>
      <w:r w:rsidRPr="00CC0885">
        <w:rPr>
          <w:rStyle w:val="vlist-s"/>
          <w:rFonts w:ascii="Times New Roman" w:hAnsi="Times New Roman" w:cs="Times New Roman"/>
          <w:b/>
          <w:color w:val="auto"/>
          <w:sz w:val="32"/>
          <w:szCs w:val="32"/>
        </w:rPr>
        <w:t>Treynor</w:t>
      </w:r>
      <w:proofErr w:type="spellEnd"/>
      <w:r w:rsidRPr="00CC0885">
        <w:rPr>
          <w:rStyle w:val="vlist-s"/>
          <w:rFonts w:ascii="Times New Roman" w:hAnsi="Times New Roman" w:cs="Times New Roman"/>
          <w:b/>
          <w:color w:val="auto"/>
          <w:sz w:val="32"/>
          <w:szCs w:val="32"/>
        </w:rPr>
        <w:t xml:space="preserve"> Ratio</w:t>
      </w:r>
      <w:bookmarkEnd w:id="24"/>
    </w:p>
    <w:p w:rsidR="00D305CC" w:rsidRPr="006B19D5" w:rsidRDefault="00D305CC" w:rsidP="0059297C">
      <w:pPr>
        <w:spacing w:line="360" w:lineRule="auto"/>
        <w:jc w:val="both"/>
        <w:rPr>
          <w:rStyle w:val="vlist-s"/>
          <w:rFonts w:ascii="Times New Roman" w:hAnsi="Times New Roman" w:cs="Times New Roman"/>
          <w:color w:val="111111"/>
          <w:sz w:val="24"/>
          <w:szCs w:val="24"/>
          <w:shd w:val="clear" w:color="auto" w:fill="FFFFFF"/>
        </w:rPr>
      </w:pPr>
      <w:r w:rsidRPr="006B19D5">
        <w:rPr>
          <w:rStyle w:val="vlist-s"/>
          <w:rFonts w:ascii="Times New Roman" w:hAnsi="Times New Roman" w:cs="Times New Roman"/>
          <w:color w:val="111111"/>
          <w:sz w:val="24"/>
          <w:szCs w:val="24"/>
          <w:shd w:val="clear" w:color="auto" w:fill="FFFFFF"/>
        </w:rPr>
        <w:t xml:space="preserve">Like Sharpe ratio </w:t>
      </w:r>
      <w:proofErr w:type="spellStart"/>
      <w:r w:rsidRPr="006B19D5">
        <w:rPr>
          <w:rStyle w:val="vlist-s"/>
          <w:rFonts w:ascii="Times New Roman" w:hAnsi="Times New Roman" w:cs="Times New Roman"/>
          <w:color w:val="111111"/>
          <w:sz w:val="24"/>
          <w:szCs w:val="24"/>
          <w:shd w:val="clear" w:color="auto" w:fill="FFFFFF"/>
        </w:rPr>
        <w:t>Treynor</w:t>
      </w:r>
      <w:proofErr w:type="spellEnd"/>
      <w:r w:rsidRPr="006B19D5">
        <w:rPr>
          <w:rStyle w:val="vlist-s"/>
          <w:rFonts w:ascii="Times New Roman" w:hAnsi="Times New Roman" w:cs="Times New Roman"/>
          <w:color w:val="111111"/>
          <w:sz w:val="24"/>
          <w:szCs w:val="24"/>
          <w:shd w:val="clear" w:color="auto" w:fill="FFFFFF"/>
        </w:rPr>
        <w:t xml:space="preserve"> ratio is another measure to evaluate risk-adjusted return. It was developed by Jack </w:t>
      </w:r>
      <w:proofErr w:type="spellStart"/>
      <w:r w:rsidRPr="006B19D5">
        <w:rPr>
          <w:rStyle w:val="vlist-s"/>
          <w:rFonts w:ascii="Times New Roman" w:hAnsi="Times New Roman" w:cs="Times New Roman"/>
          <w:color w:val="111111"/>
          <w:sz w:val="24"/>
          <w:szCs w:val="24"/>
          <w:shd w:val="clear" w:color="auto" w:fill="FFFFFF"/>
        </w:rPr>
        <w:t>Treynor</w:t>
      </w:r>
      <w:proofErr w:type="spellEnd"/>
      <w:r w:rsidRPr="006B19D5">
        <w:rPr>
          <w:rStyle w:val="vlist-s"/>
          <w:rFonts w:ascii="Times New Roman" w:hAnsi="Times New Roman" w:cs="Times New Roman"/>
          <w:color w:val="111111"/>
          <w:sz w:val="24"/>
          <w:szCs w:val="24"/>
          <w:shd w:val="clear" w:color="auto" w:fill="FFFFFF"/>
        </w:rPr>
        <w:t xml:space="preserve"> who is another American economist. He is also a Nobel Prize winner and originator of capital asset pricing model. </w:t>
      </w:r>
      <w:proofErr w:type="spellStart"/>
      <w:r w:rsidRPr="006B19D5">
        <w:rPr>
          <w:rStyle w:val="vlist-s"/>
          <w:rFonts w:ascii="Times New Roman" w:hAnsi="Times New Roman" w:cs="Times New Roman"/>
          <w:color w:val="111111"/>
          <w:sz w:val="24"/>
          <w:szCs w:val="24"/>
          <w:shd w:val="clear" w:color="auto" w:fill="FFFFFF"/>
        </w:rPr>
        <w:t>Treynor</w:t>
      </w:r>
      <w:proofErr w:type="spellEnd"/>
      <w:r w:rsidRPr="006B19D5">
        <w:rPr>
          <w:rStyle w:val="vlist-s"/>
          <w:rFonts w:ascii="Times New Roman" w:hAnsi="Times New Roman" w:cs="Times New Roman"/>
          <w:color w:val="111111"/>
          <w:sz w:val="24"/>
          <w:szCs w:val="24"/>
          <w:shd w:val="clear" w:color="auto" w:fill="FFFFFF"/>
        </w:rPr>
        <w:t xml:space="preserve"> ratio has some distinctive significance than the Sharpe ratio. Theoretically, it is as solid as Sharpe ratio and practically it is as much as popular as Sharpe ratio. Unlike Sharpe ratio </w:t>
      </w:r>
      <w:proofErr w:type="spellStart"/>
      <w:r w:rsidRPr="006B19D5">
        <w:rPr>
          <w:rStyle w:val="vlist-s"/>
          <w:rFonts w:ascii="Times New Roman" w:hAnsi="Times New Roman" w:cs="Times New Roman"/>
          <w:color w:val="111111"/>
          <w:sz w:val="24"/>
          <w:szCs w:val="24"/>
          <w:shd w:val="clear" w:color="auto" w:fill="FFFFFF"/>
        </w:rPr>
        <w:t>Treynor</w:t>
      </w:r>
      <w:proofErr w:type="spellEnd"/>
      <w:r w:rsidRPr="006B19D5">
        <w:rPr>
          <w:rStyle w:val="vlist-s"/>
          <w:rFonts w:ascii="Times New Roman" w:hAnsi="Times New Roman" w:cs="Times New Roman"/>
          <w:color w:val="111111"/>
          <w:sz w:val="24"/>
          <w:szCs w:val="24"/>
          <w:shd w:val="clear" w:color="auto" w:fill="FFFFFF"/>
        </w:rPr>
        <w:t xml:space="preserve"> ratio, do not use standard deviation. Rather it consider volatility and use Beta as the measure of volatility. Where standard deviation is a measure that only focuses on individual stock, Beta is a measure that is concern about both market and the stock. Beta measure systematic or diversifiable risk of a stock in comparison with unsystematic or undiversifiable risk. It </w:t>
      </w:r>
      <w:proofErr w:type="gramStart"/>
      <w:r w:rsidRPr="006B19D5">
        <w:rPr>
          <w:rStyle w:val="vlist-s"/>
          <w:rFonts w:ascii="Times New Roman" w:hAnsi="Times New Roman" w:cs="Times New Roman"/>
          <w:color w:val="111111"/>
          <w:sz w:val="24"/>
          <w:szCs w:val="24"/>
          <w:shd w:val="clear" w:color="auto" w:fill="FFFFFF"/>
        </w:rPr>
        <w:t>make</w:t>
      </w:r>
      <w:proofErr w:type="gramEnd"/>
      <w:r w:rsidRPr="006B19D5">
        <w:rPr>
          <w:rStyle w:val="vlist-s"/>
          <w:rFonts w:ascii="Times New Roman" w:hAnsi="Times New Roman" w:cs="Times New Roman"/>
          <w:color w:val="111111"/>
          <w:sz w:val="24"/>
          <w:szCs w:val="24"/>
          <w:shd w:val="clear" w:color="auto" w:fill="FFFFFF"/>
        </w:rPr>
        <w:t xml:space="preserve"> sense because return of a stock might be effected by unsystematic risk. In other interpretation in a particular period whole market might be effected and generate lower return, it is not logical to blame a particular individual asset for this phenomenon. So, for evaluation of return we must consider Beta as it </w:t>
      </w:r>
      <w:proofErr w:type="gramStart"/>
      <w:r w:rsidRPr="006B19D5">
        <w:rPr>
          <w:rStyle w:val="vlist-s"/>
          <w:rFonts w:ascii="Times New Roman" w:hAnsi="Times New Roman" w:cs="Times New Roman"/>
          <w:color w:val="111111"/>
          <w:sz w:val="24"/>
          <w:szCs w:val="24"/>
          <w:shd w:val="clear" w:color="auto" w:fill="FFFFFF"/>
        </w:rPr>
        <w:t>take</w:t>
      </w:r>
      <w:proofErr w:type="gramEnd"/>
      <w:r w:rsidRPr="006B19D5">
        <w:rPr>
          <w:rStyle w:val="vlist-s"/>
          <w:rFonts w:ascii="Times New Roman" w:hAnsi="Times New Roman" w:cs="Times New Roman"/>
          <w:color w:val="111111"/>
          <w:sz w:val="24"/>
          <w:szCs w:val="24"/>
          <w:shd w:val="clear" w:color="auto" w:fill="FFFFFF"/>
        </w:rPr>
        <w:t xml:space="preserve"> in account of this phenomenon. Beta is also used in Capital Asset Pricing Model. The formula of Beta contain covariance of return on an asset and whole market and variance of return on market. Variance is a measure the shows how a particular data is different from the mean value or what is the spread between values in data set. Here it is implied as measurement of variance in market. The </w:t>
      </w:r>
      <w:proofErr w:type="gramStart"/>
      <w:r w:rsidRPr="006B19D5">
        <w:rPr>
          <w:rStyle w:val="vlist-s"/>
          <w:rFonts w:ascii="Times New Roman" w:hAnsi="Times New Roman" w:cs="Times New Roman"/>
          <w:color w:val="111111"/>
          <w:sz w:val="24"/>
          <w:szCs w:val="24"/>
          <w:shd w:val="clear" w:color="auto" w:fill="FFFFFF"/>
        </w:rPr>
        <w:t>covariance describe</w:t>
      </w:r>
      <w:proofErr w:type="gramEnd"/>
      <w:r w:rsidRPr="006B19D5">
        <w:rPr>
          <w:rStyle w:val="vlist-s"/>
          <w:rFonts w:ascii="Times New Roman" w:hAnsi="Times New Roman" w:cs="Times New Roman"/>
          <w:color w:val="111111"/>
          <w:sz w:val="24"/>
          <w:szCs w:val="24"/>
          <w:shd w:val="clear" w:color="auto" w:fill="FFFFFF"/>
        </w:rPr>
        <w:t xml:space="preserve"> association between random variables which implies to which extent the returns of market and a particular asset or stock fluctuated together.   </w:t>
      </w:r>
    </w:p>
    <w:p w:rsidR="00D305CC" w:rsidRPr="006B19D5" w:rsidRDefault="00D305CC" w:rsidP="00D305CC">
      <w:pPr>
        <w:spacing w:line="360" w:lineRule="auto"/>
        <w:jc w:val="both"/>
        <w:rPr>
          <w:rStyle w:val="vlist-s"/>
          <w:rFonts w:ascii="Times New Roman" w:hAnsi="Times New Roman" w:cs="Times New Roman"/>
          <w:color w:val="111111"/>
          <w:sz w:val="24"/>
          <w:szCs w:val="24"/>
          <w:shd w:val="clear" w:color="auto" w:fill="FFFFFF"/>
        </w:rPr>
      </w:pPr>
    </w:p>
    <w:p w:rsidR="00D305CC" w:rsidRPr="00CC0885" w:rsidRDefault="00D305CC" w:rsidP="00D305CC">
      <w:pPr>
        <w:spacing w:line="360" w:lineRule="auto"/>
        <w:jc w:val="both"/>
        <w:rPr>
          <w:rStyle w:val="vlist-s"/>
          <w:rFonts w:ascii="Times New Roman" w:hAnsi="Times New Roman" w:cs="Times New Roman"/>
          <w:color w:val="000000" w:themeColor="text1"/>
          <w:sz w:val="24"/>
          <w:szCs w:val="24"/>
          <w:shd w:val="clear" w:color="auto" w:fill="FFFFFF"/>
        </w:rPr>
      </w:pPr>
      <m:oMathPara>
        <m:oMath>
          <m:r>
            <m:rPr>
              <m:sty m:val="p"/>
            </m:rPr>
            <w:rPr>
              <w:rStyle w:val="mord"/>
              <w:rFonts w:ascii="Cambria Math" w:hAnsi="Cambria Math" w:cs="Times New Roman"/>
              <w:color w:val="000000" w:themeColor="text1"/>
              <w:sz w:val="24"/>
              <w:szCs w:val="24"/>
            </w:rPr>
            <m:t>Beta coefficient</m:t>
          </m:r>
          <m:r>
            <m:rPr>
              <m:sty m:val="p"/>
            </m:rPr>
            <w:rPr>
              <w:rStyle w:val="mopen"/>
              <w:rFonts w:ascii="Cambria Math" w:hAnsi="Cambria Math" w:cs="Times New Roman"/>
              <w:color w:val="000000" w:themeColor="text1"/>
              <w:sz w:val="24"/>
              <w:szCs w:val="24"/>
            </w:rPr>
            <m:t>(</m:t>
          </m:r>
          <m:r>
            <w:rPr>
              <w:rStyle w:val="mord"/>
              <w:rFonts w:ascii="Cambria Math" w:hAnsi="Cambria Math" w:cs="Times New Roman"/>
              <w:color w:val="000000" w:themeColor="text1"/>
              <w:sz w:val="24"/>
              <w:szCs w:val="24"/>
            </w:rPr>
            <m:t>β</m:t>
          </m:r>
          <m:r>
            <m:rPr>
              <m:sty m:val="p"/>
            </m:rPr>
            <w:rPr>
              <w:rStyle w:val="mclose"/>
              <w:rFonts w:ascii="Cambria Math" w:hAnsi="Cambria Math" w:cs="Times New Roman"/>
              <w:color w:val="000000" w:themeColor="text1"/>
              <w:sz w:val="24"/>
              <w:szCs w:val="24"/>
            </w:rPr>
            <m:t>)</m:t>
          </m:r>
          <m:r>
            <m:rPr>
              <m:sty m:val="p"/>
            </m:rPr>
            <w:rPr>
              <w:rStyle w:val="mrel"/>
              <w:rFonts w:ascii="Cambria Math" w:hAnsi="Cambria Math" w:cs="Times New Roman"/>
              <w:color w:val="000000" w:themeColor="text1"/>
              <w:sz w:val="24"/>
              <w:szCs w:val="24"/>
            </w:rPr>
            <m:t>=</m:t>
          </m:r>
          <m:f>
            <m:fPr>
              <m:ctrlPr>
                <w:rPr>
                  <w:rStyle w:val="mrel"/>
                  <w:rFonts w:ascii="Cambria Math" w:hAnsi="Cambria Math" w:cs="Times New Roman"/>
                  <w:color w:val="000000" w:themeColor="text1"/>
                  <w:sz w:val="24"/>
                  <w:szCs w:val="24"/>
                </w:rPr>
              </m:ctrlPr>
            </m:fPr>
            <m:num>
              <m:r>
                <m:rPr>
                  <m:sty m:val="p"/>
                </m:rPr>
                <w:rPr>
                  <w:rStyle w:val="mord"/>
                  <w:rFonts w:ascii="Cambria Math" w:hAnsi="Cambria Math" w:cs="Times New Roman"/>
                  <w:color w:val="000000" w:themeColor="text1"/>
                  <w:sz w:val="24"/>
                  <w:szCs w:val="24"/>
                  <w:shd w:val="clear" w:color="auto" w:fill="FFFFFF"/>
                </w:rPr>
                <m:t>Covariance</m:t>
              </m:r>
              <m:r>
                <m:rPr>
                  <m:sty m:val="p"/>
                </m:rPr>
                <w:rPr>
                  <w:rStyle w:val="mopen"/>
                  <w:rFonts w:ascii="Cambria Math" w:hAnsi="Cambria Math" w:cs="Times New Roman"/>
                  <w:color w:val="000000" w:themeColor="text1"/>
                  <w:sz w:val="24"/>
                  <w:szCs w:val="24"/>
                  <w:shd w:val="clear" w:color="auto" w:fill="FFFFFF"/>
                </w:rPr>
                <m:t>(</m:t>
              </m:r>
              <m:r>
                <w:rPr>
                  <w:rStyle w:val="mord"/>
                  <w:rFonts w:ascii="Cambria Math" w:hAnsi="Cambria Math" w:cs="Times New Roman"/>
                  <w:color w:val="000000" w:themeColor="text1"/>
                  <w:sz w:val="24"/>
                  <w:szCs w:val="24"/>
                  <w:shd w:val="clear" w:color="auto" w:fill="FFFFFF"/>
                </w:rPr>
                <m:t>Re</m:t>
              </m:r>
              <m:r>
                <m:rPr>
                  <m:sty m:val="p"/>
                </m:rPr>
                <w:rPr>
                  <w:rStyle w:val="vlist-s"/>
                  <w:rFonts w:ascii="Cambria Math" w:hAnsi="Cambria Math" w:cs="Times New Roman"/>
                  <w:color w:val="000000" w:themeColor="text1"/>
                  <w:sz w:val="24"/>
                  <w:szCs w:val="24"/>
                  <w:shd w:val="clear" w:color="auto" w:fill="FFFFFF"/>
                </w:rPr>
                <m:t>​</m:t>
              </m:r>
              <m:r>
                <m:rPr>
                  <m:sty m:val="p"/>
                </m:rPr>
                <w:rPr>
                  <w:rStyle w:val="mpunct"/>
                  <w:rFonts w:ascii="Cambria Math" w:hAnsi="Cambria Math" w:cs="Times New Roman"/>
                  <w:color w:val="000000" w:themeColor="text1"/>
                  <w:sz w:val="24"/>
                  <w:szCs w:val="24"/>
                  <w:shd w:val="clear" w:color="auto" w:fill="FFFFFF"/>
                </w:rPr>
                <m:t>,</m:t>
              </m:r>
              <m:r>
                <w:rPr>
                  <w:rStyle w:val="mord"/>
                  <w:rFonts w:ascii="Cambria Math" w:hAnsi="Cambria Math" w:cs="Times New Roman"/>
                  <w:color w:val="000000" w:themeColor="text1"/>
                  <w:sz w:val="24"/>
                  <w:szCs w:val="24"/>
                  <w:shd w:val="clear" w:color="auto" w:fill="FFFFFF"/>
                </w:rPr>
                <m:t>Rm</m:t>
              </m:r>
              <m:r>
                <m:rPr>
                  <m:sty m:val="p"/>
                </m:rPr>
                <w:rPr>
                  <w:rStyle w:val="vlist-s"/>
                  <w:rFonts w:ascii="Cambria Math" w:hAnsi="Cambria Math" w:cs="Times New Roman"/>
                  <w:color w:val="000000" w:themeColor="text1"/>
                  <w:sz w:val="24"/>
                  <w:szCs w:val="24"/>
                  <w:shd w:val="clear" w:color="auto" w:fill="FFFFFF"/>
                </w:rPr>
                <m:t>​</m:t>
              </m:r>
              <m:r>
                <m:rPr>
                  <m:sty m:val="p"/>
                </m:rPr>
                <w:rPr>
                  <w:rStyle w:val="mclose"/>
                  <w:rFonts w:ascii="Cambria Math" w:hAnsi="Cambria Math" w:cs="Times New Roman"/>
                  <w:color w:val="000000" w:themeColor="text1"/>
                  <w:sz w:val="24"/>
                  <w:szCs w:val="24"/>
                  <w:shd w:val="clear" w:color="auto" w:fill="FFFFFF"/>
                </w:rPr>
                <m:t>)</m:t>
              </m:r>
              <m:r>
                <m:rPr>
                  <m:sty m:val="p"/>
                </m:rPr>
                <w:rPr>
                  <w:rStyle w:val="vlist-s"/>
                  <w:rFonts w:ascii="Cambria Math" w:hAnsi="Cambria Math" w:cs="Times New Roman"/>
                  <w:color w:val="000000" w:themeColor="text1"/>
                  <w:sz w:val="24"/>
                  <w:szCs w:val="24"/>
                  <w:shd w:val="clear" w:color="auto" w:fill="FFFFFF"/>
                </w:rPr>
                <m:t>​</m:t>
              </m:r>
            </m:num>
            <m:den>
              <m:r>
                <m:rPr>
                  <m:sty m:val="p"/>
                </m:rPr>
                <w:rPr>
                  <w:rStyle w:val="mord"/>
                  <w:rFonts w:ascii="Cambria Math" w:hAnsi="Cambria Math" w:cs="Times New Roman"/>
                  <w:color w:val="000000" w:themeColor="text1"/>
                  <w:sz w:val="24"/>
                  <w:szCs w:val="24"/>
                  <w:shd w:val="clear" w:color="auto" w:fill="FFFFFF"/>
                </w:rPr>
                <m:t>Variance</m:t>
              </m:r>
              <m:r>
                <m:rPr>
                  <m:sty m:val="p"/>
                </m:rPr>
                <w:rPr>
                  <w:rStyle w:val="mopen"/>
                  <w:rFonts w:ascii="Cambria Math" w:hAnsi="Cambria Math" w:cs="Times New Roman"/>
                  <w:color w:val="000000" w:themeColor="text1"/>
                  <w:sz w:val="24"/>
                  <w:szCs w:val="24"/>
                  <w:shd w:val="clear" w:color="auto" w:fill="FFFFFF"/>
                </w:rPr>
                <m:t>(</m:t>
              </m:r>
              <m:r>
                <w:rPr>
                  <w:rStyle w:val="mord"/>
                  <w:rFonts w:ascii="Cambria Math" w:hAnsi="Cambria Math" w:cs="Times New Roman"/>
                  <w:color w:val="000000" w:themeColor="text1"/>
                  <w:sz w:val="24"/>
                  <w:szCs w:val="24"/>
                  <w:shd w:val="clear" w:color="auto" w:fill="FFFFFF"/>
                </w:rPr>
                <m:t>Rm</m:t>
              </m:r>
              <m:r>
                <m:rPr>
                  <m:sty m:val="p"/>
                </m:rPr>
                <w:rPr>
                  <w:rStyle w:val="vlist-s"/>
                  <w:rFonts w:ascii="Cambria Math" w:hAnsi="Cambria Math" w:cs="Times New Roman"/>
                  <w:color w:val="000000" w:themeColor="text1"/>
                  <w:sz w:val="24"/>
                  <w:szCs w:val="24"/>
                  <w:shd w:val="clear" w:color="auto" w:fill="FFFFFF"/>
                </w:rPr>
                <m:t>​</m:t>
              </m:r>
              <m:r>
                <m:rPr>
                  <m:sty m:val="p"/>
                </m:rPr>
                <w:rPr>
                  <w:rStyle w:val="mclose"/>
                  <w:rFonts w:ascii="Cambria Math" w:hAnsi="Cambria Math" w:cs="Times New Roman"/>
                  <w:color w:val="000000" w:themeColor="text1"/>
                  <w:sz w:val="24"/>
                  <w:szCs w:val="24"/>
                  <w:shd w:val="clear" w:color="auto" w:fill="FFFFFF"/>
                </w:rPr>
                <m:t>)</m:t>
              </m:r>
            </m:den>
          </m:f>
        </m:oMath>
      </m:oMathPara>
    </w:p>
    <w:p w:rsidR="00D305CC" w:rsidRPr="006B19D5" w:rsidRDefault="00D305CC" w:rsidP="00D305CC">
      <w:pPr>
        <w:pStyle w:val="ListParagraph"/>
        <w:numPr>
          <w:ilvl w:val="0"/>
          <w:numId w:val="11"/>
        </w:numPr>
        <w:spacing w:line="360" w:lineRule="auto"/>
        <w:jc w:val="both"/>
        <w:rPr>
          <w:rStyle w:val="mord"/>
          <w:rFonts w:ascii="Times New Roman" w:hAnsi="Times New Roman" w:cs="Times New Roman"/>
          <w:color w:val="111111"/>
          <w:sz w:val="24"/>
          <w:szCs w:val="24"/>
          <w:shd w:val="clear" w:color="auto" w:fill="FFFFFF"/>
        </w:rPr>
      </w:pPr>
      <w:r w:rsidRPr="006B19D5">
        <w:rPr>
          <w:rStyle w:val="mord"/>
          <w:rFonts w:ascii="Times New Roman" w:hAnsi="Times New Roman" w:cs="Times New Roman"/>
          <w:i/>
          <w:iCs/>
          <w:color w:val="111111"/>
          <w:sz w:val="24"/>
          <w:szCs w:val="24"/>
          <w:shd w:val="clear" w:color="auto" w:fill="FFFFFF"/>
        </w:rPr>
        <w:t>Re</w:t>
      </w:r>
      <w:r w:rsidRPr="006B19D5">
        <w:rPr>
          <w:rStyle w:val="vlist-s"/>
          <w:rFonts w:ascii="Times New Roman" w:hAnsi="Times New Roman" w:cs="Times New Roman"/>
          <w:color w:val="111111"/>
          <w:sz w:val="24"/>
          <w:szCs w:val="24"/>
          <w:shd w:val="clear" w:color="auto" w:fill="FFFFFF"/>
        </w:rPr>
        <w:t>​</w:t>
      </w:r>
      <w:r w:rsidRPr="006B19D5">
        <w:rPr>
          <w:rStyle w:val="mrel"/>
          <w:rFonts w:ascii="Times New Roman" w:hAnsi="Times New Roman" w:cs="Times New Roman"/>
          <w:color w:val="111111"/>
          <w:sz w:val="24"/>
          <w:szCs w:val="24"/>
          <w:shd w:val="clear" w:color="auto" w:fill="FFFFFF"/>
        </w:rPr>
        <w:t>=</w:t>
      </w:r>
      <w:r w:rsidRPr="006B19D5">
        <w:rPr>
          <w:rStyle w:val="mord"/>
          <w:rFonts w:ascii="Times New Roman" w:hAnsi="Times New Roman" w:cs="Times New Roman"/>
          <w:color w:val="111111"/>
          <w:sz w:val="24"/>
          <w:szCs w:val="24"/>
          <w:shd w:val="clear" w:color="auto" w:fill="FFFFFF"/>
        </w:rPr>
        <w:t>the return on an individual stock</w:t>
      </w:r>
    </w:p>
    <w:p w:rsidR="00D305CC" w:rsidRPr="006B19D5" w:rsidRDefault="00D305CC" w:rsidP="00D305CC">
      <w:pPr>
        <w:pStyle w:val="ListParagraph"/>
        <w:numPr>
          <w:ilvl w:val="0"/>
          <w:numId w:val="11"/>
        </w:numPr>
        <w:spacing w:line="360" w:lineRule="auto"/>
        <w:jc w:val="both"/>
        <w:rPr>
          <w:rStyle w:val="mord"/>
          <w:rFonts w:ascii="Times New Roman" w:hAnsi="Times New Roman" w:cs="Times New Roman"/>
          <w:color w:val="111111"/>
          <w:sz w:val="24"/>
          <w:szCs w:val="24"/>
          <w:shd w:val="clear" w:color="auto" w:fill="FFFFFF"/>
        </w:rPr>
      </w:pPr>
      <w:r w:rsidRPr="006B19D5">
        <w:rPr>
          <w:rStyle w:val="mord"/>
          <w:rFonts w:ascii="Times New Roman" w:hAnsi="Times New Roman" w:cs="Times New Roman"/>
          <w:i/>
          <w:iCs/>
          <w:color w:val="111111"/>
          <w:sz w:val="24"/>
          <w:szCs w:val="24"/>
          <w:shd w:val="clear" w:color="auto" w:fill="FFFFFF"/>
        </w:rPr>
        <w:t>Rm</w:t>
      </w:r>
      <w:r w:rsidRPr="006B19D5">
        <w:rPr>
          <w:rStyle w:val="vlist-s"/>
          <w:rFonts w:ascii="Times New Roman" w:hAnsi="Times New Roman" w:cs="Times New Roman"/>
          <w:color w:val="111111"/>
          <w:sz w:val="24"/>
          <w:szCs w:val="24"/>
          <w:shd w:val="clear" w:color="auto" w:fill="FFFFFF"/>
        </w:rPr>
        <w:t>​</w:t>
      </w:r>
      <w:r w:rsidRPr="006B19D5">
        <w:rPr>
          <w:rStyle w:val="mrel"/>
          <w:rFonts w:ascii="Times New Roman" w:hAnsi="Times New Roman" w:cs="Times New Roman"/>
          <w:color w:val="111111"/>
          <w:sz w:val="24"/>
          <w:szCs w:val="24"/>
          <w:shd w:val="clear" w:color="auto" w:fill="FFFFFF"/>
        </w:rPr>
        <w:t>=</w:t>
      </w:r>
      <w:r w:rsidRPr="006B19D5">
        <w:rPr>
          <w:rStyle w:val="mord"/>
          <w:rFonts w:ascii="Times New Roman" w:hAnsi="Times New Roman" w:cs="Times New Roman"/>
          <w:color w:val="111111"/>
          <w:sz w:val="24"/>
          <w:szCs w:val="24"/>
          <w:shd w:val="clear" w:color="auto" w:fill="FFFFFF"/>
        </w:rPr>
        <w:t>the return on the overall market</w:t>
      </w:r>
    </w:p>
    <w:p w:rsidR="00D305CC" w:rsidRPr="006B19D5" w:rsidRDefault="00D305CC" w:rsidP="00D305CC">
      <w:pPr>
        <w:pStyle w:val="ListParagraph"/>
        <w:numPr>
          <w:ilvl w:val="0"/>
          <w:numId w:val="11"/>
        </w:numPr>
        <w:spacing w:line="360" w:lineRule="auto"/>
        <w:jc w:val="both"/>
        <w:rPr>
          <w:rStyle w:val="mord"/>
          <w:rFonts w:ascii="Times New Roman" w:hAnsi="Times New Roman" w:cs="Times New Roman"/>
          <w:color w:val="111111"/>
          <w:sz w:val="24"/>
          <w:szCs w:val="24"/>
          <w:shd w:val="clear" w:color="auto" w:fill="FFFFFF"/>
        </w:rPr>
      </w:pPr>
      <w:r w:rsidRPr="006B19D5">
        <w:rPr>
          <w:rStyle w:val="mord"/>
          <w:rFonts w:ascii="Times New Roman" w:hAnsi="Times New Roman" w:cs="Times New Roman"/>
          <w:color w:val="111111"/>
          <w:sz w:val="24"/>
          <w:szCs w:val="24"/>
          <w:shd w:val="clear" w:color="auto" w:fill="FFFFFF"/>
        </w:rPr>
        <w:t>Covariance</w:t>
      </w:r>
      <w:r w:rsidRPr="006B19D5">
        <w:rPr>
          <w:rStyle w:val="mrel"/>
          <w:rFonts w:ascii="Times New Roman" w:hAnsi="Times New Roman" w:cs="Times New Roman"/>
          <w:color w:val="111111"/>
          <w:sz w:val="24"/>
          <w:szCs w:val="24"/>
          <w:shd w:val="clear" w:color="auto" w:fill="FFFFFF"/>
        </w:rPr>
        <w:t>=</w:t>
      </w:r>
      <w:r w:rsidRPr="006B19D5">
        <w:rPr>
          <w:rStyle w:val="mord"/>
          <w:rFonts w:ascii="Times New Roman" w:hAnsi="Times New Roman" w:cs="Times New Roman"/>
          <w:color w:val="111111"/>
          <w:sz w:val="24"/>
          <w:szCs w:val="24"/>
          <w:shd w:val="clear" w:color="auto" w:fill="FFFFFF"/>
        </w:rPr>
        <w:t>how changes in a stock’s returns arerelated to changes in the market’s return</w:t>
      </w:r>
    </w:p>
    <w:p w:rsidR="00D305CC" w:rsidRPr="006B19D5" w:rsidRDefault="00D305CC" w:rsidP="00D305CC">
      <w:pPr>
        <w:pStyle w:val="ListParagraph"/>
        <w:numPr>
          <w:ilvl w:val="0"/>
          <w:numId w:val="11"/>
        </w:numPr>
        <w:spacing w:line="360" w:lineRule="auto"/>
        <w:jc w:val="both"/>
        <w:rPr>
          <w:rStyle w:val="mord"/>
          <w:rFonts w:ascii="Times New Roman" w:hAnsi="Times New Roman" w:cs="Times New Roman"/>
          <w:color w:val="111111"/>
          <w:sz w:val="24"/>
          <w:szCs w:val="24"/>
          <w:shd w:val="clear" w:color="auto" w:fill="FFFFFF"/>
        </w:rPr>
      </w:pPr>
      <w:r w:rsidRPr="006B19D5">
        <w:rPr>
          <w:rStyle w:val="mord"/>
          <w:rFonts w:ascii="Times New Roman" w:hAnsi="Times New Roman" w:cs="Times New Roman"/>
          <w:color w:val="111111"/>
          <w:sz w:val="24"/>
          <w:szCs w:val="24"/>
          <w:shd w:val="clear" w:color="auto" w:fill="FFFFFF"/>
        </w:rPr>
        <w:t>Variance</w:t>
      </w:r>
      <w:r w:rsidRPr="006B19D5">
        <w:rPr>
          <w:rStyle w:val="mrel"/>
          <w:rFonts w:ascii="Times New Roman" w:hAnsi="Times New Roman" w:cs="Times New Roman"/>
          <w:color w:val="111111"/>
          <w:sz w:val="24"/>
          <w:szCs w:val="24"/>
          <w:shd w:val="clear" w:color="auto" w:fill="FFFFFF"/>
        </w:rPr>
        <w:t>=</w:t>
      </w:r>
      <w:r w:rsidRPr="006B19D5">
        <w:rPr>
          <w:rStyle w:val="mord"/>
          <w:rFonts w:ascii="Times New Roman" w:hAnsi="Times New Roman" w:cs="Times New Roman"/>
          <w:color w:val="111111"/>
          <w:sz w:val="24"/>
          <w:szCs w:val="24"/>
          <w:shd w:val="clear" w:color="auto" w:fill="FFFFFF"/>
        </w:rPr>
        <w:t>how far the market’s data points spreadout from their average value</w:t>
      </w:r>
    </w:p>
    <w:p w:rsidR="00BE26D7" w:rsidRDefault="00D305CC" w:rsidP="00B10525">
      <w:pPr>
        <w:spacing w:line="360" w:lineRule="auto"/>
        <w:jc w:val="both"/>
        <w:rPr>
          <w:rStyle w:val="vlist-s"/>
          <w:rFonts w:ascii="Times New Roman" w:hAnsi="Times New Roman" w:cs="Times New Roman"/>
          <w:color w:val="111111"/>
          <w:sz w:val="24"/>
          <w:szCs w:val="24"/>
          <w:shd w:val="clear" w:color="auto" w:fill="FFFFFF"/>
        </w:rPr>
      </w:pPr>
      <w:r w:rsidRPr="006B19D5">
        <w:rPr>
          <w:rStyle w:val="vlist-s"/>
          <w:rFonts w:ascii="Times New Roman" w:hAnsi="Times New Roman" w:cs="Times New Roman"/>
          <w:color w:val="111111"/>
          <w:sz w:val="24"/>
          <w:szCs w:val="24"/>
          <w:shd w:val="clear" w:color="auto" w:fill="FFFFFF"/>
        </w:rPr>
        <w:t xml:space="preserve">Beta represent sensitivity of an asset in comparison with the market. For further clarification on a day market return was lower comparing to other days but a stocks return on the same day was </w:t>
      </w:r>
      <w:proofErr w:type="gramStart"/>
      <w:r w:rsidRPr="006B19D5">
        <w:rPr>
          <w:rStyle w:val="vlist-s"/>
          <w:rFonts w:ascii="Times New Roman" w:hAnsi="Times New Roman" w:cs="Times New Roman"/>
          <w:color w:val="111111"/>
          <w:sz w:val="24"/>
          <w:szCs w:val="24"/>
          <w:shd w:val="clear" w:color="auto" w:fill="FFFFFF"/>
        </w:rPr>
        <w:t>more steady</w:t>
      </w:r>
      <w:proofErr w:type="gramEnd"/>
      <w:r w:rsidRPr="006B19D5">
        <w:rPr>
          <w:rStyle w:val="vlist-s"/>
          <w:rFonts w:ascii="Times New Roman" w:hAnsi="Times New Roman" w:cs="Times New Roman"/>
          <w:color w:val="111111"/>
          <w:sz w:val="24"/>
          <w:szCs w:val="24"/>
          <w:shd w:val="clear" w:color="auto" w:fill="FFFFFF"/>
        </w:rPr>
        <w:t xml:space="preserve"> comparing to the market or not as much lower as the market, it implies that the stock is less sensitive to the market. </w:t>
      </w:r>
      <w:proofErr w:type="gramStart"/>
      <w:r w:rsidRPr="006B19D5">
        <w:rPr>
          <w:rStyle w:val="vlist-s"/>
          <w:rFonts w:ascii="Times New Roman" w:hAnsi="Times New Roman" w:cs="Times New Roman"/>
          <w:color w:val="111111"/>
          <w:sz w:val="24"/>
          <w:szCs w:val="24"/>
          <w:shd w:val="clear" w:color="auto" w:fill="FFFFFF"/>
        </w:rPr>
        <w:t>Lower value of beta represent less sensitivity which is expected by the investor.</w:t>
      </w:r>
      <w:proofErr w:type="gramEnd"/>
    </w:p>
    <w:p w:rsidR="00BE26D7" w:rsidRDefault="00B10525" w:rsidP="00BE26D7">
      <w:pPr>
        <w:spacing w:line="360" w:lineRule="auto"/>
        <w:jc w:val="both"/>
        <w:rPr>
          <w:rFonts w:ascii="Times New Roman" w:hAnsi="Times New Roman" w:cs="Times New Roman"/>
          <w:color w:val="111111"/>
          <w:sz w:val="24"/>
          <w:szCs w:val="24"/>
          <w:shd w:val="clear" w:color="auto" w:fill="FFFFFF"/>
        </w:rPr>
      </w:pPr>
      <m:oMathPara>
        <m:oMath>
          <m:r>
            <w:rPr>
              <w:rFonts w:ascii="Cambria Math" w:hAnsi="Cambria Math" w:cs="Times New Roman"/>
              <w:color w:val="111111"/>
              <w:sz w:val="24"/>
              <w:szCs w:val="24"/>
              <w:shd w:val="clear" w:color="auto" w:fill="FFFFFF"/>
            </w:rPr>
            <m:t>Treynor Ratio=</m:t>
          </m:r>
          <m:f>
            <m:fPr>
              <m:ctrlPr>
                <w:rPr>
                  <w:rFonts w:ascii="Cambria Math" w:hAnsi="Cambria Math" w:cs="Times New Roman"/>
                  <w:i/>
                  <w:color w:val="111111"/>
                  <w:sz w:val="24"/>
                  <w:szCs w:val="24"/>
                  <w:shd w:val="clear" w:color="auto" w:fill="FFFFFF"/>
                </w:rPr>
              </m:ctrlPr>
            </m:fPr>
            <m:num>
              <m:r>
                <w:rPr>
                  <w:rFonts w:ascii="Cambria Math" w:hAnsi="Cambria Math" w:cs="Times New Roman"/>
                  <w:color w:val="111111"/>
                  <w:sz w:val="24"/>
                  <w:szCs w:val="24"/>
                  <w:shd w:val="clear" w:color="auto" w:fill="FFFFFF"/>
                </w:rPr>
                <m:t>Rp-Rf</m:t>
              </m:r>
            </m:num>
            <m:den>
              <m:r>
                <w:rPr>
                  <w:rFonts w:ascii="Cambria Math" w:hAnsi="Cambria Math" w:cs="Times New Roman"/>
                  <w:color w:val="111111"/>
                  <w:sz w:val="24"/>
                  <w:szCs w:val="24"/>
                  <w:shd w:val="clear" w:color="auto" w:fill="FFFFFF"/>
                </w:rPr>
                <m:t>βp</m:t>
              </m:r>
            </m:den>
          </m:f>
          <m:r>
            <m:rPr>
              <m:sty m:val="p"/>
            </m:rPr>
            <w:rPr>
              <w:rFonts w:ascii="Cambria Math" w:hAnsi="Cambria Math" w:cs="Times New Roman"/>
              <w:color w:val="111111"/>
              <w:sz w:val="24"/>
              <w:szCs w:val="24"/>
              <w:shd w:val="clear" w:color="auto" w:fill="FFFFFF"/>
            </w:rPr>
            <w:br/>
          </m:r>
        </m:oMath>
      </m:oMathPara>
      <w:r w:rsidRPr="00CA78EF">
        <w:rPr>
          <w:rFonts w:ascii="Times New Roman" w:hAnsi="Times New Roman" w:cs="Times New Roman"/>
          <w:color w:val="111111"/>
          <w:sz w:val="24"/>
          <w:szCs w:val="24"/>
          <w:shd w:val="clear" w:color="auto" w:fill="FFFFFF"/>
        </w:rPr>
        <w:t xml:space="preserve">If a portfolio has a negative beta then the Treynor ratio is meaningless. A higher value of Treynor ratio is more </w:t>
      </w:r>
      <w:proofErr w:type="spellStart"/>
      <w:r w:rsidRPr="00CA78EF">
        <w:rPr>
          <w:rFonts w:ascii="Times New Roman" w:hAnsi="Times New Roman" w:cs="Times New Roman"/>
          <w:color w:val="111111"/>
          <w:sz w:val="24"/>
          <w:szCs w:val="24"/>
          <w:shd w:val="clear" w:color="auto" w:fill="FFFFFF"/>
        </w:rPr>
        <w:t>desireable</w:t>
      </w:r>
      <w:proofErr w:type="spellEnd"/>
      <w:r w:rsidRPr="00CA78EF">
        <w:rPr>
          <w:rFonts w:ascii="Times New Roman" w:hAnsi="Times New Roman" w:cs="Times New Roman"/>
          <w:color w:val="111111"/>
          <w:sz w:val="24"/>
          <w:szCs w:val="24"/>
          <w:shd w:val="clear" w:color="auto" w:fill="FFFFFF"/>
        </w:rPr>
        <w:t xml:space="preserve">. </w:t>
      </w:r>
      <w:proofErr w:type="spellStart"/>
      <w:r w:rsidRPr="00CA78EF">
        <w:rPr>
          <w:rFonts w:ascii="Times New Roman" w:hAnsi="Times New Roman" w:cs="Times New Roman"/>
          <w:color w:val="111111"/>
          <w:sz w:val="24"/>
          <w:szCs w:val="24"/>
          <w:shd w:val="clear" w:color="auto" w:fill="FFFFFF"/>
        </w:rPr>
        <w:t>Treynor</w:t>
      </w:r>
      <w:proofErr w:type="spellEnd"/>
      <w:r w:rsidRPr="00CA78EF">
        <w:rPr>
          <w:rFonts w:ascii="Times New Roman" w:hAnsi="Times New Roman" w:cs="Times New Roman"/>
          <w:color w:val="111111"/>
          <w:sz w:val="24"/>
          <w:szCs w:val="24"/>
          <w:shd w:val="clear" w:color="auto" w:fill="FFFFFF"/>
        </w:rPr>
        <w:t xml:space="preserve"> </w:t>
      </w:r>
      <w:proofErr w:type="gramStart"/>
      <w:r w:rsidRPr="00CA78EF">
        <w:rPr>
          <w:rFonts w:ascii="Times New Roman" w:hAnsi="Times New Roman" w:cs="Times New Roman"/>
          <w:color w:val="111111"/>
          <w:sz w:val="24"/>
          <w:szCs w:val="24"/>
          <w:shd w:val="clear" w:color="auto" w:fill="FFFFFF"/>
        </w:rPr>
        <w:t>ratio make</w:t>
      </w:r>
      <w:proofErr w:type="gramEnd"/>
      <w:r w:rsidRPr="00CA78EF">
        <w:rPr>
          <w:rFonts w:ascii="Times New Roman" w:hAnsi="Times New Roman" w:cs="Times New Roman"/>
          <w:color w:val="111111"/>
          <w:sz w:val="24"/>
          <w:szCs w:val="24"/>
          <w:shd w:val="clear" w:color="auto" w:fill="FFFFFF"/>
        </w:rPr>
        <w:t xml:space="preserve"> sense because an investor should be rewarded for risk associated with portfolio if it does not be able to diversify risk in favor of the investor. It should be denoted that though </w:t>
      </w:r>
      <w:proofErr w:type="spellStart"/>
      <w:r w:rsidRPr="00CA78EF">
        <w:rPr>
          <w:rFonts w:ascii="Times New Roman" w:hAnsi="Times New Roman" w:cs="Times New Roman"/>
          <w:color w:val="111111"/>
          <w:sz w:val="24"/>
          <w:szCs w:val="24"/>
          <w:shd w:val="clear" w:color="auto" w:fill="FFFFFF"/>
        </w:rPr>
        <w:t>Treynor</w:t>
      </w:r>
      <w:proofErr w:type="spellEnd"/>
      <w:r w:rsidRPr="00CA78EF">
        <w:rPr>
          <w:rFonts w:ascii="Times New Roman" w:hAnsi="Times New Roman" w:cs="Times New Roman"/>
          <w:color w:val="111111"/>
          <w:sz w:val="24"/>
          <w:szCs w:val="24"/>
          <w:shd w:val="clear" w:color="auto" w:fill="FFFFFF"/>
        </w:rPr>
        <w:t xml:space="preserve"> ratio is based on historical data and have a lot of merit one should not solely rely on a single ratio to evaluate future performance.</w:t>
      </w:r>
    </w:p>
    <w:p w:rsidR="00BE26D7" w:rsidRPr="00CC0885" w:rsidRDefault="00D305CC" w:rsidP="0093040D">
      <w:pPr>
        <w:pStyle w:val="Heading2"/>
        <w:spacing w:after="240"/>
        <w:rPr>
          <w:rFonts w:ascii="Times New Roman" w:hAnsi="Times New Roman" w:cs="Times New Roman"/>
          <w:b/>
          <w:color w:val="auto"/>
          <w:sz w:val="32"/>
          <w:szCs w:val="32"/>
          <w:shd w:val="clear" w:color="auto" w:fill="FFFFFF"/>
        </w:rPr>
      </w:pPr>
      <w:bookmarkStart w:id="25" w:name="_Toc13070813"/>
      <w:r w:rsidRPr="00CC0885">
        <w:rPr>
          <w:rFonts w:ascii="Times New Roman" w:hAnsi="Times New Roman" w:cs="Times New Roman"/>
          <w:b/>
          <w:color w:val="auto"/>
          <w:sz w:val="32"/>
          <w:szCs w:val="32"/>
          <w:shd w:val="clear" w:color="auto" w:fill="FFFFFF"/>
        </w:rPr>
        <w:t>Jensen's Measure</w:t>
      </w:r>
      <w:bookmarkEnd w:id="25"/>
    </w:p>
    <w:p w:rsidR="00D305CC" w:rsidRPr="006B19D5" w:rsidRDefault="00D305CC" w:rsidP="00BE26D7">
      <w:pPr>
        <w:spacing w:line="360" w:lineRule="auto"/>
        <w:jc w:val="both"/>
        <w:rPr>
          <w:rFonts w:ascii="Times New Roman" w:hAnsi="Times New Roman" w:cs="Times New Roman"/>
          <w:color w:val="111111"/>
          <w:sz w:val="24"/>
          <w:szCs w:val="24"/>
          <w:shd w:val="clear" w:color="auto" w:fill="FFFFFF"/>
        </w:rPr>
      </w:pPr>
      <w:r w:rsidRPr="006B19D5">
        <w:rPr>
          <w:rFonts w:ascii="Times New Roman" w:hAnsi="Times New Roman" w:cs="Times New Roman"/>
          <w:color w:val="111111"/>
          <w:sz w:val="24"/>
          <w:szCs w:val="24"/>
          <w:shd w:val="clear" w:color="auto" w:fill="FFFFFF"/>
        </w:rPr>
        <w:t xml:space="preserve">Jensen’s Measure was first applied Michael Jensen in 1968. The model of Jensen's Measure actually depend on Capital Asset Pricing Model. It shows how </w:t>
      </w:r>
      <w:proofErr w:type="gramStart"/>
      <w:r w:rsidRPr="006B19D5">
        <w:rPr>
          <w:rFonts w:ascii="Times New Roman" w:hAnsi="Times New Roman" w:cs="Times New Roman"/>
          <w:color w:val="111111"/>
          <w:sz w:val="24"/>
          <w:szCs w:val="24"/>
          <w:shd w:val="clear" w:color="auto" w:fill="FFFFFF"/>
        </w:rPr>
        <w:t>a</w:t>
      </w:r>
      <w:proofErr w:type="gramEnd"/>
      <w:r w:rsidRPr="006B19D5">
        <w:rPr>
          <w:rFonts w:ascii="Times New Roman" w:hAnsi="Times New Roman" w:cs="Times New Roman"/>
          <w:color w:val="111111"/>
          <w:sz w:val="24"/>
          <w:szCs w:val="24"/>
          <w:shd w:val="clear" w:color="auto" w:fill="FFFFFF"/>
        </w:rPr>
        <w:t xml:space="preserve"> assets return fluctuated above or below of the return predicted by CAPM. An investor not only should focus on return but also he should consider the risk associated with the return. Jensen's Measure is one of the way to evaluate that. </w:t>
      </w:r>
    </w:p>
    <w:p w:rsidR="00A2476F" w:rsidRDefault="00D305CC" w:rsidP="00FE158C">
      <w:pPr>
        <w:spacing w:line="240" w:lineRule="auto"/>
        <w:jc w:val="both"/>
        <w:rPr>
          <w:rFonts w:ascii="Times New Roman" w:hAnsi="Times New Roman" w:cs="Times New Roman"/>
          <w:color w:val="111111"/>
          <w:sz w:val="24"/>
          <w:szCs w:val="24"/>
          <w:shd w:val="clear" w:color="auto" w:fill="FFFFFF"/>
        </w:rPr>
      </w:pPr>
      <w:r w:rsidRPr="006B19D5">
        <w:rPr>
          <w:rFonts w:ascii="Times New Roman" w:hAnsi="Times New Roman" w:cs="Times New Roman"/>
          <w:color w:val="111111"/>
          <w:sz w:val="24"/>
          <w:szCs w:val="24"/>
          <w:shd w:val="clear" w:color="auto" w:fill="FFFFFF"/>
        </w:rPr>
        <w:t xml:space="preserve">α= </w:t>
      </w:r>
      <w:proofErr w:type="gramStart"/>
      <w:r w:rsidRPr="006B19D5">
        <w:rPr>
          <w:rFonts w:ascii="Times New Roman" w:hAnsi="Times New Roman" w:cs="Times New Roman"/>
          <w:color w:val="111111"/>
          <w:sz w:val="24"/>
          <w:szCs w:val="24"/>
          <w:shd w:val="clear" w:color="auto" w:fill="FFFFFF"/>
        </w:rPr>
        <w:t>R(</w:t>
      </w:r>
      <w:proofErr w:type="spellStart"/>
      <w:proofErr w:type="gramEnd"/>
      <w:r w:rsidRPr="006B19D5">
        <w:rPr>
          <w:rFonts w:ascii="Times New Roman" w:hAnsi="Times New Roman" w:cs="Times New Roman"/>
          <w:color w:val="111111"/>
          <w:sz w:val="24"/>
          <w:szCs w:val="24"/>
          <w:shd w:val="clear" w:color="auto" w:fill="FFFFFF"/>
        </w:rPr>
        <w:t>i</w:t>
      </w:r>
      <w:proofErr w:type="spellEnd"/>
      <w:r w:rsidRPr="006B19D5">
        <w:rPr>
          <w:rFonts w:ascii="Times New Roman" w:hAnsi="Times New Roman" w:cs="Times New Roman"/>
          <w:color w:val="111111"/>
          <w:sz w:val="24"/>
          <w:szCs w:val="24"/>
          <w:shd w:val="clear" w:color="auto" w:fill="FFFFFF"/>
        </w:rPr>
        <w:t>) - (R(f) +</w:t>
      </w:r>
      <w:r w:rsidRPr="006B19D5">
        <w:rPr>
          <w:rFonts w:ascii="Times New Roman" w:hAnsi="Times New Roman" w:cs="Times New Roman"/>
          <w:color w:val="111111"/>
          <w:sz w:val="24"/>
          <w:szCs w:val="24"/>
        </w:rPr>
        <w:t xml:space="preserve"> β</w:t>
      </w:r>
      <w:r w:rsidR="00A2476F">
        <w:rPr>
          <w:rFonts w:ascii="Times New Roman" w:hAnsi="Times New Roman" w:cs="Times New Roman"/>
          <w:color w:val="111111"/>
          <w:sz w:val="24"/>
          <w:szCs w:val="24"/>
          <w:shd w:val="clear" w:color="auto" w:fill="FFFFFF"/>
        </w:rPr>
        <w:t xml:space="preserve"> *(R(m) - R(f)))</w:t>
      </w:r>
    </w:p>
    <w:p w:rsidR="00D305CC" w:rsidRPr="006B19D5" w:rsidRDefault="00D305CC" w:rsidP="00FE158C">
      <w:pPr>
        <w:spacing w:line="240" w:lineRule="auto"/>
        <w:jc w:val="both"/>
        <w:rPr>
          <w:rFonts w:ascii="Times New Roman" w:hAnsi="Times New Roman" w:cs="Times New Roman"/>
          <w:color w:val="111111"/>
          <w:sz w:val="24"/>
          <w:szCs w:val="24"/>
          <w:shd w:val="clear" w:color="auto" w:fill="FFFFFF"/>
        </w:rPr>
      </w:pPr>
      <w:proofErr w:type="gramStart"/>
      <w:r w:rsidRPr="006B19D5">
        <w:rPr>
          <w:rFonts w:ascii="Times New Roman" w:hAnsi="Times New Roman" w:cs="Times New Roman"/>
          <w:color w:val="111111"/>
          <w:sz w:val="24"/>
          <w:szCs w:val="24"/>
        </w:rPr>
        <w:t>R(</w:t>
      </w:r>
      <w:proofErr w:type="spellStart"/>
      <w:proofErr w:type="gramEnd"/>
      <w:r w:rsidRPr="006B19D5">
        <w:rPr>
          <w:rFonts w:ascii="Times New Roman" w:hAnsi="Times New Roman" w:cs="Times New Roman"/>
          <w:color w:val="111111"/>
          <w:sz w:val="24"/>
          <w:szCs w:val="24"/>
        </w:rPr>
        <w:t>i</w:t>
      </w:r>
      <w:proofErr w:type="spellEnd"/>
      <w:r w:rsidRPr="006B19D5">
        <w:rPr>
          <w:rFonts w:ascii="Times New Roman" w:hAnsi="Times New Roman" w:cs="Times New Roman"/>
          <w:color w:val="111111"/>
          <w:sz w:val="24"/>
          <w:szCs w:val="24"/>
        </w:rPr>
        <w:t>) = the realized return of the portfolio or investment</w:t>
      </w:r>
    </w:p>
    <w:p w:rsidR="00D305CC" w:rsidRPr="006B19D5" w:rsidRDefault="00D305CC" w:rsidP="00FE158C">
      <w:pPr>
        <w:pStyle w:val="NormalWeb"/>
        <w:shd w:val="clear" w:color="auto" w:fill="FFFFFF"/>
        <w:spacing w:before="0" w:beforeAutospacing="0"/>
        <w:rPr>
          <w:color w:val="111111"/>
        </w:rPr>
      </w:pPr>
      <w:proofErr w:type="gramStart"/>
      <w:r w:rsidRPr="006B19D5">
        <w:rPr>
          <w:color w:val="111111"/>
        </w:rPr>
        <w:t>R(</w:t>
      </w:r>
      <w:proofErr w:type="gramEnd"/>
      <w:r w:rsidRPr="006B19D5">
        <w:rPr>
          <w:color w:val="111111"/>
        </w:rPr>
        <w:t>m) = the realized return of the appropriate market index</w:t>
      </w:r>
    </w:p>
    <w:p w:rsidR="00D305CC" w:rsidRPr="006B19D5" w:rsidRDefault="00D305CC" w:rsidP="00FE158C">
      <w:pPr>
        <w:pStyle w:val="NormalWeb"/>
        <w:shd w:val="clear" w:color="auto" w:fill="FFFFFF"/>
        <w:spacing w:before="0" w:beforeAutospacing="0"/>
        <w:rPr>
          <w:color w:val="111111"/>
        </w:rPr>
      </w:pPr>
      <w:proofErr w:type="gramStart"/>
      <w:r w:rsidRPr="006B19D5">
        <w:rPr>
          <w:color w:val="111111"/>
        </w:rPr>
        <w:t>R(</w:t>
      </w:r>
      <w:proofErr w:type="gramEnd"/>
      <w:r w:rsidRPr="006B19D5">
        <w:rPr>
          <w:color w:val="111111"/>
        </w:rPr>
        <w:t>f) = the risk-free rate of return for the time period</w:t>
      </w:r>
    </w:p>
    <w:p w:rsidR="00942C7D" w:rsidRDefault="00D305CC" w:rsidP="00942C7D">
      <w:pPr>
        <w:pStyle w:val="NormalWeb"/>
        <w:shd w:val="clear" w:color="auto" w:fill="FFFFFF"/>
        <w:spacing w:before="0" w:beforeAutospacing="0"/>
        <w:rPr>
          <w:color w:val="111111"/>
        </w:rPr>
      </w:pPr>
      <w:r w:rsidRPr="006B19D5">
        <w:rPr>
          <w:color w:val="111111"/>
        </w:rPr>
        <w:t>β = the beta of the portfolio of investment with re</w:t>
      </w:r>
      <w:r w:rsidR="0093040D">
        <w:rPr>
          <w:color w:val="111111"/>
        </w:rPr>
        <w:t>spect to the chosen market index</w:t>
      </w:r>
    </w:p>
    <w:p w:rsidR="00D305CC" w:rsidRPr="00942C7D" w:rsidRDefault="00D305CC" w:rsidP="00942C7D">
      <w:pPr>
        <w:pStyle w:val="NormalWeb"/>
        <w:shd w:val="clear" w:color="auto" w:fill="FFFFFF"/>
        <w:spacing w:before="0" w:beforeAutospacing="0"/>
        <w:rPr>
          <w:color w:val="111111"/>
        </w:rPr>
      </w:pPr>
      <w:r w:rsidRPr="0093040D">
        <w:rPr>
          <w:b/>
          <w:sz w:val="32"/>
          <w:szCs w:val="32"/>
          <w:shd w:val="clear" w:color="auto" w:fill="FFFFFF"/>
        </w:rPr>
        <w:lastRenderedPageBreak/>
        <w:t>Capital Asset Pricing Model</w:t>
      </w:r>
    </w:p>
    <w:p w:rsidR="00D305CC" w:rsidRPr="006B19D5" w:rsidRDefault="00D305CC" w:rsidP="00306032">
      <w:pPr>
        <w:spacing w:after="0" w:line="360" w:lineRule="auto"/>
        <w:jc w:val="both"/>
        <w:rPr>
          <w:rFonts w:ascii="Times New Roman" w:hAnsi="Times New Roman" w:cs="Times New Roman"/>
          <w:color w:val="111111"/>
          <w:sz w:val="24"/>
          <w:szCs w:val="24"/>
          <w:shd w:val="clear" w:color="auto" w:fill="FFFFFF"/>
        </w:rPr>
      </w:pPr>
      <w:r w:rsidRPr="006B19D5">
        <w:rPr>
          <w:rFonts w:ascii="Times New Roman" w:hAnsi="Times New Roman" w:cs="Times New Roman"/>
          <w:color w:val="111111"/>
          <w:sz w:val="24"/>
          <w:szCs w:val="24"/>
          <w:shd w:val="clear" w:color="auto" w:fill="FFFFFF"/>
        </w:rPr>
        <w:t xml:space="preserve">CAPM is the heart of modern theories of finance. The legacy of CAPM started with Harry Markowitz in 1952 with his work on development of modern portfolio theory, which is also known as Markowitz portfolio of optimization. Markowitz portfolio optimization show us how a true rational investor select asset in a portfolio. According to Markowitz assets in a portfolio should not be considered individually because investor have the option to make a combination of asset that benefits him most in consideration of risk and return. In other word combination of asset in a portfolio help to maximize risk and return. Markowitz model achieve its </w:t>
      </w:r>
      <w:proofErr w:type="gramStart"/>
      <w:r w:rsidRPr="006B19D5">
        <w:rPr>
          <w:rFonts w:ascii="Times New Roman" w:hAnsi="Times New Roman" w:cs="Times New Roman"/>
          <w:color w:val="111111"/>
          <w:sz w:val="24"/>
          <w:szCs w:val="24"/>
          <w:shd w:val="clear" w:color="auto" w:fill="FFFFFF"/>
        </w:rPr>
        <w:t>objective  by</w:t>
      </w:r>
      <w:proofErr w:type="gramEnd"/>
      <w:r w:rsidRPr="006B19D5">
        <w:rPr>
          <w:rFonts w:ascii="Times New Roman" w:hAnsi="Times New Roman" w:cs="Times New Roman"/>
          <w:color w:val="111111"/>
          <w:sz w:val="24"/>
          <w:szCs w:val="24"/>
          <w:shd w:val="clear" w:color="auto" w:fill="FFFFFF"/>
        </w:rPr>
        <w:t xml:space="preserve"> using several element. First of all it assign point of all </w:t>
      </w:r>
      <w:proofErr w:type="gramStart"/>
      <w:r w:rsidRPr="006B19D5">
        <w:rPr>
          <w:rFonts w:ascii="Times New Roman" w:hAnsi="Times New Roman" w:cs="Times New Roman"/>
          <w:color w:val="111111"/>
          <w:sz w:val="24"/>
          <w:szCs w:val="24"/>
          <w:shd w:val="clear" w:color="auto" w:fill="FFFFFF"/>
        </w:rPr>
        <w:t>possible  portfolio</w:t>
      </w:r>
      <w:proofErr w:type="gramEnd"/>
      <w:r w:rsidRPr="006B19D5">
        <w:rPr>
          <w:rFonts w:ascii="Times New Roman" w:hAnsi="Times New Roman" w:cs="Times New Roman"/>
          <w:color w:val="111111"/>
          <w:sz w:val="24"/>
          <w:szCs w:val="24"/>
          <w:shd w:val="clear" w:color="auto" w:fill="FFFFFF"/>
        </w:rPr>
        <w:t xml:space="preserve"> combination of asset that are available to investor which determine the minimum variance frontier.  Minimum variance frontier represents lowest possible variance for a given portfolio expected return. The portfolio with minimum variance is denoted by global minimum variance. Every point on minimum variance above the global minimum variance on the minimum variance frontier represent best combination of asset on portfolio , which can also be called as potential optimal portfolio. The second phrase involve associating risk free asset with help of capital allocation line. Capita Allocation Line </w:t>
      </w:r>
      <w:proofErr w:type="gramStart"/>
      <w:r w:rsidRPr="006B19D5">
        <w:rPr>
          <w:rFonts w:ascii="Times New Roman" w:hAnsi="Times New Roman" w:cs="Times New Roman"/>
          <w:color w:val="111111"/>
          <w:sz w:val="24"/>
          <w:szCs w:val="24"/>
          <w:shd w:val="clear" w:color="auto" w:fill="FFFFFF"/>
        </w:rPr>
        <w:t>consider</w:t>
      </w:r>
      <w:proofErr w:type="gramEnd"/>
      <w:r w:rsidRPr="006B19D5">
        <w:rPr>
          <w:rFonts w:ascii="Times New Roman" w:hAnsi="Times New Roman" w:cs="Times New Roman"/>
          <w:color w:val="111111"/>
          <w:sz w:val="24"/>
          <w:szCs w:val="24"/>
          <w:shd w:val="clear" w:color="auto" w:fill="FFFFFF"/>
        </w:rPr>
        <w:t xml:space="preserve"> return from risk free asset plus return from an individual asset or portfolio. The CAL which </w:t>
      </w:r>
      <w:proofErr w:type="gramStart"/>
      <w:r w:rsidRPr="006B19D5">
        <w:rPr>
          <w:rFonts w:ascii="Times New Roman" w:hAnsi="Times New Roman" w:cs="Times New Roman"/>
          <w:color w:val="111111"/>
          <w:sz w:val="24"/>
          <w:szCs w:val="24"/>
          <w:shd w:val="clear" w:color="auto" w:fill="FFFFFF"/>
        </w:rPr>
        <w:t>is  tangent</w:t>
      </w:r>
      <w:proofErr w:type="gramEnd"/>
      <w:r w:rsidRPr="006B19D5">
        <w:rPr>
          <w:rFonts w:ascii="Times New Roman" w:hAnsi="Times New Roman" w:cs="Times New Roman"/>
          <w:color w:val="111111"/>
          <w:sz w:val="24"/>
          <w:szCs w:val="24"/>
          <w:shd w:val="clear" w:color="auto" w:fill="FFFFFF"/>
        </w:rPr>
        <w:t xml:space="preserve"> to the efficient frontier represent the optimum risky portfolio. The slope of the CAL represent the reward to variability ratio or the Sharpe ratio. Sharpe ratio is a contribution </w:t>
      </w:r>
      <w:proofErr w:type="gramStart"/>
      <w:r w:rsidRPr="006B19D5">
        <w:rPr>
          <w:rFonts w:ascii="Times New Roman" w:hAnsi="Times New Roman" w:cs="Times New Roman"/>
          <w:color w:val="111111"/>
          <w:sz w:val="24"/>
          <w:szCs w:val="24"/>
          <w:shd w:val="clear" w:color="auto" w:fill="FFFFFF"/>
        </w:rPr>
        <w:t>of  William</w:t>
      </w:r>
      <w:proofErr w:type="gramEnd"/>
      <w:r w:rsidRPr="006B19D5">
        <w:rPr>
          <w:rFonts w:ascii="Times New Roman" w:hAnsi="Times New Roman" w:cs="Times New Roman"/>
          <w:color w:val="111111"/>
          <w:sz w:val="24"/>
          <w:szCs w:val="24"/>
          <w:shd w:val="clear" w:color="auto" w:fill="FFFFFF"/>
        </w:rPr>
        <w:t xml:space="preserve"> F. Sharpe which came at 1966. The idea of CAPM was first introduce by William F. Sharpe, John </w:t>
      </w:r>
      <w:proofErr w:type="spellStart"/>
      <w:r w:rsidRPr="006B19D5">
        <w:rPr>
          <w:rFonts w:ascii="Times New Roman" w:hAnsi="Times New Roman" w:cs="Times New Roman"/>
          <w:color w:val="111111"/>
          <w:sz w:val="24"/>
          <w:szCs w:val="24"/>
          <w:shd w:val="clear" w:color="auto" w:fill="FFFFFF"/>
        </w:rPr>
        <w:t>Lintner</w:t>
      </w:r>
      <w:proofErr w:type="spellEnd"/>
      <w:r w:rsidRPr="006B19D5">
        <w:rPr>
          <w:rFonts w:ascii="Times New Roman" w:hAnsi="Times New Roman" w:cs="Times New Roman"/>
          <w:color w:val="111111"/>
          <w:sz w:val="24"/>
          <w:szCs w:val="24"/>
          <w:shd w:val="clear" w:color="auto" w:fill="FFFFFF"/>
        </w:rPr>
        <w:t xml:space="preserve"> and Jan </w:t>
      </w:r>
      <w:proofErr w:type="spellStart"/>
      <w:r w:rsidRPr="006B19D5">
        <w:rPr>
          <w:rFonts w:ascii="Times New Roman" w:hAnsi="Times New Roman" w:cs="Times New Roman"/>
          <w:color w:val="111111"/>
          <w:sz w:val="24"/>
          <w:szCs w:val="24"/>
          <w:shd w:val="clear" w:color="auto" w:fill="FFFFFF"/>
        </w:rPr>
        <w:t>Mossin</w:t>
      </w:r>
      <w:proofErr w:type="spellEnd"/>
      <w:r w:rsidRPr="006B19D5">
        <w:rPr>
          <w:rFonts w:ascii="Times New Roman" w:hAnsi="Times New Roman" w:cs="Times New Roman"/>
          <w:color w:val="111111"/>
          <w:sz w:val="24"/>
          <w:szCs w:val="24"/>
          <w:shd w:val="clear" w:color="auto" w:fill="FFFFFF"/>
        </w:rPr>
        <w:t xml:space="preserve"> after 12 years of Markowitz model. The CAPM give </w:t>
      </w:r>
      <w:proofErr w:type="gramStart"/>
      <w:r w:rsidRPr="006B19D5">
        <w:rPr>
          <w:rFonts w:ascii="Times New Roman" w:hAnsi="Times New Roman" w:cs="Times New Roman"/>
          <w:color w:val="111111"/>
          <w:sz w:val="24"/>
          <w:szCs w:val="24"/>
          <w:shd w:val="clear" w:color="auto" w:fill="FFFFFF"/>
        </w:rPr>
        <w:t>an</w:t>
      </w:r>
      <w:proofErr w:type="gramEnd"/>
      <w:r w:rsidRPr="006B19D5">
        <w:rPr>
          <w:rFonts w:ascii="Times New Roman" w:hAnsi="Times New Roman" w:cs="Times New Roman"/>
          <w:color w:val="111111"/>
          <w:sz w:val="24"/>
          <w:szCs w:val="24"/>
          <w:shd w:val="clear" w:color="auto" w:fill="FFFFFF"/>
        </w:rPr>
        <w:t xml:space="preserve"> logical idea about what should be expected return on a risky asset or portfolio. Assuming all investor, following Markowitz Model we can say Capital Allocation Line to be similar as Capital Market Line. Because market portfolio is essentially the aggregation of all identical risky portfolio and if all investor chose the exact same portfolio that is suggested by Markowitz model it will simply be equal to CAL. By breaking down this insight of CAPM, we can point out 3 assumption of the model. </w:t>
      </w:r>
    </w:p>
    <w:p w:rsidR="00D305CC" w:rsidRPr="006B19D5" w:rsidRDefault="00D305CC" w:rsidP="00D305CC">
      <w:pPr>
        <w:pStyle w:val="ListParagraph"/>
        <w:numPr>
          <w:ilvl w:val="0"/>
          <w:numId w:val="12"/>
        </w:numPr>
        <w:spacing w:line="360" w:lineRule="auto"/>
        <w:jc w:val="both"/>
        <w:rPr>
          <w:rFonts w:ascii="Times New Roman" w:hAnsi="Times New Roman" w:cs="Times New Roman"/>
          <w:color w:val="111111"/>
          <w:sz w:val="24"/>
          <w:szCs w:val="24"/>
          <w:shd w:val="clear" w:color="auto" w:fill="FFFFFF"/>
        </w:rPr>
      </w:pPr>
      <w:r w:rsidRPr="006B19D5">
        <w:rPr>
          <w:rFonts w:ascii="Times New Roman" w:hAnsi="Times New Roman" w:cs="Times New Roman"/>
          <w:color w:val="111111"/>
          <w:sz w:val="24"/>
          <w:szCs w:val="24"/>
          <w:shd w:val="clear" w:color="auto" w:fill="FFFFFF"/>
        </w:rPr>
        <w:t>Al Investors are rational and they optimize  the mean variance and they set plan for a particular single period</w:t>
      </w:r>
    </w:p>
    <w:p w:rsidR="00D305CC" w:rsidRPr="006B19D5" w:rsidRDefault="00D305CC" w:rsidP="00D305CC">
      <w:pPr>
        <w:pStyle w:val="ListParagraph"/>
        <w:numPr>
          <w:ilvl w:val="0"/>
          <w:numId w:val="12"/>
        </w:numPr>
        <w:spacing w:line="360" w:lineRule="auto"/>
        <w:jc w:val="both"/>
        <w:rPr>
          <w:rFonts w:ascii="Times New Roman" w:hAnsi="Times New Roman" w:cs="Times New Roman"/>
          <w:color w:val="111111"/>
          <w:sz w:val="24"/>
          <w:szCs w:val="24"/>
          <w:shd w:val="clear" w:color="auto" w:fill="FFFFFF"/>
        </w:rPr>
      </w:pPr>
      <w:r w:rsidRPr="006B19D5">
        <w:rPr>
          <w:rFonts w:ascii="Times New Roman" w:hAnsi="Times New Roman" w:cs="Times New Roman"/>
          <w:color w:val="111111"/>
          <w:sz w:val="24"/>
          <w:szCs w:val="24"/>
          <w:shd w:val="clear" w:color="auto" w:fill="FFFFFF"/>
        </w:rPr>
        <w:t>All investor have the same uniform expectation or same input list</w:t>
      </w:r>
    </w:p>
    <w:p w:rsidR="00D42ABC" w:rsidRDefault="00D305CC" w:rsidP="00D305CC">
      <w:pPr>
        <w:pStyle w:val="ListParagraph"/>
        <w:numPr>
          <w:ilvl w:val="0"/>
          <w:numId w:val="12"/>
        </w:numPr>
        <w:spacing w:line="360" w:lineRule="auto"/>
        <w:jc w:val="both"/>
        <w:rPr>
          <w:rFonts w:ascii="Times New Roman" w:hAnsi="Times New Roman" w:cs="Times New Roman"/>
          <w:color w:val="111111"/>
          <w:sz w:val="24"/>
          <w:szCs w:val="24"/>
          <w:shd w:val="clear" w:color="auto" w:fill="FFFFFF"/>
        </w:rPr>
      </w:pPr>
      <w:r w:rsidRPr="006B19D5">
        <w:rPr>
          <w:rFonts w:ascii="Times New Roman" w:hAnsi="Times New Roman" w:cs="Times New Roman"/>
          <w:color w:val="111111"/>
          <w:sz w:val="24"/>
          <w:szCs w:val="24"/>
          <w:shd w:val="clear" w:color="auto" w:fill="FFFFFF"/>
        </w:rPr>
        <w:t xml:space="preserve">All assets are publicly traded, investor have option of taking short position or borrowing and lending at the identical rate. </w:t>
      </w:r>
    </w:p>
    <w:p w:rsidR="00942C7D" w:rsidRDefault="00D305CC" w:rsidP="00942C7D">
      <w:pPr>
        <w:spacing w:after="0" w:line="360" w:lineRule="auto"/>
        <w:jc w:val="both"/>
        <w:rPr>
          <w:rFonts w:ascii="Times New Roman" w:hAnsi="Times New Roman" w:cs="Times New Roman"/>
          <w:color w:val="111111"/>
          <w:sz w:val="24"/>
          <w:szCs w:val="24"/>
          <w:shd w:val="clear" w:color="auto" w:fill="FFFFFF"/>
        </w:rPr>
      </w:pPr>
      <w:r w:rsidRPr="00D42ABC">
        <w:rPr>
          <w:rFonts w:ascii="Times New Roman" w:hAnsi="Times New Roman" w:cs="Times New Roman"/>
          <w:color w:val="111111"/>
          <w:sz w:val="24"/>
          <w:szCs w:val="24"/>
          <w:shd w:val="clear" w:color="auto" w:fill="FFFFFF"/>
        </w:rPr>
        <w:t>The formula of CAPM is represented by</w:t>
      </w:r>
    </w:p>
    <w:p w:rsidR="00D305CC" w:rsidRPr="00942C7D" w:rsidRDefault="00D305CC" w:rsidP="00942C7D">
      <w:pPr>
        <w:spacing w:after="0" w:line="360" w:lineRule="auto"/>
        <w:jc w:val="both"/>
        <w:rPr>
          <w:rFonts w:ascii="Times New Roman" w:hAnsi="Times New Roman" w:cs="Times New Roman"/>
          <w:color w:val="111111"/>
          <w:sz w:val="24"/>
          <w:szCs w:val="24"/>
          <w:shd w:val="clear" w:color="auto" w:fill="FFFFFF"/>
        </w:rPr>
      </w:pPr>
      <w:r w:rsidRPr="00942C7D">
        <w:rPr>
          <w:rFonts w:ascii="Times New Roman" w:hAnsi="Times New Roman" w:cs="Times New Roman"/>
          <w:color w:val="111111"/>
          <w:sz w:val="24"/>
          <w:szCs w:val="24"/>
          <w:shd w:val="clear" w:color="auto" w:fill="FFFFFF"/>
        </w:rPr>
        <w:lastRenderedPageBreak/>
        <w:t xml:space="preserve"> </w:t>
      </w:r>
      <m:oMath>
        <m:r>
          <w:rPr>
            <w:rFonts w:ascii="Cambria Math" w:hAnsi="Cambria Math" w:cs="Times New Roman"/>
            <w:color w:val="111111"/>
            <w:sz w:val="24"/>
            <w:szCs w:val="24"/>
            <w:shd w:val="clear" w:color="auto" w:fill="FFFFFF"/>
          </w:rPr>
          <m:t>E</m:t>
        </m:r>
        <m:d>
          <m:dPr>
            <m:ctrlPr>
              <w:rPr>
                <w:rFonts w:ascii="Cambria Math" w:hAnsi="Cambria Math" w:cs="Times New Roman"/>
                <w:i/>
                <w:color w:val="111111"/>
                <w:sz w:val="24"/>
                <w:szCs w:val="24"/>
                <w:shd w:val="clear" w:color="auto" w:fill="FFFFFF"/>
              </w:rPr>
            </m:ctrlPr>
          </m:dPr>
          <m:e>
            <m:r>
              <w:rPr>
                <w:rFonts w:ascii="Cambria Math" w:hAnsi="Cambria Math" w:cs="Times New Roman"/>
                <w:color w:val="111111"/>
                <w:sz w:val="24"/>
                <w:szCs w:val="24"/>
                <w:shd w:val="clear" w:color="auto" w:fill="FFFFFF"/>
              </w:rPr>
              <m:t>Ri</m:t>
            </m:r>
          </m:e>
        </m:d>
        <m:r>
          <w:rPr>
            <w:rFonts w:ascii="Cambria Math" w:hAnsi="Cambria Math" w:cs="Times New Roman"/>
            <w:color w:val="111111"/>
            <w:sz w:val="24"/>
            <w:szCs w:val="24"/>
            <w:shd w:val="clear" w:color="auto" w:fill="FFFFFF"/>
          </w:rPr>
          <m:t xml:space="preserve">=Rf+βi(ERm-Rf) </m:t>
        </m:r>
      </m:oMath>
    </w:p>
    <w:p w:rsidR="00D305CC" w:rsidRPr="006B19D5" w:rsidRDefault="007121C0" w:rsidP="007121C0">
      <w:pPr>
        <w:spacing w:line="240" w:lineRule="auto"/>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 xml:space="preserve"> </w:t>
      </w:r>
      <w:proofErr w:type="spellStart"/>
      <w:r w:rsidR="00D305CC" w:rsidRPr="006B19D5">
        <w:rPr>
          <w:rFonts w:ascii="Times New Roman" w:hAnsi="Times New Roman" w:cs="Times New Roman"/>
          <w:color w:val="111111"/>
          <w:sz w:val="24"/>
          <w:szCs w:val="24"/>
          <w:shd w:val="clear" w:color="auto" w:fill="FFFFFF"/>
        </w:rPr>
        <w:t>ERi</w:t>
      </w:r>
      <w:proofErr w:type="spellEnd"/>
      <w:r w:rsidR="00D305CC" w:rsidRPr="006B19D5">
        <w:rPr>
          <w:rFonts w:ascii="Times New Roman" w:hAnsi="Times New Roman" w:cs="Times New Roman"/>
          <w:color w:val="111111"/>
          <w:sz w:val="24"/>
          <w:szCs w:val="24"/>
          <w:shd w:val="clear" w:color="auto" w:fill="FFFFFF"/>
        </w:rPr>
        <w:t xml:space="preserve"> = Expected return of investment</w:t>
      </w:r>
    </w:p>
    <w:p w:rsidR="00D305CC" w:rsidRPr="006B19D5" w:rsidRDefault="00D305CC" w:rsidP="007121C0">
      <w:pPr>
        <w:spacing w:line="240" w:lineRule="auto"/>
        <w:jc w:val="both"/>
        <w:rPr>
          <w:rFonts w:ascii="Times New Roman" w:hAnsi="Times New Roman" w:cs="Times New Roman"/>
          <w:color w:val="111111"/>
          <w:sz w:val="24"/>
          <w:szCs w:val="24"/>
          <w:shd w:val="clear" w:color="auto" w:fill="FFFFFF"/>
        </w:rPr>
      </w:pPr>
      <w:proofErr w:type="spellStart"/>
      <w:proofErr w:type="gramStart"/>
      <w:r w:rsidRPr="006B19D5">
        <w:rPr>
          <w:rFonts w:ascii="Times New Roman" w:hAnsi="Times New Roman" w:cs="Times New Roman"/>
          <w:color w:val="111111"/>
          <w:sz w:val="24"/>
          <w:szCs w:val="24"/>
          <w:shd w:val="clear" w:color="auto" w:fill="FFFFFF"/>
        </w:rPr>
        <w:t>Rf</w:t>
      </w:r>
      <w:proofErr w:type="spellEnd"/>
      <w:proofErr w:type="gramEnd"/>
      <w:r w:rsidRPr="006B19D5">
        <w:rPr>
          <w:rFonts w:ascii="Times New Roman" w:hAnsi="Times New Roman" w:cs="Times New Roman"/>
          <w:color w:val="111111"/>
          <w:sz w:val="24"/>
          <w:szCs w:val="24"/>
          <w:shd w:val="clear" w:color="auto" w:fill="FFFFFF"/>
        </w:rPr>
        <w:t xml:space="preserve"> = Risk-free rate</w:t>
      </w:r>
    </w:p>
    <w:p w:rsidR="00D305CC" w:rsidRPr="006B19D5" w:rsidRDefault="00D305CC" w:rsidP="007121C0">
      <w:pPr>
        <w:spacing w:line="240" w:lineRule="auto"/>
        <w:jc w:val="both"/>
        <w:rPr>
          <w:rFonts w:ascii="Times New Roman" w:hAnsi="Times New Roman" w:cs="Times New Roman"/>
          <w:color w:val="111111"/>
          <w:sz w:val="24"/>
          <w:szCs w:val="24"/>
          <w:shd w:val="clear" w:color="auto" w:fill="FFFFFF"/>
        </w:rPr>
      </w:pPr>
      <w:proofErr w:type="gramStart"/>
      <w:r w:rsidRPr="006B19D5">
        <w:rPr>
          <w:rFonts w:ascii="Times New Roman" w:hAnsi="Times New Roman" w:cs="Times New Roman"/>
          <w:color w:val="111111"/>
          <w:sz w:val="24"/>
          <w:szCs w:val="24"/>
          <w:shd w:val="clear" w:color="auto" w:fill="FFFFFF"/>
        </w:rPr>
        <w:t>β</w:t>
      </w:r>
      <w:proofErr w:type="spellStart"/>
      <w:r w:rsidRPr="006B19D5">
        <w:rPr>
          <w:rFonts w:ascii="Times New Roman" w:hAnsi="Times New Roman" w:cs="Times New Roman"/>
          <w:color w:val="111111"/>
          <w:sz w:val="24"/>
          <w:szCs w:val="24"/>
          <w:shd w:val="clear" w:color="auto" w:fill="FFFFFF"/>
        </w:rPr>
        <w:t>i</w:t>
      </w:r>
      <w:proofErr w:type="spellEnd"/>
      <w:proofErr w:type="gramEnd"/>
      <w:r w:rsidRPr="006B19D5">
        <w:rPr>
          <w:rFonts w:ascii="Times New Roman" w:hAnsi="Times New Roman" w:cs="Times New Roman"/>
          <w:color w:val="111111"/>
          <w:sz w:val="24"/>
          <w:szCs w:val="24"/>
          <w:shd w:val="clear" w:color="auto" w:fill="FFFFFF"/>
        </w:rPr>
        <w:t xml:space="preserve"> = Beta of the investment</w:t>
      </w:r>
    </w:p>
    <w:p w:rsidR="00D305CC" w:rsidRPr="006B19D5" w:rsidRDefault="00D305CC" w:rsidP="007121C0">
      <w:pPr>
        <w:spacing w:line="240" w:lineRule="auto"/>
        <w:jc w:val="both"/>
        <w:rPr>
          <w:rFonts w:ascii="Times New Roman" w:hAnsi="Times New Roman" w:cs="Times New Roman"/>
          <w:color w:val="111111"/>
          <w:sz w:val="24"/>
          <w:szCs w:val="24"/>
          <w:shd w:val="clear" w:color="auto" w:fill="FFFFFF"/>
        </w:rPr>
      </w:pPr>
      <w:proofErr w:type="spellStart"/>
      <w:r w:rsidRPr="006B19D5">
        <w:rPr>
          <w:rFonts w:ascii="Times New Roman" w:hAnsi="Times New Roman" w:cs="Times New Roman"/>
          <w:color w:val="111111"/>
          <w:sz w:val="24"/>
          <w:szCs w:val="24"/>
          <w:shd w:val="clear" w:color="auto" w:fill="FFFFFF"/>
        </w:rPr>
        <w:t>ERm</w:t>
      </w:r>
      <w:proofErr w:type="spellEnd"/>
      <w:r w:rsidRPr="006B19D5">
        <w:rPr>
          <w:rFonts w:ascii="Times New Roman" w:hAnsi="Times New Roman" w:cs="Times New Roman"/>
          <w:color w:val="111111"/>
          <w:sz w:val="24"/>
          <w:szCs w:val="24"/>
          <w:shd w:val="clear" w:color="auto" w:fill="FFFFFF"/>
        </w:rPr>
        <w:t xml:space="preserve"> = Expected return of market</w:t>
      </w:r>
    </w:p>
    <w:p w:rsidR="00D305CC" w:rsidRPr="006B19D5" w:rsidRDefault="00D305CC" w:rsidP="007121C0">
      <w:pPr>
        <w:spacing w:line="240" w:lineRule="auto"/>
        <w:jc w:val="both"/>
        <w:rPr>
          <w:rFonts w:ascii="Times New Roman" w:hAnsi="Times New Roman" w:cs="Times New Roman"/>
          <w:color w:val="111111"/>
          <w:sz w:val="24"/>
          <w:szCs w:val="24"/>
          <w:shd w:val="clear" w:color="auto" w:fill="FFFFFF"/>
        </w:rPr>
      </w:pPr>
      <w:r w:rsidRPr="006B19D5">
        <w:rPr>
          <w:rFonts w:ascii="Times New Roman" w:hAnsi="Times New Roman" w:cs="Times New Roman"/>
          <w:color w:val="111111"/>
          <w:sz w:val="24"/>
          <w:szCs w:val="24"/>
          <w:shd w:val="clear" w:color="auto" w:fill="FFFFFF"/>
        </w:rPr>
        <w:t>(</w:t>
      </w:r>
      <w:proofErr w:type="spellStart"/>
      <w:r w:rsidRPr="006B19D5">
        <w:rPr>
          <w:rFonts w:ascii="Times New Roman" w:hAnsi="Times New Roman" w:cs="Times New Roman"/>
          <w:color w:val="111111"/>
          <w:sz w:val="24"/>
          <w:szCs w:val="24"/>
          <w:shd w:val="clear" w:color="auto" w:fill="FFFFFF"/>
        </w:rPr>
        <w:t>ERm</w:t>
      </w:r>
      <w:proofErr w:type="spellEnd"/>
      <w:r w:rsidRPr="006B19D5">
        <w:rPr>
          <w:rFonts w:ascii="Times New Roman" w:hAnsi="Times New Roman" w:cs="Times New Roman"/>
          <w:color w:val="111111"/>
          <w:sz w:val="24"/>
          <w:szCs w:val="24"/>
          <w:shd w:val="clear" w:color="auto" w:fill="FFFFFF"/>
        </w:rPr>
        <w:t xml:space="preserve"> - </w:t>
      </w:r>
      <w:proofErr w:type="spellStart"/>
      <w:proofErr w:type="gramStart"/>
      <w:r w:rsidRPr="006B19D5">
        <w:rPr>
          <w:rFonts w:ascii="Times New Roman" w:hAnsi="Times New Roman" w:cs="Times New Roman"/>
          <w:color w:val="111111"/>
          <w:sz w:val="24"/>
          <w:szCs w:val="24"/>
          <w:shd w:val="clear" w:color="auto" w:fill="FFFFFF"/>
        </w:rPr>
        <w:t>Rf</w:t>
      </w:r>
      <w:proofErr w:type="spellEnd"/>
      <w:proofErr w:type="gramEnd"/>
      <w:r w:rsidRPr="006B19D5">
        <w:rPr>
          <w:rFonts w:ascii="Times New Roman" w:hAnsi="Times New Roman" w:cs="Times New Roman"/>
          <w:color w:val="111111"/>
          <w:sz w:val="24"/>
          <w:szCs w:val="24"/>
          <w:shd w:val="clear" w:color="auto" w:fill="FFFFFF"/>
        </w:rPr>
        <w:t>) = Market risk premium</w:t>
      </w:r>
    </w:p>
    <w:p w:rsidR="00892A38" w:rsidRDefault="00D305CC" w:rsidP="00D42ABC">
      <w:pPr>
        <w:spacing w:line="360" w:lineRule="auto"/>
        <w:jc w:val="both"/>
        <w:rPr>
          <w:rFonts w:ascii="Times New Roman" w:hAnsi="Times New Roman" w:cs="Times New Roman"/>
          <w:color w:val="111111"/>
          <w:sz w:val="24"/>
          <w:szCs w:val="24"/>
          <w:shd w:val="clear" w:color="auto" w:fill="FFFFFF"/>
        </w:rPr>
      </w:pPr>
      <w:r w:rsidRPr="006B19D5">
        <w:rPr>
          <w:rFonts w:ascii="Times New Roman" w:hAnsi="Times New Roman" w:cs="Times New Roman"/>
          <w:color w:val="111111"/>
          <w:sz w:val="24"/>
          <w:szCs w:val="24"/>
          <w:shd w:val="clear" w:color="auto" w:fill="FFFFFF"/>
        </w:rPr>
        <w:t xml:space="preserve">This formula suggest what should be the expected return of an asset thus provide a measure for evaluation of an assets performance. By breaking down the formula, we can find several </w:t>
      </w:r>
      <w:proofErr w:type="gramStart"/>
      <w:r w:rsidRPr="006B19D5">
        <w:rPr>
          <w:rFonts w:ascii="Times New Roman" w:hAnsi="Times New Roman" w:cs="Times New Roman"/>
          <w:color w:val="111111"/>
          <w:sz w:val="24"/>
          <w:szCs w:val="24"/>
          <w:shd w:val="clear" w:color="auto" w:fill="FFFFFF"/>
        </w:rPr>
        <w:t>component</w:t>
      </w:r>
      <w:proofErr w:type="gramEnd"/>
      <w:r w:rsidRPr="006B19D5">
        <w:rPr>
          <w:rFonts w:ascii="Times New Roman" w:hAnsi="Times New Roman" w:cs="Times New Roman"/>
          <w:color w:val="111111"/>
          <w:sz w:val="24"/>
          <w:szCs w:val="24"/>
          <w:shd w:val="clear" w:color="auto" w:fill="FFFFFF"/>
        </w:rPr>
        <w:t xml:space="preserve"> Beta is one among. Beta of expected return can be expressed as reward-risk equation because beta is proportional to the risk contributed by the security in an optimal risky portfolio. As per as theory suggest an investor should consider variance as a measure of risk of the optimal risky portfolio. Here risk premium is a function of Beta because stocks Beta measure its contribution to the risk or variance of the market and investor expect risk premium of an individual asset in consideration of its contribution of risk on the portfolio. Insight of CAPM confirm that risk premium of an asset is directly proportional to Beta and risk premium of market portfolio. Therefore according to CAPM risk premium is equal to </w:t>
      </w:r>
      <w:proofErr w:type="gramStart"/>
      <w:r w:rsidRPr="006B19D5">
        <w:rPr>
          <w:rFonts w:ascii="Times New Roman" w:hAnsi="Times New Roman" w:cs="Times New Roman"/>
          <w:color w:val="111111"/>
          <w:sz w:val="24"/>
          <w:szCs w:val="24"/>
          <w:shd w:val="clear" w:color="auto" w:fill="FFFFFF"/>
        </w:rPr>
        <w:t>β</w:t>
      </w:r>
      <w:proofErr w:type="spellStart"/>
      <w:r w:rsidRPr="006B19D5">
        <w:rPr>
          <w:rFonts w:ascii="Times New Roman" w:hAnsi="Times New Roman" w:cs="Times New Roman"/>
          <w:color w:val="111111"/>
          <w:sz w:val="24"/>
          <w:szCs w:val="24"/>
          <w:shd w:val="clear" w:color="auto" w:fill="FFFFFF"/>
        </w:rPr>
        <w:t>i</w:t>
      </w:r>
      <w:proofErr w:type="spellEnd"/>
      <w:r w:rsidRPr="006B19D5">
        <w:rPr>
          <w:rFonts w:ascii="Times New Roman" w:hAnsi="Times New Roman" w:cs="Times New Roman"/>
          <w:color w:val="111111"/>
          <w:sz w:val="24"/>
          <w:szCs w:val="24"/>
          <w:shd w:val="clear" w:color="auto" w:fill="FFFFFF"/>
        </w:rPr>
        <w:t>(</w:t>
      </w:r>
      <w:proofErr w:type="spellStart"/>
      <w:proofErr w:type="gramEnd"/>
      <w:r w:rsidRPr="006B19D5">
        <w:rPr>
          <w:rFonts w:ascii="Times New Roman" w:hAnsi="Times New Roman" w:cs="Times New Roman"/>
          <w:color w:val="111111"/>
          <w:sz w:val="24"/>
          <w:szCs w:val="24"/>
          <w:shd w:val="clear" w:color="auto" w:fill="FFFFFF"/>
        </w:rPr>
        <w:t>ERm-Rf</w:t>
      </w:r>
      <w:proofErr w:type="spellEnd"/>
      <w:r w:rsidRPr="006B19D5">
        <w:rPr>
          <w:rFonts w:ascii="Times New Roman" w:hAnsi="Times New Roman" w:cs="Times New Roman"/>
          <w:color w:val="111111"/>
          <w:sz w:val="24"/>
          <w:szCs w:val="24"/>
          <w:shd w:val="clear" w:color="auto" w:fill="FFFFFF"/>
        </w:rPr>
        <w:t xml:space="preserve">). The relationship between Beta and Return is represented as a graph called Security Market Line (SML). In contrast with CML where risk premium of efficient </w:t>
      </w:r>
      <w:proofErr w:type="gramStart"/>
      <w:r w:rsidRPr="006B19D5">
        <w:rPr>
          <w:rFonts w:ascii="Times New Roman" w:hAnsi="Times New Roman" w:cs="Times New Roman"/>
          <w:color w:val="111111"/>
          <w:sz w:val="24"/>
          <w:szCs w:val="24"/>
          <w:shd w:val="clear" w:color="auto" w:fill="FFFFFF"/>
        </w:rPr>
        <w:t>portfolio  is</w:t>
      </w:r>
      <w:proofErr w:type="gramEnd"/>
      <w:r w:rsidRPr="006B19D5">
        <w:rPr>
          <w:rFonts w:ascii="Times New Roman" w:hAnsi="Times New Roman" w:cs="Times New Roman"/>
          <w:color w:val="111111"/>
          <w:sz w:val="24"/>
          <w:szCs w:val="24"/>
          <w:shd w:val="clear" w:color="auto" w:fill="FFFFFF"/>
        </w:rPr>
        <w:t xml:space="preserve"> considered as a function of standard deviation, SML consider an individual assets risk premium as a function of assets risk represented Beta. Here it should be denoted that standard deviation is of course a legitimate measure of risk for a well-diversified portfolio but in case of an individual asset it is not applicable because standard deviation do not reflect contribution of the particular asset in the portfolio variance. That’s why Beta is adopted by CAPM model and SML is applicable to </w:t>
      </w:r>
      <w:proofErr w:type="gramStart"/>
      <w:r w:rsidRPr="006B19D5">
        <w:rPr>
          <w:rFonts w:ascii="Times New Roman" w:hAnsi="Times New Roman" w:cs="Times New Roman"/>
          <w:color w:val="111111"/>
          <w:sz w:val="24"/>
          <w:szCs w:val="24"/>
          <w:shd w:val="clear" w:color="auto" w:fill="FFFFFF"/>
        </w:rPr>
        <w:t>both individual asset or</w:t>
      </w:r>
      <w:proofErr w:type="gramEnd"/>
      <w:r w:rsidRPr="006B19D5">
        <w:rPr>
          <w:rFonts w:ascii="Times New Roman" w:hAnsi="Times New Roman" w:cs="Times New Roman"/>
          <w:color w:val="111111"/>
          <w:sz w:val="24"/>
          <w:szCs w:val="24"/>
          <w:shd w:val="clear" w:color="auto" w:fill="FFFFFF"/>
        </w:rPr>
        <w:t xml:space="preserve"> portfolio. The SML portrait required rate of return to compensate risk adopted by the investor as well as take time value of money in consideration which provide a distinctively unique benchmark for performance evaluation. From the previous discussion it can be concluded that fairly priced asset should be plotted exactly on Security Market Line, which implies that if an stock is </w:t>
      </w:r>
      <w:proofErr w:type="spellStart"/>
      <w:r w:rsidRPr="006B19D5">
        <w:rPr>
          <w:rFonts w:ascii="Times New Roman" w:hAnsi="Times New Roman" w:cs="Times New Roman"/>
          <w:color w:val="111111"/>
          <w:sz w:val="24"/>
          <w:szCs w:val="24"/>
          <w:shd w:val="clear" w:color="auto" w:fill="FFFFFF"/>
        </w:rPr>
        <w:t>under priced</w:t>
      </w:r>
      <w:proofErr w:type="spellEnd"/>
      <w:r w:rsidRPr="006B19D5">
        <w:rPr>
          <w:rFonts w:ascii="Times New Roman" w:hAnsi="Times New Roman" w:cs="Times New Roman"/>
          <w:color w:val="111111"/>
          <w:sz w:val="24"/>
          <w:szCs w:val="24"/>
          <w:shd w:val="clear" w:color="auto" w:fill="FFFFFF"/>
        </w:rPr>
        <w:t xml:space="preserve"> it will be plotted above the SML and if an stock is overpriced it will be plotted below the SML. Because underpriced stock provide higher return in excess of fair price and </w:t>
      </w:r>
      <w:proofErr w:type="spellStart"/>
      <w:r w:rsidRPr="006B19D5">
        <w:rPr>
          <w:rFonts w:ascii="Times New Roman" w:hAnsi="Times New Roman" w:cs="Times New Roman"/>
          <w:color w:val="111111"/>
          <w:sz w:val="24"/>
          <w:szCs w:val="24"/>
          <w:shd w:val="clear" w:color="auto" w:fill="FFFFFF"/>
        </w:rPr>
        <w:t>over priced</w:t>
      </w:r>
      <w:proofErr w:type="spellEnd"/>
      <w:r w:rsidRPr="006B19D5">
        <w:rPr>
          <w:rFonts w:ascii="Times New Roman" w:hAnsi="Times New Roman" w:cs="Times New Roman"/>
          <w:color w:val="111111"/>
          <w:sz w:val="24"/>
          <w:szCs w:val="24"/>
          <w:shd w:val="clear" w:color="auto" w:fill="FFFFFF"/>
        </w:rPr>
        <w:t xml:space="preserve"> stock give lower return compared to the fair price. In further interpretation, underpriced stock provide greater expected return dictated by CAPM in a given level of beta and the vice versa </w:t>
      </w:r>
      <w:r w:rsidRPr="006B19D5">
        <w:rPr>
          <w:rFonts w:ascii="Times New Roman" w:hAnsi="Times New Roman" w:cs="Times New Roman"/>
          <w:color w:val="111111"/>
          <w:sz w:val="24"/>
          <w:szCs w:val="24"/>
          <w:shd w:val="clear" w:color="auto" w:fill="FFFFFF"/>
        </w:rPr>
        <w:lastRenderedPageBreak/>
        <w:t xml:space="preserve">is held true for the overpriced stock. The difference between fair price and actual expected return is represented by Alpha (α) which is a property of Jensen’s alpha model.   </w:t>
      </w:r>
      <w:r w:rsidR="00892A38">
        <w:rPr>
          <w:rFonts w:ascii="Times New Roman" w:hAnsi="Times New Roman" w:cs="Times New Roman"/>
          <w:color w:val="111111"/>
          <w:sz w:val="24"/>
          <w:szCs w:val="24"/>
          <w:shd w:val="clear" w:color="auto" w:fill="FFFFFF"/>
        </w:rPr>
        <w:br w:type="page"/>
      </w:r>
    </w:p>
    <w:p w:rsidR="00892A38" w:rsidRPr="00892A38" w:rsidRDefault="00892A38" w:rsidP="00892A38">
      <w:pPr>
        <w:keepNext/>
        <w:keepLines/>
        <w:spacing w:before="240" w:after="0" w:line="360" w:lineRule="auto"/>
        <w:outlineLvl w:val="0"/>
        <w:rPr>
          <w:rFonts w:ascii="Times New Roman" w:eastAsiaTheme="majorEastAsia" w:hAnsi="Times New Roman" w:cs="Times New Roman"/>
          <w:color w:val="2E74B5" w:themeColor="accent1" w:themeShade="BF"/>
          <w:sz w:val="40"/>
          <w:szCs w:val="40"/>
        </w:rPr>
      </w:pPr>
    </w:p>
    <w:p w:rsidR="00441111" w:rsidRDefault="00441111" w:rsidP="00892A38">
      <w:pPr>
        <w:keepNext/>
        <w:keepLines/>
        <w:spacing w:before="240" w:after="0" w:line="240" w:lineRule="auto"/>
        <w:outlineLvl w:val="0"/>
        <w:rPr>
          <w:rFonts w:ascii="Times New Roman" w:eastAsiaTheme="majorEastAsia" w:hAnsi="Times New Roman" w:cs="Times New Roman"/>
          <w:b/>
          <w:color w:val="2E74B5" w:themeColor="accent1" w:themeShade="BF"/>
          <w:sz w:val="40"/>
          <w:szCs w:val="40"/>
        </w:rPr>
      </w:pPr>
    </w:p>
    <w:p w:rsidR="00441111" w:rsidRDefault="00441111" w:rsidP="00892A38">
      <w:pPr>
        <w:keepNext/>
        <w:keepLines/>
        <w:spacing w:before="240" w:after="0" w:line="240" w:lineRule="auto"/>
        <w:outlineLvl w:val="0"/>
        <w:rPr>
          <w:rFonts w:ascii="Times New Roman" w:eastAsiaTheme="majorEastAsia" w:hAnsi="Times New Roman" w:cs="Times New Roman"/>
          <w:b/>
          <w:color w:val="2E74B5" w:themeColor="accent1" w:themeShade="BF"/>
          <w:sz w:val="40"/>
          <w:szCs w:val="40"/>
        </w:rPr>
      </w:pPr>
    </w:p>
    <w:p w:rsidR="00441111" w:rsidRDefault="00441111" w:rsidP="00892A38">
      <w:pPr>
        <w:keepNext/>
        <w:keepLines/>
        <w:spacing w:before="240" w:after="0" w:line="240" w:lineRule="auto"/>
        <w:outlineLvl w:val="0"/>
        <w:rPr>
          <w:rFonts w:ascii="Times New Roman" w:eastAsiaTheme="majorEastAsia" w:hAnsi="Times New Roman" w:cs="Times New Roman"/>
          <w:b/>
          <w:color w:val="2E74B5" w:themeColor="accent1" w:themeShade="BF"/>
          <w:sz w:val="40"/>
          <w:szCs w:val="40"/>
        </w:rPr>
      </w:pPr>
    </w:p>
    <w:p w:rsidR="00441111" w:rsidRDefault="00441111" w:rsidP="00892A38">
      <w:pPr>
        <w:keepNext/>
        <w:keepLines/>
        <w:spacing w:before="240" w:after="0" w:line="240" w:lineRule="auto"/>
        <w:outlineLvl w:val="0"/>
        <w:rPr>
          <w:rFonts w:ascii="Times New Roman" w:eastAsiaTheme="majorEastAsia" w:hAnsi="Times New Roman" w:cs="Times New Roman"/>
          <w:b/>
          <w:color w:val="2E74B5" w:themeColor="accent1" w:themeShade="BF"/>
          <w:sz w:val="40"/>
          <w:szCs w:val="40"/>
        </w:rPr>
      </w:pPr>
    </w:p>
    <w:p w:rsidR="00441111" w:rsidRDefault="00441111" w:rsidP="00892A38">
      <w:pPr>
        <w:keepNext/>
        <w:keepLines/>
        <w:spacing w:before="240" w:after="0" w:line="240" w:lineRule="auto"/>
        <w:outlineLvl w:val="0"/>
        <w:rPr>
          <w:rFonts w:ascii="Times New Roman" w:eastAsiaTheme="majorEastAsia" w:hAnsi="Times New Roman" w:cs="Times New Roman"/>
          <w:b/>
          <w:color w:val="2E74B5" w:themeColor="accent1" w:themeShade="BF"/>
          <w:sz w:val="40"/>
          <w:szCs w:val="40"/>
        </w:rPr>
      </w:pPr>
    </w:p>
    <w:p w:rsidR="00441111" w:rsidRDefault="00441111" w:rsidP="00892A38">
      <w:pPr>
        <w:keepNext/>
        <w:keepLines/>
        <w:spacing w:before="240" w:after="0" w:line="240" w:lineRule="auto"/>
        <w:outlineLvl w:val="0"/>
        <w:rPr>
          <w:rFonts w:ascii="Times New Roman" w:eastAsiaTheme="majorEastAsia" w:hAnsi="Times New Roman" w:cs="Times New Roman"/>
          <w:b/>
          <w:color w:val="2E74B5" w:themeColor="accent1" w:themeShade="BF"/>
          <w:sz w:val="40"/>
          <w:szCs w:val="40"/>
        </w:rPr>
      </w:pPr>
    </w:p>
    <w:p w:rsidR="00AF262C" w:rsidRPr="006A3AB7" w:rsidRDefault="00892A38" w:rsidP="00AF262C">
      <w:pPr>
        <w:keepNext/>
        <w:keepLines/>
        <w:spacing w:before="240" w:after="0" w:line="360" w:lineRule="auto"/>
        <w:jc w:val="center"/>
        <w:outlineLvl w:val="0"/>
        <w:rPr>
          <w:rFonts w:ascii="Times New Roman" w:eastAsiaTheme="majorEastAsia" w:hAnsi="Times New Roman" w:cs="Times New Roman"/>
          <w:b/>
          <w:sz w:val="40"/>
          <w:szCs w:val="40"/>
        </w:rPr>
      </w:pPr>
      <w:bookmarkStart w:id="26" w:name="_Toc13070814"/>
      <w:r w:rsidRPr="006A3AB7">
        <w:rPr>
          <w:rFonts w:ascii="Times New Roman" w:eastAsiaTheme="majorEastAsia" w:hAnsi="Times New Roman" w:cs="Times New Roman"/>
          <w:b/>
          <w:sz w:val="40"/>
          <w:szCs w:val="40"/>
        </w:rPr>
        <w:t>Chapter 5</w:t>
      </w:r>
      <w:bookmarkEnd w:id="26"/>
    </w:p>
    <w:bookmarkStart w:id="27" w:name="_Toc13070815"/>
    <w:p w:rsidR="00892A38" w:rsidRPr="0073235D" w:rsidRDefault="00942C7D" w:rsidP="0073235D">
      <w:pPr>
        <w:pStyle w:val="Heading1"/>
        <w:jc w:val="center"/>
        <w:rPr>
          <w:rFonts w:ascii="Times New Roman" w:hAnsi="Times New Roman" w:cs="Times New Roman"/>
          <w:b/>
          <w:color w:val="auto"/>
          <w:sz w:val="36"/>
          <w:szCs w:val="36"/>
        </w:rPr>
      </w:pPr>
      <w:r>
        <w:rPr>
          <w:rFonts w:ascii="Times New Roman" w:hAnsi="Times New Roman" w:cs="Times New Roman"/>
          <w:b/>
          <w:noProof/>
          <w:color w:val="auto"/>
          <w:sz w:val="36"/>
          <w:szCs w:val="36"/>
        </w:rPr>
        <mc:AlternateContent>
          <mc:Choice Requires="wps">
            <w:drawing>
              <wp:anchor distT="0" distB="0" distL="114300" distR="114300" simplePos="0" relativeHeight="251779071" behindDoc="0" locked="0" layoutInCell="1" allowOverlap="1">
                <wp:simplePos x="0" y="0"/>
                <wp:positionH relativeFrom="column">
                  <wp:posOffset>1605515</wp:posOffset>
                </wp:positionH>
                <wp:positionV relativeFrom="paragraph">
                  <wp:posOffset>89491</wp:posOffset>
                </wp:positionV>
                <wp:extent cx="2519917" cy="0"/>
                <wp:effectExtent l="0" t="0" r="13970" b="19050"/>
                <wp:wrapNone/>
                <wp:docPr id="12" name="Straight Connector 12"/>
                <wp:cNvGraphicFramePr/>
                <a:graphic xmlns:a="http://schemas.openxmlformats.org/drawingml/2006/main">
                  <a:graphicData uri="http://schemas.microsoft.com/office/word/2010/wordprocessingShape">
                    <wps:wsp>
                      <wps:cNvCnPr/>
                      <wps:spPr>
                        <a:xfrm>
                          <a:off x="0" y="0"/>
                          <a:ext cx="25199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1DB4C1D" id="Straight Connector 12" o:spid="_x0000_s1026" style="position:absolute;z-index:251779071;visibility:visible;mso-wrap-style:square;mso-wrap-distance-left:9pt;mso-wrap-distance-top:0;mso-wrap-distance-right:9pt;mso-wrap-distance-bottom:0;mso-position-horizontal:absolute;mso-position-horizontal-relative:text;mso-position-vertical:absolute;mso-position-vertical-relative:text" from="126.4pt,7.05pt" to="324.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" strokecolor="#5b9bd5 [3204]" strokeweight=".5pt">
                <v:stroke joinstyle="miter"/>
              </v:line>
            </w:pict>
          </mc:Fallback>
        </mc:AlternateContent>
      </w:r>
      <w:r w:rsidR="00AF262C" w:rsidRPr="0073235D">
        <w:rPr>
          <w:rFonts w:ascii="Times New Roman" w:hAnsi="Times New Roman" w:cs="Times New Roman"/>
          <w:b/>
          <w:color w:val="auto"/>
          <w:sz w:val="36"/>
          <w:szCs w:val="36"/>
        </w:rPr>
        <w:t xml:space="preserve">Analysis and </w:t>
      </w:r>
      <w:r w:rsidR="00892A38" w:rsidRPr="0073235D">
        <w:rPr>
          <w:rFonts w:ascii="Times New Roman" w:hAnsi="Times New Roman" w:cs="Times New Roman"/>
          <w:b/>
          <w:color w:val="auto"/>
          <w:sz w:val="36"/>
          <w:szCs w:val="36"/>
        </w:rPr>
        <w:t>Findings</w:t>
      </w:r>
      <w:bookmarkEnd w:id="27"/>
    </w:p>
    <w:p w:rsidR="00892A38" w:rsidRPr="00892A38" w:rsidRDefault="00892A38" w:rsidP="00892A38"/>
    <w:p w:rsidR="00AA7D33" w:rsidRDefault="00AA7D33" w:rsidP="0061524C">
      <w:pPr>
        <w:keepNext/>
        <w:keepLines/>
        <w:spacing w:before="40" w:after="0" w:line="360" w:lineRule="auto"/>
        <w:outlineLvl w:val="1"/>
        <w:rPr>
          <w:rFonts w:ascii="Times New Roman" w:hAnsi="Times New Roman" w:cs="Times New Roman"/>
          <w:b/>
          <w:sz w:val="32"/>
          <w:szCs w:val="32"/>
        </w:rPr>
      </w:pPr>
      <w:bookmarkStart w:id="28" w:name="_Toc12720335"/>
    </w:p>
    <w:bookmarkEnd w:id="28"/>
    <w:p w:rsidR="0061524C" w:rsidRPr="0061524C" w:rsidRDefault="0061524C" w:rsidP="0061524C">
      <w:pPr>
        <w:keepNext/>
        <w:keepLines/>
        <w:spacing w:before="40" w:after="0" w:line="360" w:lineRule="auto"/>
        <w:jc w:val="both"/>
        <w:outlineLvl w:val="4"/>
        <w:rPr>
          <w:rFonts w:ascii="Times New Roman" w:eastAsia="Times New Roman" w:hAnsi="Times New Roman" w:cs="Times New Roman"/>
          <w:b/>
          <w:sz w:val="24"/>
          <w:szCs w:val="24"/>
          <w:shd w:val="clear" w:color="auto" w:fill="FFFFFF"/>
        </w:rPr>
      </w:pPr>
    </w:p>
    <w:p w:rsidR="0061524C" w:rsidRPr="0061524C" w:rsidRDefault="0061524C" w:rsidP="0061524C">
      <w:pPr>
        <w:spacing w:before="240" w:line="360" w:lineRule="auto"/>
        <w:jc w:val="both"/>
        <w:rPr>
          <w:rFonts w:ascii="Times New Roman" w:hAnsi="Times New Roman" w:cs="Times New Roman"/>
          <w:sz w:val="24"/>
          <w:szCs w:val="24"/>
        </w:rPr>
      </w:pPr>
    </w:p>
    <w:p w:rsidR="0061524C" w:rsidRPr="0061524C" w:rsidRDefault="0061524C" w:rsidP="0061524C">
      <w:pPr>
        <w:spacing w:before="240" w:line="360" w:lineRule="auto"/>
        <w:jc w:val="both"/>
        <w:rPr>
          <w:rFonts w:ascii="Times New Roman" w:hAnsi="Times New Roman" w:cs="Times New Roman"/>
          <w:sz w:val="24"/>
          <w:szCs w:val="24"/>
        </w:rPr>
      </w:pPr>
    </w:p>
    <w:p w:rsidR="0061524C" w:rsidRPr="0061524C" w:rsidRDefault="0061524C" w:rsidP="0061524C">
      <w:pPr>
        <w:spacing w:before="240" w:line="360" w:lineRule="auto"/>
        <w:jc w:val="both"/>
        <w:rPr>
          <w:rFonts w:ascii="Times New Roman" w:hAnsi="Times New Roman" w:cs="Times New Roman"/>
          <w:sz w:val="24"/>
          <w:szCs w:val="24"/>
        </w:rPr>
      </w:pPr>
    </w:p>
    <w:p w:rsidR="0061524C" w:rsidRPr="0061524C" w:rsidRDefault="0061524C" w:rsidP="0061524C">
      <w:pPr>
        <w:spacing w:before="240" w:line="360" w:lineRule="auto"/>
        <w:jc w:val="both"/>
        <w:rPr>
          <w:rFonts w:ascii="Times New Roman" w:hAnsi="Times New Roman" w:cs="Times New Roman"/>
          <w:sz w:val="24"/>
          <w:szCs w:val="24"/>
        </w:rPr>
      </w:pPr>
    </w:p>
    <w:p w:rsidR="0061524C" w:rsidRPr="0061524C" w:rsidRDefault="0061524C" w:rsidP="0061524C">
      <w:pPr>
        <w:spacing w:before="240" w:line="360" w:lineRule="auto"/>
        <w:jc w:val="both"/>
        <w:rPr>
          <w:rFonts w:ascii="Times New Roman" w:hAnsi="Times New Roman" w:cs="Times New Roman"/>
          <w:sz w:val="24"/>
          <w:szCs w:val="24"/>
        </w:rPr>
      </w:pPr>
    </w:p>
    <w:p w:rsidR="0061524C" w:rsidRPr="0061524C" w:rsidRDefault="0061524C" w:rsidP="0061524C">
      <w:pPr>
        <w:spacing w:before="240" w:line="360" w:lineRule="auto"/>
        <w:jc w:val="both"/>
        <w:rPr>
          <w:rFonts w:ascii="Times New Roman" w:hAnsi="Times New Roman" w:cs="Times New Roman"/>
          <w:sz w:val="24"/>
          <w:szCs w:val="24"/>
        </w:rPr>
      </w:pPr>
    </w:p>
    <w:p w:rsidR="0061524C" w:rsidRPr="0061524C" w:rsidRDefault="0061524C" w:rsidP="0061524C">
      <w:pPr>
        <w:spacing w:line="360" w:lineRule="auto"/>
        <w:jc w:val="both"/>
        <w:rPr>
          <w:rFonts w:ascii="Times New Roman" w:hAnsi="Times New Roman" w:cs="Times New Roman"/>
          <w:sz w:val="24"/>
          <w:szCs w:val="24"/>
        </w:rPr>
      </w:pPr>
    </w:p>
    <w:p w:rsidR="0061524C" w:rsidRPr="0061524C" w:rsidRDefault="0061524C" w:rsidP="0061524C">
      <w:pPr>
        <w:spacing w:line="360" w:lineRule="auto"/>
        <w:jc w:val="both"/>
        <w:rPr>
          <w:rFonts w:ascii="Times New Roman" w:hAnsi="Times New Roman" w:cs="Times New Roman"/>
          <w:sz w:val="24"/>
          <w:szCs w:val="24"/>
        </w:rPr>
      </w:pPr>
    </w:p>
    <w:p w:rsidR="0061524C" w:rsidRPr="0061524C" w:rsidRDefault="0061524C" w:rsidP="0061524C">
      <w:pPr>
        <w:rPr>
          <w:rFonts w:ascii="Times New Roman" w:hAnsi="Times New Roman" w:cs="Times New Roman"/>
          <w:sz w:val="24"/>
          <w:szCs w:val="24"/>
        </w:rPr>
      </w:pPr>
    </w:p>
    <w:p w:rsidR="00F73EED" w:rsidRPr="0073166F" w:rsidRDefault="00F73EED" w:rsidP="0073166F">
      <w:pPr>
        <w:pStyle w:val="Heading2"/>
        <w:spacing w:after="240"/>
        <w:rPr>
          <w:rFonts w:ascii="Times New Roman" w:hAnsi="Times New Roman" w:cs="Times New Roman"/>
          <w:b/>
          <w:color w:val="auto"/>
          <w:sz w:val="36"/>
          <w:szCs w:val="36"/>
        </w:rPr>
      </w:pPr>
      <w:bookmarkStart w:id="29" w:name="_Toc13070816"/>
      <w:r w:rsidRPr="0073166F">
        <w:rPr>
          <w:rFonts w:ascii="Times New Roman" w:hAnsi="Times New Roman" w:cs="Times New Roman"/>
          <w:b/>
          <w:color w:val="auto"/>
          <w:sz w:val="36"/>
          <w:szCs w:val="36"/>
        </w:rPr>
        <w:lastRenderedPageBreak/>
        <w:t>Analysis</w:t>
      </w:r>
      <w:bookmarkEnd w:id="29"/>
      <w:r w:rsidRPr="0073166F">
        <w:rPr>
          <w:rFonts w:ascii="Times New Roman" w:hAnsi="Times New Roman" w:cs="Times New Roman"/>
          <w:b/>
          <w:color w:val="auto"/>
          <w:sz w:val="36"/>
          <w:szCs w:val="36"/>
        </w:rPr>
        <w:t xml:space="preserve"> </w:t>
      </w:r>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This is the main part of the study. In this part, we have attempted to analyze performance of the selected mutual fund. After collecting data, we sorted and elaborated them to fit the equation of Sharpe, </w:t>
      </w:r>
      <w:proofErr w:type="spellStart"/>
      <w:r w:rsidRPr="00F73EED">
        <w:rPr>
          <w:rFonts w:ascii="Times New Roman" w:hAnsi="Times New Roman" w:cs="Times New Roman"/>
          <w:sz w:val="24"/>
          <w:szCs w:val="24"/>
        </w:rPr>
        <w:t>Treynor</w:t>
      </w:r>
      <w:proofErr w:type="spellEnd"/>
      <w:r w:rsidRPr="00F73EED">
        <w:rPr>
          <w:rFonts w:ascii="Times New Roman" w:hAnsi="Times New Roman" w:cs="Times New Roman"/>
          <w:sz w:val="24"/>
          <w:szCs w:val="24"/>
        </w:rPr>
        <w:t xml:space="preserve">, Jensen’s Alpha and CAPM. In this process, we calculated average return, standard deviation and beta, as they were necessary for our selected models. It is important to mention that these basic statistical functions are also crucial factor of the analysis process because they also contain some significant meaning individually and provide us scope to study mutual funds’ performance considering each separate attribute. It is not difficult to understand that average return give us idea about performance regarding return where as standard deviation of return and beta allow us to have some idea regarding risk management. However, individually they do not show any association between return and risk. To analyze that relationship is our main purpose. As mentioned earlier in this study we will consider both NAV and closing share price. Gradually we will determine Sharpe, </w:t>
      </w:r>
      <w:proofErr w:type="spellStart"/>
      <w:r w:rsidRPr="00F73EED">
        <w:rPr>
          <w:rFonts w:ascii="Times New Roman" w:hAnsi="Times New Roman" w:cs="Times New Roman"/>
          <w:sz w:val="24"/>
          <w:szCs w:val="24"/>
        </w:rPr>
        <w:t>Treynor</w:t>
      </w:r>
      <w:proofErr w:type="spellEnd"/>
      <w:r w:rsidRPr="00F73EED">
        <w:rPr>
          <w:rFonts w:ascii="Times New Roman" w:hAnsi="Times New Roman" w:cs="Times New Roman"/>
          <w:sz w:val="24"/>
          <w:szCs w:val="24"/>
        </w:rPr>
        <w:t xml:space="preserve">, Jensen’s Alpha and CAPM of all selected mutual funds considering NAV and closing share price. We will also try to provide analysis regrading average return, standard deviation and beta prior to apply them in the chosen model. </w:t>
      </w:r>
    </w:p>
    <w:p w:rsidR="00F73EED" w:rsidRPr="008A1101" w:rsidRDefault="00F73EED" w:rsidP="008A1101">
      <w:pPr>
        <w:pStyle w:val="Heading3"/>
        <w:spacing w:after="240"/>
        <w:rPr>
          <w:rFonts w:ascii="Times New Roman" w:hAnsi="Times New Roman" w:cs="Times New Roman"/>
          <w:b/>
          <w:color w:val="auto"/>
          <w:sz w:val="32"/>
          <w:szCs w:val="32"/>
        </w:rPr>
      </w:pPr>
      <w:bookmarkStart w:id="30" w:name="_Toc13070817"/>
      <w:r w:rsidRPr="008A1101">
        <w:rPr>
          <w:rFonts w:ascii="Times New Roman" w:hAnsi="Times New Roman" w:cs="Times New Roman"/>
          <w:b/>
          <w:color w:val="auto"/>
          <w:sz w:val="32"/>
          <w:szCs w:val="32"/>
        </w:rPr>
        <w:t>Performance Evaluation Based on Weekly NAV</w:t>
      </w:r>
      <w:bookmarkEnd w:id="30"/>
      <w:r w:rsidRPr="008A1101">
        <w:rPr>
          <w:rFonts w:ascii="Times New Roman" w:hAnsi="Times New Roman" w:cs="Times New Roman"/>
          <w:b/>
          <w:color w:val="auto"/>
          <w:sz w:val="32"/>
          <w:szCs w:val="32"/>
        </w:rPr>
        <w:t xml:space="preserve"> </w:t>
      </w:r>
    </w:p>
    <w:p w:rsidR="00F73EED" w:rsidRPr="00F73EED" w:rsidRDefault="00F73EED" w:rsidP="00F73EED">
      <w:pPr>
        <w:spacing w:line="360" w:lineRule="auto"/>
        <w:jc w:val="both"/>
        <w:rPr>
          <w:rFonts w:ascii="Times New Roman" w:hAnsi="Times New Roman" w:cs="Times New Roman"/>
          <w:color w:val="222222"/>
          <w:sz w:val="24"/>
          <w:szCs w:val="24"/>
          <w:shd w:val="clear" w:color="auto" w:fill="FFFFFF"/>
        </w:rPr>
      </w:pPr>
      <w:r w:rsidRPr="00F73EED">
        <w:rPr>
          <w:rFonts w:ascii="Times New Roman" w:hAnsi="Times New Roman" w:cs="Times New Roman"/>
          <w:color w:val="222222"/>
          <w:sz w:val="24"/>
          <w:szCs w:val="24"/>
          <w:shd w:val="clear" w:color="auto" w:fill="FFFFFF"/>
        </w:rPr>
        <w:t xml:space="preserve">NAV represents net value of asset. Net value of asset is determined by subtracting total liabilities from total asset. To determine NAV per share the total amount of NAV is divided by the number of share outstanding. In case of mutual fund, NAV is highly important because mutual funds are obligated to publish their NAV regularly, which allows investor to anticipate the price of per unit of share. In other word, NAV is determinant of price. Though price is determinant of actual return and return is the basis of performance measurement, still NAV is significantly important because a rational investor take his investment decision based on value of the asset. In Bangladesh, mutual funds announce NAV on weekly basis on Dhaka Stock Exchange website. Basing on that information, we first calculated average return of weekly NAV, Standard Deviation and Beta. Then we determined the Sharpe ratio, </w:t>
      </w:r>
      <w:proofErr w:type="spellStart"/>
      <w:r w:rsidRPr="00F73EED">
        <w:rPr>
          <w:rFonts w:ascii="Times New Roman" w:hAnsi="Times New Roman" w:cs="Times New Roman"/>
          <w:color w:val="222222"/>
          <w:sz w:val="24"/>
          <w:szCs w:val="24"/>
          <w:shd w:val="clear" w:color="auto" w:fill="FFFFFF"/>
        </w:rPr>
        <w:t>Treynor</w:t>
      </w:r>
      <w:proofErr w:type="spellEnd"/>
      <w:r w:rsidRPr="00F73EED">
        <w:rPr>
          <w:rFonts w:ascii="Times New Roman" w:hAnsi="Times New Roman" w:cs="Times New Roman"/>
          <w:color w:val="222222"/>
          <w:sz w:val="24"/>
          <w:szCs w:val="24"/>
          <w:shd w:val="clear" w:color="auto" w:fill="FFFFFF"/>
        </w:rPr>
        <w:t xml:space="preserve"> ratio, Jensen’s Alpha and CAPM. </w:t>
      </w:r>
    </w:p>
    <w:p w:rsidR="00F73EED" w:rsidRPr="00F73EED" w:rsidRDefault="00F73EED" w:rsidP="00F73EED">
      <w:pPr>
        <w:spacing w:line="360" w:lineRule="auto"/>
        <w:jc w:val="both"/>
        <w:rPr>
          <w:rFonts w:ascii="Times New Roman" w:hAnsi="Times New Roman" w:cs="Times New Roman"/>
          <w:color w:val="222222"/>
          <w:sz w:val="24"/>
          <w:szCs w:val="24"/>
          <w:shd w:val="clear" w:color="auto" w:fill="FFFFFF"/>
        </w:rPr>
      </w:pPr>
    </w:p>
    <w:p w:rsidR="00F73EED" w:rsidRPr="00F73EED" w:rsidRDefault="00F73EED" w:rsidP="00F73EED">
      <w:pPr>
        <w:spacing w:line="360" w:lineRule="auto"/>
        <w:jc w:val="both"/>
        <w:rPr>
          <w:rFonts w:ascii="Times New Roman" w:hAnsi="Times New Roman" w:cs="Times New Roman"/>
          <w:color w:val="222222"/>
          <w:sz w:val="24"/>
          <w:szCs w:val="24"/>
          <w:shd w:val="clear" w:color="auto" w:fill="FFFFFF"/>
        </w:rPr>
      </w:pPr>
    </w:p>
    <w:p w:rsidR="00F73EED" w:rsidRPr="00F73EED" w:rsidRDefault="00F73EED" w:rsidP="00F73EED">
      <w:pPr>
        <w:spacing w:line="360" w:lineRule="auto"/>
        <w:jc w:val="both"/>
        <w:rPr>
          <w:rFonts w:ascii="Times New Roman" w:hAnsi="Times New Roman" w:cs="Times New Roman"/>
          <w:color w:val="222222"/>
          <w:sz w:val="24"/>
          <w:szCs w:val="24"/>
          <w:shd w:val="clear" w:color="auto" w:fill="FFFFFF"/>
        </w:rPr>
      </w:pPr>
      <w:r w:rsidRPr="00F73EED">
        <w:rPr>
          <w:rFonts w:ascii="Times New Roman" w:hAnsi="Times New Roman" w:cs="Times New Roman"/>
          <w:color w:val="222222"/>
          <w:sz w:val="24"/>
          <w:szCs w:val="24"/>
          <w:shd w:val="clear" w:color="auto" w:fill="FFFFFF"/>
        </w:rPr>
        <w:lastRenderedPageBreak/>
        <w:t>The average weekly return, standard deviation and beta considering NAV is summarized on the table below:</w:t>
      </w:r>
    </w:p>
    <w:tbl>
      <w:tblPr>
        <w:tblStyle w:val="TableGrid112"/>
        <w:tblpPr w:leftFromText="180" w:rightFromText="180" w:vertAnchor="text" w:horzAnchor="margin" w:tblpY="-56"/>
        <w:tblW w:w="9073" w:type="dxa"/>
        <w:tblLook w:val="04A0" w:firstRow="1" w:lastRow="0" w:firstColumn="1" w:lastColumn="0" w:noHBand="0" w:noVBand="1"/>
      </w:tblPr>
      <w:tblGrid>
        <w:gridCol w:w="3698"/>
        <w:gridCol w:w="2465"/>
        <w:gridCol w:w="1535"/>
        <w:gridCol w:w="1375"/>
      </w:tblGrid>
      <w:tr w:rsidR="00F73EED" w:rsidRPr="00F73EED" w:rsidTr="00F73EED">
        <w:trPr>
          <w:trHeight w:val="349"/>
        </w:trPr>
        <w:tc>
          <w:tcPr>
            <w:tcW w:w="3698"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Mutual Fund Trading Code</w:t>
            </w:r>
          </w:p>
        </w:tc>
        <w:tc>
          <w:tcPr>
            <w:tcW w:w="246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Average Return</w:t>
            </w:r>
          </w:p>
        </w:tc>
        <w:tc>
          <w:tcPr>
            <w:tcW w:w="153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Standard Deviation</w:t>
            </w:r>
          </w:p>
        </w:tc>
        <w:tc>
          <w:tcPr>
            <w:tcW w:w="137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Beta</w:t>
            </w:r>
          </w:p>
        </w:tc>
      </w:tr>
      <w:tr w:rsidR="00F73EED" w:rsidRPr="00F73EED" w:rsidTr="00F73EED">
        <w:trPr>
          <w:trHeight w:val="349"/>
        </w:trPr>
        <w:tc>
          <w:tcPr>
            <w:tcW w:w="3698"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ABB1STMF</w:t>
            </w:r>
          </w:p>
        </w:tc>
        <w:tc>
          <w:tcPr>
            <w:tcW w:w="246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0.02%</w:t>
            </w:r>
          </w:p>
        </w:tc>
        <w:tc>
          <w:tcPr>
            <w:tcW w:w="153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1.47%</w:t>
            </w:r>
          </w:p>
        </w:tc>
        <w:tc>
          <w:tcPr>
            <w:tcW w:w="137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0.55</w:t>
            </w:r>
          </w:p>
        </w:tc>
      </w:tr>
      <w:tr w:rsidR="00F73EED" w:rsidRPr="00F73EED" w:rsidTr="00F73EED">
        <w:trPr>
          <w:trHeight w:val="349"/>
        </w:trPr>
        <w:tc>
          <w:tcPr>
            <w:tcW w:w="3698"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AIBL1STIMF</w:t>
            </w:r>
          </w:p>
        </w:tc>
        <w:tc>
          <w:tcPr>
            <w:tcW w:w="246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0.03%</w:t>
            </w:r>
          </w:p>
        </w:tc>
        <w:tc>
          <w:tcPr>
            <w:tcW w:w="153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1.14%</w:t>
            </w:r>
          </w:p>
        </w:tc>
        <w:tc>
          <w:tcPr>
            <w:tcW w:w="137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0.27</w:t>
            </w:r>
          </w:p>
        </w:tc>
      </w:tr>
      <w:tr w:rsidR="00F73EED" w:rsidRPr="00F73EED" w:rsidTr="00F73EED">
        <w:trPr>
          <w:trHeight w:val="349"/>
        </w:trPr>
        <w:tc>
          <w:tcPr>
            <w:tcW w:w="3698"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ATCSLGF</w:t>
            </w:r>
          </w:p>
        </w:tc>
        <w:tc>
          <w:tcPr>
            <w:tcW w:w="246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0.05%</w:t>
            </w:r>
          </w:p>
        </w:tc>
        <w:tc>
          <w:tcPr>
            <w:tcW w:w="153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1.59%</w:t>
            </w:r>
          </w:p>
        </w:tc>
        <w:tc>
          <w:tcPr>
            <w:tcW w:w="137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0.56</w:t>
            </w:r>
          </w:p>
        </w:tc>
      </w:tr>
      <w:tr w:rsidR="00F73EED" w:rsidRPr="00F73EED" w:rsidTr="00F73EED">
        <w:trPr>
          <w:trHeight w:val="349"/>
        </w:trPr>
        <w:tc>
          <w:tcPr>
            <w:tcW w:w="3698"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DBH1STMF</w:t>
            </w:r>
          </w:p>
        </w:tc>
        <w:tc>
          <w:tcPr>
            <w:tcW w:w="246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0.07%</w:t>
            </w:r>
          </w:p>
        </w:tc>
        <w:tc>
          <w:tcPr>
            <w:tcW w:w="153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1.52%</w:t>
            </w:r>
          </w:p>
        </w:tc>
        <w:tc>
          <w:tcPr>
            <w:tcW w:w="137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0.50</w:t>
            </w:r>
          </w:p>
        </w:tc>
      </w:tr>
      <w:tr w:rsidR="00F73EED" w:rsidRPr="00F73EED" w:rsidTr="00F73EED">
        <w:trPr>
          <w:trHeight w:val="349"/>
        </w:trPr>
        <w:tc>
          <w:tcPr>
            <w:tcW w:w="3698"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EBL1STMF</w:t>
            </w:r>
          </w:p>
        </w:tc>
        <w:tc>
          <w:tcPr>
            <w:tcW w:w="246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0.05%</w:t>
            </w:r>
          </w:p>
        </w:tc>
        <w:tc>
          <w:tcPr>
            <w:tcW w:w="153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1.54%</w:t>
            </w:r>
          </w:p>
        </w:tc>
        <w:tc>
          <w:tcPr>
            <w:tcW w:w="137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0.56</w:t>
            </w:r>
          </w:p>
        </w:tc>
      </w:tr>
      <w:tr w:rsidR="00F73EED" w:rsidRPr="00F73EED" w:rsidTr="00F73EED">
        <w:trPr>
          <w:trHeight w:val="349"/>
        </w:trPr>
        <w:tc>
          <w:tcPr>
            <w:tcW w:w="3698"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EBLNRBMF</w:t>
            </w:r>
          </w:p>
        </w:tc>
        <w:tc>
          <w:tcPr>
            <w:tcW w:w="246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0.02%</w:t>
            </w:r>
          </w:p>
        </w:tc>
        <w:tc>
          <w:tcPr>
            <w:tcW w:w="153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1.43%</w:t>
            </w:r>
          </w:p>
        </w:tc>
        <w:tc>
          <w:tcPr>
            <w:tcW w:w="137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0.53</w:t>
            </w:r>
          </w:p>
        </w:tc>
      </w:tr>
      <w:tr w:rsidR="00F73EED" w:rsidRPr="00F73EED" w:rsidTr="00F73EED">
        <w:trPr>
          <w:trHeight w:val="349"/>
        </w:trPr>
        <w:tc>
          <w:tcPr>
            <w:tcW w:w="3698"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1JANATAMF</w:t>
            </w:r>
          </w:p>
        </w:tc>
        <w:tc>
          <w:tcPr>
            <w:tcW w:w="246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0.01%</w:t>
            </w:r>
          </w:p>
        </w:tc>
        <w:tc>
          <w:tcPr>
            <w:tcW w:w="153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1.50%</w:t>
            </w:r>
          </w:p>
        </w:tc>
        <w:tc>
          <w:tcPr>
            <w:tcW w:w="137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0.63</w:t>
            </w:r>
          </w:p>
        </w:tc>
      </w:tr>
      <w:tr w:rsidR="00F73EED" w:rsidRPr="00F73EED" w:rsidTr="00F73EED">
        <w:trPr>
          <w:trHeight w:val="349"/>
        </w:trPr>
        <w:tc>
          <w:tcPr>
            <w:tcW w:w="3698"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1STPRIMFMF</w:t>
            </w:r>
          </w:p>
        </w:tc>
        <w:tc>
          <w:tcPr>
            <w:tcW w:w="246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-0.04%</w:t>
            </w:r>
          </w:p>
        </w:tc>
        <w:tc>
          <w:tcPr>
            <w:tcW w:w="153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2.55%</w:t>
            </w:r>
          </w:p>
        </w:tc>
        <w:tc>
          <w:tcPr>
            <w:tcW w:w="137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1.11</w:t>
            </w:r>
          </w:p>
        </w:tc>
      </w:tr>
      <w:tr w:rsidR="00F73EED" w:rsidRPr="00F73EED" w:rsidTr="00F73EED">
        <w:trPr>
          <w:trHeight w:val="349"/>
        </w:trPr>
        <w:tc>
          <w:tcPr>
            <w:tcW w:w="3698"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EXIM1STMF</w:t>
            </w:r>
          </w:p>
        </w:tc>
        <w:tc>
          <w:tcPr>
            <w:tcW w:w="246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0.04%</w:t>
            </w:r>
          </w:p>
        </w:tc>
        <w:tc>
          <w:tcPr>
            <w:tcW w:w="153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1.78%</w:t>
            </w:r>
          </w:p>
        </w:tc>
        <w:tc>
          <w:tcPr>
            <w:tcW w:w="137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0.67</w:t>
            </w:r>
          </w:p>
        </w:tc>
      </w:tr>
      <w:tr w:rsidR="00F73EED" w:rsidRPr="00F73EED" w:rsidTr="00F73EED">
        <w:trPr>
          <w:trHeight w:val="349"/>
        </w:trPr>
        <w:tc>
          <w:tcPr>
            <w:tcW w:w="3698"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FBFIF</w:t>
            </w:r>
          </w:p>
        </w:tc>
        <w:tc>
          <w:tcPr>
            <w:tcW w:w="246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0.01%</w:t>
            </w:r>
          </w:p>
        </w:tc>
        <w:tc>
          <w:tcPr>
            <w:tcW w:w="153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1.39%</w:t>
            </w:r>
          </w:p>
        </w:tc>
        <w:tc>
          <w:tcPr>
            <w:tcW w:w="137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0.48</w:t>
            </w:r>
          </w:p>
        </w:tc>
      </w:tr>
      <w:tr w:rsidR="00F73EED" w:rsidRPr="00F73EED" w:rsidTr="00F73EED">
        <w:trPr>
          <w:trHeight w:val="349"/>
        </w:trPr>
        <w:tc>
          <w:tcPr>
            <w:tcW w:w="3698"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DSEX</w:t>
            </w:r>
          </w:p>
        </w:tc>
        <w:tc>
          <w:tcPr>
            <w:tcW w:w="246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0.08%</w:t>
            </w:r>
          </w:p>
        </w:tc>
        <w:tc>
          <w:tcPr>
            <w:tcW w:w="153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1.53%</w:t>
            </w:r>
          </w:p>
        </w:tc>
        <w:tc>
          <w:tcPr>
            <w:tcW w:w="1375" w:type="dxa"/>
            <w:noWrap/>
            <w:vAlign w:val="center"/>
            <w:hideMark/>
          </w:tcPr>
          <w:p w:rsidR="00F73EED" w:rsidRPr="00F73EED" w:rsidRDefault="00F73EED" w:rsidP="00F73EED">
            <w:pPr>
              <w:spacing w:line="360" w:lineRule="auto"/>
              <w:jc w:val="center"/>
              <w:rPr>
                <w:rFonts w:ascii="Times New Roman" w:hAnsi="Times New Roman"/>
                <w:sz w:val="24"/>
                <w:szCs w:val="24"/>
              </w:rPr>
            </w:pPr>
          </w:p>
        </w:tc>
      </w:tr>
    </w:tbl>
    <w:p w:rsidR="00A447D8" w:rsidRDefault="00A447D8" w:rsidP="00F73EED">
      <w:pPr>
        <w:keepNext/>
        <w:keepLines/>
        <w:spacing w:before="40" w:after="0" w:line="360" w:lineRule="auto"/>
        <w:outlineLvl w:val="4"/>
        <w:rPr>
          <w:rFonts w:ascii="Times New Roman" w:eastAsiaTheme="majorEastAsia" w:hAnsi="Times New Roman" w:cs="Times New Roman"/>
          <w:b/>
          <w:sz w:val="24"/>
          <w:szCs w:val="24"/>
        </w:rPr>
      </w:pPr>
    </w:p>
    <w:p w:rsidR="00F73EED" w:rsidRPr="00F73EED" w:rsidRDefault="00F73EED" w:rsidP="00F73EED">
      <w:pPr>
        <w:keepNext/>
        <w:keepLines/>
        <w:spacing w:before="40" w:after="0" w:line="360" w:lineRule="auto"/>
        <w:outlineLvl w:val="4"/>
        <w:rPr>
          <w:rFonts w:ascii="Times New Roman" w:eastAsiaTheme="majorEastAsia" w:hAnsi="Times New Roman" w:cs="Times New Roman"/>
          <w:b/>
          <w:sz w:val="24"/>
          <w:szCs w:val="24"/>
        </w:rPr>
      </w:pPr>
      <w:r w:rsidRPr="00F73EED">
        <w:rPr>
          <w:rFonts w:ascii="Times New Roman" w:eastAsiaTheme="majorEastAsia" w:hAnsi="Times New Roman" w:cs="Times New Roman"/>
          <w:b/>
          <w:sz w:val="24"/>
          <w:szCs w:val="24"/>
        </w:rPr>
        <w:t>Average Return on Weekly NAV</w:t>
      </w:r>
    </w:p>
    <w:p w:rsidR="00F73EED" w:rsidRPr="00F73EED" w:rsidRDefault="00F73EED" w:rsidP="00F73EED">
      <w:pPr>
        <w:spacing w:line="360" w:lineRule="auto"/>
        <w:jc w:val="both"/>
        <w:rPr>
          <w:rFonts w:ascii="Times New Roman" w:hAnsi="Times New Roman" w:cs="Times New Roman"/>
          <w:sz w:val="24"/>
          <w:szCs w:val="24"/>
        </w:rPr>
      </w:pPr>
      <w:r w:rsidRPr="00F73EED">
        <w:rPr>
          <w:noProof/>
        </w:rPr>
        <w:drawing>
          <wp:anchor distT="0" distB="0" distL="114300" distR="114300" simplePos="0" relativeHeight="251755519" behindDoc="0" locked="0" layoutInCell="1" allowOverlap="1" wp14:anchorId="4D5EFD39" wp14:editId="50255710">
            <wp:simplePos x="0" y="0"/>
            <wp:positionH relativeFrom="margin">
              <wp:align>right</wp:align>
            </wp:positionH>
            <wp:positionV relativeFrom="margin">
              <wp:posOffset>5741123</wp:posOffset>
            </wp:positionV>
            <wp:extent cx="5734050" cy="2103120"/>
            <wp:effectExtent l="0" t="0" r="0" b="11430"/>
            <wp:wrapSquare wrapText="bothSides"/>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F73EED">
        <w:rPr>
          <w:rFonts w:ascii="Times New Roman" w:hAnsi="Times New Roman" w:cs="Times New Roman"/>
          <w:sz w:val="24"/>
          <w:szCs w:val="24"/>
        </w:rPr>
        <w:t xml:space="preserve">To calculate average weekly return we calculated return of each week. To do that we subtract the NAV of previous week from NAV of current week and multiplied it with hundred. After that, we simply calculated the average by dividing total summation of weekly return with number weeks. The result gained through this process is illustrated on the graph below. </w:t>
      </w:r>
    </w:p>
    <w:p w:rsidR="00F73EED" w:rsidRPr="00F73EED" w:rsidRDefault="00F73EED" w:rsidP="00A447D8">
      <w:pPr>
        <w:spacing w:before="240" w:line="360" w:lineRule="auto"/>
        <w:jc w:val="both"/>
        <w:rPr>
          <w:rFonts w:ascii="Times New Roman" w:hAnsi="Times New Roman" w:cs="Times New Roman"/>
          <w:sz w:val="24"/>
          <w:szCs w:val="24"/>
        </w:rPr>
      </w:pPr>
      <w:r w:rsidRPr="00F73EED">
        <w:rPr>
          <w:rFonts w:ascii="Times New Roman" w:hAnsi="Times New Roman" w:cs="Times New Roman"/>
          <w:sz w:val="24"/>
          <w:szCs w:val="24"/>
        </w:rPr>
        <w:lastRenderedPageBreak/>
        <w:t>The chart here include a graphical illustration showing side by side comparison of return provided from mutual fund, T-Bill and DSEX. Here the market price of NAV is considered to calculate return of mutual funds. From the chart above, we can see that T-Bill is providing more return than DSEX or any other mutual fund. Return of DESX, can be lower than the T-Bill return it is not unacceptable because the benchmark index represent the whole market, which include both good securities and bad securities. Due to the bad securities the overall earning of DSEX might be lower. But lower return of mutual fund is not expected because it will discourage the investor. In consideration of mutual fund we see that the DBH1STMF is providing the highest weekly return 0.07%. More or less every mutual fund providing positive return except 1STPRIMEMF. ATCSGLF is the close competitor of EBL1STMF. Their return have ranged around 0.05%. EBBLNRBMF and ABB1STMF are also providing approximately similar level of return, which is 0.02%. FBFIF and 1JATAMF is providing a return of 0.01%. EXIM1STMF and AIBL1STMF is providing a return of 0.04% and 0.03% consecutively. However, 1STPRIMMF is providing a significant negative return of -0.04%.</w:t>
      </w:r>
    </w:p>
    <w:p w:rsidR="00F73EED" w:rsidRPr="00F73EED" w:rsidRDefault="00F73EED" w:rsidP="00F73EED">
      <w:pPr>
        <w:keepNext/>
        <w:keepLines/>
        <w:spacing w:before="40" w:after="0" w:line="360" w:lineRule="auto"/>
        <w:outlineLvl w:val="4"/>
        <w:rPr>
          <w:rFonts w:ascii="Times New Roman" w:eastAsiaTheme="majorEastAsia" w:hAnsi="Times New Roman" w:cs="Times New Roman"/>
          <w:b/>
          <w:sz w:val="24"/>
          <w:szCs w:val="24"/>
        </w:rPr>
      </w:pPr>
      <w:r w:rsidRPr="00F73EED">
        <w:rPr>
          <w:rFonts w:ascii="Times New Roman" w:eastAsiaTheme="majorEastAsia" w:hAnsi="Times New Roman" w:cs="Times New Roman"/>
          <w:b/>
          <w:sz w:val="24"/>
          <w:szCs w:val="24"/>
        </w:rPr>
        <w:t>Standard Deviation of Return Based on Weekly NAV</w:t>
      </w:r>
    </w:p>
    <w:p w:rsidR="00F73EED" w:rsidRPr="00F73EED" w:rsidRDefault="00A447D8" w:rsidP="00F73EED">
      <w:pPr>
        <w:spacing w:line="360" w:lineRule="auto"/>
        <w:jc w:val="both"/>
        <w:rPr>
          <w:rFonts w:ascii="Times New Roman" w:hAnsi="Times New Roman" w:cs="Times New Roman"/>
          <w:sz w:val="24"/>
          <w:szCs w:val="24"/>
        </w:rPr>
      </w:pPr>
      <w:r w:rsidRPr="00F73EED">
        <w:rPr>
          <w:noProof/>
        </w:rPr>
        <w:drawing>
          <wp:anchor distT="0" distB="0" distL="114300" distR="114300" simplePos="0" relativeHeight="251756543" behindDoc="0" locked="0" layoutInCell="1" allowOverlap="1" wp14:anchorId="4389D51B" wp14:editId="19C153EA">
            <wp:simplePos x="0" y="0"/>
            <wp:positionH relativeFrom="margin">
              <wp:align>left</wp:align>
            </wp:positionH>
            <wp:positionV relativeFrom="margin">
              <wp:posOffset>4099153</wp:posOffset>
            </wp:positionV>
            <wp:extent cx="5731510" cy="2103120"/>
            <wp:effectExtent l="0" t="0" r="2540" b="11430"/>
            <wp:wrapSquare wrapText="bothSides"/>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F73EED" w:rsidRPr="00F73EED">
        <w:rPr>
          <w:rFonts w:ascii="Times New Roman" w:hAnsi="Times New Roman" w:cs="Times New Roman"/>
          <w:sz w:val="24"/>
          <w:szCs w:val="24"/>
        </w:rPr>
        <w:t xml:space="preserve">The standard </w:t>
      </w:r>
      <w:proofErr w:type="gramStart"/>
      <w:r w:rsidR="00F73EED" w:rsidRPr="00F73EED">
        <w:rPr>
          <w:rFonts w:ascii="Times New Roman" w:hAnsi="Times New Roman" w:cs="Times New Roman"/>
          <w:sz w:val="24"/>
          <w:szCs w:val="24"/>
        </w:rPr>
        <w:t>deviation of return considering weekly NAV were</w:t>
      </w:r>
      <w:proofErr w:type="gramEnd"/>
      <w:r w:rsidR="00F73EED" w:rsidRPr="00F73EED">
        <w:rPr>
          <w:rFonts w:ascii="Times New Roman" w:hAnsi="Times New Roman" w:cs="Times New Roman"/>
          <w:sz w:val="24"/>
          <w:szCs w:val="24"/>
        </w:rPr>
        <w:t xml:space="preserve"> calculated using the appropriate formula of standard deviation. The summary of the findings from standard deviation is represented by the graph below:</w:t>
      </w:r>
    </w:p>
    <w:p w:rsidR="00F73EED" w:rsidRPr="00F73EED" w:rsidRDefault="00F73EED" w:rsidP="00F73EED">
      <w:pPr>
        <w:spacing w:line="360" w:lineRule="auto"/>
        <w:jc w:val="both"/>
        <w:rPr>
          <w:rFonts w:ascii="Times New Roman" w:hAnsi="Times New Roman" w:cs="Times New Roman"/>
          <w:sz w:val="24"/>
          <w:szCs w:val="24"/>
        </w:rPr>
      </w:pPr>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The chart shows the standard deviation of 1STPRIMEMF is the highest, which implies that among all mutual fund it contains the highest level of risk. The standard deviation of the market or DSEX is 1.53%. AIBL1STIMF has the lowest level of variation 1.14%. The standard deviation of FBFIF, EBLNRBMF and ABB1STMF ranged </w:t>
      </w:r>
      <w:proofErr w:type="gramStart"/>
      <w:r w:rsidRPr="00F73EED">
        <w:rPr>
          <w:rFonts w:ascii="Times New Roman" w:hAnsi="Times New Roman" w:cs="Times New Roman"/>
          <w:sz w:val="24"/>
          <w:szCs w:val="24"/>
        </w:rPr>
        <w:t xml:space="preserve">between 1.39% to </w:t>
      </w:r>
      <w:r w:rsidRPr="00F73EED">
        <w:rPr>
          <w:rFonts w:ascii="Times New Roman" w:hAnsi="Times New Roman" w:cs="Times New Roman"/>
          <w:sz w:val="24"/>
          <w:szCs w:val="24"/>
        </w:rPr>
        <w:lastRenderedPageBreak/>
        <w:t>1.47%</w:t>
      </w:r>
      <w:proofErr w:type="gramEnd"/>
      <w:r w:rsidRPr="00F73EED">
        <w:rPr>
          <w:rFonts w:ascii="Times New Roman" w:hAnsi="Times New Roman" w:cs="Times New Roman"/>
          <w:sz w:val="24"/>
          <w:szCs w:val="24"/>
        </w:rPr>
        <w:t xml:space="preserve">. After 1STPRIMEMF, EXIM1STMF has the highest level of risk which is 1.78%. The standard deviation of rest of the mutual fund ranged </w:t>
      </w:r>
      <w:proofErr w:type="gramStart"/>
      <w:r w:rsidRPr="00F73EED">
        <w:rPr>
          <w:rFonts w:ascii="Times New Roman" w:hAnsi="Times New Roman" w:cs="Times New Roman"/>
          <w:sz w:val="24"/>
          <w:szCs w:val="24"/>
        </w:rPr>
        <w:t>between 1.50% to 1.59%</w:t>
      </w:r>
      <w:proofErr w:type="gramEnd"/>
      <w:r w:rsidRPr="00F73EED">
        <w:rPr>
          <w:rFonts w:ascii="Times New Roman" w:hAnsi="Times New Roman" w:cs="Times New Roman"/>
          <w:sz w:val="24"/>
          <w:szCs w:val="24"/>
        </w:rPr>
        <w:t>.</w:t>
      </w:r>
    </w:p>
    <w:p w:rsidR="00F73EED" w:rsidRPr="00F73EED" w:rsidRDefault="00F73EED" w:rsidP="00F73EED">
      <w:pPr>
        <w:spacing w:line="360" w:lineRule="auto"/>
        <w:jc w:val="both"/>
        <w:rPr>
          <w:rFonts w:ascii="Times New Roman" w:hAnsi="Times New Roman" w:cs="Times New Roman"/>
          <w:sz w:val="24"/>
          <w:szCs w:val="24"/>
        </w:rPr>
      </w:pPr>
    </w:p>
    <w:p w:rsidR="00F73EED" w:rsidRPr="00F73EED" w:rsidRDefault="00F73EED" w:rsidP="00F73EED">
      <w:pPr>
        <w:keepNext/>
        <w:keepLines/>
        <w:spacing w:before="40" w:after="0" w:line="360" w:lineRule="auto"/>
        <w:outlineLvl w:val="4"/>
        <w:rPr>
          <w:rFonts w:ascii="Times New Roman" w:eastAsiaTheme="majorEastAsia" w:hAnsi="Times New Roman" w:cs="Times New Roman"/>
          <w:b/>
          <w:sz w:val="24"/>
          <w:szCs w:val="24"/>
        </w:rPr>
      </w:pPr>
      <w:r w:rsidRPr="00F73EED">
        <w:rPr>
          <w:rFonts w:ascii="Times New Roman" w:eastAsiaTheme="majorEastAsia" w:hAnsi="Times New Roman" w:cs="Times New Roman"/>
          <w:b/>
          <w:sz w:val="24"/>
          <w:szCs w:val="24"/>
        </w:rPr>
        <w:t>Beta of Return Based on Weekly NAV</w:t>
      </w:r>
    </w:p>
    <w:p w:rsidR="00F73EED" w:rsidRPr="00F73EED" w:rsidRDefault="0000043A" w:rsidP="00F73EED">
      <w:pPr>
        <w:spacing w:line="360" w:lineRule="auto"/>
        <w:jc w:val="both"/>
        <w:rPr>
          <w:rFonts w:ascii="Times New Roman" w:hAnsi="Times New Roman" w:cs="Times New Roman"/>
          <w:sz w:val="24"/>
          <w:szCs w:val="24"/>
        </w:rPr>
      </w:pPr>
      <w:r w:rsidRPr="00F73EED">
        <w:rPr>
          <w:noProof/>
        </w:rPr>
        <w:drawing>
          <wp:anchor distT="0" distB="0" distL="114300" distR="114300" simplePos="0" relativeHeight="251757567" behindDoc="0" locked="0" layoutInCell="1" allowOverlap="1" wp14:anchorId="28BCE916" wp14:editId="7246C9DB">
            <wp:simplePos x="0" y="0"/>
            <wp:positionH relativeFrom="margin">
              <wp:align>center</wp:align>
            </wp:positionH>
            <wp:positionV relativeFrom="margin">
              <wp:posOffset>1485685</wp:posOffset>
            </wp:positionV>
            <wp:extent cx="5733288" cy="2103120"/>
            <wp:effectExtent l="0" t="0" r="1270" b="11430"/>
            <wp:wrapSquare wrapText="bothSides"/>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F73EED" w:rsidRPr="00F73EED">
        <w:rPr>
          <w:rFonts w:ascii="Times New Roman" w:hAnsi="Times New Roman" w:cs="Times New Roman"/>
          <w:sz w:val="24"/>
          <w:szCs w:val="24"/>
        </w:rPr>
        <w:t xml:space="preserve">The process and formula of calculating beta is explained broadly in the previous section. Applying the formula of beta we derived the amount of beta from weekly return of NAV and weekly return of DSEX broad index. A graph showing association </w:t>
      </w:r>
      <w:proofErr w:type="gramStart"/>
      <w:r w:rsidR="00F73EED" w:rsidRPr="00F73EED">
        <w:rPr>
          <w:rFonts w:ascii="Times New Roman" w:hAnsi="Times New Roman" w:cs="Times New Roman"/>
          <w:sz w:val="24"/>
          <w:szCs w:val="24"/>
        </w:rPr>
        <w:t>of  mutual</w:t>
      </w:r>
      <w:proofErr w:type="gramEnd"/>
      <w:r w:rsidR="00F73EED" w:rsidRPr="00F73EED">
        <w:rPr>
          <w:rFonts w:ascii="Times New Roman" w:hAnsi="Times New Roman" w:cs="Times New Roman"/>
          <w:sz w:val="24"/>
          <w:szCs w:val="24"/>
        </w:rPr>
        <w:t xml:space="preserve"> funds return with the markets return is given below. </w:t>
      </w:r>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 </w:t>
      </w:r>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The chart illustrate that AIBL1STIMF is the </w:t>
      </w:r>
      <w:proofErr w:type="gramStart"/>
      <w:r w:rsidRPr="00F73EED">
        <w:rPr>
          <w:rFonts w:ascii="Times New Roman" w:hAnsi="Times New Roman" w:cs="Times New Roman"/>
          <w:sz w:val="24"/>
          <w:szCs w:val="24"/>
        </w:rPr>
        <w:t>most less</w:t>
      </w:r>
      <w:proofErr w:type="gramEnd"/>
      <w:r w:rsidRPr="00F73EED">
        <w:rPr>
          <w:rFonts w:ascii="Times New Roman" w:hAnsi="Times New Roman" w:cs="Times New Roman"/>
          <w:sz w:val="24"/>
          <w:szCs w:val="24"/>
        </w:rPr>
        <w:t xml:space="preserve"> volatile of all it have beta association of 0.27 with the market. 1STPRIMEMF is the most volatile of all which have a Beta above 1, meaning that it is even volatile than the market. The beta of rest of the mutual fund ranged </w:t>
      </w:r>
      <w:proofErr w:type="gramStart"/>
      <w:r w:rsidRPr="00F73EED">
        <w:rPr>
          <w:rFonts w:ascii="Times New Roman" w:hAnsi="Times New Roman" w:cs="Times New Roman"/>
          <w:sz w:val="24"/>
          <w:szCs w:val="24"/>
        </w:rPr>
        <w:t>between 0.48 to 0.67</w:t>
      </w:r>
      <w:proofErr w:type="gramEnd"/>
      <w:r w:rsidRPr="00F73EED">
        <w:rPr>
          <w:rFonts w:ascii="Times New Roman" w:hAnsi="Times New Roman" w:cs="Times New Roman"/>
          <w:sz w:val="24"/>
          <w:szCs w:val="24"/>
        </w:rPr>
        <w:t xml:space="preserve">. More volatility represent more risk and require higher return to compensate the level of risk. </w:t>
      </w:r>
    </w:p>
    <w:p w:rsidR="00F73EED" w:rsidRPr="00F73EED" w:rsidRDefault="00F73EED" w:rsidP="00F73EED">
      <w:pPr>
        <w:keepNext/>
        <w:keepLines/>
        <w:spacing w:before="40" w:after="0" w:line="360" w:lineRule="auto"/>
        <w:jc w:val="both"/>
        <w:outlineLvl w:val="4"/>
        <w:rPr>
          <w:rFonts w:ascii="Times New Roman" w:eastAsiaTheme="majorEastAsia" w:hAnsi="Times New Roman" w:cs="Times New Roman"/>
          <w:b/>
          <w:sz w:val="24"/>
          <w:szCs w:val="24"/>
        </w:rPr>
      </w:pPr>
      <w:r w:rsidRPr="00F73EED">
        <w:rPr>
          <w:rFonts w:ascii="Times New Roman" w:eastAsiaTheme="majorEastAsia" w:hAnsi="Times New Roman" w:cs="Times New Roman"/>
          <w:b/>
          <w:sz w:val="24"/>
          <w:szCs w:val="24"/>
        </w:rPr>
        <w:t>Sharpe Ratio Based on Return of Weekly NAV</w:t>
      </w:r>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To calculate the Sharp ratio using weekly NAV, we calculated return in terms of weekly NAV. After calculating return of weekly NAV, the mean or average value of weekly returns were calculated. The values from calculated return were used to calculate standard deviation. For the risk free rate 1-year </w:t>
      </w:r>
      <w:proofErr w:type="gramStart"/>
      <w:r w:rsidRPr="00F73EED">
        <w:rPr>
          <w:rFonts w:ascii="Times New Roman" w:hAnsi="Times New Roman" w:cs="Times New Roman"/>
          <w:sz w:val="24"/>
          <w:szCs w:val="24"/>
        </w:rPr>
        <w:t>treasury</w:t>
      </w:r>
      <w:proofErr w:type="gramEnd"/>
      <w:r w:rsidRPr="00F73EED">
        <w:rPr>
          <w:rFonts w:ascii="Times New Roman" w:hAnsi="Times New Roman" w:cs="Times New Roman"/>
          <w:sz w:val="24"/>
          <w:szCs w:val="24"/>
        </w:rPr>
        <w:t xml:space="preserve"> bill rate were considered. Then 1-year </w:t>
      </w:r>
      <w:proofErr w:type="gramStart"/>
      <w:r w:rsidRPr="00F73EED">
        <w:rPr>
          <w:rFonts w:ascii="Times New Roman" w:hAnsi="Times New Roman" w:cs="Times New Roman"/>
          <w:sz w:val="24"/>
          <w:szCs w:val="24"/>
        </w:rPr>
        <w:t>treasury</w:t>
      </w:r>
      <w:proofErr w:type="gramEnd"/>
      <w:r w:rsidRPr="00F73EED">
        <w:rPr>
          <w:rFonts w:ascii="Times New Roman" w:hAnsi="Times New Roman" w:cs="Times New Roman"/>
          <w:sz w:val="24"/>
          <w:szCs w:val="24"/>
        </w:rPr>
        <w:t xml:space="preserve"> bill rate were converted to 7 days using basic mathematical assumption. After that the risk premium was calculated by subtracting the calculated 7 days treasury return from average of weekly return of NAV. Last of all the risk premium was divided by previously calculated standard </w:t>
      </w:r>
      <w:r w:rsidRPr="00F73EED">
        <w:rPr>
          <w:rFonts w:ascii="Times New Roman" w:hAnsi="Times New Roman" w:cs="Times New Roman"/>
          <w:sz w:val="24"/>
          <w:szCs w:val="24"/>
        </w:rPr>
        <w:lastRenderedPageBreak/>
        <w:t>deviation to determine the Sharpe ratio. It should be denoted that this study based on assumption of normal distribution and simple rate of return.</w:t>
      </w:r>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Using the above mentioned process we calculated the Sharpe ratio. The </w:t>
      </w:r>
      <w:proofErr w:type="gramStart"/>
      <w:r w:rsidRPr="00F73EED">
        <w:rPr>
          <w:rFonts w:ascii="Times New Roman" w:hAnsi="Times New Roman" w:cs="Times New Roman"/>
          <w:sz w:val="24"/>
          <w:szCs w:val="24"/>
        </w:rPr>
        <w:t>results of the Sharpe Ratio is</w:t>
      </w:r>
      <w:proofErr w:type="gramEnd"/>
      <w:r w:rsidRPr="00F73EED">
        <w:rPr>
          <w:rFonts w:ascii="Times New Roman" w:hAnsi="Times New Roman" w:cs="Times New Roman"/>
          <w:sz w:val="24"/>
          <w:szCs w:val="24"/>
        </w:rPr>
        <w:t xml:space="preserve"> given on the table below:</w:t>
      </w:r>
    </w:p>
    <w:tbl>
      <w:tblPr>
        <w:tblStyle w:val="TableGrid22"/>
        <w:tblpPr w:leftFromText="180" w:rightFromText="180" w:vertAnchor="text" w:horzAnchor="margin" w:tblpY="16"/>
        <w:tblW w:w="9051" w:type="dxa"/>
        <w:tblLook w:val="04A0" w:firstRow="1" w:lastRow="0" w:firstColumn="1" w:lastColumn="0" w:noHBand="0" w:noVBand="1"/>
      </w:tblPr>
      <w:tblGrid>
        <w:gridCol w:w="5254"/>
        <w:gridCol w:w="3797"/>
      </w:tblGrid>
      <w:tr w:rsidR="005B5D38" w:rsidRPr="00F73EED" w:rsidTr="00F265B7">
        <w:trPr>
          <w:trHeight w:val="284"/>
        </w:trPr>
        <w:tc>
          <w:tcPr>
            <w:tcW w:w="5254"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Mutual Fund Trading Code</w:t>
            </w:r>
          </w:p>
        </w:tc>
        <w:tc>
          <w:tcPr>
            <w:tcW w:w="3797"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Sharpe Ratio</w:t>
            </w:r>
          </w:p>
        </w:tc>
      </w:tr>
      <w:tr w:rsidR="005B5D38" w:rsidRPr="00F73EED" w:rsidTr="00F265B7">
        <w:trPr>
          <w:trHeight w:val="284"/>
        </w:trPr>
        <w:tc>
          <w:tcPr>
            <w:tcW w:w="5254"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DBH1STMF</w:t>
            </w:r>
          </w:p>
        </w:tc>
        <w:tc>
          <w:tcPr>
            <w:tcW w:w="3797"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-2.06%</w:t>
            </w:r>
          </w:p>
        </w:tc>
      </w:tr>
      <w:tr w:rsidR="005B5D38" w:rsidRPr="00F73EED" w:rsidTr="00F265B7">
        <w:trPr>
          <w:trHeight w:val="284"/>
        </w:trPr>
        <w:tc>
          <w:tcPr>
            <w:tcW w:w="5254"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ATCSLGF</w:t>
            </w:r>
          </w:p>
        </w:tc>
        <w:tc>
          <w:tcPr>
            <w:tcW w:w="3797"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-3.36%</w:t>
            </w:r>
          </w:p>
        </w:tc>
      </w:tr>
      <w:tr w:rsidR="005B5D38" w:rsidRPr="00F73EED" w:rsidTr="00F265B7">
        <w:trPr>
          <w:trHeight w:val="284"/>
        </w:trPr>
        <w:tc>
          <w:tcPr>
            <w:tcW w:w="5254"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EXIM1STMF</w:t>
            </w:r>
          </w:p>
        </w:tc>
        <w:tc>
          <w:tcPr>
            <w:tcW w:w="3797"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-3.55%</w:t>
            </w:r>
          </w:p>
        </w:tc>
      </w:tr>
      <w:tr w:rsidR="005B5D38" w:rsidRPr="00F73EED" w:rsidTr="00F265B7">
        <w:trPr>
          <w:trHeight w:val="284"/>
        </w:trPr>
        <w:tc>
          <w:tcPr>
            <w:tcW w:w="5254"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EBL1STMF</w:t>
            </w:r>
          </w:p>
        </w:tc>
        <w:tc>
          <w:tcPr>
            <w:tcW w:w="3797"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-3.67%</w:t>
            </w:r>
          </w:p>
        </w:tc>
      </w:tr>
      <w:tr w:rsidR="005B5D38" w:rsidRPr="00F73EED" w:rsidTr="00F265B7">
        <w:trPr>
          <w:trHeight w:val="284"/>
        </w:trPr>
        <w:tc>
          <w:tcPr>
            <w:tcW w:w="5254"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ABB1STMF</w:t>
            </w:r>
          </w:p>
        </w:tc>
        <w:tc>
          <w:tcPr>
            <w:tcW w:w="3797"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-5.79%</w:t>
            </w:r>
          </w:p>
        </w:tc>
      </w:tr>
      <w:tr w:rsidR="005B5D38" w:rsidRPr="00F73EED" w:rsidTr="00F265B7">
        <w:trPr>
          <w:trHeight w:val="284"/>
        </w:trPr>
        <w:tc>
          <w:tcPr>
            <w:tcW w:w="5254"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1STPRIMFMF</w:t>
            </w:r>
          </w:p>
        </w:tc>
        <w:tc>
          <w:tcPr>
            <w:tcW w:w="3797"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-5.86%</w:t>
            </w:r>
          </w:p>
        </w:tc>
      </w:tr>
      <w:tr w:rsidR="005B5D38" w:rsidRPr="00F73EED" w:rsidTr="00F265B7">
        <w:trPr>
          <w:trHeight w:val="284"/>
        </w:trPr>
        <w:tc>
          <w:tcPr>
            <w:tcW w:w="5254"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EBLNRBMF</w:t>
            </w:r>
          </w:p>
        </w:tc>
        <w:tc>
          <w:tcPr>
            <w:tcW w:w="3797"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-5.91%</w:t>
            </w:r>
          </w:p>
        </w:tc>
      </w:tr>
      <w:tr w:rsidR="005B5D38" w:rsidRPr="00F73EED" w:rsidTr="00F265B7">
        <w:trPr>
          <w:trHeight w:val="284"/>
        </w:trPr>
        <w:tc>
          <w:tcPr>
            <w:tcW w:w="5254"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AIBL1STIMF</w:t>
            </w:r>
          </w:p>
        </w:tc>
        <w:tc>
          <w:tcPr>
            <w:tcW w:w="3797"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-6.22%</w:t>
            </w:r>
          </w:p>
        </w:tc>
      </w:tr>
      <w:tr w:rsidR="005B5D38" w:rsidRPr="00F73EED" w:rsidTr="00F265B7">
        <w:trPr>
          <w:trHeight w:val="284"/>
        </w:trPr>
        <w:tc>
          <w:tcPr>
            <w:tcW w:w="5254"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1JANATAMF</w:t>
            </w:r>
          </w:p>
        </w:tc>
        <w:tc>
          <w:tcPr>
            <w:tcW w:w="3797"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-6.38%</w:t>
            </w:r>
          </w:p>
        </w:tc>
      </w:tr>
      <w:tr w:rsidR="005B5D38" w:rsidRPr="00F73EED" w:rsidTr="00F265B7">
        <w:trPr>
          <w:trHeight w:val="284"/>
        </w:trPr>
        <w:tc>
          <w:tcPr>
            <w:tcW w:w="5254"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FBFIF</w:t>
            </w:r>
          </w:p>
        </w:tc>
        <w:tc>
          <w:tcPr>
            <w:tcW w:w="3797" w:type="dxa"/>
            <w:noWrap/>
            <w:hideMark/>
          </w:tcPr>
          <w:p w:rsidR="005B5D38" w:rsidRPr="00F73EED" w:rsidRDefault="005B5D38" w:rsidP="00F265B7">
            <w:pPr>
              <w:spacing w:line="360" w:lineRule="auto"/>
              <w:jc w:val="center"/>
              <w:rPr>
                <w:rFonts w:ascii="Times New Roman" w:hAnsi="Times New Roman"/>
                <w:sz w:val="24"/>
                <w:szCs w:val="24"/>
              </w:rPr>
            </w:pPr>
            <w:r w:rsidRPr="00F73EED">
              <w:rPr>
                <w:rFonts w:ascii="Times New Roman" w:hAnsi="Times New Roman"/>
                <w:sz w:val="24"/>
                <w:szCs w:val="24"/>
              </w:rPr>
              <w:t>-6.85%</w:t>
            </w:r>
          </w:p>
        </w:tc>
      </w:tr>
    </w:tbl>
    <w:p w:rsidR="00F265B7" w:rsidRDefault="00F265B7" w:rsidP="00F73EED">
      <w:pPr>
        <w:spacing w:line="360" w:lineRule="auto"/>
        <w:jc w:val="both"/>
        <w:rPr>
          <w:rFonts w:ascii="Times New Roman" w:hAnsi="Times New Roman" w:cs="Times New Roman"/>
          <w:sz w:val="24"/>
          <w:szCs w:val="24"/>
        </w:rPr>
      </w:pPr>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noProof/>
          <w:sz w:val="24"/>
          <w:szCs w:val="24"/>
        </w:rPr>
        <w:drawing>
          <wp:anchor distT="0" distB="0" distL="114300" distR="114300" simplePos="0" relativeHeight="251758591" behindDoc="0" locked="0" layoutInCell="1" allowOverlap="1" wp14:anchorId="0394340B" wp14:editId="679D3F45">
            <wp:simplePos x="0" y="0"/>
            <wp:positionH relativeFrom="margin">
              <wp:align>left</wp:align>
            </wp:positionH>
            <wp:positionV relativeFrom="margin">
              <wp:posOffset>3981450</wp:posOffset>
            </wp:positionV>
            <wp:extent cx="5734050" cy="2103120"/>
            <wp:effectExtent l="0" t="0" r="0" b="11430"/>
            <wp:wrapSquare wrapText="bothSides"/>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F73EED">
        <w:rPr>
          <w:rFonts w:ascii="Times New Roman" w:hAnsi="Times New Roman" w:cs="Times New Roman"/>
          <w:sz w:val="24"/>
          <w:szCs w:val="24"/>
        </w:rPr>
        <w:t>To illustrate visually the result of Sharpe’s measure a chart was created using the figures from the table above. The chart is given below:</w:t>
      </w:r>
    </w:p>
    <w:p w:rsidR="00F73EED" w:rsidRPr="00F73EED" w:rsidRDefault="00F73EED" w:rsidP="00F265B7">
      <w:pPr>
        <w:spacing w:before="240"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In the chart above, we can see that none of the mutual fund was actually able to generate any positive Sharpe Ratio. It implies that none of the mutual fund was actually able to generate any positive return. In further interpretation, fund managers were not able to make proper financial engineering in creating efficient portfolio, either because of their expertise or lack of properties available to them. It is not unusual because often mutual fund cannot cope up with their high management cost with return generated from portfolio investment. Perhaps the </w:t>
      </w:r>
      <w:r w:rsidRPr="00F73EED">
        <w:rPr>
          <w:rFonts w:ascii="Times New Roman" w:hAnsi="Times New Roman" w:cs="Times New Roman"/>
          <w:sz w:val="24"/>
          <w:szCs w:val="24"/>
        </w:rPr>
        <w:lastRenderedPageBreak/>
        <w:t>managers were not efficient in cost management. They did not put enough effort or they might have the lack of expertise. As Sharpe ratio do not incorporate any benchmark index we cannot say that the negative returns were generated because of non-favorable market condition though it might be the case as well. There might also have association of other factor like tax and irrational response of the individual investor regarding making investment. Though as per as the information provided from the chart none of the organization is worthy for investment. For the theoretic purpose of comparison, the chart above was designed to provide a visual demonstration of the funds’ performance. Here it is visible in terms of performance in consideration of Sharpe ratio DBH1STMF is the best performer with lowest amount of negative return -2.06% and FBFIF is the worst performer with highest negative return -6.85%.</w:t>
      </w:r>
    </w:p>
    <w:p w:rsidR="00F73EED" w:rsidRPr="00F73EED" w:rsidRDefault="00F73EED" w:rsidP="00F73EED">
      <w:pPr>
        <w:keepNext/>
        <w:keepLines/>
        <w:spacing w:before="40" w:after="0" w:line="360" w:lineRule="auto"/>
        <w:outlineLvl w:val="4"/>
        <w:rPr>
          <w:rFonts w:ascii="Times New Roman" w:eastAsiaTheme="majorEastAsia" w:hAnsi="Times New Roman" w:cs="Times New Roman"/>
          <w:b/>
          <w:sz w:val="24"/>
          <w:szCs w:val="24"/>
          <w:shd w:val="clear" w:color="auto" w:fill="FFFFFF"/>
        </w:rPr>
      </w:pPr>
      <w:proofErr w:type="spellStart"/>
      <w:r w:rsidRPr="00F73EED">
        <w:rPr>
          <w:rFonts w:ascii="Times New Roman" w:eastAsiaTheme="majorEastAsia" w:hAnsi="Times New Roman" w:cs="Times New Roman"/>
          <w:b/>
          <w:sz w:val="24"/>
          <w:szCs w:val="24"/>
          <w:shd w:val="clear" w:color="auto" w:fill="FFFFFF"/>
        </w:rPr>
        <w:t>Treynor</w:t>
      </w:r>
      <w:proofErr w:type="spellEnd"/>
      <w:r w:rsidRPr="00F73EED">
        <w:rPr>
          <w:rFonts w:ascii="Times New Roman" w:eastAsiaTheme="majorEastAsia" w:hAnsi="Times New Roman" w:cs="Times New Roman"/>
          <w:b/>
          <w:sz w:val="24"/>
          <w:szCs w:val="24"/>
          <w:shd w:val="clear" w:color="auto" w:fill="FFFFFF"/>
        </w:rPr>
        <w:t xml:space="preserve"> Ratio Based on Return of Weekly NAV</w:t>
      </w:r>
    </w:p>
    <w:p w:rsidR="00F73EED" w:rsidRPr="00F73EED" w:rsidRDefault="00F73EED" w:rsidP="00F73EED">
      <w:pPr>
        <w:spacing w:line="360" w:lineRule="auto"/>
        <w:jc w:val="both"/>
        <w:rPr>
          <w:rFonts w:ascii="Times New Roman" w:hAnsi="Times New Roman" w:cs="Times New Roman"/>
          <w:color w:val="111111"/>
          <w:sz w:val="24"/>
          <w:szCs w:val="24"/>
          <w:shd w:val="clear" w:color="auto" w:fill="FFFFFF"/>
        </w:rPr>
      </w:pPr>
      <w:r w:rsidRPr="00F73EED">
        <w:rPr>
          <w:rFonts w:ascii="Times New Roman" w:hAnsi="Times New Roman" w:cs="Times New Roman"/>
          <w:color w:val="111111"/>
          <w:sz w:val="24"/>
          <w:szCs w:val="24"/>
          <w:shd w:val="clear" w:color="auto" w:fill="FFFFFF"/>
        </w:rPr>
        <w:t xml:space="preserve">By incorporating Beta </w:t>
      </w:r>
      <w:proofErr w:type="spellStart"/>
      <w:r w:rsidRPr="00F73EED">
        <w:rPr>
          <w:rFonts w:ascii="Times New Roman" w:hAnsi="Times New Roman" w:cs="Times New Roman"/>
          <w:color w:val="111111"/>
          <w:sz w:val="24"/>
          <w:szCs w:val="24"/>
          <w:shd w:val="clear" w:color="auto" w:fill="FFFFFF"/>
        </w:rPr>
        <w:t>Treynor</w:t>
      </w:r>
      <w:proofErr w:type="spellEnd"/>
      <w:r w:rsidRPr="00F73EED">
        <w:rPr>
          <w:rFonts w:ascii="Times New Roman" w:hAnsi="Times New Roman" w:cs="Times New Roman"/>
          <w:color w:val="111111"/>
          <w:sz w:val="24"/>
          <w:szCs w:val="24"/>
          <w:shd w:val="clear" w:color="auto" w:fill="FFFFFF"/>
        </w:rPr>
        <w:t xml:space="preserve"> Ratio define return in association of sensitivity to market risk. Use of Beta instead of standard deviation allow incorporating systematic risk. A higher value of </w:t>
      </w:r>
      <w:proofErr w:type="spellStart"/>
      <w:r w:rsidRPr="00F73EED">
        <w:rPr>
          <w:rFonts w:ascii="Times New Roman" w:hAnsi="Times New Roman" w:cs="Times New Roman"/>
          <w:color w:val="111111"/>
          <w:sz w:val="24"/>
          <w:szCs w:val="24"/>
          <w:shd w:val="clear" w:color="auto" w:fill="FFFFFF"/>
        </w:rPr>
        <w:t>Treynor</w:t>
      </w:r>
      <w:proofErr w:type="spellEnd"/>
      <w:r w:rsidRPr="00F73EED">
        <w:rPr>
          <w:rFonts w:ascii="Times New Roman" w:hAnsi="Times New Roman" w:cs="Times New Roman"/>
          <w:color w:val="111111"/>
          <w:sz w:val="24"/>
          <w:szCs w:val="24"/>
          <w:shd w:val="clear" w:color="auto" w:fill="FFFFFF"/>
        </w:rPr>
        <w:t xml:space="preserve"> ratio reflect better performance. However, if Beta value is negative or zero the ratio cannot produce any sensible measure. Negative value of Beta shows opposite relation of portfolio in contrast to the market. To calculate Beta of the market we considered DSEX broad index. In the process of preparing data to match with the available information of weekly NAV, the </w:t>
      </w:r>
      <w:proofErr w:type="gramStart"/>
      <w:r w:rsidRPr="00F73EED">
        <w:rPr>
          <w:rFonts w:ascii="Times New Roman" w:hAnsi="Times New Roman" w:cs="Times New Roman"/>
          <w:color w:val="111111"/>
          <w:sz w:val="24"/>
          <w:szCs w:val="24"/>
          <w:shd w:val="clear" w:color="auto" w:fill="FFFFFF"/>
        </w:rPr>
        <w:t>return of broad index were</w:t>
      </w:r>
      <w:proofErr w:type="gramEnd"/>
      <w:r w:rsidRPr="00F73EED">
        <w:rPr>
          <w:rFonts w:ascii="Times New Roman" w:hAnsi="Times New Roman" w:cs="Times New Roman"/>
          <w:color w:val="111111"/>
          <w:sz w:val="24"/>
          <w:szCs w:val="24"/>
          <w:shd w:val="clear" w:color="auto" w:fill="FFFFFF"/>
        </w:rPr>
        <w:t xml:space="preserve"> matched with the date of NAV. Here the assumption is an investor will hold the investment for 1 week and take in account of the return afterward. It is not irrational because the statistical measures are most likely to automatically smooth out the out layer data. After preparing data, the slope between each mutual funds return and the return of DSEX was calculated. It should be mentioned that the slope here represents covariance between stocks return and market return being divided by the variance of the market return. At last, the surplus amount of return in excess to risk free rate was divided by Beta to derive the value of </w:t>
      </w:r>
      <w:proofErr w:type="spellStart"/>
      <w:r w:rsidRPr="00F73EED">
        <w:rPr>
          <w:rFonts w:ascii="Times New Roman" w:hAnsi="Times New Roman" w:cs="Times New Roman"/>
          <w:color w:val="111111"/>
          <w:sz w:val="24"/>
          <w:szCs w:val="24"/>
          <w:shd w:val="clear" w:color="auto" w:fill="FFFFFF"/>
        </w:rPr>
        <w:t>Treynor</w:t>
      </w:r>
      <w:proofErr w:type="spellEnd"/>
      <w:r w:rsidRPr="00F73EED">
        <w:rPr>
          <w:rFonts w:ascii="Times New Roman" w:hAnsi="Times New Roman" w:cs="Times New Roman"/>
          <w:color w:val="111111"/>
          <w:sz w:val="24"/>
          <w:szCs w:val="24"/>
          <w:shd w:val="clear" w:color="auto" w:fill="FFFFFF"/>
        </w:rPr>
        <w:t xml:space="preserve"> ratio which is illustrated on the following table.</w:t>
      </w:r>
    </w:p>
    <w:tbl>
      <w:tblPr>
        <w:tblStyle w:val="TableGrid22"/>
        <w:tblW w:w="9068" w:type="dxa"/>
        <w:tblInd w:w="-5" w:type="dxa"/>
        <w:tblLook w:val="04A0" w:firstRow="1" w:lastRow="0" w:firstColumn="1" w:lastColumn="0" w:noHBand="0" w:noVBand="1"/>
      </w:tblPr>
      <w:tblGrid>
        <w:gridCol w:w="5187"/>
        <w:gridCol w:w="3881"/>
      </w:tblGrid>
      <w:tr w:rsidR="00F73EED" w:rsidRPr="00F73EED" w:rsidTr="00F73EED">
        <w:trPr>
          <w:trHeight w:val="253"/>
        </w:trPr>
        <w:tc>
          <w:tcPr>
            <w:tcW w:w="5187"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Mutual Fund Trading Code</w:t>
            </w:r>
          </w:p>
        </w:tc>
        <w:tc>
          <w:tcPr>
            <w:tcW w:w="3881"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proofErr w:type="spellStart"/>
            <w:r w:rsidRPr="007B25EB">
              <w:rPr>
                <w:rFonts w:ascii="Times New Roman" w:hAnsi="Times New Roman"/>
                <w:color w:val="111111"/>
                <w:shd w:val="clear" w:color="auto" w:fill="FFFFFF"/>
              </w:rPr>
              <w:t>Treynor</w:t>
            </w:r>
            <w:proofErr w:type="spellEnd"/>
            <w:r w:rsidRPr="007B25EB">
              <w:rPr>
                <w:rFonts w:ascii="Times New Roman" w:hAnsi="Times New Roman"/>
                <w:color w:val="111111"/>
                <w:shd w:val="clear" w:color="auto" w:fill="FFFFFF"/>
              </w:rPr>
              <w:t xml:space="preserve"> Ratio</w:t>
            </w:r>
          </w:p>
        </w:tc>
      </w:tr>
      <w:tr w:rsidR="00F73EED" w:rsidRPr="00F73EED" w:rsidTr="00F73EED">
        <w:trPr>
          <w:trHeight w:val="253"/>
        </w:trPr>
        <w:tc>
          <w:tcPr>
            <w:tcW w:w="5187"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DBH1STMF</w:t>
            </w:r>
          </w:p>
        </w:tc>
        <w:tc>
          <w:tcPr>
            <w:tcW w:w="3881"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-0.06%</w:t>
            </w:r>
          </w:p>
        </w:tc>
      </w:tr>
      <w:tr w:rsidR="00F73EED" w:rsidRPr="00F73EED" w:rsidTr="00F73EED">
        <w:trPr>
          <w:trHeight w:val="253"/>
        </w:trPr>
        <w:tc>
          <w:tcPr>
            <w:tcW w:w="5187"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EXIM1STMF</w:t>
            </w:r>
          </w:p>
        </w:tc>
        <w:tc>
          <w:tcPr>
            <w:tcW w:w="3881"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-0.09%</w:t>
            </w:r>
          </w:p>
        </w:tc>
      </w:tr>
      <w:tr w:rsidR="00F73EED" w:rsidRPr="00F73EED" w:rsidTr="00F73EED">
        <w:trPr>
          <w:trHeight w:val="253"/>
        </w:trPr>
        <w:tc>
          <w:tcPr>
            <w:tcW w:w="5187"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ATCSLGF</w:t>
            </w:r>
          </w:p>
        </w:tc>
        <w:tc>
          <w:tcPr>
            <w:tcW w:w="3881"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-0.10%</w:t>
            </w:r>
          </w:p>
        </w:tc>
      </w:tr>
      <w:tr w:rsidR="00F73EED" w:rsidRPr="00F73EED" w:rsidTr="00F73EED">
        <w:trPr>
          <w:trHeight w:val="253"/>
        </w:trPr>
        <w:tc>
          <w:tcPr>
            <w:tcW w:w="5187"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EBL1STMF</w:t>
            </w:r>
          </w:p>
        </w:tc>
        <w:tc>
          <w:tcPr>
            <w:tcW w:w="3881"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-0.10%</w:t>
            </w:r>
          </w:p>
        </w:tc>
      </w:tr>
      <w:tr w:rsidR="00F73EED" w:rsidRPr="00F73EED" w:rsidTr="00F73EED">
        <w:trPr>
          <w:trHeight w:val="253"/>
        </w:trPr>
        <w:tc>
          <w:tcPr>
            <w:tcW w:w="5187"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1STPRIMFMF</w:t>
            </w:r>
          </w:p>
        </w:tc>
        <w:tc>
          <w:tcPr>
            <w:tcW w:w="3881"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-0.13%</w:t>
            </w:r>
          </w:p>
        </w:tc>
      </w:tr>
      <w:tr w:rsidR="00F73EED" w:rsidRPr="00F73EED" w:rsidTr="00F73EED">
        <w:trPr>
          <w:trHeight w:val="253"/>
        </w:trPr>
        <w:tc>
          <w:tcPr>
            <w:tcW w:w="5187"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lastRenderedPageBreak/>
              <w:t>1JANATAMF</w:t>
            </w:r>
          </w:p>
        </w:tc>
        <w:tc>
          <w:tcPr>
            <w:tcW w:w="3881"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-0.15%</w:t>
            </w:r>
          </w:p>
        </w:tc>
      </w:tr>
      <w:tr w:rsidR="00F73EED" w:rsidRPr="00F73EED" w:rsidTr="00F73EED">
        <w:trPr>
          <w:trHeight w:val="253"/>
        </w:trPr>
        <w:tc>
          <w:tcPr>
            <w:tcW w:w="5187"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ABB1STMF</w:t>
            </w:r>
          </w:p>
        </w:tc>
        <w:tc>
          <w:tcPr>
            <w:tcW w:w="3881"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-0.15%</w:t>
            </w:r>
          </w:p>
        </w:tc>
      </w:tr>
      <w:tr w:rsidR="00F73EED" w:rsidRPr="00F73EED" w:rsidTr="00F73EED">
        <w:trPr>
          <w:trHeight w:val="253"/>
        </w:trPr>
        <w:tc>
          <w:tcPr>
            <w:tcW w:w="5187"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EBLNRBMF</w:t>
            </w:r>
          </w:p>
        </w:tc>
        <w:tc>
          <w:tcPr>
            <w:tcW w:w="3881"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-0.16%</w:t>
            </w:r>
          </w:p>
        </w:tc>
      </w:tr>
      <w:tr w:rsidR="00F73EED" w:rsidRPr="00F73EED" w:rsidTr="00F73EED">
        <w:trPr>
          <w:trHeight w:val="253"/>
        </w:trPr>
        <w:tc>
          <w:tcPr>
            <w:tcW w:w="5187"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FBFIF</w:t>
            </w:r>
          </w:p>
        </w:tc>
        <w:tc>
          <w:tcPr>
            <w:tcW w:w="3881"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-0.20%</w:t>
            </w:r>
          </w:p>
        </w:tc>
      </w:tr>
      <w:tr w:rsidR="00F73EED" w:rsidRPr="00F73EED" w:rsidTr="00F73EED">
        <w:trPr>
          <w:trHeight w:val="253"/>
        </w:trPr>
        <w:tc>
          <w:tcPr>
            <w:tcW w:w="5187"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AIBL1STIMF</w:t>
            </w:r>
          </w:p>
        </w:tc>
        <w:tc>
          <w:tcPr>
            <w:tcW w:w="3881"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-0.26%</w:t>
            </w:r>
          </w:p>
        </w:tc>
      </w:tr>
    </w:tbl>
    <w:p w:rsidR="00F73EED" w:rsidRPr="00F73EED" w:rsidRDefault="00F73EED" w:rsidP="00F73EED">
      <w:pPr>
        <w:spacing w:line="360" w:lineRule="auto"/>
        <w:jc w:val="both"/>
        <w:rPr>
          <w:rFonts w:ascii="Times New Roman" w:hAnsi="Times New Roman" w:cs="Times New Roman"/>
          <w:color w:val="111111"/>
          <w:sz w:val="24"/>
          <w:szCs w:val="24"/>
          <w:shd w:val="clear" w:color="auto" w:fill="FFFFFF"/>
        </w:rPr>
      </w:pPr>
      <w:r w:rsidRPr="00F73EED">
        <w:rPr>
          <w:rFonts w:ascii="Times New Roman" w:hAnsi="Times New Roman" w:cs="Times New Roman"/>
          <w:noProof/>
          <w:sz w:val="24"/>
          <w:szCs w:val="24"/>
        </w:rPr>
        <w:drawing>
          <wp:anchor distT="0" distB="0" distL="114300" distR="114300" simplePos="0" relativeHeight="251759615" behindDoc="0" locked="0" layoutInCell="1" allowOverlap="1" wp14:anchorId="5EB766FE" wp14:editId="3CF713B0">
            <wp:simplePos x="0" y="0"/>
            <wp:positionH relativeFrom="margin">
              <wp:align>right</wp:align>
            </wp:positionH>
            <wp:positionV relativeFrom="paragraph">
              <wp:posOffset>382905</wp:posOffset>
            </wp:positionV>
            <wp:extent cx="5731510" cy="2103120"/>
            <wp:effectExtent l="0" t="0" r="2540" b="1143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F73EED">
        <w:rPr>
          <w:rFonts w:ascii="Times New Roman" w:hAnsi="Times New Roman" w:cs="Times New Roman"/>
          <w:color w:val="111111"/>
          <w:sz w:val="24"/>
          <w:szCs w:val="24"/>
          <w:shd w:val="clear" w:color="auto" w:fill="FFFFFF"/>
        </w:rPr>
        <w:t>A graphical presentation of the above table is given below.</w:t>
      </w:r>
    </w:p>
    <w:p w:rsidR="00F73EED" w:rsidRPr="00F73EED" w:rsidRDefault="00F73EED" w:rsidP="00746FF8">
      <w:pPr>
        <w:spacing w:before="240" w:line="360" w:lineRule="auto"/>
        <w:jc w:val="both"/>
        <w:rPr>
          <w:rFonts w:ascii="Times New Roman" w:hAnsi="Times New Roman" w:cs="Times New Roman"/>
          <w:color w:val="111111"/>
          <w:sz w:val="24"/>
          <w:szCs w:val="24"/>
          <w:shd w:val="clear" w:color="auto" w:fill="FFFFFF"/>
        </w:rPr>
      </w:pPr>
      <w:r w:rsidRPr="00F73EED">
        <w:rPr>
          <w:rFonts w:ascii="Times New Roman" w:hAnsi="Times New Roman" w:cs="Times New Roman"/>
          <w:color w:val="111111"/>
          <w:sz w:val="24"/>
          <w:szCs w:val="24"/>
          <w:shd w:val="clear" w:color="auto" w:fill="FFFFFF"/>
        </w:rPr>
        <w:t xml:space="preserve">From the chart above, we can see none of the mutual fund could produce positive </w:t>
      </w:r>
      <w:proofErr w:type="spellStart"/>
      <w:r w:rsidRPr="00F73EED">
        <w:rPr>
          <w:rFonts w:ascii="Times New Roman" w:hAnsi="Times New Roman" w:cs="Times New Roman"/>
          <w:color w:val="111111"/>
          <w:sz w:val="24"/>
          <w:szCs w:val="24"/>
          <w:shd w:val="clear" w:color="auto" w:fill="FFFFFF"/>
        </w:rPr>
        <w:t>Treynor</w:t>
      </w:r>
      <w:proofErr w:type="spellEnd"/>
      <w:r w:rsidRPr="00F73EED">
        <w:rPr>
          <w:rFonts w:ascii="Times New Roman" w:hAnsi="Times New Roman" w:cs="Times New Roman"/>
          <w:color w:val="111111"/>
          <w:sz w:val="24"/>
          <w:szCs w:val="24"/>
          <w:shd w:val="clear" w:color="auto" w:fill="FFFFFF"/>
        </w:rPr>
        <w:t xml:space="preserve"> ratio. Therefore, the interpretation here is the funds were not able to diversify systematic risk and the </w:t>
      </w:r>
      <w:proofErr w:type="spellStart"/>
      <w:r w:rsidRPr="00F73EED">
        <w:rPr>
          <w:rFonts w:ascii="Times New Roman" w:hAnsi="Times New Roman" w:cs="Times New Roman"/>
          <w:color w:val="111111"/>
          <w:sz w:val="24"/>
          <w:szCs w:val="24"/>
          <w:shd w:val="clear" w:color="auto" w:fill="FFFFFF"/>
        </w:rPr>
        <w:t>funds</w:t>
      </w:r>
      <w:proofErr w:type="spellEnd"/>
      <w:r w:rsidRPr="00F73EED">
        <w:rPr>
          <w:rFonts w:ascii="Times New Roman" w:hAnsi="Times New Roman" w:cs="Times New Roman"/>
          <w:color w:val="111111"/>
          <w:sz w:val="24"/>
          <w:szCs w:val="24"/>
          <w:shd w:val="clear" w:color="auto" w:fill="FFFFFF"/>
        </w:rPr>
        <w:t xml:space="preserve"> portfolio has not been able to generate return to compensate the level of systematic risk afforded by the investor. Again, it could happen due to management failure in terms of cost or portfolio engineering. Unlike Sharpe ratio, here it can be claimed that the market is not significantly responsible for the poor performance of the funds, as we have incorporated market return for calculation of BETA. As none of the fund produced positive return in terms of </w:t>
      </w:r>
      <w:proofErr w:type="spellStart"/>
      <w:r w:rsidRPr="00F73EED">
        <w:rPr>
          <w:rFonts w:ascii="Times New Roman" w:hAnsi="Times New Roman" w:cs="Times New Roman"/>
          <w:color w:val="111111"/>
          <w:sz w:val="24"/>
          <w:szCs w:val="24"/>
          <w:shd w:val="clear" w:color="auto" w:fill="FFFFFF"/>
        </w:rPr>
        <w:t>Treynor</w:t>
      </w:r>
      <w:proofErr w:type="spellEnd"/>
      <w:r w:rsidRPr="00F73EED">
        <w:rPr>
          <w:rFonts w:ascii="Times New Roman" w:hAnsi="Times New Roman" w:cs="Times New Roman"/>
          <w:color w:val="111111"/>
          <w:sz w:val="24"/>
          <w:szCs w:val="24"/>
          <w:shd w:val="clear" w:color="auto" w:fill="FFFFFF"/>
        </w:rPr>
        <w:t xml:space="preserve"> ratio, no rational investor is likely to invest in these funds. However, the scenario might change in future. In consideration of comparison, we see that again DBH1STMF is the best performer with a value -0.06% which was expected. But unlike Sharpe ratio here the AIBL1STIMF is the worst performer with a ratio of -0.26%. FBFIF is the second worst performer with a value of -0.20%.</w:t>
      </w:r>
    </w:p>
    <w:p w:rsidR="00F73EED" w:rsidRPr="00F73EED" w:rsidRDefault="00F73EED" w:rsidP="00F73EED">
      <w:pPr>
        <w:keepNext/>
        <w:keepLines/>
        <w:spacing w:before="40" w:after="0" w:line="360" w:lineRule="auto"/>
        <w:jc w:val="both"/>
        <w:outlineLvl w:val="4"/>
        <w:rPr>
          <w:rFonts w:ascii="Times New Roman" w:eastAsiaTheme="majorEastAsia" w:hAnsi="Times New Roman" w:cs="Times New Roman"/>
          <w:b/>
          <w:sz w:val="24"/>
          <w:szCs w:val="24"/>
          <w:shd w:val="clear" w:color="auto" w:fill="FFFFFF"/>
        </w:rPr>
      </w:pPr>
      <w:r w:rsidRPr="00F73EED">
        <w:rPr>
          <w:rFonts w:ascii="Times New Roman" w:eastAsiaTheme="majorEastAsia" w:hAnsi="Times New Roman" w:cs="Times New Roman"/>
          <w:b/>
          <w:sz w:val="24"/>
          <w:szCs w:val="24"/>
          <w:shd w:val="clear" w:color="auto" w:fill="FFFFFF"/>
        </w:rPr>
        <w:t>Jensen's Measure Based on Return of Weekly NAV</w:t>
      </w:r>
    </w:p>
    <w:p w:rsidR="00F73EED" w:rsidRPr="00F73EED" w:rsidRDefault="00F73EED" w:rsidP="00F73EED">
      <w:pPr>
        <w:spacing w:line="360" w:lineRule="auto"/>
        <w:jc w:val="both"/>
        <w:rPr>
          <w:rFonts w:ascii="Times New Roman" w:hAnsi="Times New Roman" w:cs="Times New Roman"/>
          <w:color w:val="111111"/>
          <w:sz w:val="24"/>
          <w:szCs w:val="24"/>
          <w:shd w:val="clear" w:color="auto" w:fill="FFFFFF"/>
        </w:rPr>
      </w:pPr>
      <w:r w:rsidRPr="00F73EED">
        <w:rPr>
          <w:rFonts w:ascii="Times New Roman" w:hAnsi="Times New Roman" w:cs="Times New Roman"/>
          <w:color w:val="111111"/>
          <w:sz w:val="24"/>
          <w:szCs w:val="24"/>
          <w:shd w:val="clear" w:color="auto" w:fill="FFFFFF"/>
        </w:rPr>
        <w:t>Jensen’s performance index measure, risk of adjusted performance of a portfolio by using the expected return derived by CAPM. It is significant because an investor should not only focus on total return, he should also consider risk. Jensen’s alpha demonstrate clearly whether a portfolio is providing proper return for the given level of risk</w:t>
      </w:r>
      <w:proofErr w:type="gramStart"/>
      <w:r w:rsidRPr="00F73EED">
        <w:rPr>
          <w:rFonts w:ascii="Times New Roman" w:hAnsi="Times New Roman" w:cs="Times New Roman"/>
          <w:color w:val="111111"/>
          <w:sz w:val="24"/>
          <w:szCs w:val="24"/>
          <w:shd w:val="clear" w:color="auto" w:fill="FFFFFF"/>
        </w:rPr>
        <w:t>..</w:t>
      </w:r>
      <w:proofErr w:type="gramEnd"/>
      <w:r w:rsidRPr="00F73EED">
        <w:rPr>
          <w:rFonts w:ascii="Times New Roman" w:hAnsi="Times New Roman" w:cs="Times New Roman"/>
          <w:color w:val="111111"/>
          <w:sz w:val="24"/>
          <w:szCs w:val="24"/>
          <w:shd w:val="clear" w:color="auto" w:fill="FFFFFF"/>
        </w:rPr>
        <w:t xml:space="preserve"> A table demonstrating Alpha of Jensen was constructed using the weekly return of NAV. The table is given below. </w:t>
      </w:r>
    </w:p>
    <w:tbl>
      <w:tblPr>
        <w:tblStyle w:val="TableGrid22"/>
        <w:tblW w:w="9050" w:type="dxa"/>
        <w:jc w:val="center"/>
        <w:tblLook w:val="04A0" w:firstRow="1" w:lastRow="0" w:firstColumn="1" w:lastColumn="0" w:noHBand="0" w:noVBand="1"/>
      </w:tblPr>
      <w:tblGrid>
        <w:gridCol w:w="5447"/>
        <w:gridCol w:w="3603"/>
      </w:tblGrid>
      <w:tr w:rsidR="00F73EED" w:rsidRPr="00F73EED" w:rsidTr="00F73EED">
        <w:trPr>
          <w:trHeight w:val="269"/>
          <w:jc w:val="center"/>
        </w:trPr>
        <w:tc>
          <w:tcPr>
            <w:tcW w:w="5447"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lastRenderedPageBreak/>
              <w:t>Mutual Fund Trading Code</w:t>
            </w:r>
          </w:p>
        </w:tc>
        <w:tc>
          <w:tcPr>
            <w:tcW w:w="3603" w:type="dxa"/>
            <w:noWrap/>
            <w:vAlign w:val="center"/>
            <w:hideMark/>
          </w:tcPr>
          <w:p w:rsidR="00F73EED" w:rsidRPr="007B25EB" w:rsidRDefault="00F73EED" w:rsidP="00F73EED">
            <w:pPr>
              <w:spacing w:line="360" w:lineRule="auto"/>
              <w:jc w:val="center"/>
              <w:rPr>
                <w:rFonts w:ascii="Times New Roman" w:hAnsi="Times New Roman"/>
              </w:rPr>
            </w:pPr>
            <w:proofErr w:type="spellStart"/>
            <w:r w:rsidRPr="007B25EB">
              <w:rPr>
                <w:rFonts w:ascii="Times New Roman" w:hAnsi="Times New Roman"/>
              </w:rPr>
              <w:t>Jensens</w:t>
            </w:r>
            <w:proofErr w:type="spellEnd"/>
            <w:r w:rsidRPr="007B25EB">
              <w:rPr>
                <w:rFonts w:ascii="Times New Roman" w:hAnsi="Times New Roman"/>
              </w:rPr>
              <w:t xml:space="preserve"> Measure</w:t>
            </w:r>
          </w:p>
        </w:tc>
      </w:tr>
      <w:tr w:rsidR="00F73EED" w:rsidRPr="00F73EED" w:rsidTr="00F73EED">
        <w:trPr>
          <w:trHeight w:val="269"/>
          <w:jc w:val="center"/>
        </w:trPr>
        <w:tc>
          <w:tcPr>
            <w:tcW w:w="5447"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DBH1STMF</w:t>
            </w:r>
          </w:p>
        </w:tc>
        <w:tc>
          <w:tcPr>
            <w:tcW w:w="3603"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-0.02%</w:t>
            </w:r>
          </w:p>
        </w:tc>
      </w:tr>
      <w:tr w:rsidR="00F73EED" w:rsidRPr="00F73EED" w:rsidTr="00F73EED">
        <w:trPr>
          <w:trHeight w:val="269"/>
          <w:jc w:val="center"/>
        </w:trPr>
        <w:tc>
          <w:tcPr>
            <w:tcW w:w="5447"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ATCSLGF</w:t>
            </w:r>
          </w:p>
        </w:tc>
        <w:tc>
          <w:tcPr>
            <w:tcW w:w="3603"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-0.04%</w:t>
            </w:r>
          </w:p>
        </w:tc>
      </w:tr>
      <w:tr w:rsidR="00F73EED" w:rsidRPr="00F73EED" w:rsidTr="00F73EED">
        <w:trPr>
          <w:trHeight w:val="269"/>
          <w:jc w:val="center"/>
        </w:trPr>
        <w:tc>
          <w:tcPr>
            <w:tcW w:w="5447"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EBL1STMF</w:t>
            </w:r>
          </w:p>
        </w:tc>
        <w:tc>
          <w:tcPr>
            <w:tcW w:w="3603"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-0.04%</w:t>
            </w:r>
          </w:p>
        </w:tc>
      </w:tr>
      <w:tr w:rsidR="00F73EED" w:rsidRPr="00F73EED" w:rsidTr="00F73EED">
        <w:trPr>
          <w:trHeight w:val="269"/>
          <w:jc w:val="center"/>
        </w:trPr>
        <w:tc>
          <w:tcPr>
            <w:tcW w:w="5447"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EXIM1STMF</w:t>
            </w:r>
          </w:p>
        </w:tc>
        <w:tc>
          <w:tcPr>
            <w:tcW w:w="3603"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-0.05%</w:t>
            </w:r>
          </w:p>
        </w:tc>
      </w:tr>
      <w:tr w:rsidR="00F73EED" w:rsidRPr="00F73EED" w:rsidTr="00F73EED">
        <w:trPr>
          <w:trHeight w:val="269"/>
          <w:jc w:val="center"/>
        </w:trPr>
        <w:tc>
          <w:tcPr>
            <w:tcW w:w="5447"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AIBL1STIMF</w:t>
            </w:r>
          </w:p>
        </w:tc>
        <w:tc>
          <w:tcPr>
            <w:tcW w:w="3603"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-0.06%</w:t>
            </w:r>
          </w:p>
        </w:tc>
      </w:tr>
      <w:tr w:rsidR="00F73EED" w:rsidRPr="00F73EED" w:rsidTr="00F73EED">
        <w:trPr>
          <w:trHeight w:val="269"/>
          <w:jc w:val="center"/>
        </w:trPr>
        <w:tc>
          <w:tcPr>
            <w:tcW w:w="5447"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EBLNRBMF</w:t>
            </w:r>
          </w:p>
        </w:tc>
        <w:tc>
          <w:tcPr>
            <w:tcW w:w="3603"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-0.07%</w:t>
            </w:r>
          </w:p>
        </w:tc>
      </w:tr>
      <w:tr w:rsidR="00F73EED" w:rsidRPr="00F73EED" w:rsidTr="00F73EED">
        <w:trPr>
          <w:trHeight w:val="269"/>
          <w:jc w:val="center"/>
        </w:trPr>
        <w:tc>
          <w:tcPr>
            <w:tcW w:w="5447"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ABB1STMF</w:t>
            </w:r>
          </w:p>
        </w:tc>
        <w:tc>
          <w:tcPr>
            <w:tcW w:w="3603"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-0.07%</w:t>
            </w:r>
          </w:p>
        </w:tc>
      </w:tr>
      <w:tr w:rsidR="00F73EED" w:rsidRPr="00F73EED" w:rsidTr="00F73EED">
        <w:trPr>
          <w:trHeight w:val="269"/>
          <w:jc w:val="center"/>
        </w:trPr>
        <w:tc>
          <w:tcPr>
            <w:tcW w:w="5447"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1JANATAMF</w:t>
            </w:r>
          </w:p>
        </w:tc>
        <w:tc>
          <w:tcPr>
            <w:tcW w:w="3603"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-0.08%</w:t>
            </w:r>
          </w:p>
        </w:tc>
      </w:tr>
      <w:tr w:rsidR="00F73EED" w:rsidRPr="00F73EED" w:rsidTr="00F73EED">
        <w:trPr>
          <w:trHeight w:val="269"/>
          <w:jc w:val="center"/>
        </w:trPr>
        <w:tc>
          <w:tcPr>
            <w:tcW w:w="5447"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FBFIF</w:t>
            </w:r>
          </w:p>
        </w:tc>
        <w:tc>
          <w:tcPr>
            <w:tcW w:w="3603"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-0.08%</w:t>
            </w:r>
          </w:p>
        </w:tc>
      </w:tr>
      <w:tr w:rsidR="00F73EED" w:rsidRPr="00F73EED" w:rsidTr="00F73EED">
        <w:trPr>
          <w:trHeight w:val="269"/>
          <w:jc w:val="center"/>
        </w:trPr>
        <w:tc>
          <w:tcPr>
            <w:tcW w:w="5447"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1STPRIMFMF</w:t>
            </w:r>
          </w:p>
        </w:tc>
        <w:tc>
          <w:tcPr>
            <w:tcW w:w="360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-0.12%</w:t>
            </w:r>
          </w:p>
        </w:tc>
      </w:tr>
    </w:tbl>
    <w:p w:rsidR="00FB11DD" w:rsidRPr="00F73EED" w:rsidRDefault="00FB11DD" w:rsidP="00FB11DD">
      <w:pPr>
        <w:spacing w:before="240" w:line="360" w:lineRule="auto"/>
        <w:jc w:val="both"/>
        <w:rPr>
          <w:rFonts w:ascii="Times New Roman" w:hAnsi="Times New Roman" w:cs="Times New Roman"/>
          <w:sz w:val="24"/>
          <w:szCs w:val="24"/>
        </w:rPr>
      </w:pPr>
      <w:r w:rsidRPr="00F73EED">
        <w:rPr>
          <w:rFonts w:ascii="Times New Roman" w:hAnsi="Times New Roman" w:cs="Times New Roman"/>
          <w:noProof/>
          <w:sz w:val="24"/>
          <w:szCs w:val="24"/>
        </w:rPr>
        <w:drawing>
          <wp:anchor distT="0" distB="0" distL="114300" distR="114300" simplePos="0" relativeHeight="251760639" behindDoc="0" locked="0" layoutInCell="1" allowOverlap="1" wp14:anchorId="6DBB129D" wp14:editId="3CC5FC68">
            <wp:simplePos x="0" y="0"/>
            <wp:positionH relativeFrom="margin">
              <wp:align>center</wp:align>
            </wp:positionH>
            <wp:positionV relativeFrom="margin">
              <wp:posOffset>3460115</wp:posOffset>
            </wp:positionV>
            <wp:extent cx="5733288" cy="2103120"/>
            <wp:effectExtent l="0" t="0" r="1270" b="11430"/>
            <wp:wrapSquare wrapText="bothSides"/>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The graph below represent graphical illustration of the table.</w:t>
      </w:r>
    </w:p>
    <w:p w:rsidR="00F73EED" w:rsidRPr="00F73EED" w:rsidRDefault="00F73EED" w:rsidP="00FB11DD">
      <w:pPr>
        <w:spacing w:before="240"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As per as the graph suggest none of the mutual fund was actually able to able to attain positive alpha by exceeding return provided by the CAPM. However, DBH1STMF was extremely close of having a positive alpha with -0.02% alpha. In terms of Jensen’s measure, 1STPRIMEMF is the worst performer with a value of -0.12%. </w:t>
      </w:r>
    </w:p>
    <w:p w:rsidR="00F73EED" w:rsidRPr="00F73EED" w:rsidRDefault="00F73EED" w:rsidP="00F73EED">
      <w:pPr>
        <w:keepNext/>
        <w:keepLines/>
        <w:spacing w:before="40" w:after="0" w:line="360" w:lineRule="auto"/>
        <w:outlineLvl w:val="4"/>
        <w:rPr>
          <w:rFonts w:ascii="Times New Roman" w:eastAsiaTheme="majorEastAsia" w:hAnsi="Times New Roman" w:cs="Times New Roman"/>
          <w:b/>
          <w:sz w:val="24"/>
          <w:szCs w:val="24"/>
        </w:rPr>
      </w:pPr>
      <w:r w:rsidRPr="00F73EED">
        <w:rPr>
          <w:rFonts w:ascii="Times New Roman" w:eastAsiaTheme="majorEastAsia" w:hAnsi="Times New Roman" w:cs="Times New Roman"/>
          <w:b/>
          <w:sz w:val="24"/>
          <w:szCs w:val="24"/>
          <w:shd w:val="clear" w:color="auto" w:fill="FFFFFF"/>
        </w:rPr>
        <w:t>Capital Asset Pricing Model Based on Weekly NAV</w:t>
      </w:r>
    </w:p>
    <w:p w:rsidR="00F73EED" w:rsidRPr="00F73EED" w:rsidRDefault="00F73EED" w:rsidP="00F73EED">
      <w:pPr>
        <w:spacing w:line="360" w:lineRule="auto"/>
        <w:jc w:val="both"/>
        <w:rPr>
          <w:rFonts w:ascii="Times New Roman" w:hAnsi="Times New Roman" w:cs="Times New Roman"/>
          <w:color w:val="111111"/>
          <w:sz w:val="24"/>
          <w:szCs w:val="24"/>
          <w:shd w:val="clear" w:color="auto" w:fill="FFFFFF"/>
        </w:rPr>
      </w:pPr>
      <w:r w:rsidRPr="00F73EED">
        <w:rPr>
          <w:rFonts w:ascii="Times New Roman" w:hAnsi="Times New Roman" w:cs="Times New Roman"/>
          <w:color w:val="111111"/>
          <w:sz w:val="24"/>
          <w:szCs w:val="24"/>
          <w:shd w:val="clear" w:color="auto" w:fill="FFFFFF"/>
        </w:rPr>
        <w:t xml:space="preserve">CAPM provides a perfect measure to predict investments expected return. It does that by associating Beta, risk free rate and expected market return. For calculating CAPM, the average of markets weekly return was derived from the benchmark index. The process of calculating BETA include calculating slope of individual portfolio and market index. The same BETA was used in </w:t>
      </w:r>
      <w:proofErr w:type="spellStart"/>
      <w:r w:rsidRPr="00F73EED">
        <w:rPr>
          <w:rFonts w:ascii="Times New Roman" w:hAnsi="Times New Roman" w:cs="Times New Roman"/>
          <w:color w:val="111111"/>
          <w:sz w:val="24"/>
          <w:szCs w:val="24"/>
          <w:shd w:val="clear" w:color="auto" w:fill="FFFFFF"/>
        </w:rPr>
        <w:t>Treynor</w:t>
      </w:r>
      <w:proofErr w:type="spellEnd"/>
      <w:r w:rsidRPr="00F73EED">
        <w:rPr>
          <w:rFonts w:ascii="Times New Roman" w:hAnsi="Times New Roman" w:cs="Times New Roman"/>
          <w:color w:val="111111"/>
          <w:sz w:val="24"/>
          <w:szCs w:val="24"/>
          <w:shd w:val="clear" w:color="auto" w:fill="FFFFFF"/>
        </w:rPr>
        <w:t xml:space="preserve"> Ratio and Jensen’s alpha.  The table below illustrate CAPM suggested expected return.</w:t>
      </w:r>
    </w:p>
    <w:tbl>
      <w:tblPr>
        <w:tblStyle w:val="TableGrid22"/>
        <w:tblpPr w:leftFromText="180" w:rightFromText="180" w:vertAnchor="text" w:horzAnchor="margin" w:tblpY="106"/>
        <w:tblW w:w="9050" w:type="dxa"/>
        <w:tblLook w:val="04A0" w:firstRow="1" w:lastRow="0" w:firstColumn="1" w:lastColumn="0" w:noHBand="0" w:noVBand="1"/>
      </w:tblPr>
      <w:tblGrid>
        <w:gridCol w:w="4710"/>
        <w:gridCol w:w="4340"/>
      </w:tblGrid>
      <w:tr w:rsidR="00FB11DD" w:rsidRPr="00F73EED" w:rsidTr="00FB11DD">
        <w:trPr>
          <w:trHeight w:val="312"/>
        </w:trPr>
        <w:tc>
          <w:tcPr>
            <w:tcW w:w="471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lastRenderedPageBreak/>
              <w:t>Mutual Fund Trading Code</w:t>
            </w:r>
          </w:p>
        </w:tc>
        <w:tc>
          <w:tcPr>
            <w:tcW w:w="434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CAPM</w:t>
            </w:r>
          </w:p>
        </w:tc>
      </w:tr>
      <w:tr w:rsidR="00FB11DD" w:rsidRPr="00F73EED" w:rsidTr="00FB11DD">
        <w:trPr>
          <w:trHeight w:val="312"/>
        </w:trPr>
        <w:tc>
          <w:tcPr>
            <w:tcW w:w="471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AIBL1STIMF</w:t>
            </w:r>
          </w:p>
        </w:tc>
        <w:tc>
          <w:tcPr>
            <w:tcW w:w="434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0.10%</w:t>
            </w:r>
          </w:p>
        </w:tc>
      </w:tr>
      <w:tr w:rsidR="00FB11DD" w:rsidRPr="00F73EED" w:rsidTr="00FB11DD">
        <w:trPr>
          <w:trHeight w:val="312"/>
        </w:trPr>
        <w:tc>
          <w:tcPr>
            <w:tcW w:w="471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FBFIF</w:t>
            </w:r>
          </w:p>
        </w:tc>
        <w:tc>
          <w:tcPr>
            <w:tcW w:w="434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0.09%</w:t>
            </w:r>
          </w:p>
        </w:tc>
      </w:tr>
      <w:tr w:rsidR="00FB11DD" w:rsidRPr="00F73EED" w:rsidTr="00FB11DD">
        <w:trPr>
          <w:trHeight w:val="312"/>
        </w:trPr>
        <w:tc>
          <w:tcPr>
            <w:tcW w:w="471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DBH1STMF</w:t>
            </w:r>
          </w:p>
        </w:tc>
        <w:tc>
          <w:tcPr>
            <w:tcW w:w="434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0.09%</w:t>
            </w:r>
          </w:p>
        </w:tc>
      </w:tr>
      <w:tr w:rsidR="00FB11DD" w:rsidRPr="00F73EED" w:rsidTr="00FB11DD">
        <w:trPr>
          <w:trHeight w:val="312"/>
        </w:trPr>
        <w:tc>
          <w:tcPr>
            <w:tcW w:w="471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EBLNRBMF</w:t>
            </w:r>
          </w:p>
        </w:tc>
        <w:tc>
          <w:tcPr>
            <w:tcW w:w="434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0.09%</w:t>
            </w:r>
          </w:p>
        </w:tc>
      </w:tr>
      <w:tr w:rsidR="00FB11DD" w:rsidRPr="00F73EED" w:rsidTr="00FB11DD">
        <w:trPr>
          <w:trHeight w:val="312"/>
        </w:trPr>
        <w:tc>
          <w:tcPr>
            <w:tcW w:w="471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ABB1STMF</w:t>
            </w:r>
          </w:p>
        </w:tc>
        <w:tc>
          <w:tcPr>
            <w:tcW w:w="434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0.09%</w:t>
            </w:r>
          </w:p>
        </w:tc>
      </w:tr>
      <w:tr w:rsidR="00FB11DD" w:rsidRPr="00F73EED" w:rsidTr="00FB11DD">
        <w:trPr>
          <w:trHeight w:val="312"/>
        </w:trPr>
        <w:tc>
          <w:tcPr>
            <w:tcW w:w="471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EBL1STMF</w:t>
            </w:r>
          </w:p>
        </w:tc>
        <w:tc>
          <w:tcPr>
            <w:tcW w:w="434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0.09%</w:t>
            </w:r>
          </w:p>
        </w:tc>
      </w:tr>
      <w:tr w:rsidR="00FB11DD" w:rsidRPr="00F73EED" w:rsidTr="00FB11DD">
        <w:trPr>
          <w:trHeight w:val="312"/>
        </w:trPr>
        <w:tc>
          <w:tcPr>
            <w:tcW w:w="471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ATCSLGF</w:t>
            </w:r>
          </w:p>
        </w:tc>
        <w:tc>
          <w:tcPr>
            <w:tcW w:w="434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0.09%</w:t>
            </w:r>
          </w:p>
        </w:tc>
      </w:tr>
      <w:tr w:rsidR="00FB11DD" w:rsidRPr="00F73EED" w:rsidTr="00FB11DD">
        <w:trPr>
          <w:trHeight w:val="312"/>
        </w:trPr>
        <w:tc>
          <w:tcPr>
            <w:tcW w:w="471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1JANATAMF</w:t>
            </w:r>
          </w:p>
        </w:tc>
        <w:tc>
          <w:tcPr>
            <w:tcW w:w="434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0.09%</w:t>
            </w:r>
          </w:p>
        </w:tc>
      </w:tr>
      <w:tr w:rsidR="00FB11DD" w:rsidRPr="00F73EED" w:rsidTr="00FB11DD">
        <w:trPr>
          <w:trHeight w:val="312"/>
        </w:trPr>
        <w:tc>
          <w:tcPr>
            <w:tcW w:w="471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EXIM1STMF</w:t>
            </w:r>
          </w:p>
        </w:tc>
        <w:tc>
          <w:tcPr>
            <w:tcW w:w="434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0.09%</w:t>
            </w:r>
          </w:p>
        </w:tc>
      </w:tr>
      <w:tr w:rsidR="00FB11DD" w:rsidRPr="00F73EED" w:rsidTr="00FB11DD">
        <w:trPr>
          <w:trHeight w:val="312"/>
        </w:trPr>
        <w:tc>
          <w:tcPr>
            <w:tcW w:w="471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1STPRIMFMF</w:t>
            </w:r>
          </w:p>
        </w:tc>
        <w:tc>
          <w:tcPr>
            <w:tcW w:w="4340" w:type="dxa"/>
            <w:noWrap/>
            <w:hideMark/>
          </w:tcPr>
          <w:p w:rsidR="00FB11DD" w:rsidRPr="007B25EB" w:rsidRDefault="00FB11DD" w:rsidP="00FB11D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0.07%</w:t>
            </w:r>
          </w:p>
        </w:tc>
      </w:tr>
    </w:tbl>
    <w:p w:rsidR="00FB11DD" w:rsidRDefault="00FB11DD" w:rsidP="00FB11DD">
      <w:pPr>
        <w:spacing w:before="240" w:after="0" w:line="360" w:lineRule="auto"/>
        <w:contextualSpacing/>
        <w:jc w:val="both"/>
        <w:rPr>
          <w:rFonts w:ascii="Times New Roman" w:hAnsi="Times New Roman" w:cs="Times New Roman"/>
          <w:color w:val="111111"/>
          <w:sz w:val="24"/>
          <w:szCs w:val="24"/>
          <w:shd w:val="clear" w:color="auto" w:fill="FFFFFF"/>
        </w:rPr>
      </w:pPr>
    </w:p>
    <w:p w:rsidR="00F73EED" w:rsidRDefault="00FB11DD" w:rsidP="00FB11DD">
      <w:pPr>
        <w:spacing w:line="360" w:lineRule="auto"/>
        <w:contextualSpacing/>
        <w:jc w:val="both"/>
        <w:rPr>
          <w:rFonts w:ascii="Times New Roman" w:hAnsi="Times New Roman" w:cs="Times New Roman"/>
          <w:color w:val="111111"/>
          <w:sz w:val="24"/>
          <w:szCs w:val="24"/>
          <w:shd w:val="clear" w:color="auto" w:fill="FFFFFF"/>
        </w:rPr>
      </w:pPr>
      <w:r w:rsidRPr="00F73EED">
        <w:rPr>
          <w:rFonts w:ascii="Times New Roman" w:hAnsi="Times New Roman" w:cs="Times New Roman"/>
          <w:noProof/>
          <w:sz w:val="24"/>
          <w:szCs w:val="24"/>
        </w:rPr>
        <w:drawing>
          <wp:anchor distT="0" distB="0" distL="114300" distR="114300" simplePos="0" relativeHeight="251761663" behindDoc="0" locked="0" layoutInCell="1" allowOverlap="1" wp14:anchorId="127106DD" wp14:editId="1521010A">
            <wp:simplePos x="0" y="0"/>
            <wp:positionH relativeFrom="margin">
              <wp:align>right</wp:align>
            </wp:positionH>
            <wp:positionV relativeFrom="margin">
              <wp:posOffset>3574415</wp:posOffset>
            </wp:positionV>
            <wp:extent cx="5734050" cy="2103120"/>
            <wp:effectExtent l="0" t="0" r="0" b="11430"/>
            <wp:wrapSquare wrapText="bothSides"/>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F73EED" w:rsidRPr="00F73EED">
        <w:rPr>
          <w:rFonts w:ascii="Times New Roman" w:hAnsi="Times New Roman" w:cs="Times New Roman"/>
          <w:color w:val="111111"/>
          <w:sz w:val="24"/>
          <w:szCs w:val="24"/>
          <w:shd w:val="clear" w:color="auto" w:fill="FFFFFF"/>
        </w:rPr>
        <w:t>A graph providing visual representation of the table is give below.</w:t>
      </w:r>
    </w:p>
    <w:p w:rsidR="00F73EED" w:rsidRPr="00F73EED" w:rsidRDefault="00F73EED" w:rsidP="00FB11DD">
      <w:pPr>
        <w:spacing w:before="240" w:line="360" w:lineRule="auto"/>
        <w:jc w:val="both"/>
        <w:rPr>
          <w:rFonts w:ascii="Times New Roman" w:hAnsi="Times New Roman" w:cs="Times New Roman"/>
          <w:color w:val="111111"/>
          <w:sz w:val="24"/>
          <w:szCs w:val="24"/>
          <w:shd w:val="clear" w:color="auto" w:fill="FFFFFF"/>
        </w:rPr>
      </w:pPr>
      <w:r w:rsidRPr="00F73EED">
        <w:rPr>
          <w:rFonts w:ascii="Times New Roman" w:hAnsi="Times New Roman" w:cs="Times New Roman"/>
          <w:color w:val="111111"/>
          <w:sz w:val="24"/>
          <w:szCs w:val="24"/>
          <w:shd w:val="clear" w:color="auto" w:fill="FFFFFF"/>
        </w:rPr>
        <w:t>The AIBL1STMF has highest level of expected return perhaps more risk is associated with the mutual fund that is why it requires highest level of expected return. The expected return of AIBL1STMF is 0.10%. FBFIF, DBH1STMF, EBLNRBMF, ABB1STMF, EBL1STMF and ATCSLGF, 1JANATAMF has almost same level of expected return that is 0.09%. 1STPRIMFMF has the lowest expected return that is approximately around 0.07%.</w:t>
      </w:r>
    </w:p>
    <w:p w:rsidR="00F73EED" w:rsidRPr="008A1101" w:rsidRDefault="00F73EED" w:rsidP="008A1101">
      <w:pPr>
        <w:pStyle w:val="Heading3"/>
        <w:spacing w:after="240"/>
        <w:rPr>
          <w:rFonts w:ascii="Times New Roman" w:hAnsi="Times New Roman" w:cs="Times New Roman"/>
          <w:b/>
          <w:color w:val="auto"/>
          <w:sz w:val="32"/>
          <w:szCs w:val="32"/>
          <w:shd w:val="clear" w:color="auto" w:fill="FFFFFF"/>
        </w:rPr>
      </w:pPr>
      <w:bookmarkStart w:id="31" w:name="_Toc13070818"/>
      <w:r w:rsidRPr="008A1101">
        <w:rPr>
          <w:rFonts w:ascii="Times New Roman" w:hAnsi="Times New Roman" w:cs="Times New Roman"/>
          <w:b/>
          <w:color w:val="auto"/>
          <w:sz w:val="32"/>
          <w:szCs w:val="32"/>
        </w:rPr>
        <w:t>Performance Analysis Based on Return of Weekly Closing Price</w:t>
      </w:r>
      <w:bookmarkEnd w:id="31"/>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Usually </w:t>
      </w:r>
      <w:proofErr w:type="gramStart"/>
      <w:r w:rsidRPr="00F73EED">
        <w:rPr>
          <w:rFonts w:ascii="Times New Roman" w:hAnsi="Times New Roman" w:cs="Times New Roman"/>
          <w:sz w:val="24"/>
          <w:szCs w:val="24"/>
        </w:rPr>
        <w:t>an investor take</w:t>
      </w:r>
      <w:proofErr w:type="gramEnd"/>
      <w:r w:rsidRPr="00F73EED">
        <w:rPr>
          <w:rFonts w:ascii="Times New Roman" w:hAnsi="Times New Roman" w:cs="Times New Roman"/>
          <w:sz w:val="24"/>
          <w:szCs w:val="24"/>
        </w:rPr>
        <w:t xml:space="preserve"> decision to make investment in mutual fund basing on NAV but due to the share scam of 2010. In share market of Bangladesh often share market of mutual fund traded below their NAV or even their face value. That’s why this paper has also included an analysis based on daily closing price of the mutual funds share. First of all the data of daily price of 10 mutual </w:t>
      </w:r>
      <w:proofErr w:type="gramStart"/>
      <w:r w:rsidRPr="00F73EED">
        <w:rPr>
          <w:rFonts w:ascii="Times New Roman" w:hAnsi="Times New Roman" w:cs="Times New Roman"/>
          <w:sz w:val="24"/>
          <w:szCs w:val="24"/>
        </w:rPr>
        <w:t>fund</w:t>
      </w:r>
      <w:proofErr w:type="gramEnd"/>
      <w:r w:rsidRPr="00F73EED">
        <w:rPr>
          <w:rFonts w:ascii="Times New Roman" w:hAnsi="Times New Roman" w:cs="Times New Roman"/>
          <w:sz w:val="24"/>
          <w:szCs w:val="24"/>
        </w:rPr>
        <w:t xml:space="preserve"> was plotted on a worksheet. Then we sorted the data by matching it </w:t>
      </w:r>
      <w:r w:rsidRPr="00F73EED">
        <w:rPr>
          <w:rFonts w:ascii="Times New Roman" w:hAnsi="Times New Roman" w:cs="Times New Roman"/>
          <w:sz w:val="24"/>
          <w:szCs w:val="24"/>
        </w:rPr>
        <w:lastRenderedPageBreak/>
        <w:t xml:space="preserve">with announcement date of weekly NAV. Now as we know NAV’s are announced on the official closing day of the week, the share price of that day might be considered as weekly closing price.  After completion of all necessary process we could proceed for further in-depth analysis. It is important to mention we have used data since 5 January 2017. </w:t>
      </w:r>
    </w:p>
    <w:p w:rsidR="00F73EED" w:rsidRPr="00F73EED" w:rsidRDefault="00F73EED" w:rsidP="00F73EED">
      <w:pPr>
        <w:spacing w:line="360" w:lineRule="auto"/>
        <w:rPr>
          <w:rFonts w:ascii="Times New Roman" w:hAnsi="Times New Roman" w:cs="Times New Roman"/>
          <w:sz w:val="24"/>
          <w:szCs w:val="24"/>
        </w:rPr>
      </w:pPr>
      <w:r w:rsidRPr="00F73EED">
        <w:rPr>
          <w:rFonts w:ascii="Times New Roman" w:hAnsi="Times New Roman" w:cs="Times New Roman"/>
          <w:sz w:val="24"/>
          <w:szCs w:val="24"/>
        </w:rPr>
        <w:t xml:space="preserve">The table below demonstrate average return, standard deviation and beta of selected mutual funds and DSEX considering weekly closing price. </w:t>
      </w:r>
    </w:p>
    <w:tbl>
      <w:tblPr>
        <w:tblStyle w:val="TableGrid22"/>
        <w:tblpPr w:leftFromText="180" w:rightFromText="180" w:vertAnchor="text" w:horzAnchor="margin" w:tblpY="87"/>
        <w:tblW w:w="9024" w:type="dxa"/>
        <w:tblLook w:val="04A0" w:firstRow="1" w:lastRow="0" w:firstColumn="1" w:lastColumn="0" w:noHBand="0" w:noVBand="1"/>
      </w:tblPr>
      <w:tblGrid>
        <w:gridCol w:w="3169"/>
        <w:gridCol w:w="1699"/>
        <w:gridCol w:w="3169"/>
        <w:gridCol w:w="987"/>
      </w:tblGrid>
      <w:tr w:rsidR="00F73EED" w:rsidRPr="00F73EED" w:rsidTr="00F73EED">
        <w:trPr>
          <w:trHeight w:val="298"/>
        </w:trPr>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Mutual Fund Trading Code</w:t>
            </w:r>
          </w:p>
        </w:tc>
        <w:tc>
          <w:tcPr>
            <w:tcW w:w="169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Average Return</w:t>
            </w:r>
          </w:p>
        </w:tc>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Standard Deviation</w:t>
            </w:r>
          </w:p>
        </w:tc>
        <w:tc>
          <w:tcPr>
            <w:tcW w:w="987"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Beta</w:t>
            </w:r>
          </w:p>
        </w:tc>
      </w:tr>
      <w:tr w:rsidR="00F73EED" w:rsidRPr="00F73EED" w:rsidTr="00F73EED">
        <w:trPr>
          <w:trHeight w:val="298"/>
        </w:trPr>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ABB1STMF</w:t>
            </w:r>
          </w:p>
        </w:tc>
        <w:tc>
          <w:tcPr>
            <w:tcW w:w="169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-0.16%</w:t>
            </w:r>
          </w:p>
        </w:tc>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3.72%</w:t>
            </w:r>
          </w:p>
        </w:tc>
        <w:tc>
          <w:tcPr>
            <w:tcW w:w="987"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1.35</w:t>
            </w:r>
          </w:p>
        </w:tc>
      </w:tr>
      <w:tr w:rsidR="00F73EED" w:rsidRPr="00F73EED" w:rsidTr="00F73EED">
        <w:trPr>
          <w:trHeight w:val="298"/>
        </w:trPr>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AIBL1STIMF</w:t>
            </w:r>
          </w:p>
        </w:tc>
        <w:tc>
          <w:tcPr>
            <w:tcW w:w="169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0.05%</w:t>
            </w:r>
          </w:p>
        </w:tc>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3.25%</w:t>
            </w:r>
          </w:p>
        </w:tc>
        <w:tc>
          <w:tcPr>
            <w:tcW w:w="987"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0.85</w:t>
            </w:r>
          </w:p>
        </w:tc>
      </w:tr>
      <w:tr w:rsidR="00F73EED" w:rsidRPr="00F73EED" w:rsidTr="00F73EED">
        <w:trPr>
          <w:trHeight w:val="298"/>
        </w:trPr>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ATCSLGF</w:t>
            </w:r>
          </w:p>
        </w:tc>
        <w:tc>
          <w:tcPr>
            <w:tcW w:w="169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0.01%</w:t>
            </w:r>
          </w:p>
        </w:tc>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2.65%</w:t>
            </w:r>
          </w:p>
        </w:tc>
        <w:tc>
          <w:tcPr>
            <w:tcW w:w="987"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0.44</w:t>
            </w:r>
          </w:p>
        </w:tc>
      </w:tr>
      <w:tr w:rsidR="00F73EED" w:rsidRPr="00F73EED" w:rsidTr="00F73EED">
        <w:trPr>
          <w:trHeight w:val="298"/>
        </w:trPr>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DBH1STMF</w:t>
            </w:r>
          </w:p>
        </w:tc>
        <w:tc>
          <w:tcPr>
            <w:tcW w:w="169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0.12%</w:t>
            </w:r>
          </w:p>
        </w:tc>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2.32%</w:t>
            </w:r>
          </w:p>
        </w:tc>
        <w:tc>
          <w:tcPr>
            <w:tcW w:w="987"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0.61</w:t>
            </w:r>
          </w:p>
        </w:tc>
      </w:tr>
      <w:tr w:rsidR="00F73EED" w:rsidRPr="00F73EED" w:rsidTr="00F73EED">
        <w:trPr>
          <w:trHeight w:val="298"/>
        </w:trPr>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EBL1STMF</w:t>
            </w:r>
          </w:p>
        </w:tc>
        <w:tc>
          <w:tcPr>
            <w:tcW w:w="169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0.10%</w:t>
            </w:r>
          </w:p>
        </w:tc>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4.39%</w:t>
            </w:r>
          </w:p>
        </w:tc>
        <w:tc>
          <w:tcPr>
            <w:tcW w:w="987"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0.95</w:t>
            </w:r>
          </w:p>
        </w:tc>
      </w:tr>
      <w:tr w:rsidR="00F73EED" w:rsidRPr="00F73EED" w:rsidTr="00F73EED">
        <w:trPr>
          <w:trHeight w:val="298"/>
        </w:trPr>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EBLNRBMF</w:t>
            </w:r>
          </w:p>
        </w:tc>
        <w:tc>
          <w:tcPr>
            <w:tcW w:w="169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-0.38%</w:t>
            </w:r>
          </w:p>
        </w:tc>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3.89%</w:t>
            </w:r>
          </w:p>
        </w:tc>
        <w:tc>
          <w:tcPr>
            <w:tcW w:w="987"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1.20</w:t>
            </w:r>
          </w:p>
        </w:tc>
      </w:tr>
      <w:tr w:rsidR="00F73EED" w:rsidRPr="00F73EED" w:rsidTr="00F73EED">
        <w:trPr>
          <w:trHeight w:val="298"/>
        </w:trPr>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1JANATAMF</w:t>
            </w:r>
          </w:p>
        </w:tc>
        <w:tc>
          <w:tcPr>
            <w:tcW w:w="169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-0.15%</w:t>
            </w:r>
          </w:p>
        </w:tc>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4.06%</w:t>
            </w:r>
          </w:p>
        </w:tc>
        <w:tc>
          <w:tcPr>
            <w:tcW w:w="987"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1.27</w:t>
            </w:r>
          </w:p>
        </w:tc>
      </w:tr>
      <w:tr w:rsidR="00F73EED" w:rsidRPr="00F73EED" w:rsidTr="00F73EED">
        <w:trPr>
          <w:trHeight w:val="298"/>
        </w:trPr>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1STPRIMFMF</w:t>
            </w:r>
          </w:p>
        </w:tc>
        <w:tc>
          <w:tcPr>
            <w:tcW w:w="169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-0.07%</w:t>
            </w:r>
          </w:p>
        </w:tc>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4.84%</w:t>
            </w:r>
          </w:p>
        </w:tc>
        <w:tc>
          <w:tcPr>
            <w:tcW w:w="987"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1.57</w:t>
            </w:r>
          </w:p>
        </w:tc>
      </w:tr>
      <w:tr w:rsidR="00F73EED" w:rsidRPr="00F73EED" w:rsidTr="00F73EED">
        <w:trPr>
          <w:trHeight w:val="298"/>
        </w:trPr>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EXIM1STMF</w:t>
            </w:r>
          </w:p>
        </w:tc>
        <w:tc>
          <w:tcPr>
            <w:tcW w:w="169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-0.34%</w:t>
            </w:r>
          </w:p>
        </w:tc>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3.48%</w:t>
            </w:r>
          </w:p>
        </w:tc>
        <w:tc>
          <w:tcPr>
            <w:tcW w:w="987"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0.72</w:t>
            </w:r>
          </w:p>
        </w:tc>
      </w:tr>
      <w:tr w:rsidR="00F73EED" w:rsidRPr="00F73EED" w:rsidTr="00F73EED">
        <w:trPr>
          <w:trHeight w:val="298"/>
        </w:trPr>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FBFIF</w:t>
            </w:r>
          </w:p>
        </w:tc>
        <w:tc>
          <w:tcPr>
            <w:tcW w:w="169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-0.28%</w:t>
            </w:r>
          </w:p>
        </w:tc>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3.07%</w:t>
            </w:r>
          </w:p>
        </w:tc>
        <w:tc>
          <w:tcPr>
            <w:tcW w:w="987"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1.04</w:t>
            </w:r>
          </w:p>
        </w:tc>
      </w:tr>
      <w:tr w:rsidR="00F73EED" w:rsidRPr="00F73EED" w:rsidTr="00F73EED">
        <w:trPr>
          <w:trHeight w:val="298"/>
        </w:trPr>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DSEX</w:t>
            </w:r>
          </w:p>
        </w:tc>
        <w:tc>
          <w:tcPr>
            <w:tcW w:w="169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0.06%</w:t>
            </w:r>
          </w:p>
        </w:tc>
        <w:tc>
          <w:tcPr>
            <w:tcW w:w="316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1.51%</w:t>
            </w:r>
          </w:p>
        </w:tc>
        <w:tc>
          <w:tcPr>
            <w:tcW w:w="987" w:type="dxa"/>
            <w:noWrap/>
            <w:vAlign w:val="center"/>
            <w:hideMark/>
          </w:tcPr>
          <w:p w:rsidR="00F73EED" w:rsidRPr="00F73EED" w:rsidRDefault="00F73EED" w:rsidP="00F73EED">
            <w:pPr>
              <w:spacing w:line="360" w:lineRule="auto"/>
              <w:jc w:val="center"/>
              <w:rPr>
                <w:rFonts w:ascii="Times New Roman" w:hAnsi="Times New Roman"/>
                <w:sz w:val="24"/>
                <w:szCs w:val="24"/>
              </w:rPr>
            </w:pPr>
          </w:p>
        </w:tc>
      </w:tr>
    </w:tbl>
    <w:p w:rsidR="00F73EED" w:rsidRPr="00F73EED" w:rsidRDefault="00F73EED" w:rsidP="00F73EED">
      <w:pPr>
        <w:keepNext/>
        <w:keepLines/>
        <w:spacing w:before="40" w:after="0"/>
        <w:outlineLvl w:val="4"/>
        <w:rPr>
          <w:rFonts w:ascii="Times New Roman" w:hAnsi="Times New Roman" w:cs="Times New Roman"/>
          <w:sz w:val="24"/>
          <w:szCs w:val="24"/>
        </w:rPr>
      </w:pPr>
    </w:p>
    <w:p w:rsidR="00F73EED" w:rsidRPr="00F73EED" w:rsidRDefault="00F73EED" w:rsidP="00F73EED">
      <w:pPr>
        <w:keepNext/>
        <w:keepLines/>
        <w:spacing w:before="40" w:after="0" w:line="360" w:lineRule="auto"/>
        <w:outlineLvl w:val="4"/>
        <w:rPr>
          <w:rFonts w:ascii="Times New Roman" w:eastAsiaTheme="majorEastAsia" w:hAnsi="Times New Roman" w:cs="Times New Roman"/>
          <w:b/>
          <w:sz w:val="24"/>
          <w:szCs w:val="24"/>
        </w:rPr>
      </w:pPr>
      <w:r w:rsidRPr="00F73EED">
        <w:rPr>
          <w:rFonts w:ascii="Times New Roman" w:eastAsiaTheme="majorEastAsia" w:hAnsi="Times New Roman" w:cs="Times New Roman"/>
          <w:b/>
          <w:sz w:val="24"/>
          <w:szCs w:val="24"/>
        </w:rPr>
        <w:t>Average Return on Weekly Closing Price</w:t>
      </w:r>
    </w:p>
    <w:p w:rsidR="00F73EED" w:rsidRPr="00F73EED" w:rsidRDefault="00F73EED" w:rsidP="00F73EED">
      <w:pPr>
        <w:spacing w:line="360" w:lineRule="auto"/>
        <w:jc w:val="both"/>
        <w:rPr>
          <w:rFonts w:ascii="Times New Roman" w:hAnsi="Times New Roman" w:cs="Times New Roman"/>
          <w:sz w:val="24"/>
          <w:szCs w:val="24"/>
        </w:rPr>
      </w:pPr>
      <w:r w:rsidRPr="00F73EED">
        <w:rPr>
          <w:noProof/>
        </w:rPr>
        <w:drawing>
          <wp:anchor distT="0" distB="0" distL="114300" distR="114300" simplePos="0" relativeHeight="251762687" behindDoc="0" locked="0" layoutInCell="1" allowOverlap="1" wp14:anchorId="2E318B51" wp14:editId="3DBA5C1F">
            <wp:simplePos x="0" y="0"/>
            <wp:positionH relativeFrom="margin">
              <wp:align>right</wp:align>
            </wp:positionH>
            <wp:positionV relativeFrom="margin">
              <wp:posOffset>7057390</wp:posOffset>
            </wp:positionV>
            <wp:extent cx="5733288" cy="2103120"/>
            <wp:effectExtent l="0" t="0" r="1270" b="11430"/>
            <wp:wrapSquare wrapText="bothSides"/>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F73EED">
        <w:rPr>
          <w:rFonts w:ascii="Times New Roman" w:hAnsi="Times New Roman" w:cs="Times New Roman"/>
          <w:sz w:val="24"/>
          <w:szCs w:val="24"/>
        </w:rPr>
        <w:t xml:space="preserve">The process of calculating average return is similar to the process of calculating the average return is similar to the process of calculating NAV. The only difference here is instead of NAV we are considering weekly closing price. A graph showing comparison of average return is given below. It should be denoted that in the graph we have also included interest of </w:t>
      </w:r>
      <w:r w:rsidRPr="00F73EED">
        <w:rPr>
          <w:rFonts w:ascii="Times New Roman" w:hAnsi="Times New Roman" w:cs="Times New Roman"/>
          <w:sz w:val="24"/>
          <w:szCs w:val="24"/>
        </w:rPr>
        <w:lastRenderedPageBreak/>
        <w:t>T-bill.</w:t>
      </w:r>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The chart illustrate average return of 10 mutual fund based on weekly closing price and weekly return of DSEX and T-Bill. As shown in the chart DBH1STMF has the highest level of return which is just above return on T-Bill. The return of DBH1STMF is 0.12%. Along with DBH1STMF, AIBLSTMF and ATCSLGF earned a positive. None of the other mutual fund other than these 3 </w:t>
      </w:r>
      <w:proofErr w:type="gramStart"/>
      <w:r w:rsidRPr="00F73EED">
        <w:rPr>
          <w:rFonts w:ascii="Times New Roman" w:hAnsi="Times New Roman" w:cs="Times New Roman"/>
          <w:sz w:val="24"/>
          <w:szCs w:val="24"/>
        </w:rPr>
        <w:t>were</w:t>
      </w:r>
      <w:proofErr w:type="gramEnd"/>
      <w:r w:rsidRPr="00F73EED">
        <w:rPr>
          <w:rFonts w:ascii="Times New Roman" w:hAnsi="Times New Roman" w:cs="Times New Roman"/>
          <w:sz w:val="24"/>
          <w:szCs w:val="24"/>
        </w:rPr>
        <w:t xml:space="preserve"> able to earn positive return. Among the negative earning mutual fund, EBLNRBMF did the worst with a return of -0.38%.</w:t>
      </w:r>
    </w:p>
    <w:p w:rsidR="00F73EED" w:rsidRPr="00F73EED" w:rsidRDefault="00F73EED" w:rsidP="00F73EED">
      <w:pPr>
        <w:keepNext/>
        <w:keepLines/>
        <w:spacing w:before="40" w:after="0" w:line="360" w:lineRule="auto"/>
        <w:jc w:val="both"/>
        <w:outlineLvl w:val="4"/>
        <w:rPr>
          <w:rFonts w:ascii="Times New Roman" w:eastAsiaTheme="majorEastAsia" w:hAnsi="Times New Roman" w:cs="Times New Roman"/>
          <w:b/>
          <w:sz w:val="24"/>
          <w:szCs w:val="24"/>
        </w:rPr>
      </w:pPr>
      <w:r w:rsidRPr="00F73EED">
        <w:rPr>
          <w:rFonts w:ascii="Times New Roman" w:eastAsiaTheme="majorEastAsia" w:hAnsi="Times New Roman" w:cs="Times New Roman"/>
          <w:b/>
          <w:sz w:val="24"/>
          <w:szCs w:val="24"/>
        </w:rPr>
        <w:t>Standard Deviation of Return on Weekly Closing Price</w:t>
      </w:r>
    </w:p>
    <w:p w:rsidR="00F73EED" w:rsidRPr="00F73EED" w:rsidRDefault="00F73EED" w:rsidP="00F73EED">
      <w:pPr>
        <w:spacing w:line="360" w:lineRule="auto"/>
        <w:jc w:val="both"/>
        <w:rPr>
          <w:rFonts w:ascii="Times New Roman" w:hAnsi="Times New Roman" w:cs="Times New Roman"/>
          <w:sz w:val="24"/>
          <w:szCs w:val="24"/>
        </w:rPr>
      </w:pPr>
      <w:r w:rsidRPr="00F73EED">
        <w:rPr>
          <w:noProof/>
        </w:rPr>
        <w:drawing>
          <wp:anchor distT="0" distB="0" distL="114300" distR="114300" simplePos="0" relativeHeight="251763711" behindDoc="0" locked="0" layoutInCell="1" allowOverlap="1" wp14:anchorId="316CE5DB" wp14:editId="39BADF2C">
            <wp:simplePos x="0" y="0"/>
            <wp:positionH relativeFrom="margin">
              <wp:align>right</wp:align>
            </wp:positionH>
            <wp:positionV relativeFrom="margin">
              <wp:posOffset>3248025</wp:posOffset>
            </wp:positionV>
            <wp:extent cx="5733288" cy="2103120"/>
            <wp:effectExtent l="0" t="0" r="1270" b="11430"/>
            <wp:wrapSquare wrapText="bothSides"/>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F73EED">
        <w:rPr>
          <w:rFonts w:ascii="Times New Roman" w:hAnsi="Times New Roman" w:cs="Times New Roman"/>
          <w:sz w:val="24"/>
          <w:szCs w:val="24"/>
        </w:rPr>
        <w:t xml:space="preserve">It has been told earlier that standard deviation is a measure of risk and it is a must-required component of Sharpe ratio, which is why we calculated standard deviation of return on weekly closing price. Again, we used the same statistical formula but this time we applied it on return of weekly closing price. Using the data from our finding which is </w:t>
      </w:r>
      <w:proofErr w:type="gramStart"/>
      <w:r w:rsidRPr="00F73EED">
        <w:rPr>
          <w:rFonts w:ascii="Times New Roman" w:hAnsi="Times New Roman" w:cs="Times New Roman"/>
          <w:sz w:val="24"/>
          <w:szCs w:val="24"/>
        </w:rPr>
        <w:t>include</w:t>
      </w:r>
      <w:proofErr w:type="gramEnd"/>
      <w:r w:rsidRPr="00F73EED">
        <w:rPr>
          <w:rFonts w:ascii="Times New Roman" w:hAnsi="Times New Roman" w:cs="Times New Roman"/>
          <w:sz w:val="24"/>
          <w:szCs w:val="24"/>
        </w:rPr>
        <w:t xml:space="preserve"> on the table that is mentioned above a graph was designed and included below.</w:t>
      </w:r>
    </w:p>
    <w:p w:rsidR="00560C69" w:rsidRDefault="00F73EED" w:rsidP="00560C69">
      <w:pPr>
        <w:spacing w:before="240" w:line="360" w:lineRule="auto"/>
        <w:jc w:val="both"/>
      </w:pPr>
      <w:r w:rsidRPr="00F73EED">
        <w:rPr>
          <w:rFonts w:ascii="Times New Roman" w:hAnsi="Times New Roman" w:cs="Times New Roman"/>
          <w:sz w:val="24"/>
          <w:szCs w:val="24"/>
        </w:rPr>
        <w:t xml:space="preserve">Among the mutual funds DBH1STMF has the lowest level of risk which is expressed by standard deviation of 2.32%. However, DSEX had a deviation lower than the mutual fund. </w:t>
      </w:r>
      <w:proofErr w:type="spellStart"/>
      <w:r w:rsidRPr="00F73EED">
        <w:rPr>
          <w:rFonts w:ascii="Times New Roman" w:hAnsi="Times New Roman" w:cs="Times New Roman"/>
          <w:sz w:val="24"/>
          <w:szCs w:val="24"/>
        </w:rPr>
        <w:t>ATCSLGf</w:t>
      </w:r>
      <w:proofErr w:type="spellEnd"/>
      <w:r w:rsidRPr="00F73EED">
        <w:rPr>
          <w:rFonts w:ascii="Times New Roman" w:hAnsi="Times New Roman" w:cs="Times New Roman"/>
          <w:sz w:val="24"/>
          <w:szCs w:val="24"/>
        </w:rPr>
        <w:t xml:space="preserve"> had a standard deviation of 2.65%. Deviation of FBFIF, AIBL1STMF, EXIM1STMF, </w:t>
      </w:r>
      <w:proofErr w:type="gramStart"/>
      <w:r w:rsidRPr="00F73EED">
        <w:rPr>
          <w:rFonts w:ascii="Times New Roman" w:hAnsi="Times New Roman" w:cs="Times New Roman"/>
          <w:sz w:val="24"/>
          <w:szCs w:val="24"/>
        </w:rPr>
        <w:t>ABB1STMF</w:t>
      </w:r>
      <w:proofErr w:type="gramEnd"/>
      <w:r w:rsidRPr="00F73EED">
        <w:rPr>
          <w:rFonts w:ascii="Times New Roman" w:hAnsi="Times New Roman" w:cs="Times New Roman"/>
          <w:sz w:val="24"/>
          <w:szCs w:val="24"/>
        </w:rPr>
        <w:t xml:space="preserve"> had consecutively higher risk ranging between 3.07% to 3.89%. 1JANATAMF, EBL1STMF, 1STPRIMF had a risk level ranging 4.06%, 4.39% and 4.84% consecutively. </w:t>
      </w:r>
    </w:p>
    <w:p w:rsidR="00875982" w:rsidRDefault="00802AD3" w:rsidP="00875982">
      <w:pPr>
        <w:spacing w:before="240" w:after="0" w:line="360" w:lineRule="auto"/>
        <w:jc w:val="both"/>
        <w:rPr>
          <w:rFonts w:ascii="Times New Roman" w:eastAsiaTheme="majorEastAsia" w:hAnsi="Times New Roman" w:cs="Times New Roman"/>
          <w:b/>
          <w:sz w:val="24"/>
          <w:szCs w:val="24"/>
        </w:rPr>
      </w:pPr>
      <w:r w:rsidRPr="00F73EED">
        <w:rPr>
          <w:rFonts w:ascii="Times New Roman" w:eastAsiaTheme="majorEastAsia" w:hAnsi="Times New Roman" w:cs="Times New Roman"/>
          <w:b/>
          <w:sz w:val="24"/>
          <w:szCs w:val="24"/>
        </w:rPr>
        <w:t>Beta of Return on Weekly Closing Price</w:t>
      </w:r>
    </w:p>
    <w:p w:rsidR="00560C69" w:rsidRPr="00875982" w:rsidRDefault="00560C69" w:rsidP="00875982">
      <w:pPr>
        <w:spacing w:before="240" w:line="360" w:lineRule="auto"/>
        <w:jc w:val="both"/>
        <w:rPr>
          <w:rFonts w:ascii="Times New Roman" w:eastAsiaTheme="majorEastAsia" w:hAnsi="Times New Roman" w:cs="Times New Roman"/>
          <w:b/>
          <w:sz w:val="24"/>
          <w:szCs w:val="24"/>
        </w:rPr>
      </w:pPr>
      <w:r>
        <w:rPr>
          <w:rFonts w:ascii="Times New Roman" w:hAnsi="Times New Roman" w:cs="Times New Roman"/>
          <w:sz w:val="24"/>
          <w:szCs w:val="24"/>
        </w:rPr>
        <w:t>F</w:t>
      </w:r>
      <w:r w:rsidRPr="00F73EED">
        <w:rPr>
          <w:rFonts w:ascii="Times New Roman" w:hAnsi="Times New Roman" w:cs="Times New Roman"/>
          <w:sz w:val="24"/>
          <w:szCs w:val="24"/>
        </w:rPr>
        <w:t xml:space="preserve">or the requirement of </w:t>
      </w:r>
      <w:proofErr w:type="spellStart"/>
      <w:r w:rsidRPr="00F73EED">
        <w:rPr>
          <w:rFonts w:ascii="Times New Roman" w:hAnsi="Times New Roman" w:cs="Times New Roman"/>
          <w:sz w:val="24"/>
          <w:szCs w:val="24"/>
        </w:rPr>
        <w:t>Treynor</w:t>
      </w:r>
      <w:proofErr w:type="spellEnd"/>
      <w:r w:rsidRPr="00F73EED">
        <w:rPr>
          <w:rFonts w:ascii="Times New Roman" w:hAnsi="Times New Roman" w:cs="Times New Roman"/>
          <w:sz w:val="24"/>
          <w:szCs w:val="24"/>
        </w:rPr>
        <w:t xml:space="preserve"> ratio, Jensen’s Alpha and CAPM; the measure of volatility beta was calculated and visualized on the graph below.</w:t>
      </w:r>
    </w:p>
    <w:p w:rsidR="00871D98" w:rsidRDefault="00560C69" w:rsidP="00871D98">
      <w:pPr>
        <w:spacing w:before="240" w:line="360" w:lineRule="auto"/>
        <w:jc w:val="both"/>
        <w:rPr>
          <w:rFonts w:ascii="Times New Roman" w:hAnsi="Times New Roman" w:cs="Times New Roman"/>
          <w:sz w:val="24"/>
          <w:szCs w:val="24"/>
        </w:rPr>
      </w:pPr>
      <w:r w:rsidRPr="00F73EED">
        <w:rPr>
          <w:noProof/>
        </w:rPr>
        <w:lastRenderedPageBreak/>
        <w:drawing>
          <wp:anchor distT="0" distB="0" distL="114300" distR="114300" simplePos="0" relativeHeight="251781119" behindDoc="0" locked="0" layoutInCell="1" allowOverlap="1" wp14:anchorId="19AA1616" wp14:editId="2D1E15AC">
            <wp:simplePos x="0" y="0"/>
            <wp:positionH relativeFrom="margin">
              <wp:posOffset>-1270</wp:posOffset>
            </wp:positionH>
            <wp:positionV relativeFrom="margin">
              <wp:posOffset>55880</wp:posOffset>
            </wp:positionV>
            <wp:extent cx="5734050" cy="2103120"/>
            <wp:effectExtent l="0" t="0" r="0" b="11430"/>
            <wp:wrapSquare wrapText="bothSides"/>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F73EED" w:rsidRPr="00F73EED">
        <w:rPr>
          <w:rFonts w:ascii="Times New Roman" w:hAnsi="Times New Roman" w:cs="Times New Roman"/>
          <w:sz w:val="24"/>
          <w:szCs w:val="24"/>
        </w:rPr>
        <w:t>The chart illustrate ATCSLGF is the winner in terms of lowest volatility with a Beta of 0.44, meaning that the fund did well comparing to other fund in case of market risk diversification. DBH1STMF, EXIM1STMF, AIBL1STMF and EBL1STMF had a beta of 0.61, 0.72, 0.85 and 0.95 sequentially. FBFIF, EBLNRBMF, 1JANATAMF, ABB1STMF and 1STPRIMFMF had a beta above 1.00 which means their return is event volatile than th</w:t>
      </w:r>
      <w:r w:rsidR="00871D98">
        <w:rPr>
          <w:rFonts w:ascii="Times New Roman" w:hAnsi="Times New Roman" w:cs="Times New Roman"/>
          <w:sz w:val="24"/>
          <w:szCs w:val="24"/>
        </w:rPr>
        <w:t>e average return of the market.</w:t>
      </w:r>
    </w:p>
    <w:p w:rsidR="00F73EED" w:rsidRPr="00802AD3" w:rsidRDefault="00F73EED" w:rsidP="00871D98">
      <w:pPr>
        <w:spacing w:line="360" w:lineRule="auto"/>
        <w:jc w:val="both"/>
        <w:rPr>
          <w:rFonts w:ascii="Times New Roman" w:hAnsi="Times New Roman" w:cs="Times New Roman"/>
          <w:sz w:val="24"/>
          <w:szCs w:val="24"/>
        </w:rPr>
      </w:pPr>
      <w:r w:rsidRPr="00F73EED">
        <w:rPr>
          <w:rFonts w:ascii="Times New Roman" w:eastAsiaTheme="majorEastAsia" w:hAnsi="Times New Roman" w:cs="Times New Roman"/>
          <w:b/>
          <w:sz w:val="24"/>
          <w:szCs w:val="24"/>
        </w:rPr>
        <w:t>Sharpe Ratio Based on Return of Weekly Closing Price</w:t>
      </w:r>
    </w:p>
    <w:tbl>
      <w:tblPr>
        <w:tblStyle w:val="TableGrid22"/>
        <w:tblpPr w:leftFromText="180" w:rightFromText="180" w:vertAnchor="text" w:horzAnchor="margin" w:tblpY="2076"/>
        <w:tblW w:w="9054" w:type="dxa"/>
        <w:tblLook w:val="04A0" w:firstRow="1" w:lastRow="0" w:firstColumn="1" w:lastColumn="0" w:noHBand="0" w:noVBand="1"/>
      </w:tblPr>
      <w:tblGrid>
        <w:gridCol w:w="5009"/>
        <w:gridCol w:w="4045"/>
      </w:tblGrid>
      <w:tr w:rsidR="004668F4" w:rsidRPr="00F73EED" w:rsidTr="007B25EB">
        <w:trPr>
          <w:trHeight w:val="279"/>
        </w:trPr>
        <w:tc>
          <w:tcPr>
            <w:tcW w:w="5009"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Mutual Fund Trading Code</w:t>
            </w:r>
          </w:p>
        </w:tc>
        <w:tc>
          <w:tcPr>
            <w:tcW w:w="4045"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Sharpe Ratio</w:t>
            </w:r>
          </w:p>
        </w:tc>
      </w:tr>
      <w:tr w:rsidR="004668F4" w:rsidRPr="00F73EED" w:rsidTr="007B25EB">
        <w:trPr>
          <w:trHeight w:val="279"/>
        </w:trPr>
        <w:tc>
          <w:tcPr>
            <w:tcW w:w="5009"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DBH1STMF</w:t>
            </w:r>
          </w:p>
        </w:tc>
        <w:tc>
          <w:tcPr>
            <w:tcW w:w="4045"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0.72%</w:t>
            </w:r>
          </w:p>
        </w:tc>
      </w:tr>
      <w:tr w:rsidR="004668F4" w:rsidRPr="00F73EED" w:rsidTr="007B25EB">
        <w:trPr>
          <w:trHeight w:val="279"/>
        </w:trPr>
        <w:tc>
          <w:tcPr>
            <w:tcW w:w="5009"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EBL1STMF</w:t>
            </w:r>
          </w:p>
        </w:tc>
        <w:tc>
          <w:tcPr>
            <w:tcW w:w="4045"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-0.21%</w:t>
            </w:r>
          </w:p>
        </w:tc>
      </w:tr>
      <w:tr w:rsidR="004668F4" w:rsidRPr="00F73EED" w:rsidTr="007B25EB">
        <w:trPr>
          <w:trHeight w:val="279"/>
        </w:trPr>
        <w:tc>
          <w:tcPr>
            <w:tcW w:w="5009"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AIBL1STIMF</w:t>
            </w:r>
          </w:p>
        </w:tc>
        <w:tc>
          <w:tcPr>
            <w:tcW w:w="4045"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-1.65%</w:t>
            </w:r>
          </w:p>
        </w:tc>
      </w:tr>
      <w:tr w:rsidR="004668F4" w:rsidRPr="00F73EED" w:rsidTr="007B25EB">
        <w:trPr>
          <w:trHeight w:val="279"/>
        </w:trPr>
        <w:tc>
          <w:tcPr>
            <w:tcW w:w="5009"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ATCSLGF</w:t>
            </w:r>
          </w:p>
        </w:tc>
        <w:tc>
          <w:tcPr>
            <w:tcW w:w="4045"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-3.62%</w:t>
            </w:r>
          </w:p>
        </w:tc>
      </w:tr>
      <w:tr w:rsidR="004668F4" w:rsidRPr="00F73EED" w:rsidTr="007B25EB">
        <w:trPr>
          <w:trHeight w:val="279"/>
        </w:trPr>
        <w:tc>
          <w:tcPr>
            <w:tcW w:w="5009"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1STPRIMFMF</w:t>
            </w:r>
          </w:p>
        </w:tc>
        <w:tc>
          <w:tcPr>
            <w:tcW w:w="4045"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-3.63%</w:t>
            </w:r>
          </w:p>
        </w:tc>
      </w:tr>
      <w:tr w:rsidR="004668F4" w:rsidRPr="00F73EED" w:rsidTr="007B25EB">
        <w:trPr>
          <w:trHeight w:val="279"/>
        </w:trPr>
        <w:tc>
          <w:tcPr>
            <w:tcW w:w="5009"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1JANATAMF</w:t>
            </w:r>
          </w:p>
        </w:tc>
        <w:tc>
          <w:tcPr>
            <w:tcW w:w="4045"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-6.30%</w:t>
            </w:r>
          </w:p>
        </w:tc>
      </w:tr>
      <w:tr w:rsidR="004668F4" w:rsidRPr="00F73EED" w:rsidTr="007B25EB">
        <w:trPr>
          <w:trHeight w:val="279"/>
        </w:trPr>
        <w:tc>
          <w:tcPr>
            <w:tcW w:w="5009"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ABB1STMF</w:t>
            </w:r>
          </w:p>
        </w:tc>
        <w:tc>
          <w:tcPr>
            <w:tcW w:w="4045"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-7.20%</w:t>
            </w:r>
          </w:p>
        </w:tc>
      </w:tr>
      <w:tr w:rsidR="004668F4" w:rsidRPr="00F73EED" w:rsidTr="007B25EB">
        <w:trPr>
          <w:trHeight w:val="279"/>
        </w:trPr>
        <w:tc>
          <w:tcPr>
            <w:tcW w:w="5009"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EBLNRBMF</w:t>
            </w:r>
          </w:p>
        </w:tc>
        <w:tc>
          <w:tcPr>
            <w:tcW w:w="4045"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-12.41%</w:t>
            </w:r>
          </w:p>
        </w:tc>
      </w:tr>
      <w:tr w:rsidR="004668F4" w:rsidRPr="00F73EED" w:rsidTr="007B25EB">
        <w:trPr>
          <w:trHeight w:val="279"/>
        </w:trPr>
        <w:tc>
          <w:tcPr>
            <w:tcW w:w="5009"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FBFIF</w:t>
            </w:r>
          </w:p>
        </w:tc>
        <w:tc>
          <w:tcPr>
            <w:tcW w:w="4045"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-12.53%</w:t>
            </w:r>
          </w:p>
        </w:tc>
      </w:tr>
      <w:tr w:rsidR="004668F4" w:rsidRPr="00F73EED" w:rsidTr="007B25EB">
        <w:trPr>
          <w:trHeight w:val="279"/>
        </w:trPr>
        <w:tc>
          <w:tcPr>
            <w:tcW w:w="5009"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EXIM1STMF</w:t>
            </w:r>
          </w:p>
        </w:tc>
        <w:tc>
          <w:tcPr>
            <w:tcW w:w="4045" w:type="dxa"/>
            <w:noWrap/>
            <w:vAlign w:val="center"/>
            <w:hideMark/>
          </w:tcPr>
          <w:p w:rsidR="004668F4" w:rsidRPr="007B25EB" w:rsidRDefault="004668F4" w:rsidP="007B25EB">
            <w:pPr>
              <w:spacing w:line="360" w:lineRule="auto"/>
              <w:jc w:val="center"/>
              <w:rPr>
                <w:rFonts w:ascii="Times New Roman" w:hAnsi="Times New Roman"/>
              </w:rPr>
            </w:pPr>
            <w:r w:rsidRPr="007B25EB">
              <w:rPr>
                <w:rFonts w:ascii="Times New Roman" w:hAnsi="Times New Roman"/>
              </w:rPr>
              <w:t>-12.69%</w:t>
            </w:r>
          </w:p>
        </w:tc>
      </w:tr>
    </w:tbl>
    <w:p w:rsidR="007B25EB" w:rsidRDefault="004668F4" w:rsidP="00871D98">
      <w:pPr>
        <w:spacing w:after="0"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 </w:t>
      </w:r>
      <w:r w:rsidR="00F73EED" w:rsidRPr="00F73EED">
        <w:rPr>
          <w:rFonts w:ascii="Times New Roman" w:hAnsi="Times New Roman" w:cs="Times New Roman"/>
          <w:sz w:val="24"/>
          <w:szCs w:val="24"/>
        </w:rPr>
        <w:t>The detailed explanation and the process of calculating Sharpe ratio is included in the earlier chapter. Using the same formula and method we applied</w:t>
      </w:r>
      <w:r w:rsidR="00774845">
        <w:rPr>
          <w:rFonts w:ascii="Times New Roman" w:hAnsi="Times New Roman" w:cs="Times New Roman"/>
          <w:sz w:val="24"/>
          <w:szCs w:val="24"/>
        </w:rPr>
        <w:t xml:space="preserve"> </w:t>
      </w:r>
      <w:r w:rsidR="00774845" w:rsidRPr="00F73EED">
        <w:rPr>
          <w:rFonts w:ascii="Times New Roman" w:hAnsi="Times New Roman" w:cs="Times New Roman"/>
          <w:sz w:val="24"/>
          <w:szCs w:val="24"/>
        </w:rPr>
        <w:t>weekly</w:t>
      </w:r>
      <w:r w:rsidR="00F73EED" w:rsidRPr="00F73EED">
        <w:rPr>
          <w:rFonts w:ascii="Times New Roman" w:hAnsi="Times New Roman" w:cs="Times New Roman"/>
          <w:sz w:val="24"/>
          <w:szCs w:val="24"/>
        </w:rPr>
        <w:t xml:space="preserve"> average return on closing </w:t>
      </w:r>
      <w:r w:rsidR="00265505">
        <w:rPr>
          <w:rFonts w:ascii="Times New Roman" w:hAnsi="Times New Roman" w:cs="Times New Roman"/>
          <w:sz w:val="24"/>
          <w:szCs w:val="24"/>
        </w:rPr>
        <w:t xml:space="preserve">price and standard deviation </w:t>
      </w:r>
      <w:proofErr w:type="gramStart"/>
      <w:r w:rsidR="00265505">
        <w:rPr>
          <w:rFonts w:ascii="Times New Roman" w:hAnsi="Times New Roman" w:cs="Times New Roman"/>
          <w:sz w:val="24"/>
          <w:szCs w:val="24"/>
        </w:rPr>
        <w:t xml:space="preserve">of </w:t>
      </w:r>
      <w:r w:rsidR="00F73EED" w:rsidRPr="00F73EED">
        <w:rPr>
          <w:rFonts w:ascii="Times New Roman" w:hAnsi="Times New Roman" w:cs="Times New Roman"/>
          <w:sz w:val="24"/>
          <w:szCs w:val="24"/>
        </w:rPr>
        <w:t xml:space="preserve"> return</w:t>
      </w:r>
      <w:proofErr w:type="gramEnd"/>
      <w:r w:rsidR="00F73EED" w:rsidRPr="00F73EED">
        <w:rPr>
          <w:rFonts w:ascii="Times New Roman" w:hAnsi="Times New Roman" w:cs="Times New Roman"/>
          <w:sz w:val="24"/>
          <w:szCs w:val="24"/>
        </w:rPr>
        <w:t xml:space="preserve"> on closing price to determine the Sharpe ratio in this segment. The </w:t>
      </w:r>
      <w:proofErr w:type="gramStart"/>
      <w:r w:rsidR="00F73EED" w:rsidRPr="00F73EED">
        <w:rPr>
          <w:rFonts w:ascii="Times New Roman" w:hAnsi="Times New Roman" w:cs="Times New Roman"/>
          <w:sz w:val="24"/>
          <w:szCs w:val="24"/>
        </w:rPr>
        <w:t>results of Sharpe ratio for every selected mutual fund is</w:t>
      </w:r>
      <w:proofErr w:type="gramEnd"/>
      <w:r w:rsidR="00F73EED" w:rsidRPr="00F73EED">
        <w:rPr>
          <w:rFonts w:ascii="Times New Roman" w:hAnsi="Times New Roman" w:cs="Times New Roman"/>
          <w:sz w:val="24"/>
          <w:szCs w:val="24"/>
        </w:rPr>
        <w:t xml:space="preserve"> showed on the table </w:t>
      </w:r>
      <w:r w:rsidR="007B25EB">
        <w:rPr>
          <w:rFonts w:ascii="Times New Roman" w:hAnsi="Times New Roman" w:cs="Times New Roman"/>
          <w:sz w:val="24"/>
          <w:szCs w:val="24"/>
        </w:rPr>
        <w:t>below:</w:t>
      </w:r>
    </w:p>
    <w:p w:rsidR="00F73EED" w:rsidRPr="00F73EED" w:rsidRDefault="00F73EED" w:rsidP="00871D98">
      <w:pPr>
        <w:spacing w:after="0" w:line="360" w:lineRule="auto"/>
        <w:jc w:val="both"/>
        <w:rPr>
          <w:rFonts w:ascii="Times New Roman" w:hAnsi="Times New Roman" w:cs="Times New Roman"/>
          <w:sz w:val="24"/>
          <w:szCs w:val="24"/>
        </w:rPr>
      </w:pPr>
    </w:p>
    <w:p w:rsidR="00F73EED" w:rsidRDefault="004668F4" w:rsidP="00F73EE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chart blow was designed to illustrate visual presentation of the table above.</w:t>
      </w:r>
      <w:r w:rsidRPr="00F73EED">
        <w:rPr>
          <w:rFonts w:ascii="Times New Roman" w:hAnsi="Times New Roman" w:cs="Times New Roman"/>
          <w:noProof/>
          <w:sz w:val="24"/>
          <w:szCs w:val="24"/>
        </w:rPr>
        <w:t xml:space="preserve"> </w:t>
      </w:r>
    </w:p>
    <w:tbl>
      <w:tblPr>
        <w:tblStyle w:val="TableGrid22"/>
        <w:tblpPr w:leftFromText="180" w:rightFromText="180" w:vertAnchor="text" w:horzAnchor="margin" w:tblpY="4978"/>
        <w:tblW w:w="9043" w:type="dxa"/>
        <w:tblLook w:val="04A0" w:firstRow="1" w:lastRow="0" w:firstColumn="1" w:lastColumn="0" w:noHBand="0" w:noVBand="1"/>
      </w:tblPr>
      <w:tblGrid>
        <w:gridCol w:w="6166"/>
        <w:gridCol w:w="2877"/>
      </w:tblGrid>
      <w:tr w:rsidR="007B25EB" w:rsidRPr="00F73EED" w:rsidTr="007B25EB">
        <w:trPr>
          <w:trHeight w:val="253"/>
        </w:trPr>
        <w:tc>
          <w:tcPr>
            <w:tcW w:w="6166"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Mutual Fund Trading Code</w:t>
            </w:r>
          </w:p>
        </w:tc>
        <w:tc>
          <w:tcPr>
            <w:tcW w:w="2877"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proofErr w:type="spellStart"/>
            <w:r w:rsidRPr="00F73EED">
              <w:rPr>
                <w:rFonts w:ascii="Times New Roman" w:hAnsi="Times New Roman"/>
                <w:color w:val="111111"/>
                <w:sz w:val="24"/>
                <w:szCs w:val="24"/>
                <w:shd w:val="clear" w:color="auto" w:fill="FFFFFF"/>
              </w:rPr>
              <w:t>Treynor</w:t>
            </w:r>
            <w:proofErr w:type="spellEnd"/>
            <w:r w:rsidRPr="00F73EED">
              <w:rPr>
                <w:rFonts w:ascii="Times New Roman" w:hAnsi="Times New Roman"/>
                <w:color w:val="111111"/>
                <w:sz w:val="24"/>
                <w:szCs w:val="24"/>
                <w:shd w:val="clear" w:color="auto" w:fill="FFFFFF"/>
              </w:rPr>
              <w:t xml:space="preserve"> Ratio</w:t>
            </w:r>
          </w:p>
        </w:tc>
      </w:tr>
      <w:tr w:rsidR="007B25EB" w:rsidRPr="00F73EED" w:rsidTr="007B25EB">
        <w:trPr>
          <w:trHeight w:val="253"/>
        </w:trPr>
        <w:tc>
          <w:tcPr>
            <w:tcW w:w="6166"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DBH1STMF</w:t>
            </w:r>
          </w:p>
        </w:tc>
        <w:tc>
          <w:tcPr>
            <w:tcW w:w="2877"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0.03%</w:t>
            </w:r>
          </w:p>
        </w:tc>
      </w:tr>
      <w:tr w:rsidR="007B25EB" w:rsidRPr="00F73EED" w:rsidTr="007B25EB">
        <w:trPr>
          <w:trHeight w:val="253"/>
        </w:trPr>
        <w:tc>
          <w:tcPr>
            <w:tcW w:w="6166"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EBL1STMF</w:t>
            </w:r>
          </w:p>
        </w:tc>
        <w:tc>
          <w:tcPr>
            <w:tcW w:w="2877"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-0.01%</w:t>
            </w:r>
          </w:p>
        </w:tc>
      </w:tr>
      <w:tr w:rsidR="007B25EB" w:rsidRPr="00F73EED" w:rsidTr="007B25EB">
        <w:trPr>
          <w:trHeight w:val="253"/>
        </w:trPr>
        <w:tc>
          <w:tcPr>
            <w:tcW w:w="6166"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AIBL1STIMF</w:t>
            </w:r>
          </w:p>
        </w:tc>
        <w:tc>
          <w:tcPr>
            <w:tcW w:w="2877"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-0.06%</w:t>
            </w:r>
          </w:p>
        </w:tc>
      </w:tr>
      <w:tr w:rsidR="007B25EB" w:rsidRPr="00F73EED" w:rsidTr="007B25EB">
        <w:trPr>
          <w:trHeight w:val="253"/>
        </w:trPr>
        <w:tc>
          <w:tcPr>
            <w:tcW w:w="6166"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1STPRIMFMF</w:t>
            </w:r>
          </w:p>
        </w:tc>
        <w:tc>
          <w:tcPr>
            <w:tcW w:w="2877"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-0.11%</w:t>
            </w:r>
          </w:p>
        </w:tc>
      </w:tr>
      <w:tr w:rsidR="007B25EB" w:rsidRPr="00F73EED" w:rsidTr="007B25EB">
        <w:trPr>
          <w:trHeight w:val="253"/>
        </w:trPr>
        <w:tc>
          <w:tcPr>
            <w:tcW w:w="6166"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ABB1STMF</w:t>
            </w:r>
          </w:p>
        </w:tc>
        <w:tc>
          <w:tcPr>
            <w:tcW w:w="2877"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-0.20%</w:t>
            </w:r>
          </w:p>
        </w:tc>
      </w:tr>
      <w:tr w:rsidR="007B25EB" w:rsidRPr="00F73EED" w:rsidTr="007B25EB">
        <w:trPr>
          <w:trHeight w:val="253"/>
        </w:trPr>
        <w:tc>
          <w:tcPr>
            <w:tcW w:w="6166"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1JANATAMF</w:t>
            </w:r>
          </w:p>
        </w:tc>
        <w:tc>
          <w:tcPr>
            <w:tcW w:w="2877"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-0.20%</w:t>
            </w:r>
          </w:p>
        </w:tc>
      </w:tr>
      <w:tr w:rsidR="007B25EB" w:rsidRPr="00F73EED" w:rsidTr="007B25EB">
        <w:trPr>
          <w:trHeight w:val="253"/>
        </w:trPr>
        <w:tc>
          <w:tcPr>
            <w:tcW w:w="6166"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ATCSLGF</w:t>
            </w:r>
          </w:p>
        </w:tc>
        <w:tc>
          <w:tcPr>
            <w:tcW w:w="2877"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-0.22%</w:t>
            </w:r>
          </w:p>
        </w:tc>
      </w:tr>
      <w:tr w:rsidR="007B25EB" w:rsidRPr="00F73EED" w:rsidTr="007B25EB">
        <w:trPr>
          <w:trHeight w:val="253"/>
        </w:trPr>
        <w:tc>
          <w:tcPr>
            <w:tcW w:w="6166"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FBFIF</w:t>
            </w:r>
          </w:p>
        </w:tc>
        <w:tc>
          <w:tcPr>
            <w:tcW w:w="2877"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-0.37%</w:t>
            </w:r>
          </w:p>
        </w:tc>
      </w:tr>
      <w:tr w:rsidR="007B25EB" w:rsidRPr="00F73EED" w:rsidTr="007B25EB">
        <w:trPr>
          <w:trHeight w:val="253"/>
        </w:trPr>
        <w:tc>
          <w:tcPr>
            <w:tcW w:w="6166"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EBLNRBMF</w:t>
            </w:r>
          </w:p>
        </w:tc>
        <w:tc>
          <w:tcPr>
            <w:tcW w:w="2877"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-0.40%</w:t>
            </w:r>
          </w:p>
        </w:tc>
      </w:tr>
      <w:tr w:rsidR="007B25EB" w:rsidRPr="00F73EED" w:rsidTr="007B25EB">
        <w:trPr>
          <w:trHeight w:val="253"/>
        </w:trPr>
        <w:tc>
          <w:tcPr>
            <w:tcW w:w="6166"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EXIM1STMF</w:t>
            </w:r>
          </w:p>
        </w:tc>
        <w:tc>
          <w:tcPr>
            <w:tcW w:w="2877" w:type="dxa"/>
            <w:noWrap/>
            <w:vAlign w:val="center"/>
            <w:hideMark/>
          </w:tcPr>
          <w:p w:rsidR="007B25EB" w:rsidRPr="00F73EED" w:rsidRDefault="007B25EB" w:rsidP="007B25EB">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-0.61%</w:t>
            </w:r>
          </w:p>
        </w:tc>
      </w:tr>
    </w:tbl>
    <w:p w:rsidR="00E350F0" w:rsidRDefault="004668F4" w:rsidP="00E350F0">
      <w:pPr>
        <w:spacing w:after="0" w:line="360" w:lineRule="auto"/>
        <w:jc w:val="both"/>
        <w:rPr>
          <w:rFonts w:ascii="Times New Roman" w:hAnsi="Times New Roman" w:cs="Times New Roman"/>
          <w:sz w:val="24"/>
          <w:szCs w:val="24"/>
        </w:rPr>
      </w:pPr>
      <w:r w:rsidRPr="00F73EED">
        <w:rPr>
          <w:rFonts w:ascii="Times New Roman" w:hAnsi="Times New Roman" w:cs="Times New Roman"/>
          <w:noProof/>
          <w:sz w:val="24"/>
          <w:szCs w:val="24"/>
        </w:rPr>
        <w:drawing>
          <wp:anchor distT="0" distB="0" distL="114300" distR="114300" simplePos="0" relativeHeight="251787263" behindDoc="0" locked="0" layoutInCell="1" allowOverlap="1" wp14:anchorId="1DFAD16F" wp14:editId="3A414041">
            <wp:simplePos x="0" y="0"/>
            <wp:positionH relativeFrom="margin">
              <wp:align>right</wp:align>
            </wp:positionH>
            <wp:positionV relativeFrom="margin">
              <wp:posOffset>28575</wp:posOffset>
            </wp:positionV>
            <wp:extent cx="5731510" cy="2103120"/>
            <wp:effectExtent l="0" t="0" r="2540" b="1143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F73EED" w:rsidRPr="00F73EED">
        <w:rPr>
          <w:rFonts w:ascii="Times New Roman" w:hAnsi="Times New Roman" w:cs="Times New Roman"/>
          <w:sz w:val="24"/>
          <w:szCs w:val="24"/>
        </w:rPr>
        <w:t>For calculating the Sharpe Ratio the calculated weekly return of closing share price was subtracted from estimated risk free rate and then it was divided by annualized standard deviation. The graph above provides a visual presentation of funds’ performance. It was also designed in a convenient manner to show a practical demonstration of comparison of funds’ performance. In the graph it is visible that only one fund was able to attain positive ratio. That is DBH1STMF and EBL1STMF. DBH1STMF produced a Sharpe Ratio of 0.72%. All other mutual fund produced negative ratio. Among them EBL1STMF was very close to positive level of return with a value of -0.21%.AIBL1STMF was closest to EBL1STMF. The value of ATCLGF and 1STPRIMEMF were also close with a value of -6.30% and -7.20%.EBLNRBMF, FBFIF and EXIM1STMF are the worst performer their Sharpe ratio ranged between -12.41% to -12.69%</w:t>
      </w:r>
    </w:p>
    <w:p w:rsidR="00F73EED" w:rsidRPr="00E350F0" w:rsidRDefault="00F73EED" w:rsidP="00E350F0">
      <w:pPr>
        <w:spacing w:after="0" w:line="360" w:lineRule="auto"/>
        <w:jc w:val="both"/>
        <w:rPr>
          <w:rFonts w:ascii="Times New Roman" w:hAnsi="Times New Roman" w:cs="Times New Roman"/>
          <w:sz w:val="24"/>
          <w:szCs w:val="24"/>
        </w:rPr>
      </w:pPr>
      <w:proofErr w:type="spellStart"/>
      <w:r w:rsidRPr="00F73EED">
        <w:rPr>
          <w:rFonts w:ascii="Times New Roman" w:eastAsiaTheme="majorEastAsia" w:hAnsi="Times New Roman" w:cs="Times New Roman"/>
          <w:b/>
          <w:sz w:val="24"/>
          <w:szCs w:val="24"/>
          <w:shd w:val="clear" w:color="auto" w:fill="FFFFFF"/>
        </w:rPr>
        <w:t>Treynor</w:t>
      </w:r>
      <w:proofErr w:type="spellEnd"/>
      <w:r w:rsidRPr="00F73EED">
        <w:rPr>
          <w:rFonts w:ascii="Times New Roman" w:eastAsiaTheme="majorEastAsia" w:hAnsi="Times New Roman" w:cs="Times New Roman"/>
          <w:b/>
          <w:sz w:val="24"/>
          <w:szCs w:val="24"/>
          <w:shd w:val="clear" w:color="auto" w:fill="FFFFFF"/>
        </w:rPr>
        <w:t xml:space="preserve"> Ratio </w:t>
      </w:r>
      <w:r w:rsidRPr="00F73EED">
        <w:rPr>
          <w:rFonts w:ascii="Times New Roman" w:eastAsiaTheme="majorEastAsia" w:hAnsi="Times New Roman" w:cs="Times New Roman"/>
          <w:b/>
          <w:sz w:val="24"/>
          <w:szCs w:val="24"/>
        </w:rPr>
        <w:t>Based on Return of Weekly Closing Price</w:t>
      </w:r>
    </w:p>
    <w:p w:rsidR="00F73EED" w:rsidRDefault="004668F4" w:rsidP="006745C8">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lastRenderedPageBreak/>
        <w:t>Using the average return of weekly</w:t>
      </w:r>
      <w:r>
        <w:rPr>
          <w:rFonts w:ascii="Times New Roman" w:hAnsi="Times New Roman" w:cs="Times New Roman"/>
          <w:sz w:val="24"/>
          <w:szCs w:val="24"/>
        </w:rPr>
        <w:t xml:space="preserve"> closing price, </w:t>
      </w:r>
      <w:r w:rsidRPr="00F73EED">
        <w:rPr>
          <w:rFonts w:ascii="Times New Roman" w:hAnsi="Times New Roman" w:cs="Times New Roman"/>
          <w:sz w:val="24"/>
          <w:szCs w:val="24"/>
        </w:rPr>
        <w:t xml:space="preserve">T-bill and Beta of return on weekly closing price the </w:t>
      </w:r>
      <w:proofErr w:type="spellStart"/>
      <w:r w:rsidRPr="00F73EED">
        <w:rPr>
          <w:rFonts w:ascii="Times New Roman" w:hAnsi="Times New Roman" w:cs="Times New Roman"/>
          <w:sz w:val="24"/>
          <w:szCs w:val="24"/>
        </w:rPr>
        <w:t>Treynor</w:t>
      </w:r>
      <w:proofErr w:type="spellEnd"/>
      <w:r w:rsidRPr="00F73EED">
        <w:rPr>
          <w:rFonts w:ascii="Times New Roman" w:hAnsi="Times New Roman" w:cs="Times New Roman"/>
          <w:sz w:val="24"/>
          <w:szCs w:val="24"/>
        </w:rPr>
        <w:t xml:space="preserve"> ratio in this section was calculated and </w:t>
      </w:r>
      <w:r>
        <w:rPr>
          <w:rFonts w:ascii="Times New Roman" w:hAnsi="Times New Roman" w:cs="Times New Roman"/>
          <w:sz w:val="24"/>
          <w:szCs w:val="24"/>
        </w:rPr>
        <w:t xml:space="preserve">summarized on the table below. </w:t>
      </w:r>
      <w:r w:rsidR="00D8348E" w:rsidRPr="00F73EED">
        <w:rPr>
          <w:rFonts w:ascii="Times New Roman" w:hAnsi="Times New Roman" w:cs="Times New Roman"/>
          <w:noProof/>
          <w:sz w:val="24"/>
          <w:szCs w:val="24"/>
        </w:rPr>
        <w:drawing>
          <wp:anchor distT="0" distB="0" distL="114300" distR="114300" simplePos="0" relativeHeight="251789311" behindDoc="0" locked="0" layoutInCell="1" allowOverlap="1" wp14:anchorId="7B910718" wp14:editId="05CA29EB">
            <wp:simplePos x="0" y="0"/>
            <wp:positionH relativeFrom="margin">
              <wp:align>left</wp:align>
            </wp:positionH>
            <wp:positionV relativeFrom="margin">
              <wp:posOffset>325755</wp:posOffset>
            </wp:positionV>
            <wp:extent cx="5733288" cy="2103120"/>
            <wp:effectExtent l="0" t="0" r="1270" b="11430"/>
            <wp:wrapSquare wrapText="bothSides"/>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By the graph it is shown that again DBL1ST was the only one organization to gain positive return. The </w:t>
      </w:r>
      <w:proofErr w:type="spellStart"/>
      <w:r w:rsidRPr="00F73EED">
        <w:rPr>
          <w:rFonts w:ascii="Times New Roman" w:hAnsi="Times New Roman" w:cs="Times New Roman"/>
          <w:sz w:val="24"/>
          <w:szCs w:val="24"/>
        </w:rPr>
        <w:t>Treynor</w:t>
      </w:r>
      <w:proofErr w:type="spellEnd"/>
      <w:r w:rsidRPr="00F73EED">
        <w:rPr>
          <w:rFonts w:ascii="Times New Roman" w:hAnsi="Times New Roman" w:cs="Times New Roman"/>
          <w:sz w:val="24"/>
          <w:szCs w:val="24"/>
        </w:rPr>
        <w:t xml:space="preserve"> ratio of DBH1STMF is 0.03%, which implies that the mutual fund was actually able to compensate its investor against the systematic risk it contain. In other word with proper diversification, it was successful to alter the volatility of the market to a considerable level. In consideration of price EXIM1STMF remain the worst performer as like Sharpe Ratio. It produced a </w:t>
      </w:r>
      <w:proofErr w:type="spellStart"/>
      <w:r w:rsidRPr="00F73EED">
        <w:rPr>
          <w:rFonts w:ascii="Times New Roman" w:hAnsi="Times New Roman" w:cs="Times New Roman"/>
          <w:sz w:val="24"/>
          <w:szCs w:val="24"/>
        </w:rPr>
        <w:t>Treynor</w:t>
      </w:r>
      <w:proofErr w:type="spellEnd"/>
      <w:r w:rsidRPr="00F73EED">
        <w:rPr>
          <w:rFonts w:ascii="Times New Roman" w:hAnsi="Times New Roman" w:cs="Times New Roman"/>
          <w:sz w:val="24"/>
          <w:szCs w:val="24"/>
        </w:rPr>
        <w:t xml:space="preserve"> ratio of -0.61%.</w:t>
      </w:r>
    </w:p>
    <w:p w:rsidR="00F73EED" w:rsidRPr="00F73EED" w:rsidRDefault="00F73EED" w:rsidP="00F73EED">
      <w:pPr>
        <w:keepNext/>
        <w:keepLines/>
        <w:spacing w:before="40" w:after="0" w:line="360" w:lineRule="auto"/>
        <w:jc w:val="both"/>
        <w:outlineLvl w:val="4"/>
        <w:rPr>
          <w:rFonts w:ascii="Times New Roman" w:eastAsiaTheme="majorEastAsia" w:hAnsi="Times New Roman" w:cs="Times New Roman"/>
          <w:b/>
          <w:sz w:val="24"/>
          <w:szCs w:val="24"/>
        </w:rPr>
      </w:pPr>
      <w:r w:rsidRPr="00F73EED">
        <w:rPr>
          <w:rFonts w:ascii="Times New Roman" w:eastAsiaTheme="majorEastAsia" w:hAnsi="Times New Roman" w:cs="Times New Roman"/>
          <w:b/>
          <w:sz w:val="24"/>
          <w:szCs w:val="24"/>
          <w:shd w:val="clear" w:color="auto" w:fill="FFFFFF"/>
        </w:rPr>
        <w:t>J</w:t>
      </w:r>
      <w:r w:rsidRPr="00F73EED">
        <w:rPr>
          <w:rFonts w:ascii="Times New Roman" w:eastAsiaTheme="majorEastAsia" w:hAnsi="Times New Roman" w:cs="Times New Roman"/>
          <w:b/>
          <w:sz w:val="24"/>
          <w:szCs w:val="24"/>
        </w:rPr>
        <w:t>ensen's Measure Based on Return of Weekly Closing Price</w:t>
      </w:r>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Just like Sharpe ratio and </w:t>
      </w:r>
      <w:proofErr w:type="spellStart"/>
      <w:r w:rsidRPr="00F73EED">
        <w:rPr>
          <w:rFonts w:ascii="Times New Roman" w:hAnsi="Times New Roman" w:cs="Times New Roman"/>
          <w:sz w:val="24"/>
          <w:szCs w:val="24"/>
        </w:rPr>
        <w:t>Treynor</w:t>
      </w:r>
      <w:proofErr w:type="spellEnd"/>
      <w:r w:rsidRPr="00F73EED">
        <w:rPr>
          <w:rFonts w:ascii="Times New Roman" w:hAnsi="Times New Roman" w:cs="Times New Roman"/>
          <w:sz w:val="24"/>
          <w:szCs w:val="24"/>
        </w:rPr>
        <w:t xml:space="preserve"> ratio the elaborated process of determining alpha of Jensen’s index is explained earlier. Unlike previous section we used weekly return on closing price to fulfill requirement of calculating Alpha. A table showing Jensen’s Alpha based on return of weekly closing price is given below.</w:t>
      </w:r>
    </w:p>
    <w:tbl>
      <w:tblPr>
        <w:tblStyle w:val="TableGrid22"/>
        <w:tblW w:w="9031" w:type="dxa"/>
        <w:tblLook w:val="04A0" w:firstRow="1" w:lastRow="0" w:firstColumn="1" w:lastColumn="0" w:noHBand="0" w:noVBand="1"/>
      </w:tblPr>
      <w:tblGrid>
        <w:gridCol w:w="4852"/>
        <w:gridCol w:w="4179"/>
      </w:tblGrid>
      <w:tr w:rsidR="00F73EED" w:rsidRPr="00F73EED" w:rsidTr="00F73EED">
        <w:trPr>
          <w:trHeight w:val="282"/>
        </w:trPr>
        <w:tc>
          <w:tcPr>
            <w:tcW w:w="4852"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Mutual Fund Trading Code</w:t>
            </w:r>
          </w:p>
        </w:tc>
        <w:tc>
          <w:tcPr>
            <w:tcW w:w="4179"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Jensen’s Measure</w:t>
            </w:r>
          </w:p>
        </w:tc>
      </w:tr>
      <w:tr w:rsidR="00F73EED" w:rsidRPr="00F73EED" w:rsidTr="00F73EED">
        <w:trPr>
          <w:trHeight w:val="282"/>
        </w:trPr>
        <w:tc>
          <w:tcPr>
            <w:tcW w:w="4852"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DBH1STMF</w:t>
            </w:r>
          </w:p>
        </w:tc>
        <w:tc>
          <w:tcPr>
            <w:tcW w:w="4179"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0.05%</w:t>
            </w:r>
          </w:p>
        </w:tc>
      </w:tr>
      <w:tr w:rsidR="00F73EED" w:rsidRPr="00F73EED" w:rsidTr="00F73EED">
        <w:trPr>
          <w:trHeight w:val="282"/>
        </w:trPr>
        <w:tc>
          <w:tcPr>
            <w:tcW w:w="4852"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EBL1STMF</w:t>
            </w:r>
          </w:p>
        </w:tc>
        <w:tc>
          <w:tcPr>
            <w:tcW w:w="4179"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0.04%</w:t>
            </w:r>
          </w:p>
        </w:tc>
      </w:tr>
      <w:tr w:rsidR="00F73EED" w:rsidRPr="00F73EED" w:rsidTr="00F73EED">
        <w:trPr>
          <w:trHeight w:val="282"/>
        </w:trPr>
        <w:tc>
          <w:tcPr>
            <w:tcW w:w="4852"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AIBL1STIMF</w:t>
            </w:r>
          </w:p>
        </w:tc>
        <w:tc>
          <w:tcPr>
            <w:tcW w:w="4179"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-0.01%</w:t>
            </w:r>
          </w:p>
        </w:tc>
      </w:tr>
      <w:tr w:rsidR="00F73EED" w:rsidRPr="00F73EED" w:rsidTr="00F73EED">
        <w:trPr>
          <w:trHeight w:val="282"/>
        </w:trPr>
        <w:tc>
          <w:tcPr>
            <w:tcW w:w="4852"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ATCSLGF</w:t>
            </w:r>
          </w:p>
        </w:tc>
        <w:tc>
          <w:tcPr>
            <w:tcW w:w="4179"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-0.07%</w:t>
            </w:r>
          </w:p>
        </w:tc>
      </w:tr>
      <w:tr w:rsidR="00F73EED" w:rsidRPr="00F73EED" w:rsidTr="00F73EED">
        <w:trPr>
          <w:trHeight w:val="282"/>
        </w:trPr>
        <w:tc>
          <w:tcPr>
            <w:tcW w:w="4852"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1STPRIMFMF</w:t>
            </w:r>
          </w:p>
        </w:tc>
        <w:tc>
          <w:tcPr>
            <w:tcW w:w="4179"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-0.10%</w:t>
            </w:r>
          </w:p>
        </w:tc>
      </w:tr>
      <w:tr w:rsidR="00F73EED" w:rsidRPr="00F73EED" w:rsidTr="00F73EED">
        <w:trPr>
          <w:trHeight w:val="282"/>
        </w:trPr>
        <w:tc>
          <w:tcPr>
            <w:tcW w:w="4852"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1JANATAMF</w:t>
            </w:r>
          </w:p>
        </w:tc>
        <w:tc>
          <w:tcPr>
            <w:tcW w:w="4179"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-0.19%</w:t>
            </w:r>
          </w:p>
        </w:tc>
      </w:tr>
      <w:tr w:rsidR="00F73EED" w:rsidRPr="00F73EED" w:rsidTr="00F73EED">
        <w:trPr>
          <w:trHeight w:val="282"/>
        </w:trPr>
        <w:tc>
          <w:tcPr>
            <w:tcW w:w="4852"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ABB1STMF</w:t>
            </w:r>
          </w:p>
        </w:tc>
        <w:tc>
          <w:tcPr>
            <w:tcW w:w="4179"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-0.20%</w:t>
            </w:r>
          </w:p>
        </w:tc>
      </w:tr>
      <w:tr w:rsidR="00F73EED" w:rsidRPr="00F73EED" w:rsidTr="00F73EED">
        <w:trPr>
          <w:trHeight w:val="282"/>
        </w:trPr>
        <w:tc>
          <w:tcPr>
            <w:tcW w:w="4852"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FBFIF</w:t>
            </w:r>
          </w:p>
        </w:tc>
        <w:tc>
          <w:tcPr>
            <w:tcW w:w="4179"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-0.33%</w:t>
            </w:r>
          </w:p>
        </w:tc>
      </w:tr>
      <w:tr w:rsidR="00F73EED" w:rsidRPr="00F73EED" w:rsidTr="00F73EED">
        <w:trPr>
          <w:trHeight w:val="282"/>
        </w:trPr>
        <w:tc>
          <w:tcPr>
            <w:tcW w:w="4852"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EXIM1STMF</w:t>
            </w:r>
          </w:p>
        </w:tc>
        <w:tc>
          <w:tcPr>
            <w:tcW w:w="4179" w:type="dxa"/>
            <w:noWrap/>
            <w:vAlign w:val="center"/>
            <w:hideMark/>
          </w:tcPr>
          <w:p w:rsidR="00F73EED" w:rsidRPr="007B25EB" w:rsidRDefault="00F73EED" w:rsidP="00F73EED">
            <w:pPr>
              <w:spacing w:line="360" w:lineRule="auto"/>
              <w:jc w:val="center"/>
              <w:rPr>
                <w:rFonts w:ascii="Times New Roman" w:hAnsi="Times New Roman"/>
                <w:color w:val="111111"/>
                <w:shd w:val="clear" w:color="auto" w:fill="FFFFFF"/>
              </w:rPr>
            </w:pPr>
            <w:r w:rsidRPr="007B25EB">
              <w:rPr>
                <w:rFonts w:ascii="Times New Roman" w:hAnsi="Times New Roman"/>
                <w:color w:val="111111"/>
                <w:shd w:val="clear" w:color="auto" w:fill="FFFFFF"/>
              </w:rPr>
              <w:t>-0.41%</w:t>
            </w:r>
          </w:p>
        </w:tc>
      </w:tr>
      <w:tr w:rsidR="00F73EED" w:rsidRPr="00F73EED" w:rsidTr="00F73EED">
        <w:trPr>
          <w:trHeight w:val="282"/>
        </w:trPr>
        <w:tc>
          <w:tcPr>
            <w:tcW w:w="4852"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EBLNRBMF</w:t>
            </w:r>
          </w:p>
        </w:tc>
        <w:tc>
          <w:tcPr>
            <w:tcW w:w="4179"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-0.42%</w:t>
            </w:r>
          </w:p>
        </w:tc>
      </w:tr>
    </w:tbl>
    <w:p w:rsidR="00F73EED" w:rsidRPr="00F73EED" w:rsidRDefault="00F73EED" w:rsidP="00F73EED">
      <w:pPr>
        <w:spacing w:before="240" w:line="360" w:lineRule="auto"/>
        <w:jc w:val="both"/>
        <w:rPr>
          <w:rFonts w:ascii="Times New Roman" w:hAnsi="Times New Roman" w:cs="Times New Roman"/>
          <w:sz w:val="24"/>
          <w:szCs w:val="24"/>
        </w:rPr>
      </w:pPr>
      <w:r w:rsidRPr="00F73EED">
        <w:rPr>
          <w:rFonts w:ascii="Times New Roman" w:hAnsi="Times New Roman" w:cs="Times New Roman"/>
          <w:sz w:val="24"/>
          <w:szCs w:val="24"/>
        </w:rPr>
        <w:lastRenderedPageBreak/>
        <w:t>We also incorporated a graph to visualize the data of Alpha. The graph is given below</w:t>
      </w:r>
    </w:p>
    <w:p w:rsidR="00F73EED" w:rsidRPr="00F73EED" w:rsidRDefault="00D8348E" w:rsidP="00D8348E">
      <w:pPr>
        <w:spacing w:before="240" w:line="360" w:lineRule="auto"/>
        <w:jc w:val="both"/>
        <w:rPr>
          <w:rFonts w:ascii="Times New Roman" w:hAnsi="Times New Roman" w:cs="Times New Roman"/>
          <w:sz w:val="24"/>
          <w:szCs w:val="24"/>
        </w:rPr>
      </w:pPr>
      <w:r w:rsidRPr="00F73EED">
        <w:rPr>
          <w:rFonts w:ascii="Times New Roman" w:hAnsi="Times New Roman" w:cs="Times New Roman"/>
          <w:noProof/>
          <w:sz w:val="24"/>
          <w:szCs w:val="24"/>
        </w:rPr>
        <w:drawing>
          <wp:anchor distT="0" distB="0" distL="114300" distR="114300" simplePos="0" relativeHeight="251791359" behindDoc="0" locked="0" layoutInCell="1" allowOverlap="1" wp14:anchorId="36BEFE9F" wp14:editId="583AECEE">
            <wp:simplePos x="0" y="0"/>
            <wp:positionH relativeFrom="margin">
              <wp:align>left</wp:align>
            </wp:positionH>
            <wp:positionV relativeFrom="margin">
              <wp:posOffset>75565</wp:posOffset>
            </wp:positionV>
            <wp:extent cx="5733288" cy="2103120"/>
            <wp:effectExtent l="0" t="0" r="1270" b="11430"/>
            <wp:wrapSquare wrapText="bothSides"/>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F73EED" w:rsidRPr="00F73EED">
        <w:rPr>
          <w:rFonts w:ascii="Times New Roman" w:hAnsi="Times New Roman" w:cs="Times New Roman"/>
          <w:sz w:val="24"/>
          <w:szCs w:val="24"/>
        </w:rPr>
        <w:t>In terms of Alpha DBH1STMF and EBL1STMF are the best performer by scoring 0.05% and 0.04% gradually. The interpretation of this suggest DBH1STMF and EBL1STMF were able to generate return above CAPM’s expected return. However, instead of EXIM1STMF, EBLNRBMF is the worst performer in terms of Alpha. It has scored -0.42% in Jensen’s performance index.</w:t>
      </w:r>
    </w:p>
    <w:p w:rsidR="00F73EED" w:rsidRPr="00F73EED" w:rsidRDefault="00F73EED" w:rsidP="00F73EED">
      <w:pPr>
        <w:keepNext/>
        <w:keepLines/>
        <w:spacing w:before="40" w:after="0" w:line="360" w:lineRule="auto"/>
        <w:jc w:val="both"/>
        <w:outlineLvl w:val="4"/>
        <w:rPr>
          <w:rFonts w:ascii="Times New Roman" w:eastAsiaTheme="majorEastAsia" w:hAnsi="Times New Roman" w:cs="Times New Roman"/>
          <w:b/>
          <w:sz w:val="24"/>
          <w:szCs w:val="24"/>
        </w:rPr>
      </w:pPr>
      <w:r w:rsidRPr="00F73EED">
        <w:rPr>
          <w:rFonts w:ascii="Times New Roman" w:eastAsiaTheme="majorEastAsia" w:hAnsi="Times New Roman" w:cs="Times New Roman"/>
          <w:b/>
          <w:sz w:val="24"/>
          <w:szCs w:val="24"/>
          <w:shd w:val="clear" w:color="auto" w:fill="FFFFFF"/>
        </w:rPr>
        <w:t xml:space="preserve">Capital Asset Pricing Model </w:t>
      </w:r>
      <w:r w:rsidRPr="00F73EED">
        <w:rPr>
          <w:rFonts w:ascii="Times New Roman" w:eastAsiaTheme="majorEastAsia" w:hAnsi="Times New Roman" w:cs="Times New Roman"/>
          <w:b/>
          <w:sz w:val="24"/>
          <w:szCs w:val="24"/>
        </w:rPr>
        <w:t>Based on Return of Weekly Closing Price</w:t>
      </w:r>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As mentioned earlier CAPM model let us know should be a stocks return considering its given level of risk. In this part using the formula of CAPM we tried to find out what should had been funds return considering its given level of risk. Unlike previous section where we used weekly NAV’s return here we are considering returns of weekly closing price. A summary of the result of our finding is given on the table below. </w:t>
      </w:r>
    </w:p>
    <w:tbl>
      <w:tblPr>
        <w:tblStyle w:val="TableGrid22"/>
        <w:tblW w:w="9060" w:type="dxa"/>
        <w:jc w:val="center"/>
        <w:tblLook w:val="04A0" w:firstRow="1" w:lastRow="0" w:firstColumn="1" w:lastColumn="0" w:noHBand="0" w:noVBand="1"/>
      </w:tblPr>
      <w:tblGrid>
        <w:gridCol w:w="6645"/>
        <w:gridCol w:w="2415"/>
      </w:tblGrid>
      <w:tr w:rsidR="00F73EED" w:rsidRPr="00F73EED" w:rsidTr="00F73EED">
        <w:trPr>
          <w:trHeight w:val="275"/>
          <w:jc w:val="center"/>
        </w:trPr>
        <w:tc>
          <w:tcPr>
            <w:tcW w:w="664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Mutual Fund Trading Code</w:t>
            </w:r>
          </w:p>
        </w:tc>
        <w:tc>
          <w:tcPr>
            <w:tcW w:w="241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CAPM</w:t>
            </w:r>
          </w:p>
        </w:tc>
      </w:tr>
      <w:tr w:rsidR="00F73EED" w:rsidRPr="00F73EED" w:rsidTr="00F73EED">
        <w:trPr>
          <w:trHeight w:val="275"/>
          <w:jc w:val="center"/>
        </w:trPr>
        <w:tc>
          <w:tcPr>
            <w:tcW w:w="664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ATCSLGF</w:t>
            </w:r>
          </w:p>
        </w:tc>
        <w:tc>
          <w:tcPr>
            <w:tcW w:w="241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0.0839%</w:t>
            </w:r>
          </w:p>
        </w:tc>
      </w:tr>
      <w:tr w:rsidR="00F73EED" w:rsidRPr="00F73EED" w:rsidTr="00F73EED">
        <w:trPr>
          <w:trHeight w:val="275"/>
          <w:jc w:val="center"/>
        </w:trPr>
        <w:tc>
          <w:tcPr>
            <w:tcW w:w="664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DBH1STMF</w:t>
            </w:r>
          </w:p>
        </w:tc>
        <w:tc>
          <w:tcPr>
            <w:tcW w:w="241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0.0753%</w:t>
            </w:r>
          </w:p>
        </w:tc>
      </w:tr>
      <w:tr w:rsidR="00F73EED" w:rsidRPr="00F73EED" w:rsidTr="00F73EED">
        <w:trPr>
          <w:trHeight w:val="275"/>
          <w:jc w:val="center"/>
        </w:trPr>
        <w:tc>
          <w:tcPr>
            <w:tcW w:w="664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EXIM1STMF</w:t>
            </w:r>
          </w:p>
        </w:tc>
        <w:tc>
          <w:tcPr>
            <w:tcW w:w="241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0.0697%</w:t>
            </w:r>
          </w:p>
        </w:tc>
      </w:tr>
      <w:tr w:rsidR="00F73EED" w:rsidRPr="00F73EED" w:rsidTr="00F73EED">
        <w:trPr>
          <w:trHeight w:val="275"/>
          <w:jc w:val="center"/>
        </w:trPr>
        <w:tc>
          <w:tcPr>
            <w:tcW w:w="664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AIBL1STIMF</w:t>
            </w:r>
          </w:p>
        </w:tc>
        <w:tc>
          <w:tcPr>
            <w:tcW w:w="241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0.0634%</w:t>
            </w:r>
          </w:p>
        </w:tc>
      </w:tr>
      <w:tr w:rsidR="00F73EED" w:rsidRPr="00F73EED" w:rsidTr="00F73EED">
        <w:trPr>
          <w:trHeight w:val="275"/>
          <w:jc w:val="center"/>
        </w:trPr>
        <w:tc>
          <w:tcPr>
            <w:tcW w:w="664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EBL1STMF</w:t>
            </w:r>
          </w:p>
        </w:tc>
        <w:tc>
          <w:tcPr>
            <w:tcW w:w="241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0.0588%</w:t>
            </w:r>
          </w:p>
        </w:tc>
      </w:tr>
      <w:tr w:rsidR="00F73EED" w:rsidRPr="00F73EED" w:rsidTr="00F73EED">
        <w:trPr>
          <w:trHeight w:val="275"/>
          <w:jc w:val="center"/>
        </w:trPr>
        <w:tc>
          <w:tcPr>
            <w:tcW w:w="664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FBFIF</w:t>
            </w:r>
          </w:p>
        </w:tc>
        <w:tc>
          <w:tcPr>
            <w:tcW w:w="241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0.0539%</w:t>
            </w:r>
          </w:p>
        </w:tc>
      </w:tr>
      <w:tr w:rsidR="00F73EED" w:rsidRPr="00F73EED" w:rsidTr="00F73EED">
        <w:trPr>
          <w:trHeight w:val="275"/>
          <w:jc w:val="center"/>
        </w:trPr>
        <w:tc>
          <w:tcPr>
            <w:tcW w:w="664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EBLNRBMF</w:t>
            </w:r>
          </w:p>
        </w:tc>
        <w:tc>
          <w:tcPr>
            <w:tcW w:w="241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0.0462%</w:t>
            </w:r>
          </w:p>
        </w:tc>
      </w:tr>
      <w:tr w:rsidR="00F73EED" w:rsidRPr="00F73EED" w:rsidTr="00F73EED">
        <w:trPr>
          <w:trHeight w:val="275"/>
          <w:jc w:val="center"/>
        </w:trPr>
        <w:tc>
          <w:tcPr>
            <w:tcW w:w="664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1JANATAMF</w:t>
            </w:r>
          </w:p>
        </w:tc>
        <w:tc>
          <w:tcPr>
            <w:tcW w:w="241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0.0428%</w:t>
            </w:r>
          </w:p>
        </w:tc>
      </w:tr>
      <w:tr w:rsidR="00F73EED" w:rsidRPr="00F73EED" w:rsidTr="00F73EED">
        <w:trPr>
          <w:trHeight w:val="275"/>
          <w:jc w:val="center"/>
        </w:trPr>
        <w:tc>
          <w:tcPr>
            <w:tcW w:w="664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ABB1STMF</w:t>
            </w:r>
          </w:p>
        </w:tc>
        <w:tc>
          <w:tcPr>
            <w:tcW w:w="241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0.0388%</w:t>
            </w:r>
          </w:p>
        </w:tc>
      </w:tr>
      <w:tr w:rsidR="00F73EED" w:rsidRPr="00F73EED" w:rsidTr="00F73EED">
        <w:trPr>
          <w:trHeight w:val="275"/>
          <w:jc w:val="center"/>
        </w:trPr>
        <w:tc>
          <w:tcPr>
            <w:tcW w:w="664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1STPRIMFMF</w:t>
            </w:r>
          </w:p>
        </w:tc>
        <w:tc>
          <w:tcPr>
            <w:tcW w:w="2415" w:type="dxa"/>
            <w:noWrap/>
            <w:vAlign w:val="center"/>
            <w:hideMark/>
          </w:tcPr>
          <w:p w:rsidR="00F73EED" w:rsidRPr="00F73EED" w:rsidRDefault="00F73EED" w:rsidP="00F73EED">
            <w:pPr>
              <w:spacing w:line="360" w:lineRule="auto"/>
              <w:jc w:val="center"/>
              <w:rPr>
                <w:rFonts w:ascii="Times New Roman" w:hAnsi="Times New Roman"/>
                <w:color w:val="111111"/>
                <w:sz w:val="24"/>
                <w:szCs w:val="24"/>
                <w:shd w:val="clear" w:color="auto" w:fill="FFFFFF"/>
              </w:rPr>
            </w:pPr>
            <w:r w:rsidRPr="00F73EED">
              <w:rPr>
                <w:rFonts w:ascii="Times New Roman" w:hAnsi="Times New Roman"/>
                <w:color w:val="111111"/>
                <w:sz w:val="24"/>
                <w:szCs w:val="24"/>
                <w:shd w:val="clear" w:color="auto" w:fill="FFFFFF"/>
              </w:rPr>
              <w:t>0.0275%</w:t>
            </w:r>
          </w:p>
        </w:tc>
      </w:tr>
    </w:tbl>
    <w:p w:rsidR="00F73EED" w:rsidRPr="00F73EED" w:rsidRDefault="00F73EED" w:rsidP="00F73EED">
      <w:pPr>
        <w:spacing w:before="240" w:line="360" w:lineRule="auto"/>
        <w:jc w:val="both"/>
        <w:rPr>
          <w:rFonts w:ascii="Times New Roman" w:hAnsi="Times New Roman" w:cs="Times New Roman"/>
          <w:sz w:val="24"/>
          <w:szCs w:val="24"/>
        </w:rPr>
      </w:pPr>
      <w:r w:rsidRPr="00F73EED">
        <w:rPr>
          <w:rFonts w:ascii="Times New Roman" w:hAnsi="Times New Roman" w:cs="Times New Roman"/>
          <w:sz w:val="24"/>
          <w:szCs w:val="24"/>
        </w:rPr>
        <w:lastRenderedPageBreak/>
        <w:t>The table is interpreted as a graph in the following chart</w:t>
      </w:r>
    </w:p>
    <w:p w:rsidR="00F73EED" w:rsidRPr="00D8348E" w:rsidRDefault="00F73EED" w:rsidP="00F73EED">
      <w:pPr>
        <w:spacing w:before="240" w:line="360" w:lineRule="auto"/>
        <w:jc w:val="both"/>
        <w:rPr>
          <w:rFonts w:ascii="Times New Roman" w:hAnsi="Times New Roman" w:cs="Times New Roman"/>
          <w:sz w:val="24"/>
          <w:szCs w:val="24"/>
        </w:rPr>
      </w:pPr>
      <w:r w:rsidRPr="00F73EED">
        <w:rPr>
          <w:rFonts w:ascii="Times New Roman" w:hAnsi="Times New Roman" w:cs="Times New Roman"/>
          <w:noProof/>
          <w:sz w:val="24"/>
          <w:szCs w:val="24"/>
        </w:rPr>
        <w:drawing>
          <wp:inline distT="0" distB="0" distL="0" distR="0" wp14:anchorId="434552FA" wp14:editId="558D200E">
            <wp:extent cx="5731510" cy="2103120"/>
            <wp:effectExtent l="0" t="0" r="2540" b="114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F73EED">
        <w:rPr>
          <w:rFonts w:ascii="Times New Roman" w:hAnsi="Times New Roman" w:cs="Times New Roman"/>
          <w:color w:val="111111"/>
          <w:sz w:val="24"/>
          <w:szCs w:val="24"/>
          <w:shd w:val="clear" w:color="auto" w:fill="FFFFFF"/>
        </w:rPr>
        <w:t>Based on CAPM model ATCSLGF require highest level of expected return. It require an expected return of 0.0839%.The expected return of DBH1STMF is 0.0753%. 1STPRIMEMF has the lowest level of expected return, which is 0.0275%.</w:t>
      </w:r>
    </w:p>
    <w:p w:rsidR="00F73EED" w:rsidRPr="00E72E7D" w:rsidRDefault="00F73EED" w:rsidP="00E72E7D">
      <w:pPr>
        <w:pStyle w:val="Heading3"/>
        <w:spacing w:after="240"/>
        <w:rPr>
          <w:rFonts w:ascii="Times New Roman" w:hAnsi="Times New Roman" w:cs="Times New Roman"/>
          <w:b/>
          <w:color w:val="auto"/>
          <w:sz w:val="32"/>
          <w:szCs w:val="32"/>
        </w:rPr>
      </w:pPr>
      <w:bookmarkStart w:id="32" w:name="_Toc13070819"/>
      <w:r w:rsidRPr="00E72E7D">
        <w:rPr>
          <w:rFonts w:ascii="Times New Roman" w:hAnsi="Times New Roman" w:cs="Times New Roman"/>
          <w:b/>
          <w:color w:val="auto"/>
          <w:sz w:val="32"/>
          <w:szCs w:val="32"/>
        </w:rPr>
        <w:t>Performance Analysis Based on Return of Daily Closing Price</w:t>
      </w:r>
      <w:bookmarkEnd w:id="32"/>
    </w:p>
    <w:tbl>
      <w:tblPr>
        <w:tblStyle w:val="TableGrid22"/>
        <w:tblpPr w:leftFromText="180" w:rightFromText="180" w:vertAnchor="text" w:horzAnchor="margin" w:tblpY="2169"/>
        <w:tblW w:w="9054" w:type="dxa"/>
        <w:tblLook w:val="04A0" w:firstRow="1" w:lastRow="0" w:firstColumn="1" w:lastColumn="0" w:noHBand="0" w:noVBand="1"/>
      </w:tblPr>
      <w:tblGrid>
        <w:gridCol w:w="3293"/>
        <w:gridCol w:w="2283"/>
        <w:gridCol w:w="1658"/>
        <w:gridCol w:w="1820"/>
      </w:tblGrid>
      <w:tr w:rsidR="007B25EB" w:rsidRPr="00F73EED" w:rsidTr="007B25EB">
        <w:trPr>
          <w:trHeight w:val="295"/>
        </w:trPr>
        <w:tc>
          <w:tcPr>
            <w:tcW w:w="329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Mutual Fund Trading Code &amp; DSEX</w:t>
            </w:r>
          </w:p>
        </w:tc>
        <w:tc>
          <w:tcPr>
            <w:tcW w:w="228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Average  Return</w:t>
            </w:r>
          </w:p>
        </w:tc>
        <w:tc>
          <w:tcPr>
            <w:tcW w:w="1658"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Standard Deviation</w:t>
            </w:r>
          </w:p>
        </w:tc>
        <w:tc>
          <w:tcPr>
            <w:tcW w:w="1820"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Beta</w:t>
            </w:r>
          </w:p>
        </w:tc>
      </w:tr>
      <w:tr w:rsidR="007B25EB" w:rsidRPr="00F73EED" w:rsidTr="007B25EB">
        <w:trPr>
          <w:trHeight w:val="295"/>
        </w:trPr>
        <w:tc>
          <w:tcPr>
            <w:tcW w:w="329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ABB1STMF</w:t>
            </w:r>
          </w:p>
        </w:tc>
        <w:tc>
          <w:tcPr>
            <w:tcW w:w="228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-0.04%</w:t>
            </w:r>
          </w:p>
        </w:tc>
        <w:tc>
          <w:tcPr>
            <w:tcW w:w="1658"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1.76%</w:t>
            </w:r>
          </w:p>
        </w:tc>
        <w:tc>
          <w:tcPr>
            <w:tcW w:w="1820"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1.01</w:t>
            </w:r>
          </w:p>
        </w:tc>
      </w:tr>
      <w:tr w:rsidR="007B25EB" w:rsidRPr="00F73EED" w:rsidTr="007B25EB">
        <w:trPr>
          <w:trHeight w:val="295"/>
        </w:trPr>
        <w:tc>
          <w:tcPr>
            <w:tcW w:w="329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AIBL1STIMF</w:t>
            </w:r>
          </w:p>
        </w:tc>
        <w:tc>
          <w:tcPr>
            <w:tcW w:w="228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0.00%</w:t>
            </w:r>
          </w:p>
        </w:tc>
        <w:tc>
          <w:tcPr>
            <w:tcW w:w="1658"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1.60%</w:t>
            </w:r>
          </w:p>
        </w:tc>
        <w:tc>
          <w:tcPr>
            <w:tcW w:w="1820"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0.53</w:t>
            </w:r>
          </w:p>
        </w:tc>
      </w:tr>
      <w:tr w:rsidR="007B25EB" w:rsidRPr="00F73EED" w:rsidTr="007B25EB">
        <w:trPr>
          <w:trHeight w:val="295"/>
        </w:trPr>
        <w:tc>
          <w:tcPr>
            <w:tcW w:w="329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ATCSLGF</w:t>
            </w:r>
          </w:p>
        </w:tc>
        <w:tc>
          <w:tcPr>
            <w:tcW w:w="228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0.00%</w:t>
            </w:r>
          </w:p>
        </w:tc>
        <w:tc>
          <w:tcPr>
            <w:tcW w:w="1658"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1.41%</w:t>
            </w:r>
          </w:p>
        </w:tc>
        <w:tc>
          <w:tcPr>
            <w:tcW w:w="1820"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0.40</w:t>
            </w:r>
          </w:p>
        </w:tc>
      </w:tr>
      <w:tr w:rsidR="007B25EB" w:rsidRPr="00F73EED" w:rsidTr="007B25EB">
        <w:trPr>
          <w:trHeight w:val="295"/>
        </w:trPr>
        <w:tc>
          <w:tcPr>
            <w:tcW w:w="329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DBH1STMF</w:t>
            </w:r>
          </w:p>
        </w:tc>
        <w:tc>
          <w:tcPr>
            <w:tcW w:w="228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0.04%</w:t>
            </w:r>
          </w:p>
        </w:tc>
        <w:tc>
          <w:tcPr>
            <w:tcW w:w="1658"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1.61%</w:t>
            </w:r>
          </w:p>
        </w:tc>
        <w:tc>
          <w:tcPr>
            <w:tcW w:w="1820"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0.51</w:t>
            </w:r>
          </w:p>
        </w:tc>
      </w:tr>
      <w:tr w:rsidR="007B25EB" w:rsidRPr="00F73EED" w:rsidTr="007B25EB">
        <w:trPr>
          <w:trHeight w:val="295"/>
        </w:trPr>
        <w:tc>
          <w:tcPr>
            <w:tcW w:w="329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EBL1STMF</w:t>
            </w:r>
          </w:p>
        </w:tc>
        <w:tc>
          <w:tcPr>
            <w:tcW w:w="228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0.03%</w:t>
            </w:r>
          </w:p>
        </w:tc>
        <w:tc>
          <w:tcPr>
            <w:tcW w:w="1658"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2.33%</w:t>
            </w:r>
          </w:p>
        </w:tc>
        <w:tc>
          <w:tcPr>
            <w:tcW w:w="1820"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0.75</w:t>
            </w:r>
          </w:p>
        </w:tc>
      </w:tr>
      <w:tr w:rsidR="007B25EB" w:rsidRPr="00F73EED" w:rsidTr="007B25EB">
        <w:trPr>
          <w:trHeight w:val="295"/>
        </w:trPr>
        <w:tc>
          <w:tcPr>
            <w:tcW w:w="329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EBLNRBMF</w:t>
            </w:r>
          </w:p>
        </w:tc>
        <w:tc>
          <w:tcPr>
            <w:tcW w:w="228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-0.07%</w:t>
            </w:r>
          </w:p>
        </w:tc>
        <w:tc>
          <w:tcPr>
            <w:tcW w:w="1658"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2.09%</w:t>
            </w:r>
          </w:p>
        </w:tc>
        <w:tc>
          <w:tcPr>
            <w:tcW w:w="1820"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1.05</w:t>
            </w:r>
          </w:p>
        </w:tc>
      </w:tr>
      <w:tr w:rsidR="007B25EB" w:rsidRPr="00F73EED" w:rsidTr="007B25EB">
        <w:trPr>
          <w:trHeight w:val="295"/>
        </w:trPr>
        <w:tc>
          <w:tcPr>
            <w:tcW w:w="329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1JANATAMF</w:t>
            </w:r>
          </w:p>
        </w:tc>
        <w:tc>
          <w:tcPr>
            <w:tcW w:w="228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-0.04%</w:t>
            </w:r>
          </w:p>
        </w:tc>
        <w:tc>
          <w:tcPr>
            <w:tcW w:w="1658"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1.96%</w:t>
            </w:r>
          </w:p>
        </w:tc>
        <w:tc>
          <w:tcPr>
            <w:tcW w:w="1820"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1.01</w:t>
            </w:r>
          </w:p>
        </w:tc>
      </w:tr>
      <w:tr w:rsidR="007B25EB" w:rsidRPr="00F73EED" w:rsidTr="007B25EB">
        <w:trPr>
          <w:trHeight w:val="295"/>
        </w:trPr>
        <w:tc>
          <w:tcPr>
            <w:tcW w:w="329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1STPRIMFMF</w:t>
            </w:r>
          </w:p>
        </w:tc>
        <w:tc>
          <w:tcPr>
            <w:tcW w:w="228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-0.03%</w:t>
            </w:r>
          </w:p>
        </w:tc>
        <w:tc>
          <w:tcPr>
            <w:tcW w:w="1658"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2.22%</w:t>
            </w:r>
          </w:p>
        </w:tc>
        <w:tc>
          <w:tcPr>
            <w:tcW w:w="1820"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1.13</w:t>
            </w:r>
          </w:p>
        </w:tc>
      </w:tr>
      <w:tr w:rsidR="007B25EB" w:rsidRPr="00F73EED" w:rsidTr="007B25EB">
        <w:trPr>
          <w:trHeight w:val="295"/>
        </w:trPr>
        <w:tc>
          <w:tcPr>
            <w:tcW w:w="329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EXIM1STMF</w:t>
            </w:r>
          </w:p>
        </w:tc>
        <w:tc>
          <w:tcPr>
            <w:tcW w:w="228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-0.08%</w:t>
            </w:r>
          </w:p>
        </w:tc>
        <w:tc>
          <w:tcPr>
            <w:tcW w:w="1658"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1.90%</w:t>
            </w:r>
          </w:p>
        </w:tc>
        <w:tc>
          <w:tcPr>
            <w:tcW w:w="1820"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0.81</w:t>
            </w:r>
          </w:p>
        </w:tc>
      </w:tr>
      <w:tr w:rsidR="007B25EB" w:rsidRPr="00F73EED" w:rsidTr="007B25EB">
        <w:trPr>
          <w:trHeight w:val="295"/>
        </w:trPr>
        <w:tc>
          <w:tcPr>
            <w:tcW w:w="329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FBFIF</w:t>
            </w:r>
          </w:p>
        </w:tc>
        <w:tc>
          <w:tcPr>
            <w:tcW w:w="228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-0.05%</w:t>
            </w:r>
          </w:p>
        </w:tc>
        <w:tc>
          <w:tcPr>
            <w:tcW w:w="1658"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1.68%</w:t>
            </w:r>
          </w:p>
        </w:tc>
        <w:tc>
          <w:tcPr>
            <w:tcW w:w="1820"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0.92</w:t>
            </w:r>
          </w:p>
        </w:tc>
      </w:tr>
      <w:tr w:rsidR="007B25EB" w:rsidRPr="00F73EED" w:rsidTr="007B25EB">
        <w:trPr>
          <w:trHeight w:val="295"/>
        </w:trPr>
        <w:tc>
          <w:tcPr>
            <w:tcW w:w="329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DSEX</w:t>
            </w:r>
          </w:p>
        </w:tc>
        <w:tc>
          <w:tcPr>
            <w:tcW w:w="2283"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0.01373%</w:t>
            </w:r>
          </w:p>
        </w:tc>
        <w:tc>
          <w:tcPr>
            <w:tcW w:w="1658" w:type="dxa"/>
            <w:noWrap/>
            <w:vAlign w:val="center"/>
            <w:hideMark/>
          </w:tcPr>
          <w:p w:rsidR="007B25EB" w:rsidRPr="007B25EB" w:rsidRDefault="007B25EB" w:rsidP="007B25EB">
            <w:pPr>
              <w:spacing w:line="360" w:lineRule="auto"/>
              <w:jc w:val="center"/>
              <w:rPr>
                <w:rFonts w:ascii="Times New Roman" w:hAnsi="Times New Roman"/>
              </w:rPr>
            </w:pPr>
            <w:r w:rsidRPr="007B25EB">
              <w:rPr>
                <w:rFonts w:ascii="Times New Roman" w:hAnsi="Times New Roman"/>
              </w:rPr>
              <w:t>0.65%</w:t>
            </w:r>
          </w:p>
        </w:tc>
        <w:tc>
          <w:tcPr>
            <w:tcW w:w="1820" w:type="dxa"/>
            <w:noWrap/>
            <w:vAlign w:val="center"/>
            <w:hideMark/>
          </w:tcPr>
          <w:p w:rsidR="007B25EB" w:rsidRPr="007B25EB" w:rsidRDefault="007B25EB" w:rsidP="007B25EB">
            <w:pPr>
              <w:spacing w:line="360" w:lineRule="auto"/>
              <w:jc w:val="center"/>
              <w:rPr>
                <w:rFonts w:ascii="Times New Roman" w:hAnsi="Times New Roman"/>
              </w:rPr>
            </w:pPr>
          </w:p>
        </w:tc>
      </w:tr>
    </w:tbl>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As we had available data we included this part where we analyzed daily return on the closing price. All of the previous </w:t>
      </w:r>
      <w:proofErr w:type="gramStart"/>
      <w:r w:rsidRPr="00F73EED">
        <w:rPr>
          <w:rFonts w:ascii="Times New Roman" w:hAnsi="Times New Roman" w:cs="Times New Roman"/>
          <w:sz w:val="24"/>
          <w:szCs w:val="24"/>
        </w:rPr>
        <w:t>analysis in the previous section incorporate</w:t>
      </w:r>
      <w:proofErr w:type="gramEnd"/>
      <w:r w:rsidRPr="00F73EED">
        <w:rPr>
          <w:rFonts w:ascii="Times New Roman" w:hAnsi="Times New Roman" w:cs="Times New Roman"/>
          <w:sz w:val="24"/>
          <w:szCs w:val="24"/>
        </w:rPr>
        <w:t xml:space="preserve"> only closing day of the week but in this part we included all of the trading days. This section will provide us an idea about the performance of the fund in benchmark of daily return. </w:t>
      </w:r>
    </w:p>
    <w:p w:rsidR="00F73EED" w:rsidRPr="00F73EED" w:rsidRDefault="00F73EED" w:rsidP="00A13E4E">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lastRenderedPageBreak/>
        <w:t>Summary of average return, standard deviation and Beta considering daily closing price is given below.</w:t>
      </w:r>
    </w:p>
    <w:p w:rsidR="00F73EED" w:rsidRPr="00F73EED" w:rsidRDefault="00F73EED" w:rsidP="00F73EED">
      <w:pPr>
        <w:keepNext/>
        <w:keepLines/>
        <w:spacing w:before="40" w:after="240"/>
        <w:outlineLvl w:val="4"/>
        <w:rPr>
          <w:rFonts w:ascii="Times New Roman" w:eastAsiaTheme="majorEastAsia" w:hAnsi="Times New Roman" w:cs="Times New Roman"/>
          <w:b/>
          <w:sz w:val="24"/>
          <w:szCs w:val="24"/>
        </w:rPr>
      </w:pPr>
      <w:r w:rsidRPr="00F73EED">
        <w:rPr>
          <w:rFonts w:ascii="Times New Roman" w:eastAsiaTheme="majorEastAsia" w:hAnsi="Times New Roman" w:cs="Times New Roman"/>
          <w:b/>
          <w:sz w:val="24"/>
          <w:szCs w:val="24"/>
        </w:rPr>
        <w:t>Average Return on Daily Closing Price</w:t>
      </w:r>
    </w:p>
    <w:p w:rsidR="00F73EED" w:rsidRDefault="0070331E" w:rsidP="00F73EED">
      <w:pPr>
        <w:spacing w:line="360" w:lineRule="auto"/>
        <w:jc w:val="both"/>
        <w:rPr>
          <w:rFonts w:ascii="Times New Roman" w:hAnsi="Times New Roman" w:cs="Times New Roman"/>
          <w:sz w:val="24"/>
          <w:szCs w:val="24"/>
        </w:rPr>
      </w:pPr>
      <w:r w:rsidRPr="00F73EED">
        <w:rPr>
          <w:noProof/>
        </w:rPr>
        <w:drawing>
          <wp:anchor distT="0" distB="0" distL="114300" distR="114300" simplePos="0" relativeHeight="251793407" behindDoc="0" locked="0" layoutInCell="1" allowOverlap="1" wp14:anchorId="0E9F768D" wp14:editId="1693B699">
            <wp:simplePos x="0" y="0"/>
            <wp:positionH relativeFrom="margin">
              <wp:align>right</wp:align>
            </wp:positionH>
            <wp:positionV relativeFrom="margin">
              <wp:posOffset>1932940</wp:posOffset>
            </wp:positionV>
            <wp:extent cx="5731510" cy="1940560"/>
            <wp:effectExtent l="0" t="0" r="2540" b="2540"/>
            <wp:wrapSquare wrapText="bothSides"/>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V relativeFrom="margin">
              <wp14:pctHeight>0</wp14:pctHeight>
            </wp14:sizeRelV>
          </wp:anchor>
        </w:drawing>
      </w:r>
      <w:r w:rsidR="00F73EED" w:rsidRPr="00F73EED">
        <w:rPr>
          <w:rFonts w:ascii="Times New Roman" w:hAnsi="Times New Roman" w:cs="Times New Roman"/>
          <w:sz w:val="24"/>
          <w:szCs w:val="24"/>
        </w:rPr>
        <w:t xml:space="preserve">The process of calculating return is same as always. In this section, we subtract yesterday closing price from the closing price of today and divided it by the yesterday closing price. The result was expressed in percentage. Thus, we calculated return of each day. Last of all, we calculated average of return of all trading days. The summary of average daily return considering price is already mentioned on the table above. The following graph was incorporated   for visual presentation.  </w:t>
      </w:r>
    </w:p>
    <w:p w:rsidR="0070331E" w:rsidRDefault="00F73EED" w:rsidP="0070331E">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The chart above illustrate on average DBH1STMF has the highest return 0.04%. Other than that only EBL1STMF were able to earn positive return, it gained 0.04%. It should be denoted that both of the earned return above risk free rate and DSEX. However, no other mutual fund were able to gain positive figure. EXIM1STMF is the worst performer </w:t>
      </w:r>
      <w:r w:rsidR="0070331E">
        <w:rPr>
          <w:rFonts w:ascii="Times New Roman" w:hAnsi="Times New Roman" w:cs="Times New Roman"/>
          <w:sz w:val="24"/>
          <w:szCs w:val="24"/>
        </w:rPr>
        <w:t xml:space="preserve">considering its -0.08% return. </w:t>
      </w:r>
    </w:p>
    <w:p w:rsidR="00F73EED" w:rsidRPr="0070331E" w:rsidRDefault="00F73EED" w:rsidP="0070331E">
      <w:pPr>
        <w:spacing w:line="360" w:lineRule="auto"/>
        <w:jc w:val="both"/>
        <w:rPr>
          <w:rFonts w:ascii="Times New Roman" w:hAnsi="Times New Roman" w:cs="Times New Roman"/>
          <w:sz w:val="24"/>
          <w:szCs w:val="24"/>
        </w:rPr>
      </w:pPr>
      <w:r w:rsidRPr="00F73EED">
        <w:rPr>
          <w:rFonts w:ascii="Times New Roman" w:eastAsiaTheme="majorEastAsia" w:hAnsi="Times New Roman" w:cs="Times New Roman"/>
          <w:b/>
          <w:sz w:val="24"/>
          <w:szCs w:val="24"/>
        </w:rPr>
        <w:t>Standard Deviation of Return on Daily Closing Price</w:t>
      </w:r>
    </w:p>
    <w:p w:rsidR="00F73EED" w:rsidRPr="00F73EED" w:rsidRDefault="00F73EED" w:rsidP="00A13E4E">
      <w:pPr>
        <w:spacing w:after="0"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The standard deviation in this was calculated from daily return. The process of calculating the daily return is described in the previous part. The </w:t>
      </w:r>
      <w:proofErr w:type="gramStart"/>
      <w:r w:rsidRPr="00F73EED">
        <w:rPr>
          <w:rFonts w:ascii="Times New Roman" w:hAnsi="Times New Roman" w:cs="Times New Roman"/>
          <w:sz w:val="24"/>
          <w:szCs w:val="24"/>
        </w:rPr>
        <w:t>results of the deviation has</w:t>
      </w:r>
      <w:proofErr w:type="gramEnd"/>
      <w:r w:rsidRPr="00F73EED">
        <w:rPr>
          <w:rFonts w:ascii="Times New Roman" w:hAnsi="Times New Roman" w:cs="Times New Roman"/>
          <w:sz w:val="24"/>
          <w:szCs w:val="24"/>
        </w:rPr>
        <w:t xml:space="preserve"> already been mentioned on the table above. The chart below was included for the purpose of ease of</w:t>
      </w:r>
      <w:r w:rsidR="007F2B6E">
        <w:rPr>
          <w:rFonts w:ascii="Times New Roman" w:hAnsi="Times New Roman" w:cs="Times New Roman"/>
          <w:sz w:val="24"/>
          <w:szCs w:val="24"/>
        </w:rPr>
        <w:t xml:space="preserve"> </w:t>
      </w:r>
      <w:r w:rsidRPr="00F73EED">
        <w:rPr>
          <w:rFonts w:ascii="Times New Roman" w:hAnsi="Times New Roman" w:cs="Times New Roman"/>
          <w:sz w:val="24"/>
          <w:szCs w:val="24"/>
        </w:rPr>
        <w:lastRenderedPageBreak/>
        <w:t xml:space="preserve">visualization. </w:t>
      </w:r>
      <w:r w:rsidRPr="00F73EED">
        <w:rPr>
          <w:noProof/>
        </w:rPr>
        <w:drawing>
          <wp:inline distT="0" distB="0" distL="0" distR="0" wp14:anchorId="22138DC2" wp14:editId="633208B1">
            <wp:extent cx="5731510" cy="2103120"/>
            <wp:effectExtent l="0" t="0" r="2540" b="1143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7411F" w:rsidRDefault="00F73EED" w:rsidP="0027411F">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According to the graph, no mutual fund were able to exhibit risk below DSEX. ATCSLGF has the lowest standard deviation, which is 1.41%, and EBL1STMF has the highest variance, which is 2.33%. AIBL1STMF, DBH1STMF and FBFIF had a very close standard deviation ranging from 1.60% up to 1.68%. ABB1STMF, EXIM1STMF and 1JANATAMF had deviation below 2%. However, EBLNRBMF and 1STPRIMFMF had a standard deviation of 2.09% and 2.22% consecutively. </w:t>
      </w:r>
    </w:p>
    <w:p w:rsidR="00F73EED" w:rsidRPr="0027411F" w:rsidRDefault="00F73EED" w:rsidP="0027411F">
      <w:pPr>
        <w:spacing w:line="360" w:lineRule="auto"/>
        <w:jc w:val="both"/>
        <w:rPr>
          <w:rFonts w:ascii="Times New Roman" w:hAnsi="Times New Roman" w:cs="Times New Roman"/>
          <w:sz w:val="24"/>
          <w:szCs w:val="24"/>
        </w:rPr>
      </w:pPr>
      <w:r w:rsidRPr="00F73EED">
        <w:rPr>
          <w:rFonts w:ascii="Times New Roman" w:hAnsi="Times New Roman" w:cs="Times New Roman"/>
          <w:b/>
          <w:sz w:val="24"/>
          <w:szCs w:val="24"/>
        </w:rPr>
        <w:t>Beta of Mutual Fund Based on Return of Daily Closing Price</w:t>
      </w:r>
    </w:p>
    <w:p w:rsidR="00F73EED" w:rsidRPr="00F73EED" w:rsidRDefault="003E0155" w:rsidP="007B25EB">
      <w:pPr>
        <w:spacing w:before="240" w:line="360" w:lineRule="auto"/>
        <w:contextualSpacing/>
        <w:jc w:val="both"/>
        <w:rPr>
          <w:rFonts w:ascii="Times New Roman" w:hAnsi="Times New Roman" w:cs="Times New Roman"/>
          <w:sz w:val="24"/>
          <w:szCs w:val="24"/>
        </w:rPr>
      </w:pPr>
      <w:r w:rsidRPr="00F73EED">
        <w:rPr>
          <w:noProof/>
        </w:rPr>
        <w:drawing>
          <wp:anchor distT="0" distB="0" distL="114300" distR="114300" simplePos="0" relativeHeight="251795455" behindDoc="0" locked="0" layoutInCell="1" allowOverlap="1" wp14:anchorId="4D412B7A" wp14:editId="582DB9F7">
            <wp:simplePos x="0" y="0"/>
            <wp:positionH relativeFrom="margin">
              <wp:align>right</wp:align>
            </wp:positionH>
            <wp:positionV relativeFrom="margin">
              <wp:posOffset>2888615</wp:posOffset>
            </wp:positionV>
            <wp:extent cx="5734050" cy="2103120"/>
            <wp:effectExtent l="0" t="0" r="0" b="1143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F73EED" w:rsidRPr="00F73EED">
        <w:rPr>
          <w:rFonts w:ascii="Times New Roman" w:hAnsi="Times New Roman" w:cs="Times New Roman"/>
          <w:sz w:val="24"/>
          <w:szCs w:val="24"/>
        </w:rPr>
        <w:t>In this part, Beta was calculated using daily returns of mutual funds closing share price and the daily return of DSEX broad index. A graph showing result of Beta analysis involving daily closing price is given below.</w:t>
      </w:r>
      <w:r w:rsidR="007B25EB">
        <w:rPr>
          <w:rFonts w:ascii="Times New Roman" w:hAnsi="Times New Roman" w:cs="Times New Roman"/>
          <w:sz w:val="24"/>
          <w:szCs w:val="24"/>
        </w:rPr>
        <w:t xml:space="preserve"> </w:t>
      </w:r>
      <w:r w:rsidR="00F73EED" w:rsidRPr="00F73EED">
        <w:rPr>
          <w:rFonts w:ascii="Times New Roman" w:hAnsi="Times New Roman" w:cs="Times New Roman"/>
          <w:sz w:val="24"/>
          <w:szCs w:val="24"/>
        </w:rPr>
        <w:t>The chart exhibit ATCSLGF has a Beta of 0.40, which is lowest among all the mutual fund. DBH1STMF and AIBL1STMF had also significantly lower Beta, which is 0.51 and 0.53 consecutively. The Beta of EBL1STMF, EXIM1STMF and FBFIF had consecutively Beta of 0.75, 0.81 and 0.92. Rest of the mutual fund had Beta above 1. Among the 1STPRIMFMF had the highest Beta that is 1.13.</w:t>
      </w:r>
    </w:p>
    <w:p w:rsidR="00F73EED" w:rsidRPr="00F73EED" w:rsidRDefault="00F73EED" w:rsidP="00F73EED">
      <w:pPr>
        <w:keepNext/>
        <w:keepLines/>
        <w:spacing w:before="40" w:after="0" w:line="360" w:lineRule="auto"/>
        <w:jc w:val="both"/>
        <w:outlineLvl w:val="4"/>
        <w:rPr>
          <w:rFonts w:ascii="Times New Roman" w:eastAsiaTheme="majorEastAsia" w:hAnsi="Times New Roman" w:cs="Times New Roman"/>
          <w:b/>
          <w:sz w:val="24"/>
          <w:szCs w:val="24"/>
        </w:rPr>
      </w:pPr>
      <w:r w:rsidRPr="00F73EED">
        <w:rPr>
          <w:rFonts w:ascii="Times New Roman" w:eastAsiaTheme="majorEastAsia" w:hAnsi="Times New Roman" w:cs="Times New Roman"/>
          <w:b/>
          <w:sz w:val="24"/>
          <w:szCs w:val="24"/>
        </w:rPr>
        <w:lastRenderedPageBreak/>
        <w:t>Sharpe Ratio Based on Return of Daily Closing Price</w:t>
      </w:r>
    </w:p>
    <w:p w:rsidR="003E0155"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We calculated Sharpe ratio using average daily return and standard deviation of daily return. It is important to mention that we also calculated daily interest rate on T-bill. The results of the Sharpe ratio is</w:t>
      </w:r>
      <w:r w:rsidR="007B25EB">
        <w:rPr>
          <w:rFonts w:ascii="Times New Roman" w:hAnsi="Times New Roman" w:cs="Times New Roman"/>
          <w:sz w:val="24"/>
          <w:szCs w:val="24"/>
        </w:rPr>
        <w:t xml:space="preserve"> illustrated in the table below</w:t>
      </w:r>
    </w:p>
    <w:tbl>
      <w:tblPr>
        <w:tblStyle w:val="TableGrid112"/>
        <w:tblW w:w="9061" w:type="dxa"/>
        <w:tblLook w:val="04A0" w:firstRow="1" w:lastRow="0" w:firstColumn="1" w:lastColumn="0" w:noHBand="0" w:noVBand="1"/>
      </w:tblPr>
      <w:tblGrid>
        <w:gridCol w:w="6860"/>
        <w:gridCol w:w="2382"/>
      </w:tblGrid>
      <w:tr w:rsidR="00F73EED" w:rsidRPr="00F73EED" w:rsidTr="00F73EED">
        <w:trPr>
          <w:trHeight w:val="255"/>
        </w:trPr>
        <w:tc>
          <w:tcPr>
            <w:tcW w:w="5892"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Mutual Fund Trading Code</w:t>
            </w:r>
          </w:p>
        </w:tc>
        <w:tc>
          <w:tcPr>
            <w:tcW w:w="3169"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Sharpe Ratio</w:t>
            </w:r>
          </w:p>
        </w:tc>
      </w:tr>
      <w:tr w:rsidR="00F73EED" w:rsidRPr="00F73EED" w:rsidTr="00F73EED">
        <w:trPr>
          <w:trHeight w:val="255"/>
        </w:trPr>
        <w:tc>
          <w:tcPr>
            <w:tcW w:w="5892"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DBH1STMF</w:t>
            </w:r>
          </w:p>
        </w:tc>
        <w:tc>
          <w:tcPr>
            <w:tcW w:w="3169"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1.30%</w:t>
            </w:r>
          </w:p>
        </w:tc>
      </w:tr>
      <w:tr w:rsidR="00F73EED" w:rsidRPr="00F73EED" w:rsidTr="00F73EED">
        <w:trPr>
          <w:trHeight w:val="255"/>
        </w:trPr>
        <w:tc>
          <w:tcPr>
            <w:tcW w:w="5892"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EBL1STMF</w:t>
            </w:r>
          </w:p>
        </w:tc>
        <w:tc>
          <w:tcPr>
            <w:tcW w:w="3169"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0.76%</w:t>
            </w:r>
          </w:p>
        </w:tc>
      </w:tr>
      <w:tr w:rsidR="00F73EED" w:rsidRPr="00F73EED" w:rsidTr="00F73EED">
        <w:trPr>
          <w:trHeight w:val="255"/>
        </w:trPr>
        <w:tc>
          <w:tcPr>
            <w:tcW w:w="5892"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AIBL1STIMF</w:t>
            </w:r>
          </w:p>
        </w:tc>
        <w:tc>
          <w:tcPr>
            <w:tcW w:w="3169"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-0.99%</w:t>
            </w:r>
          </w:p>
        </w:tc>
      </w:tr>
      <w:tr w:rsidR="00F73EED" w:rsidRPr="00F73EED" w:rsidTr="00F73EED">
        <w:trPr>
          <w:trHeight w:val="255"/>
        </w:trPr>
        <w:tc>
          <w:tcPr>
            <w:tcW w:w="5892"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ATCSLGF</w:t>
            </w:r>
          </w:p>
        </w:tc>
        <w:tc>
          <w:tcPr>
            <w:tcW w:w="3169"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-1.36%</w:t>
            </w:r>
          </w:p>
        </w:tc>
      </w:tr>
      <w:tr w:rsidR="00F73EED" w:rsidRPr="00F73EED" w:rsidTr="00F73EED">
        <w:trPr>
          <w:trHeight w:val="255"/>
        </w:trPr>
        <w:tc>
          <w:tcPr>
            <w:tcW w:w="5892" w:type="dxa"/>
            <w:noWrap/>
            <w:vAlign w:val="center"/>
            <w:hideMark/>
          </w:tcPr>
          <w:p w:rsidR="00F73EED" w:rsidRPr="007B25EB" w:rsidRDefault="007B25EB" w:rsidP="00F73EED">
            <w:pPr>
              <w:spacing w:line="360" w:lineRule="auto"/>
              <w:jc w:val="center"/>
              <w:rPr>
                <w:rFonts w:ascii="Times New Roman" w:hAnsi="Times New Roman"/>
              </w:rPr>
            </w:pPr>
            <w:bookmarkStart w:id="33" w:name="_GoBack"/>
            <w:r w:rsidRPr="007B25EB">
              <w:rPr>
                <w:rFonts w:ascii="Times New Roman" w:hAnsi="Times New Roman" w:cs="Times New Roman"/>
                <w:noProof/>
              </w:rPr>
              <w:drawing>
                <wp:anchor distT="0" distB="0" distL="114300" distR="114300" simplePos="0" relativeHeight="251797503" behindDoc="0" locked="0" layoutInCell="1" allowOverlap="1" wp14:anchorId="13E3984A" wp14:editId="1D561518">
                  <wp:simplePos x="0" y="0"/>
                  <wp:positionH relativeFrom="margin">
                    <wp:posOffset>-64135</wp:posOffset>
                  </wp:positionH>
                  <wp:positionV relativeFrom="margin">
                    <wp:posOffset>217805</wp:posOffset>
                  </wp:positionV>
                  <wp:extent cx="5731510" cy="2103120"/>
                  <wp:effectExtent l="0" t="0" r="21590" b="11430"/>
                  <wp:wrapSquare wrapText="bothSides"/>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bookmarkEnd w:id="33"/>
            <w:r w:rsidR="00F73EED" w:rsidRPr="007B25EB">
              <w:rPr>
                <w:rFonts w:ascii="Times New Roman" w:hAnsi="Times New Roman"/>
              </w:rPr>
              <w:t>1STPRIMFMF</w:t>
            </w:r>
          </w:p>
        </w:tc>
        <w:tc>
          <w:tcPr>
            <w:tcW w:w="3169"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-1.96%</w:t>
            </w:r>
          </w:p>
        </w:tc>
      </w:tr>
      <w:tr w:rsidR="00F73EED" w:rsidRPr="00F73EED" w:rsidTr="00F73EED">
        <w:trPr>
          <w:trHeight w:val="255"/>
        </w:trPr>
        <w:tc>
          <w:tcPr>
            <w:tcW w:w="5892"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1JANATAMF</w:t>
            </w:r>
          </w:p>
        </w:tc>
        <w:tc>
          <w:tcPr>
            <w:tcW w:w="3169"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-2.71%</w:t>
            </w:r>
          </w:p>
        </w:tc>
      </w:tr>
      <w:tr w:rsidR="00F73EED" w:rsidRPr="00F73EED" w:rsidTr="00F73EED">
        <w:trPr>
          <w:trHeight w:val="255"/>
        </w:trPr>
        <w:tc>
          <w:tcPr>
            <w:tcW w:w="5892"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ABB1STMF</w:t>
            </w:r>
          </w:p>
        </w:tc>
        <w:tc>
          <w:tcPr>
            <w:tcW w:w="3169"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-2.97%</w:t>
            </w:r>
          </w:p>
        </w:tc>
      </w:tr>
      <w:tr w:rsidR="00F73EED" w:rsidRPr="00F73EED" w:rsidTr="00F73EED">
        <w:trPr>
          <w:trHeight w:val="255"/>
        </w:trPr>
        <w:tc>
          <w:tcPr>
            <w:tcW w:w="5892"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EBLNRBMF</w:t>
            </w:r>
          </w:p>
        </w:tc>
        <w:tc>
          <w:tcPr>
            <w:tcW w:w="3169"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-3.96%</w:t>
            </w:r>
          </w:p>
        </w:tc>
      </w:tr>
      <w:tr w:rsidR="00F73EED" w:rsidRPr="00F73EED" w:rsidTr="00F73EED">
        <w:trPr>
          <w:trHeight w:val="255"/>
        </w:trPr>
        <w:tc>
          <w:tcPr>
            <w:tcW w:w="5892"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FBFIF</w:t>
            </w:r>
          </w:p>
        </w:tc>
        <w:tc>
          <w:tcPr>
            <w:tcW w:w="3169"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-4.14%</w:t>
            </w:r>
          </w:p>
        </w:tc>
      </w:tr>
      <w:tr w:rsidR="00F73EED" w:rsidRPr="00F73EED" w:rsidTr="00F73EED">
        <w:trPr>
          <w:trHeight w:val="255"/>
        </w:trPr>
        <w:tc>
          <w:tcPr>
            <w:tcW w:w="5892"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EXIM1STMF</w:t>
            </w:r>
          </w:p>
        </w:tc>
        <w:tc>
          <w:tcPr>
            <w:tcW w:w="3169" w:type="dxa"/>
            <w:noWrap/>
            <w:vAlign w:val="center"/>
            <w:hideMark/>
          </w:tcPr>
          <w:p w:rsidR="00F73EED" w:rsidRPr="007B25EB" w:rsidRDefault="00F73EED" w:rsidP="00F73EED">
            <w:pPr>
              <w:spacing w:line="360" w:lineRule="auto"/>
              <w:jc w:val="center"/>
              <w:rPr>
                <w:rFonts w:ascii="Times New Roman" w:hAnsi="Times New Roman"/>
              </w:rPr>
            </w:pPr>
            <w:r w:rsidRPr="007B25EB">
              <w:rPr>
                <w:rFonts w:ascii="Times New Roman" w:hAnsi="Times New Roman"/>
              </w:rPr>
              <w:t>-4.75%</w:t>
            </w:r>
          </w:p>
        </w:tc>
      </w:tr>
    </w:tbl>
    <w:p w:rsidR="00F73EED" w:rsidRDefault="00F73EED" w:rsidP="00F73EED">
      <w:pPr>
        <w:spacing w:before="240" w:line="360" w:lineRule="auto"/>
        <w:jc w:val="both"/>
        <w:rPr>
          <w:rFonts w:ascii="Times New Roman" w:hAnsi="Times New Roman" w:cs="Times New Roman"/>
          <w:sz w:val="24"/>
          <w:szCs w:val="24"/>
        </w:rPr>
      </w:pPr>
      <w:r w:rsidRPr="00F73EED">
        <w:rPr>
          <w:rFonts w:ascii="Times New Roman" w:hAnsi="Times New Roman" w:cs="Times New Roman"/>
          <w:sz w:val="24"/>
          <w:szCs w:val="24"/>
        </w:rPr>
        <w:t>A graphical representation of the table is given below.</w:t>
      </w:r>
    </w:p>
    <w:p w:rsidR="00F73EED" w:rsidRPr="00F73EED" w:rsidRDefault="00F73EED" w:rsidP="00F73EED">
      <w:pPr>
        <w:spacing w:before="240"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The chart represent that DBH1STMF and EBL1STMF provide the best return in consideration of risk expressed by standard deviation. DBH1STMF have a Sharpe Ratio of 1.30%, which is significantly high comparing to other mutual fund and its close competitor EBL1STMF. EBL1STMF has a Sharpe ratio of 0.76%. None of the mutual fund except DBH1STMF and EBL1STMF produced positive Sharpe ratio, which means other mutual funds do not compensate investor on expected level in exchange of afforded risk. Among all mutual fund EXIM1STMF, has the lowest return and highest negative return against the total risk. </w:t>
      </w:r>
    </w:p>
    <w:p w:rsidR="00F73EED" w:rsidRPr="00F73EED" w:rsidRDefault="00F73EED" w:rsidP="00F73EED">
      <w:pPr>
        <w:keepNext/>
        <w:keepLines/>
        <w:spacing w:before="40" w:after="0"/>
        <w:outlineLvl w:val="4"/>
        <w:rPr>
          <w:rFonts w:ascii="Times New Roman" w:eastAsia="Times New Roman" w:hAnsi="Times New Roman" w:cs="Times New Roman"/>
          <w:b/>
          <w:sz w:val="24"/>
          <w:szCs w:val="24"/>
          <w:shd w:val="clear" w:color="auto" w:fill="FFFFFF"/>
        </w:rPr>
      </w:pPr>
      <w:proofErr w:type="spellStart"/>
      <w:r w:rsidRPr="00F73EED">
        <w:rPr>
          <w:rFonts w:ascii="Times New Roman" w:eastAsia="Times New Roman" w:hAnsi="Times New Roman" w:cs="Times New Roman"/>
          <w:b/>
          <w:sz w:val="24"/>
          <w:szCs w:val="24"/>
          <w:shd w:val="clear" w:color="auto" w:fill="FFFFFF"/>
        </w:rPr>
        <w:lastRenderedPageBreak/>
        <w:t>Treynor</w:t>
      </w:r>
      <w:proofErr w:type="spellEnd"/>
      <w:r w:rsidRPr="00F73EED">
        <w:rPr>
          <w:rFonts w:ascii="Times New Roman" w:eastAsia="Times New Roman" w:hAnsi="Times New Roman" w:cs="Times New Roman"/>
          <w:b/>
          <w:sz w:val="24"/>
          <w:szCs w:val="24"/>
          <w:shd w:val="clear" w:color="auto" w:fill="FFFFFF"/>
        </w:rPr>
        <w:t xml:space="preserve"> Ratio Based on Return of Daily Closing Price</w:t>
      </w:r>
    </w:p>
    <w:p w:rsidR="00F73EED" w:rsidRPr="00F73EED" w:rsidRDefault="00F73EED" w:rsidP="00F73EED">
      <w:pPr>
        <w:spacing w:before="240"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Using the average return based on daily price, daily earning on T-bill and Beta calculated from daily return of mutual funds and DSEX, we calculated </w:t>
      </w:r>
      <w:proofErr w:type="spellStart"/>
      <w:r w:rsidRPr="00F73EED">
        <w:rPr>
          <w:rFonts w:ascii="Times New Roman" w:hAnsi="Times New Roman" w:cs="Times New Roman"/>
          <w:sz w:val="24"/>
          <w:szCs w:val="24"/>
        </w:rPr>
        <w:t>Treynor</w:t>
      </w:r>
      <w:proofErr w:type="spellEnd"/>
      <w:r w:rsidRPr="00F73EED">
        <w:rPr>
          <w:rFonts w:ascii="Times New Roman" w:hAnsi="Times New Roman" w:cs="Times New Roman"/>
          <w:sz w:val="24"/>
          <w:szCs w:val="24"/>
        </w:rPr>
        <w:t xml:space="preserve"> ratio in this segment, which is summarized below.</w:t>
      </w:r>
    </w:p>
    <w:tbl>
      <w:tblPr>
        <w:tblStyle w:val="TableGrid22"/>
        <w:tblpPr w:leftFromText="180" w:rightFromText="180" w:vertAnchor="text" w:horzAnchor="margin" w:tblpY="-24"/>
        <w:tblW w:w="9043" w:type="dxa"/>
        <w:tblLook w:val="04A0" w:firstRow="1" w:lastRow="0" w:firstColumn="1" w:lastColumn="0" w:noHBand="0" w:noVBand="1"/>
      </w:tblPr>
      <w:tblGrid>
        <w:gridCol w:w="6523"/>
        <w:gridCol w:w="2520"/>
      </w:tblGrid>
      <w:tr w:rsidR="00F73EED" w:rsidRPr="00F73EED" w:rsidTr="00F73EED">
        <w:trPr>
          <w:trHeight w:val="277"/>
        </w:trPr>
        <w:tc>
          <w:tcPr>
            <w:tcW w:w="652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Mutual Fund Trading Code</w:t>
            </w:r>
          </w:p>
        </w:tc>
        <w:tc>
          <w:tcPr>
            <w:tcW w:w="2520" w:type="dxa"/>
            <w:noWrap/>
            <w:vAlign w:val="center"/>
            <w:hideMark/>
          </w:tcPr>
          <w:p w:rsidR="00F73EED" w:rsidRPr="00F73EED" w:rsidRDefault="00F73EED" w:rsidP="00F73EED">
            <w:pPr>
              <w:spacing w:line="360" w:lineRule="auto"/>
              <w:jc w:val="center"/>
              <w:rPr>
                <w:rFonts w:ascii="Times New Roman" w:hAnsi="Times New Roman"/>
                <w:sz w:val="24"/>
                <w:szCs w:val="24"/>
              </w:rPr>
            </w:pPr>
            <w:proofErr w:type="spellStart"/>
            <w:r w:rsidRPr="00F73EED">
              <w:rPr>
                <w:rFonts w:ascii="Times New Roman" w:hAnsi="Times New Roman"/>
                <w:sz w:val="24"/>
                <w:szCs w:val="24"/>
              </w:rPr>
              <w:t>Treynor</w:t>
            </w:r>
            <w:proofErr w:type="spellEnd"/>
            <w:r w:rsidRPr="00F73EED">
              <w:rPr>
                <w:rFonts w:ascii="Times New Roman" w:hAnsi="Times New Roman"/>
                <w:sz w:val="24"/>
                <w:szCs w:val="24"/>
              </w:rPr>
              <w:t xml:space="preserve"> Ratio</w:t>
            </w:r>
          </w:p>
        </w:tc>
      </w:tr>
      <w:tr w:rsidR="00F73EED" w:rsidRPr="00F73EED" w:rsidTr="00F73EED">
        <w:trPr>
          <w:trHeight w:val="277"/>
        </w:trPr>
        <w:tc>
          <w:tcPr>
            <w:tcW w:w="652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DBH1STMF</w:t>
            </w:r>
          </w:p>
        </w:tc>
        <w:tc>
          <w:tcPr>
            <w:tcW w:w="2520"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0.041%</w:t>
            </w:r>
          </w:p>
        </w:tc>
      </w:tr>
      <w:tr w:rsidR="00F73EED" w:rsidRPr="00F73EED" w:rsidTr="00F73EED">
        <w:trPr>
          <w:trHeight w:val="277"/>
        </w:trPr>
        <w:tc>
          <w:tcPr>
            <w:tcW w:w="652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EBL1STMF</w:t>
            </w:r>
          </w:p>
        </w:tc>
        <w:tc>
          <w:tcPr>
            <w:tcW w:w="2520"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0.024%</w:t>
            </w:r>
          </w:p>
        </w:tc>
      </w:tr>
      <w:tr w:rsidR="00F73EED" w:rsidRPr="00F73EED" w:rsidTr="00F73EED">
        <w:trPr>
          <w:trHeight w:val="277"/>
        </w:trPr>
        <w:tc>
          <w:tcPr>
            <w:tcW w:w="652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AIBL1STIMF</w:t>
            </w:r>
          </w:p>
        </w:tc>
        <w:tc>
          <w:tcPr>
            <w:tcW w:w="2520"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-0.030%</w:t>
            </w:r>
          </w:p>
        </w:tc>
      </w:tr>
      <w:tr w:rsidR="00F73EED" w:rsidRPr="00F73EED" w:rsidTr="00F73EED">
        <w:trPr>
          <w:trHeight w:val="277"/>
        </w:trPr>
        <w:tc>
          <w:tcPr>
            <w:tcW w:w="652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1STPRIMFMF</w:t>
            </w:r>
          </w:p>
        </w:tc>
        <w:tc>
          <w:tcPr>
            <w:tcW w:w="2520"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-0.038%</w:t>
            </w:r>
          </w:p>
        </w:tc>
      </w:tr>
      <w:tr w:rsidR="00F73EED" w:rsidRPr="00F73EED" w:rsidTr="00F73EED">
        <w:trPr>
          <w:trHeight w:val="277"/>
        </w:trPr>
        <w:tc>
          <w:tcPr>
            <w:tcW w:w="652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ATCSLGF</w:t>
            </w:r>
          </w:p>
        </w:tc>
        <w:tc>
          <w:tcPr>
            <w:tcW w:w="2520"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-0.048%</w:t>
            </w:r>
          </w:p>
        </w:tc>
      </w:tr>
      <w:tr w:rsidR="00F73EED" w:rsidRPr="00F73EED" w:rsidTr="00F73EED">
        <w:trPr>
          <w:trHeight w:val="277"/>
        </w:trPr>
        <w:tc>
          <w:tcPr>
            <w:tcW w:w="652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ABB1STMF</w:t>
            </w:r>
          </w:p>
        </w:tc>
        <w:tc>
          <w:tcPr>
            <w:tcW w:w="2520"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-0.052%</w:t>
            </w:r>
          </w:p>
        </w:tc>
      </w:tr>
      <w:tr w:rsidR="00F73EED" w:rsidRPr="00F73EED" w:rsidTr="00F73EED">
        <w:trPr>
          <w:trHeight w:val="277"/>
        </w:trPr>
        <w:tc>
          <w:tcPr>
            <w:tcW w:w="652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1JANATAMF</w:t>
            </w:r>
          </w:p>
        </w:tc>
        <w:tc>
          <w:tcPr>
            <w:tcW w:w="2520"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-0.052%</w:t>
            </w:r>
          </w:p>
        </w:tc>
      </w:tr>
      <w:tr w:rsidR="00F73EED" w:rsidRPr="00F73EED" w:rsidTr="00F73EED">
        <w:trPr>
          <w:trHeight w:val="277"/>
        </w:trPr>
        <w:tc>
          <w:tcPr>
            <w:tcW w:w="652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FBFIF</w:t>
            </w:r>
          </w:p>
        </w:tc>
        <w:tc>
          <w:tcPr>
            <w:tcW w:w="2520"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-0.076%</w:t>
            </w:r>
          </w:p>
        </w:tc>
      </w:tr>
      <w:tr w:rsidR="00F73EED" w:rsidRPr="00F73EED" w:rsidTr="00F73EED">
        <w:trPr>
          <w:trHeight w:val="277"/>
        </w:trPr>
        <w:tc>
          <w:tcPr>
            <w:tcW w:w="652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EBLNRBMF</w:t>
            </w:r>
          </w:p>
        </w:tc>
        <w:tc>
          <w:tcPr>
            <w:tcW w:w="2520"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-0.079%</w:t>
            </w:r>
          </w:p>
        </w:tc>
      </w:tr>
      <w:tr w:rsidR="00F73EED" w:rsidRPr="00F73EED" w:rsidTr="00F73EED">
        <w:trPr>
          <w:trHeight w:val="277"/>
        </w:trPr>
        <w:tc>
          <w:tcPr>
            <w:tcW w:w="652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EXIM1STMF</w:t>
            </w:r>
          </w:p>
        </w:tc>
        <w:tc>
          <w:tcPr>
            <w:tcW w:w="2520"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-0.111%</w:t>
            </w:r>
          </w:p>
        </w:tc>
      </w:tr>
    </w:tbl>
    <w:p w:rsidR="00F73EED" w:rsidRPr="00F73EED" w:rsidRDefault="00F73EED" w:rsidP="00F73EED">
      <w:pPr>
        <w:spacing w:before="240" w:line="360" w:lineRule="auto"/>
        <w:jc w:val="both"/>
        <w:rPr>
          <w:rFonts w:ascii="Times New Roman" w:hAnsi="Times New Roman" w:cs="Times New Roman"/>
          <w:sz w:val="24"/>
          <w:szCs w:val="24"/>
        </w:rPr>
      </w:pPr>
      <w:r w:rsidRPr="00F73EED">
        <w:rPr>
          <w:rFonts w:ascii="Times New Roman" w:hAnsi="Times New Roman" w:cs="Times New Roman"/>
          <w:sz w:val="24"/>
          <w:szCs w:val="24"/>
        </w:rPr>
        <w:t>Along with this table, we also created a table, which is included below.</w:t>
      </w:r>
    </w:p>
    <w:p w:rsidR="00F73EED" w:rsidRPr="00F73EED" w:rsidRDefault="00F73EED" w:rsidP="00F73EED">
      <w:pPr>
        <w:spacing w:before="240" w:line="360" w:lineRule="auto"/>
        <w:jc w:val="both"/>
        <w:rPr>
          <w:rFonts w:ascii="Times New Roman" w:hAnsi="Times New Roman" w:cs="Times New Roman"/>
          <w:sz w:val="24"/>
          <w:szCs w:val="24"/>
        </w:rPr>
      </w:pPr>
      <w:r w:rsidRPr="00F73EED">
        <w:rPr>
          <w:noProof/>
        </w:rPr>
        <w:drawing>
          <wp:inline distT="0" distB="0" distL="0" distR="0" wp14:anchorId="16AD3381" wp14:editId="0D9D8D78">
            <wp:extent cx="5733288" cy="2103120"/>
            <wp:effectExtent l="0" t="0" r="1270" b="1143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F73EED">
        <w:rPr>
          <w:rFonts w:ascii="Times New Roman" w:hAnsi="Times New Roman" w:cs="Times New Roman"/>
          <w:sz w:val="24"/>
          <w:szCs w:val="24"/>
        </w:rPr>
        <w:t xml:space="preserve"> </w:t>
      </w:r>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Again we see DBH1STMF and EBL1STMF is the best performer with positive figure. DBH1STMF has the highest </w:t>
      </w:r>
      <w:proofErr w:type="spellStart"/>
      <w:r w:rsidRPr="00F73EED">
        <w:rPr>
          <w:rFonts w:ascii="Times New Roman" w:hAnsi="Times New Roman" w:cs="Times New Roman"/>
          <w:sz w:val="24"/>
          <w:szCs w:val="24"/>
        </w:rPr>
        <w:t>Treynor</w:t>
      </w:r>
      <w:proofErr w:type="spellEnd"/>
      <w:r w:rsidRPr="00F73EED">
        <w:rPr>
          <w:rFonts w:ascii="Times New Roman" w:hAnsi="Times New Roman" w:cs="Times New Roman"/>
          <w:sz w:val="24"/>
          <w:szCs w:val="24"/>
        </w:rPr>
        <w:t xml:space="preserve"> ratio implying that it provide best compensation for systematic risk it incorporate. The ratio for DBH1STMF and EBL1STMF is consecutively 0.041% and 0.024%. No other mutual fund were able to generate positive </w:t>
      </w:r>
      <w:proofErr w:type="spellStart"/>
      <w:r w:rsidRPr="00F73EED">
        <w:rPr>
          <w:rFonts w:ascii="Times New Roman" w:hAnsi="Times New Roman" w:cs="Times New Roman"/>
          <w:sz w:val="24"/>
          <w:szCs w:val="24"/>
        </w:rPr>
        <w:t>Treynor</w:t>
      </w:r>
      <w:proofErr w:type="spellEnd"/>
      <w:r w:rsidRPr="00F73EED">
        <w:rPr>
          <w:rFonts w:ascii="Times New Roman" w:hAnsi="Times New Roman" w:cs="Times New Roman"/>
          <w:sz w:val="24"/>
          <w:szCs w:val="24"/>
        </w:rPr>
        <w:t xml:space="preserve"> ratio. Among all mutual </w:t>
      </w:r>
      <w:proofErr w:type="gramStart"/>
      <w:r w:rsidRPr="00F73EED">
        <w:rPr>
          <w:rFonts w:ascii="Times New Roman" w:hAnsi="Times New Roman" w:cs="Times New Roman"/>
          <w:sz w:val="24"/>
          <w:szCs w:val="24"/>
        </w:rPr>
        <w:t>fund</w:t>
      </w:r>
      <w:proofErr w:type="gramEnd"/>
      <w:r w:rsidRPr="00F73EED">
        <w:rPr>
          <w:rFonts w:ascii="Times New Roman" w:hAnsi="Times New Roman" w:cs="Times New Roman"/>
          <w:sz w:val="24"/>
          <w:szCs w:val="24"/>
        </w:rPr>
        <w:t xml:space="preserve"> EXIM1STMF has worst </w:t>
      </w:r>
      <w:proofErr w:type="spellStart"/>
      <w:r w:rsidRPr="00F73EED">
        <w:rPr>
          <w:rFonts w:ascii="Times New Roman" w:hAnsi="Times New Roman" w:cs="Times New Roman"/>
          <w:sz w:val="24"/>
          <w:szCs w:val="24"/>
        </w:rPr>
        <w:t>Treynor</w:t>
      </w:r>
      <w:proofErr w:type="spellEnd"/>
      <w:r w:rsidRPr="00F73EED">
        <w:rPr>
          <w:rFonts w:ascii="Times New Roman" w:hAnsi="Times New Roman" w:cs="Times New Roman"/>
          <w:sz w:val="24"/>
          <w:szCs w:val="24"/>
        </w:rPr>
        <w:t xml:space="preserve"> ratio which is -0.111%.</w:t>
      </w:r>
    </w:p>
    <w:p w:rsidR="00F73EED" w:rsidRPr="00F73EED" w:rsidRDefault="00F73EED" w:rsidP="00F73EED">
      <w:pPr>
        <w:keepNext/>
        <w:keepLines/>
        <w:spacing w:before="40" w:after="0"/>
        <w:outlineLvl w:val="4"/>
        <w:rPr>
          <w:rFonts w:ascii="Times New Roman" w:eastAsia="Calibri" w:hAnsi="Times New Roman" w:cs="Times New Roman"/>
          <w:b/>
          <w:sz w:val="24"/>
          <w:szCs w:val="24"/>
          <w:shd w:val="clear" w:color="auto" w:fill="FFFFFF"/>
        </w:rPr>
      </w:pPr>
      <w:r w:rsidRPr="00F73EED">
        <w:rPr>
          <w:rFonts w:ascii="Times New Roman" w:eastAsia="Calibri" w:hAnsi="Times New Roman" w:cs="Times New Roman"/>
          <w:b/>
          <w:sz w:val="24"/>
          <w:szCs w:val="24"/>
          <w:shd w:val="clear" w:color="auto" w:fill="FFFFFF"/>
        </w:rPr>
        <w:lastRenderedPageBreak/>
        <w:t xml:space="preserve">Jensen's Measure Based on Return on Daily Closing Price </w:t>
      </w:r>
    </w:p>
    <w:p w:rsidR="00F73EED" w:rsidRPr="00F73EED" w:rsidRDefault="00F73EED" w:rsidP="00F73EED">
      <w:pPr>
        <w:spacing w:before="240" w:line="360" w:lineRule="auto"/>
        <w:jc w:val="both"/>
        <w:rPr>
          <w:rFonts w:ascii="Times New Roman" w:hAnsi="Times New Roman" w:cs="Times New Roman"/>
          <w:sz w:val="24"/>
          <w:szCs w:val="24"/>
        </w:rPr>
      </w:pPr>
      <w:r w:rsidRPr="00F73EED">
        <w:rPr>
          <w:rFonts w:ascii="Times New Roman" w:hAnsi="Times New Roman" w:cs="Times New Roman"/>
          <w:sz w:val="24"/>
          <w:szCs w:val="24"/>
        </w:rPr>
        <w:t>Using the necessary data mentioned in the previous part in this section, we calculated Jensen’s Alpha to see if the funds have provided return above or below the CAPM suggested return. It is obvious that in this section we have considered daily return of closing price. The Alpha of mutual fund as per as Jensen’s index is exhibited by the table below.</w:t>
      </w:r>
    </w:p>
    <w:tbl>
      <w:tblPr>
        <w:tblStyle w:val="TableGrid22"/>
        <w:tblW w:w="0" w:type="auto"/>
        <w:jc w:val="center"/>
        <w:tblLook w:val="04A0" w:firstRow="1" w:lastRow="0" w:firstColumn="1" w:lastColumn="0" w:noHBand="0" w:noVBand="1"/>
      </w:tblPr>
      <w:tblGrid>
        <w:gridCol w:w="4649"/>
        <w:gridCol w:w="4362"/>
      </w:tblGrid>
      <w:tr w:rsidR="00F73EED" w:rsidRPr="00F73EED" w:rsidTr="00F73EED">
        <w:trPr>
          <w:trHeight w:val="314"/>
          <w:jc w:val="center"/>
        </w:trPr>
        <w:tc>
          <w:tcPr>
            <w:tcW w:w="464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Mutual Fund Trading Code</w:t>
            </w:r>
          </w:p>
        </w:tc>
        <w:tc>
          <w:tcPr>
            <w:tcW w:w="4362" w:type="dxa"/>
            <w:noWrap/>
            <w:vAlign w:val="center"/>
            <w:hideMark/>
          </w:tcPr>
          <w:p w:rsidR="00F73EED" w:rsidRPr="00F73EED" w:rsidRDefault="00F73EED" w:rsidP="00F73EED">
            <w:pPr>
              <w:spacing w:line="360" w:lineRule="auto"/>
              <w:jc w:val="center"/>
              <w:rPr>
                <w:rFonts w:ascii="Times New Roman" w:hAnsi="Times New Roman"/>
                <w:sz w:val="24"/>
                <w:szCs w:val="24"/>
              </w:rPr>
            </w:pPr>
            <w:proofErr w:type="spellStart"/>
            <w:r w:rsidRPr="00F73EED">
              <w:rPr>
                <w:rFonts w:ascii="Times New Roman" w:hAnsi="Times New Roman"/>
                <w:sz w:val="24"/>
                <w:szCs w:val="24"/>
              </w:rPr>
              <w:t>Jensens</w:t>
            </w:r>
            <w:proofErr w:type="spellEnd"/>
            <w:r w:rsidRPr="00F73EED">
              <w:rPr>
                <w:rFonts w:ascii="Times New Roman" w:hAnsi="Times New Roman"/>
                <w:sz w:val="24"/>
                <w:szCs w:val="24"/>
              </w:rPr>
              <w:t xml:space="preserve"> Measure</w:t>
            </w:r>
          </w:p>
        </w:tc>
      </w:tr>
      <w:tr w:rsidR="00F73EED" w:rsidRPr="00F73EED" w:rsidTr="00F73EED">
        <w:trPr>
          <w:trHeight w:val="314"/>
          <w:jc w:val="center"/>
        </w:trPr>
        <w:tc>
          <w:tcPr>
            <w:tcW w:w="464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DBH1STMF</w:t>
            </w:r>
          </w:p>
        </w:tc>
        <w:tc>
          <w:tcPr>
            <w:tcW w:w="4362"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0.022%</w:t>
            </w:r>
          </w:p>
        </w:tc>
      </w:tr>
      <w:tr w:rsidR="00F73EED" w:rsidRPr="00F73EED" w:rsidTr="00F73EED">
        <w:trPr>
          <w:trHeight w:val="314"/>
          <w:jc w:val="center"/>
        </w:trPr>
        <w:tc>
          <w:tcPr>
            <w:tcW w:w="464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EBL1STMF</w:t>
            </w:r>
          </w:p>
        </w:tc>
        <w:tc>
          <w:tcPr>
            <w:tcW w:w="4362"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0.019%</w:t>
            </w:r>
          </w:p>
        </w:tc>
      </w:tr>
      <w:tr w:rsidR="00F73EED" w:rsidRPr="00F73EED" w:rsidTr="00F73EED">
        <w:trPr>
          <w:trHeight w:val="314"/>
          <w:jc w:val="center"/>
        </w:trPr>
        <w:tc>
          <w:tcPr>
            <w:tcW w:w="464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AIBL1STIMF</w:t>
            </w:r>
          </w:p>
        </w:tc>
        <w:tc>
          <w:tcPr>
            <w:tcW w:w="4362"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-0.015%</w:t>
            </w:r>
          </w:p>
        </w:tc>
      </w:tr>
      <w:tr w:rsidR="00F73EED" w:rsidRPr="00F73EED" w:rsidTr="00F73EED">
        <w:trPr>
          <w:trHeight w:val="314"/>
          <w:jc w:val="center"/>
        </w:trPr>
        <w:tc>
          <w:tcPr>
            <w:tcW w:w="464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ATCSLGF</w:t>
            </w:r>
          </w:p>
        </w:tc>
        <w:tc>
          <w:tcPr>
            <w:tcW w:w="4362"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-0.019%</w:t>
            </w:r>
          </w:p>
        </w:tc>
      </w:tr>
      <w:tr w:rsidR="00F73EED" w:rsidRPr="00F73EED" w:rsidTr="00F73EED">
        <w:trPr>
          <w:trHeight w:val="314"/>
          <w:jc w:val="center"/>
        </w:trPr>
        <w:tc>
          <w:tcPr>
            <w:tcW w:w="464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1STPRIMFMF</w:t>
            </w:r>
          </w:p>
        </w:tc>
        <w:tc>
          <w:tcPr>
            <w:tcW w:w="4362"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-0.042%</w:t>
            </w:r>
          </w:p>
        </w:tc>
      </w:tr>
      <w:tr w:rsidR="00F73EED" w:rsidRPr="00F73EED" w:rsidTr="00F73EED">
        <w:trPr>
          <w:trHeight w:val="314"/>
          <w:jc w:val="center"/>
        </w:trPr>
        <w:tc>
          <w:tcPr>
            <w:tcW w:w="464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ABB1STMF</w:t>
            </w:r>
          </w:p>
        </w:tc>
        <w:tc>
          <w:tcPr>
            <w:tcW w:w="4362"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-0.051%</w:t>
            </w:r>
          </w:p>
        </w:tc>
      </w:tr>
      <w:tr w:rsidR="00F73EED" w:rsidRPr="00F73EED" w:rsidTr="00F73EED">
        <w:trPr>
          <w:trHeight w:val="314"/>
          <w:jc w:val="center"/>
        </w:trPr>
        <w:tc>
          <w:tcPr>
            <w:tcW w:w="464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1JANATAMF</w:t>
            </w:r>
          </w:p>
        </w:tc>
        <w:tc>
          <w:tcPr>
            <w:tcW w:w="4362"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-0.052%</w:t>
            </w:r>
          </w:p>
        </w:tc>
      </w:tr>
      <w:tr w:rsidR="00F73EED" w:rsidRPr="00F73EED" w:rsidTr="00F73EED">
        <w:trPr>
          <w:trHeight w:val="314"/>
          <w:jc w:val="center"/>
        </w:trPr>
        <w:tc>
          <w:tcPr>
            <w:tcW w:w="464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FBFIF</w:t>
            </w:r>
          </w:p>
        </w:tc>
        <w:tc>
          <w:tcPr>
            <w:tcW w:w="4362"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-0.068%</w:t>
            </w:r>
          </w:p>
        </w:tc>
      </w:tr>
      <w:tr w:rsidR="00F73EED" w:rsidRPr="00F73EED" w:rsidTr="00F73EED">
        <w:trPr>
          <w:trHeight w:val="314"/>
          <w:jc w:val="center"/>
        </w:trPr>
        <w:tc>
          <w:tcPr>
            <w:tcW w:w="464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EBLNRBMF</w:t>
            </w:r>
          </w:p>
        </w:tc>
        <w:tc>
          <w:tcPr>
            <w:tcW w:w="4362"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-0.081%</w:t>
            </w:r>
          </w:p>
        </w:tc>
      </w:tr>
      <w:tr w:rsidR="00F73EED" w:rsidRPr="00F73EED" w:rsidTr="00F73EED">
        <w:trPr>
          <w:trHeight w:val="314"/>
          <w:jc w:val="center"/>
        </w:trPr>
        <w:tc>
          <w:tcPr>
            <w:tcW w:w="4649"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EXIM1STMF</w:t>
            </w:r>
          </w:p>
        </w:tc>
        <w:tc>
          <w:tcPr>
            <w:tcW w:w="4362"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-0.089%</w:t>
            </w:r>
          </w:p>
        </w:tc>
      </w:tr>
    </w:tbl>
    <w:p w:rsidR="00F73EED" w:rsidRPr="00F73EED" w:rsidRDefault="00F73EED" w:rsidP="00F73EED">
      <w:pPr>
        <w:spacing w:before="240"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Using the data of the table above a graph was constructed and included below. </w:t>
      </w:r>
    </w:p>
    <w:p w:rsidR="00F73EED" w:rsidRPr="00F73EED" w:rsidRDefault="00F73EED" w:rsidP="00F73EED">
      <w:pPr>
        <w:spacing w:before="240" w:line="360" w:lineRule="auto"/>
        <w:jc w:val="both"/>
        <w:rPr>
          <w:rFonts w:ascii="Times New Roman" w:hAnsi="Times New Roman" w:cs="Times New Roman"/>
          <w:sz w:val="24"/>
          <w:szCs w:val="24"/>
        </w:rPr>
      </w:pPr>
      <w:r w:rsidRPr="00F73EED">
        <w:rPr>
          <w:noProof/>
        </w:rPr>
        <w:drawing>
          <wp:inline distT="0" distB="0" distL="0" distR="0" wp14:anchorId="7048F182" wp14:editId="3965FBEB">
            <wp:extent cx="5731510" cy="2103120"/>
            <wp:effectExtent l="0" t="0" r="2540" b="1143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73EED" w:rsidRPr="00F73EED" w:rsidRDefault="00F73EED" w:rsidP="00F73EED">
      <w:pPr>
        <w:spacing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The chart illustrate none of the mutual fund except DBH1STMF and EBL1STMF were able to provide return above expected-return predicted by CAPM. DBH1STMF and EBL1STMF has an Alpha of 0.022% and -0.019%. Rest of the mutual fund has negative Alpha. Among them EXIM1STMF has the highest negative value -0.089%. </w:t>
      </w:r>
    </w:p>
    <w:p w:rsidR="00F73EED" w:rsidRPr="00F73EED" w:rsidRDefault="00F73EED" w:rsidP="00F73EED">
      <w:pPr>
        <w:keepNext/>
        <w:keepLines/>
        <w:spacing w:before="40" w:after="0" w:line="360" w:lineRule="auto"/>
        <w:jc w:val="both"/>
        <w:outlineLvl w:val="4"/>
        <w:rPr>
          <w:rFonts w:ascii="Times New Roman" w:eastAsia="Times New Roman" w:hAnsi="Times New Roman" w:cs="Times New Roman"/>
          <w:b/>
          <w:sz w:val="24"/>
          <w:szCs w:val="24"/>
          <w:shd w:val="clear" w:color="auto" w:fill="FFFFFF"/>
        </w:rPr>
      </w:pPr>
      <w:r w:rsidRPr="00F73EED">
        <w:rPr>
          <w:rFonts w:ascii="Times New Roman" w:eastAsia="Times New Roman" w:hAnsi="Times New Roman" w:cs="Times New Roman"/>
          <w:b/>
          <w:sz w:val="24"/>
          <w:szCs w:val="24"/>
          <w:shd w:val="clear" w:color="auto" w:fill="FFFFFF"/>
        </w:rPr>
        <w:lastRenderedPageBreak/>
        <w:t>Capital Asset Pricing Model Based on Return Based on Daily Closing Price</w:t>
      </w:r>
    </w:p>
    <w:p w:rsidR="00F73EED" w:rsidRPr="00F73EED" w:rsidRDefault="00F73EED" w:rsidP="00F73EED">
      <w:pPr>
        <w:spacing w:after="0"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Like Sharpe, </w:t>
      </w:r>
      <w:proofErr w:type="spellStart"/>
      <w:r w:rsidRPr="00F73EED">
        <w:rPr>
          <w:rFonts w:ascii="Times New Roman" w:hAnsi="Times New Roman" w:cs="Times New Roman"/>
          <w:sz w:val="24"/>
          <w:szCs w:val="24"/>
        </w:rPr>
        <w:t>Treynor</w:t>
      </w:r>
      <w:proofErr w:type="spellEnd"/>
      <w:r w:rsidRPr="00F73EED">
        <w:rPr>
          <w:rFonts w:ascii="Times New Roman" w:hAnsi="Times New Roman" w:cs="Times New Roman"/>
          <w:sz w:val="24"/>
          <w:szCs w:val="24"/>
        </w:rPr>
        <w:t xml:space="preserve"> and Jensen we also determined the return suggested by the CAPM as per as consideration of daily closing price. The table below summarize our findings.</w:t>
      </w:r>
    </w:p>
    <w:tbl>
      <w:tblPr>
        <w:tblStyle w:val="TableGrid22"/>
        <w:tblpPr w:leftFromText="180" w:rightFromText="180" w:vertAnchor="text" w:horzAnchor="margin" w:tblpXSpec="center" w:tblpY="-14"/>
        <w:tblW w:w="9018" w:type="dxa"/>
        <w:tblLook w:val="04A0" w:firstRow="1" w:lastRow="0" w:firstColumn="1" w:lastColumn="0" w:noHBand="0" w:noVBand="1"/>
      </w:tblPr>
      <w:tblGrid>
        <w:gridCol w:w="4225"/>
        <w:gridCol w:w="4793"/>
      </w:tblGrid>
      <w:tr w:rsidR="00F73EED" w:rsidRPr="00F73EED" w:rsidTr="00F73EED">
        <w:trPr>
          <w:trHeight w:val="284"/>
        </w:trPr>
        <w:tc>
          <w:tcPr>
            <w:tcW w:w="422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Mutual Fund Trading Code</w:t>
            </w:r>
          </w:p>
        </w:tc>
        <w:tc>
          <w:tcPr>
            <w:tcW w:w="479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CAPM</w:t>
            </w:r>
          </w:p>
        </w:tc>
      </w:tr>
      <w:tr w:rsidR="00F73EED" w:rsidRPr="00F73EED" w:rsidTr="00F73EED">
        <w:trPr>
          <w:trHeight w:val="284"/>
        </w:trPr>
        <w:tc>
          <w:tcPr>
            <w:tcW w:w="422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ATCSLGF</w:t>
            </w:r>
          </w:p>
        </w:tc>
        <w:tc>
          <w:tcPr>
            <w:tcW w:w="479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0.0839%</w:t>
            </w:r>
          </w:p>
        </w:tc>
      </w:tr>
      <w:tr w:rsidR="00F73EED" w:rsidRPr="00F73EED" w:rsidTr="00F73EED">
        <w:trPr>
          <w:trHeight w:val="284"/>
        </w:trPr>
        <w:tc>
          <w:tcPr>
            <w:tcW w:w="422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DBH1STMF</w:t>
            </w:r>
          </w:p>
        </w:tc>
        <w:tc>
          <w:tcPr>
            <w:tcW w:w="479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0.0753%</w:t>
            </w:r>
          </w:p>
        </w:tc>
      </w:tr>
      <w:tr w:rsidR="00F73EED" w:rsidRPr="00F73EED" w:rsidTr="00F73EED">
        <w:trPr>
          <w:trHeight w:val="284"/>
        </w:trPr>
        <w:tc>
          <w:tcPr>
            <w:tcW w:w="422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EXIM1STMF</w:t>
            </w:r>
          </w:p>
        </w:tc>
        <w:tc>
          <w:tcPr>
            <w:tcW w:w="479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0.0697%</w:t>
            </w:r>
          </w:p>
        </w:tc>
      </w:tr>
      <w:tr w:rsidR="00F73EED" w:rsidRPr="00F73EED" w:rsidTr="00F73EED">
        <w:trPr>
          <w:trHeight w:val="284"/>
        </w:trPr>
        <w:tc>
          <w:tcPr>
            <w:tcW w:w="422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AIBL1STIMF</w:t>
            </w:r>
          </w:p>
        </w:tc>
        <w:tc>
          <w:tcPr>
            <w:tcW w:w="479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0.0634%</w:t>
            </w:r>
          </w:p>
        </w:tc>
      </w:tr>
      <w:tr w:rsidR="00F73EED" w:rsidRPr="00F73EED" w:rsidTr="00F73EED">
        <w:trPr>
          <w:trHeight w:val="284"/>
        </w:trPr>
        <w:tc>
          <w:tcPr>
            <w:tcW w:w="422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EBL1STMF</w:t>
            </w:r>
          </w:p>
        </w:tc>
        <w:tc>
          <w:tcPr>
            <w:tcW w:w="479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0.0588%</w:t>
            </w:r>
          </w:p>
        </w:tc>
      </w:tr>
      <w:tr w:rsidR="00F73EED" w:rsidRPr="00F73EED" w:rsidTr="00F73EED">
        <w:trPr>
          <w:trHeight w:val="284"/>
        </w:trPr>
        <w:tc>
          <w:tcPr>
            <w:tcW w:w="422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FBFIF</w:t>
            </w:r>
          </w:p>
        </w:tc>
        <w:tc>
          <w:tcPr>
            <w:tcW w:w="479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0.0539%</w:t>
            </w:r>
          </w:p>
        </w:tc>
      </w:tr>
      <w:tr w:rsidR="00F73EED" w:rsidRPr="00F73EED" w:rsidTr="00F73EED">
        <w:trPr>
          <w:trHeight w:val="284"/>
        </w:trPr>
        <w:tc>
          <w:tcPr>
            <w:tcW w:w="422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EBLNRBMF</w:t>
            </w:r>
          </w:p>
        </w:tc>
        <w:tc>
          <w:tcPr>
            <w:tcW w:w="479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0.0462%</w:t>
            </w:r>
          </w:p>
        </w:tc>
      </w:tr>
      <w:tr w:rsidR="00F73EED" w:rsidRPr="00F73EED" w:rsidTr="00F73EED">
        <w:trPr>
          <w:trHeight w:val="284"/>
        </w:trPr>
        <w:tc>
          <w:tcPr>
            <w:tcW w:w="422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1JANATAMF</w:t>
            </w:r>
          </w:p>
        </w:tc>
        <w:tc>
          <w:tcPr>
            <w:tcW w:w="479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0.0428%</w:t>
            </w:r>
          </w:p>
        </w:tc>
      </w:tr>
      <w:tr w:rsidR="00F73EED" w:rsidRPr="00F73EED" w:rsidTr="00F73EED">
        <w:trPr>
          <w:trHeight w:val="284"/>
        </w:trPr>
        <w:tc>
          <w:tcPr>
            <w:tcW w:w="422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ABB1STMF</w:t>
            </w:r>
          </w:p>
        </w:tc>
        <w:tc>
          <w:tcPr>
            <w:tcW w:w="479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0.0388%</w:t>
            </w:r>
          </w:p>
        </w:tc>
      </w:tr>
      <w:tr w:rsidR="00F73EED" w:rsidRPr="00F73EED" w:rsidTr="00F73EED">
        <w:trPr>
          <w:trHeight w:val="284"/>
        </w:trPr>
        <w:tc>
          <w:tcPr>
            <w:tcW w:w="4225"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1STPRIMFMF</w:t>
            </w:r>
          </w:p>
        </w:tc>
        <w:tc>
          <w:tcPr>
            <w:tcW w:w="4793" w:type="dxa"/>
            <w:noWrap/>
            <w:vAlign w:val="center"/>
            <w:hideMark/>
          </w:tcPr>
          <w:p w:rsidR="00F73EED" w:rsidRPr="00F73EED" w:rsidRDefault="00F73EED" w:rsidP="00F73EED">
            <w:pPr>
              <w:spacing w:line="360" w:lineRule="auto"/>
              <w:jc w:val="center"/>
              <w:rPr>
                <w:rFonts w:ascii="Times New Roman" w:hAnsi="Times New Roman"/>
                <w:sz w:val="24"/>
                <w:szCs w:val="24"/>
              </w:rPr>
            </w:pPr>
            <w:r w:rsidRPr="00F73EED">
              <w:rPr>
                <w:rFonts w:ascii="Times New Roman" w:hAnsi="Times New Roman"/>
                <w:sz w:val="24"/>
                <w:szCs w:val="24"/>
              </w:rPr>
              <w:t>0.0275%</w:t>
            </w:r>
          </w:p>
        </w:tc>
      </w:tr>
    </w:tbl>
    <w:p w:rsidR="00F73EED" w:rsidRDefault="00B50E2F" w:rsidP="00F73EED">
      <w:pPr>
        <w:spacing w:before="240" w:after="0" w:line="360" w:lineRule="auto"/>
        <w:jc w:val="both"/>
        <w:rPr>
          <w:rFonts w:ascii="Times New Roman" w:hAnsi="Times New Roman" w:cs="Times New Roman"/>
          <w:sz w:val="24"/>
          <w:szCs w:val="24"/>
        </w:rPr>
      </w:pPr>
      <w:r w:rsidRPr="00F73EED">
        <w:rPr>
          <w:noProof/>
        </w:rPr>
        <w:drawing>
          <wp:anchor distT="0" distB="0" distL="114300" distR="114300" simplePos="0" relativeHeight="251799551" behindDoc="0" locked="0" layoutInCell="1" allowOverlap="1" wp14:anchorId="2A68181A" wp14:editId="7671562A">
            <wp:simplePos x="0" y="0"/>
            <wp:positionH relativeFrom="margin">
              <wp:align>right</wp:align>
            </wp:positionH>
            <wp:positionV relativeFrom="margin">
              <wp:align>center</wp:align>
            </wp:positionV>
            <wp:extent cx="5733288" cy="2103120"/>
            <wp:effectExtent l="0" t="0" r="1270" b="11430"/>
            <wp:wrapSquare wrapText="bothSides"/>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F73EED" w:rsidRPr="00F73EED">
        <w:rPr>
          <w:rFonts w:ascii="Times New Roman" w:hAnsi="Times New Roman" w:cs="Times New Roman"/>
          <w:sz w:val="24"/>
          <w:szCs w:val="24"/>
        </w:rPr>
        <w:t>A graph illustrating the findings of the table above is given below.</w:t>
      </w:r>
    </w:p>
    <w:p w:rsidR="005E2AEC" w:rsidRDefault="00F73EED" w:rsidP="00173400">
      <w:pPr>
        <w:spacing w:before="240" w:line="360" w:lineRule="auto"/>
        <w:jc w:val="both"/>
        <w:rPr>
          <w:rFonts w:ascii="Times New Roman" w:hAnsi="Times New Roman" w:cs="Times New Roman"/>
          <w:sz w:val="24"/>
          <w:szCs w:val="24"/>
        </w:rPr>
      </w:pPr>
      <w:r w:rsidRPr="00F73EED">
        <w:rPr>
          <w:rFonts w:ascii="Times New Roman" w:hAnsi="Times New Roman" w:cs="Times New Roman"/>
          <w:sz w:val="24"/>
          <w:szCs w:val="24"/>
        </w:rPr>
        <w:t xml:space="preserve">According to Capital Asset Pricing Model ATCSLGF should provide the highest level of return. Considering the risk it contain it should had provide a daily return of 0.0146%. As per as CAPM expected return of 1STPRIMFMF is the lowest with a value of 0.0135%. It is noticeable that expected return of DBH1STMF and AIBL1STMF is almost identical with a figure ranging around 0.0144%. The expected return of ABB1STMF, 1JANATAMF and EBLNRBMF is also extremely close with a percentage of 0.0137%. FBFIF, EXIM1STMF and EBL1STMF have a consecutive expected return </w:t>
      </w:r>
      <w:r w:rsidR="00173400">
        <w:rPr>
          <w:rFonts w:ascii="Times New Roman" w:hAnsi="Times New Roman" w:cs="Times New Roman"/>
          <w:sz w:val="24"/>
          <w:szCs w:val="24"/>
        </w:rPr>
        <w:t>of 0.0137%, 0.0138% and 0.0140</w:t>
      </w:r>
    </w:p>
    <w:p w:rsidR="00746FF8" w:rsidRPr="005E2AEC" w:rsidRDefault="00746FF8" w:rsidP="005E2AEC">
      <w:pPr>
        <w:spacing w:after="0" w:line="360" w:lineRule="auto"/>
        <w:jc w:val="both"/>
        <w:rPr>
          <w:rFonts w:ascii="Times New Roman" w:hAnsi="Times New Roman" w:cs="Times New Roman"/>
          <w:sz w:val="24"/>
          <w:szCs w:val="24"/>
        </w:rPr>
      </w:pPr>
      <w:r w:rsidRPr="0053587A">
        <w:rPr>
          <w:rFonts w:ascii="Times New Roman" w:hAnsi="Times New Roman" w:cs="Times New Roman"/>
          <w:b/>
          <w:sz w:val="36"/>
          <w:szCs w:val="36"/>
        </w:rPr>
        <w:t>Findings</w:t>
      </w:r>
    </w:p>
    <w:p w:rsidR="00746FF8" w:rsidRDefault="00746FF8" w:rsidP="00746FF8">
      <w:pPr>
        <w:spacing w:line="360" w:lineRule="auto"/>
        <w:jc w:val="both"/>
        <w:rPr>
          <w:rFonts w:ascii="Times New Roman" w:hAnsi="Times New Roman" w:cs="Times New Roman"/>
          <w:sz w:val="24"/>
          <w:szCs w:val="24"/>
        </w:rPr>
      </w:pPr>
      <w:r w:rsidRPr="00FA577A">
        <w:rPr>
          <w:rFonts w:ascii="Times New Roman" w:hAnsi="Times New Roman" w:cs="Times New Roman"/>
          <w:sz w:val="24"/>
          <w:szCs w:val="24"/>
        </w:rPr>
        <w:lastRenderedPageBreak/>
        <w:t xml:space="preserve">Mutual fund is an emerging industry in Bangladesh. However, the performance of the industry from an investor’s perspective is not very good. After evaluating all the samples it is very difficult to summarize the finding and come up with any recommendation because instability of capital market makes it difficult to apply any theory that is valid for a given situation. In the current context of the market, we see that the mutual funds are not performing well but it is very difficult to find any logical explanation to describe this phenomenon. Performance of mutual fund is derived from other industry because mutual funds invest on </w:t>
      </w:r>
      <w:proofErr w:type="gramStart"/>
      <w:r w:rsidRPr="00FA577A">
        <w:rPr>
          <w:rFonts w:ascii="Times New Roman" w:hAnsi="Times New Roman" w:cs="Times New Roman"/>
          <w:sz w:val="24"/>
          <w:szCs w:val="24"/>
        </w:rPr>
        <w:t>those industry</w:t>
      </w:r>
      <w:proofErr w:type="gramEnd"/>
      <w:r w:rsidRPr="00FA577A">
        <w:rPr>
          <w:rFonts w:ascii="Times New Roman" w:hAnsi="Times New Roman" w:cs="Times New Roman"/>
          <w:sz w:val="24"/>
          <w:szCs w:val="24"/>
        </w:rPr>
        <w:t xml:space="preserve">. If the invested industry, organization or asset perform well ultimately mutual fund make profit out of it. Individual investors also play a crucial role because they participate in the share market. The price of a share is determined by its demand. Therefore, demand of individual investor influence the share price. If majority investors in a market make irrational decision regarding investment by wrong valuation or pricing of share then it is very difficult to apply any valid model to form a good portfolio. The majority </w:t>
      </w:r>
      <w:proofErr w:type="gramStart"/>
      <w:r w:rsidRPr="00FA577A">
        <w:rPr>
          <w:rFonts w:ascii="Times New Roman" w:hAnsi="Times New Roman" w:cs="Times New Roman"/>
          <w:sz w:val="24"/>
          <w:szCs w:val="24"/>
        </w:rPr>
        <w:t xml:space="preserve">of a mutual </w:t>
      </w:r>
      <w:proofErr w:type="spellStart"/>
      <w:r w:rsidRPr="00FA577A">
        <w:rPr>
          <w:rFonts w:ascii="Times New Roman" w:hAnsi="Times New Roman" w:cs="Times New Roman"/>
          <w:sz w:val="24"/>
          <w:szCs w:val="24"/>
        </w:rPr>
        <w:t>funds</w:t>
      </w:r>
      <w:proofErr w:type="spellEnd"/>
      <w:proofErr w:type="gramEnd"/>
      <w:r w:rsidRPr="00FA577A">
        <w:rPr>
          <w:rFonts w:ascii="Times New Roman" w:hAnsi="Times New Roman" w:cs="Times New Roman"/>
          <w:sz w:val="24"/>
          <w:szCs w:val="24"/>
        </w:rPr>
        <w:t xml:space="preserve"> portfolio is consist of equity but the equity market of Bangladesh is not developed. There is evidence of many scams in our share market. Lack of proper regulation is signified by these scams. All of the denoted factors can be the collectively responsible for mutual funds’ unexpected performance.</w:t>
      </w:r>
    </w:p>
    <w:p w:rsidR="00746FF8" w:rsidRDefault="00746FF8" w:rsidP="00746FF8">
      <w:pPr>
        <w:spacing w:line="360" w:lineRule="auto"/>
        <w:jc w:val="both"/>
        <w:rPr>
          <w:rFonts w:ascii="Times New Roman" w:hAnsi="Times New Roman" w:cs="Times New Roman"/>
          <w:sz w:val="24"/>
          <w:szCs w:val="24"/>
        </w:rPr>
      </w:pPr>
      <w:r w:rsidRPr="00FA577A">
        <w:rPr>
          <w:rFonts w:ascii="Times New Roman" w:hAnsi="Times New Roman" w:cs="Times New Roman"/>
          <w:sz w:val="24"/>
          <w:szCs w:val="24"/>
        </w:rPr>
        <w:t>To study the sample this paper under took severa</w:t>
      </w:r>
      <w:r>
        <w:rPr>
          <w:rFonts w:ascii="Times New Roman" w:hAnsi="Times New Roman" w:cs="Times New Roman"/>
          <w:sz w:val="24"/>
          <w:szCs w:val="24"/>
        </w:rPr>
        <w:t xml:space="preserve">l approaches like evaluating </w:t>
      </w:r>
      <w:r w:rsidRPr="00FA577A">
        <w:rPr>
          <w:rFonts w:ascii="Times New Roman" w:hAnsi="Times New Roman" w:cs="Times New Roman"/>
          <w:sz w:val="24"/>
          <w:szCs w:val="24"/>
        </w:rPr>
        <w:t>market price of</w:t>
      </w:r>
      <w:r>
        <w:rPr>
          <w:rFonts w:ascii="Times New Roman" w:hAnsi="Times New Roman" w:cs="Times New Roman"/>
          <w:sz w:val="24"/>
          <w:szCs w:val="24"/>
        </w:rPr>
        <w:t xml:space="preserve"> weekly</w:t>
      </w:r>
      <w:r w:rsidRPr="00FA577A">
        <w:rPr>
          <w:rFonts w:ascii="Times New Roman" w:hAnsi="Times New Roman" w:cs="Times New Roman"/>
          <w:sz w:val="24"/>
          <w:szCs w:val="24"/>
        </w:rPr>
        <w:t xml:space="preserve"> NAV</w:t>
      </w:r>
      <w:r>
        <w:rPr>
          <w:rFonts w:ascii="Times New Roman" w:hAnsi="Times New Roman" w:cs="Times New Roman"/>
          <w:sz w:val="24"/>
          <w:szCs w:val="24"/>
        </w:rPr>
        <w:t xml:space="preserve"> and</w:t>
      </w:r>
      <w:r w:rsidRPr="00FA577A">
        <w:rPr>
          <w:rFonts w:ascii="Times New Roman" w:hAnsi="Times New Roman" w:cs="Times New Roman"/>
          <w:sz w:val="24"/>
          <w:szCs w:val="24"/>
        </w:rPr>
        <w:t xml:space="preserve"> weekly closing price</w:t>
      </w:r>
      <w:r>
        <w:rPr>
          <w:rFonts w:ascii="Times New Roman" w:hAnsi="Times New Roman" w:cs="Times New Roman"/>
          <w:sz w:val="24"/>
          <w:szCs w:val="24"/>
        </w:rPr>
        <w:t xml:space="preserve"> as well as </w:t>
      </w:r>
      <w:r w:rsidRPr="00FA577A">
        <w:rPr>
          <w:rFonts w:ascii="Times New Roman" w:hAnsi="Times New Roman" w:cs="Times New Roman"/>
          <w:sz w:val="24"/>
          <w:szCs w:val="24"/>
        </w:rPr>
        <w:t>daily closing price.</w:t>
      </w:r>
      <w:r>
        <w:rPr>
          <w:rFonts w:ascii="Times New Roman" w:hAnsi="Times New Roman" w:cs="Times New Roman"/>
          <w:sz w:val="24"/>
          <w:szCs w:val="24"/>
        </w:rPr>
        <w:t xml:space="preserve"> In every different approach we incorporated analysis basing on Sharpe ratio, </w:t>
      </w:r>
      <w:proofErr w:type="spellStart"/>
      <w:r>
        <w:rPr>
          <w:rFonts w:ascii="Times New Roman" w:hAnsi="Times New Roman" w:cs="Times New Roman"/>
          <w:sz w:val="24"/>
          <w:szCs w:val="24"/>
        </w:rPr>
        <w:t>Treynor</w:t>
      </w:r>
      <w:proofErr w:type="spellEnd"/>
      <w:r>
        <w:rPr>
          <w:rFonts w:ascii="Times New Roman" w:hAnsi="Times New Roman" w:cs="Times New Roman"/>
          <w:sz w:val="24"/>
          <w:szCs w:val="24"/>
        </w:rPr>
        <w:t xml:space="preserve"> ratio, Jensen’s Alpha and CAPM.</w:t>
      </w:r>
    </w:p>
    <w:p w:rsidR="00746FF8" w:rsidRDefault="00746FF8" w:rsidP="00746F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per as Sharpe ratio none of the mutual funds considering weekly NAV were able to produce positive figure, which implies considering risk premium and standard deviation none of the mutual fund were able to compensate for their given level of risk. Among the mutual funds in consideration of NAV DBH1STMF had the lowest negative value of Sharpe where as FBFIF had the highest negative value. So, in this scenario DBH1STMF is the best and FBFIF is the worst performer. In consideration of weekly closing price only DBH1STMF could earn some positive value but unlike before in this approach EXIM1STMF became the worst performer and FBFIF became second worst performer. However, the positive value produced by DBH1STMF was not very high. Again in consideration of daily price DBH1STMF remain the best performer. As per as analysis on daily return along with DBH1STMF, EBL1STMF were also able to gain positive Sharpe ratio. In consideration of weekly closing price the value of Sharpe of EBL1STMF were closest to DBH1STMF even </w:t>
      </w:r>
      <w:r>
        <w:rPr>
          <w:rFonts w:ascii="Times New Roman" w:hAnsi="Times New Roman" w:cs="Times New Roman"/>
          <w:sz w:val="24"/>
          <w:szCs w:val="24"/>
        </w:rPr>
        <w:lastRenderedPageBreak/>
        <w:t xml:space="preserve">though it was negative. Both EXIM1STMF and FBIF remain at the same position they were on consideration of weekly closing price. </w:t>
      </w:r>
    </w:p>
    <w:p w:rsidR="00746FF8" w:rsidRDefault="00746FF8" w:rsidP="00746F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Just like Sharpe ratio according to </w:t>
      </w:r>
      <w:proofErr w:type="spellStart"/>
      <w:r>
        <w:rPr>
          <w:rFonts w:ascii="Times New Roman" w:hAnsi="Times New Roman" w:cs="Times New Roman"/>
          <w:sz w:val="24"/>
          <w:szCs w:val="24"/>
        </w:rPr>
        <w:t>Treynor</w:t>
      </w:r>
      <w:proofErr w:type="spellEnd"/>
      <w:r>
        <w:rPr>
          <w:rFonts w:ascii="Times New Roman" w:hAnsi="Times New Roman" w:cs="Times New Roman"/>
          <w:sz w:val="24"/>
          <w:szCs w:val="24"/>
        </w:rPr>
        <w:t xml:space="preserve"> ratio considering weekly NAV none of the mutual fund gained any positive figure. This phenomenon again proof that the mutual funds actually did not perform well. However, DBH1STMF had the lowest negative value so for purpose of comparison it might be considered better than the other mutual fund. AIBL1STMF had the highest negative value as per as analysis base on NAV. If we take in consideration of weekly closing price DBH1STMF remain the best performer with a positive figure. However, EXIM1STMF became the worst performer with highest negative </w:t>
      </w:r>
      <w:proofErr w:type="spellStart"/>
      <w:r>
        <w:rPr>
          <w:rFonts w:ascii="Times New Roman" w:hAnsi="Times New Roman" w:cs="Times New Roman"/>
          <w:sz w:val="24"/>
          <w:szCs w:val="24"/>
        </w:rPr>
        <w:t>Treynor</w:t>
      </w:r>
      <w:proofErr w:type="spellEnd"/>
      <w:r>
        <w:rPr>
          <w:rFonts w:ascii="Times New Roman" w:hAnsi="Times New Roman" w:cs="Times New Roman"/>
          <w:sz w:val="24"/>
          <w:szCs w:val="24"/>
        </w:rPr>
        <w:t xml:space="preserve"> value. None of the other mutual fund except DBH1STMF could exhibit positive value of </w:t>
      </w:r>
      <w:proofErr w:type="spellStart"/>
      <w:r>
        <w:rPr>
          <w:rFonts w:ascii="Times New Roman" w:hAnsi="Times New Roman" w:cs="Times New Roman"/>
          <w:sz w:val="24"/>
          <w:szCs w:val="24"/>
        </w:rPr>
        <w:t>Treynor</w:t>
      </w:r>
      <w:proofErr w:type="spellEnd"/>
      <w:r>
        <w:rPr>
          <w:rFonts w:ascii="Times New Roman" w:hAnsi="Times New Roman" w:cs="Times New Roman"/>
          <w:sz w:val="24"/>
          <w:szCs w:val="24"/>
        </w:rPr>
        <w:t xml:space="preserve"> ratio considering weekly closing price. In consideration of daily closing price DBH1STMF and EBL1STMF gained positive </w:t>
      </w:r>
      <w:proofErr w:type="spellStart"/>
      <w:r>
        <w:rPr>
          <w:rFonts w:ascii="Times New Roman" w:hAnsi="Times New Roman" w:cs="Times New Roman"/>
          <w:sz w:val="24"/>
          <w:szCs w:val="24"/>
        </w:rPr>
        <w:t>Treynor</w:t>
      </w:r>
      <w:proofErr w:type="spellEnd"/>
      <w:r>
        <w:rPr>
          <w:rFonts w:ascii="Times New Roman" w:hAnsi="Times New Roman" w:cs="Times New Roman"/>
          <w:sz w:val="24"/>
          <w:szCs w:val="24"/>
        </w:rPr>
        <w:t xml:space="preserve"> ratio. However, </w:t>
      </w:r>
      <w:proofErr w:type="spellStart"/>
      <w:r>
        <w:rPr>
          <w:rFonts w:ascii="Times New Roman" w:hAnsi="Times New Roman" w:cs="Times New Roman"/>
          <w:sz w:val="24"/>
          <w:szCs w:val="24"/>
        </w:rPr>
        <w:t>everyother</w:t>
      </w:r>
      <w:proofErr w:type="spellEnd"/>
      <w:r>
        <w:rPr>
          <w:rFonts w:ascii="Times New Roman" w:hAnsi="Times New Roman" w:cs="Times New Roman"/>
          <w:sz w:val="24"/>
          <w:szCs w:val="24"/>
        </w:rPr>
        <w:t xml:space="preserve"> mutual fund other than these two could exhibit positive ratio and the EXIM1STMF remain on its worst position.</w:t>
      </w:r>
    </w:p>
    <w:p w:rsidR="00746FF8" w:rsidRDefault="00746FF8" w:rsidP="00746F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Jensen’s index, none of the mutual fund in consideration of NAV could generate positive Alpha, which means none of the mutual fund could actually gain expected return suggested by CAPM. In consideration of both weekly closing price and daily closing price, only DBH1STMF and EBL1SMF were able to perform slightly higher above CAPM’s expected return. EBLNRBMF had the highest negative Alpha considering weekly closing price and EXIM1STMF had the highest negative Alpha considering daily closing price. </w:t>
      </w:r>
    </w:p>
    <w:p w:rsidR="00746FF8" w:rsidRPr="00F73EED" w:rsidRDefault="00746FF8" w:rsidP="00746F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CAPM as per analysis on NAV, AIBL1STMF has the highest expected return and 1STPRIMFMF has the lowest expected return. The expected return of other mutual funds are almost same. As per as weekly closing price and daily closing price ATCSLGF require the highest level of return and 1STPRIMFMF require the lowest level of return.         </w:t>
      </w:r>
    </w:p>
    <w:p w:rsidR="00F73EED" w:rsidRPr="00F73EED" w:rsidRDefault="00F73EED" w:rsidP="00F73EED">
      <w:pPr>
        <w:spacing w:before="240" w:after="0" w:line="360" w:lineRule="auto"/>
        <w:jc w:val="both"/>
        <w:rPr>
          <w:rFonts w:ascii="Times New Roman" w:hAnsi="Times New Roman" w:cs="Times New Roman"/>
          <w:sz w:val="24"/>
          <w:szCs w:val="24"/>
        </w:rPr>
      </w:pPr>
    </w:p>
    <w:p w:rsidR="0026624C" w:rsidRDefault="0026624C" w:rsidP="00F43982">
      <w:pPr>
        <w:pStyle w:val="Heading1"/>
        <w:spacing w:line="360" w:lineRule="auto"/>
        <w:jc w:val="center"/>
        <w:rPr>
          <w:rFonts w:ascii="Times New Roman" w:hAnsi="Times New Roman" w:cs="Times New Roman"/>
          <w:b/>
          <w:sz w:val="40"/>
          <w:szCs w:val="40"/>
        </w:rPr>
      </w:pPr>
    </w:p>
    <w:p w:rsidR="0026624C" w:rsidRDefault="0026624C" w:rsidP="00F43982">
      <w:pPr>
        <w:pStyle w:val="Heading1"/>
        <w:spacing w:line="360" w:lineRule="auto"/>
        <w:jc w:val="center"/>
        <w:rPr>
          <w:rFonts w:ascii="Times New Roman" w:hAnsi="Times New Roman" w:cs="Times New Roman"/>
          <w:b/>
          <w:sz w:val="40"/>
          <w:szCs w:val="40"/>
        </w:rPr>
      </w:pPr>
    </w:p>
    <w:p w:rsidR="0026624C" w:rsidRDefault="0026624C" w:rsidP="00F43982">
      <w:pPr>
        <w:pStyle w:val="Heading1"/>
        <w:spacing w:line="360" w:lineRule="auto"/>
        <w:jc w:val="center"/>
        <w:rPr>
          <w:rFonts w:ascii="Times New Roman" w:hAnsi="Times New Roman" w:cs="Times New Roman"/>
          <w:b/>
          <w:sz w:val="40"/>
          <w:szCs w:val="40"/>
        </w:rPr>
      </w:pPr>
    </w:p>
    <w:p w:rsidR="0026624C" w:rsidRDefault="0026624C" w:rsidP="00F43982">
      <w:pPr>
        <w:pStyle w:val="Heading1"/>
        <w:spacing w:line="360" w:lineRule="auto"/>
        <w:jc w:val="center"/>
        <w:rPr>
          <w:rFonts w:ascii="Times New Roman" w:hAnsi="Times New Roman" w:cs="Times New Roman"/>
          <w:b/>
          <w:sz w:val="40"/>
          <w:szCs w:val="40"/>
        </w:rPr>
      </w:pPr>
    </w:p>
    <w:p w:rsidR="0026624C" w:rsidRDefault="0026624C" w:rsidP="00F43982">
      <w:pPr>
        <w:pStyle w:val="Heading1"/>
        <w:spacing w:line="360" w:lineRule="auto"/>
        <w:jc w:val="center"/>
        <w:rPr>
          <w:rFonts w:ascii="Times New Roman" w:hAnsi="Times New Roman" w:cs="Times New Roman"/>
          <w:b/>
          <w:sz w:val="40"/>
          <w:szCs w:val="40"/>
        </w:rPr>
      </w:pPr>
    </w:p>
    <w:bookmarkStart w:id="34" w:name="_Toc13070820"/>
    <w:p w:rsidR="00694BE7" w:rsidRPr="00B70AB0" w:rsidRDefault="0026624C" w:rsidP="00F43982">
      <w:pPr>
        <w:pStyle w:val="Heading1"/>
        <w:spacing w:line="360" w:lineRule="auto"/>
        <w:jc w:val="center"/>
        <w:rPr>
          <w:rFonts w:ascii="Times New Roman" w:hAnsi="Times New Roman" w:cs="Times New Roman"/>
          <w:b/>
          <w:sz w:val="40"/>
          <w:szCs w:val="40"/>
        </w:rPr>
      </w:pPr>
      <w:r w:rsidRPr="00B70AB0">
        <w:rPr>
          <w:rFonts w:ascii="Times New Roman" w:hAnsi="Times New Roman" w:cs="Times New Roman"/>
          <w:b/>
          <w:noProof/>
          <w:sz w:val="40"/>
          <w:szCs w:val="40"/>
        </w:rPr>
        <mc:AlternateContent>
          <mc:Choice Requires="wps">
            <w:drawing>
              <wp:anchor distT="0" distB="0" distL="114300" distR="114300" simplePos="0" relativeHeight="251674624" behindDoc="0" locked="0" layoutInCell="1" allowOverlap="1">
                <wp:simplePos x="0" y="0"/>
                <wp:positionH relativeFrom="margin">
                  <wp:posOffset>1679459</wp:posOffset>
                </wp:positionH>
                <wp:positionV relativeFrom="margin">
                  <wp:posOffset>3365236</wp:posOffset>
                </wp:positionV>
                <wp:extent cx="2686050" cy="0"/>
                <wp:effectExtent l="0" t="0" r="19050" b="19050"/>
                <wp:wrapSquare wrapText="bothSides"/>
                <wp:docPr id="52" name="Straight Connector 52"/>
                <wp:cNvGraphicFramePr/>
                <a:graphic xmlns:a="http://schemas.openxmlformats.org/drawingml/2006/main">
                  <a:graphicData uri="http://schemas.microsoft.com/office/word/2010/wordprocessingShape">
                    <wps:wsp>
                      <wps:cNvCnPr/>
                      <wps:spPr>
                        <a:xfrm>
                          <a:off x="0" y="0"/>
                          <a:ext cx="2686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902A471" id="Straight Connector 52" o:spid="_x0000_s1026" style="position:absolute;z-index:251674624;visibility:visible;mso-wrap-style:square;mso-wrap-distance-left:9pt;mso-wrap-distance-top:0;mso-wrap-distance-right:9pt;mso-wrap-distance-bottom:0;mso-position-horizontal:absolute;mso-position-horizontal-relative:margin;mso-position-vertical:absolute;mso-position-vertical-relative:margin" from="132.25pt,265pt" to="343.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" strokecolor="#5b9bd5 [3204]" strokeweight=".5pt">
                <v:stroke joinstyle="miter"/>
                <w10:wrap type="square" anchorx="margin" anchory="margin"/>
              </v:line>
            </w:pict>
          </mc:Fallback>
        </mc:AlternateContent>
      </w:r>
      <w:r w:rsidR="00F13B7F" w:rsidRPr="00B70AB0">
        <w:rPr>
          <w:rFonts w:ascii="Times New Roman" w:hAnsi="Times New Roman" w:cs="Times New Roman"/>
          <w:b/>
          <w:sz w:val="40"/>
          <w:szCs w:val="40"/>
        </w:rPr>
        <w:t>Chapter 6</w:t>
      </w:r>
      <w:bookmarkEnd w:id="34"/>
    </w:p>
    <w:p w:rsidR="00F13B7F" w:rsidRPr="00F43982" w:rsidRDefault="00F13B7F" w:rsidP="00F43982">
      <w:pPr>
        <w:spacing w:line="360" w:lineRule="auto"/>
        <w:jc w:val="center"/>
        <w:rPr>
          <w:rFonts w:ascii="Times New Roman" w:hAnsi="Times New Roman" w:cs="Times New Roman"/>
          <w:b/>
          <w:sz w:val="36"/>
          <w:szCs w:val="36"/>
        </w:rPr>
      </w:pPr>
      <w:r w:rsidRPr="00F43982">
        <w:rPr>
          <w:rFonts w:ascii="Times New Roman" w:hAnsi="Times New Roman" w:cs="Times New Roman"/>
          <w:b/>
          <w:sz w:val="36"/>
          <w:szCs w:val="36"/>
        </w:rPr>
        <w:t>Conclusion</w:t>
      </w:r>
    </w:p>
    <w:p w:rsidR="00FB160B" w:rsidRDefault="00FB160B" w:rsidP="00F13B7F">
      <w:pPr>
        <w:spacing w:line="360" w:lineRule="auto"/>
        <w:rPr>
          <w:rFonts w:ascii="Times New Roman" w:hAnsi="Times New Roman" w:cs="Times New Roman"/>
          <w:sz w:val="24"/>
          <w:szCs w:val="24"/>
        </w:rPr>
      </w:pPr>
    </w:p>
    <w:p w:rsidR="00F43982" w:rsidRDefault="00FB160B">
      <w:pPr>
        <w:rPr>
          <w:rFonts w:ascii="Times New Roman" w:hAnsi="Times New Roman" w:cs="Times New Roman"/>
          <w:sz w:val="24"/>
          <w:szCs w:val="24"/>
        </w:rPr>
      </w:pPr>
      <w:r>
        <w:rPr>
          <w:rFonts w:ascii="Times New Roman" w:hAnsi="Times New Roman" w:cs="Times New Roman"/>
          <w:sz w:val="24"/>
          <w:szCs w:val="24"/>
        </w:rPr>
        <w:br w:type="page"/>
      </w:r>
    </w:p>
    <w:p w:rsidR="00BE2C04" w:rsidRDefault="00FB160B" w:rsidP="00BE2C04">
      <w:pPr>
        <w:pStyle w:val="Heading2"/>
        <w:spacing w:line="360" w:lineRule="auto"/>
        <w:rPr>
          <w:rFonts w:ascii="Times New Roman" w:hAnsi="Times New Roman" w:cs="Times New Roman"/>
          <w:b/>
          <w:color w:val="auto"/>
          <w:sz w:val="36"/>
          <w:szCs w:val="36"/>
        </w:rPr>
      </w:pPr>
      <w:bookmarkStart w:id="35" w:name="_Toc12181235"/>
      <w:bookmarkStart w:id="36" w:name="_Toc13070821"/>
      <w:r w:rsidRPr="00BE2C04">
        <w:rPr>
          <w:rFonts w:ascii="Times New Roman" w:hAnsi="Times New Roman" w:cs="Times New Roman"/>
          <w:b/>
          <w:color w:val="auto"/>
          <w:sz w:val="36"/>
          <w:szCs w:val="36"/>
        </w:rPr>
        <w:lastRenderedPageBreak/>
        <w:t>Conclusion</w:t>
      </w:r>
      <w:bookmarkEnd w:id="35"/>
      <w:bookmarkEnd w:id="36"/>
      <w:r w:rsidRPr="00BE2C04">
        <w:rPr>
          <w:rFonts w:ascii="Times New Roman" w:hAnsi="Times New Roman" w:cs="Times New Roman"/>
          <w:b/>
          <w:color w:val="auto"/>
          <w:sz w:val="36"/>
          <w:szCs w:val="36"/>
        </w:rPr>
        <w:t xml:space="preserve"> </w:t>
      </w:r>
    </w:p>
    <w:p w:rsidR="000B41F4" w:rsidRPr="00D462A9" w:rsidRDefault="00FB160B" w:rsidP="000B41F4">
      <w:pPr>
        <w:spacing w:line="360" w:lineRule="auto"/>
        <w:jc w:val="both"/>
        <w:rPr>
          <w:rFonts w:ascii="Times New Roman" w:hAnsi="Times New Roman" w:cs="Times New Roman"/>
          <w:sz w:val="24"/>
          <w:szCs w:val="24"/>
        </w:rPr>
      </w:pPr>
      <w:r w:rsidRPr="00FB160B">
        <w:rPr>
          <w:rFonts w:ascii="Times New Roman" w:hAnsi="Times New Roman" w:cs="Times New Roman"/>
          <w:sz w:val="24"/>
          <w:szCs w:val="24"/>
        </w:rPr>
        <w:t xml:space="preserve">Mutual fund is crucially important for economic development of a country because it encourage common people to save money and make investment in productive function of economy via itself. The government should come forward to develop industry such as mutual fund what has direct contribution to the development of economy. Considering current situation, it cannot be expected that the industry will develop over a night. Development of capital market and stock exchanges is mandatory for development of the mutual fund industry. Government should be </w:t>
      </w:r>
      <w:proofErr w:type="gramStart"/>
      <w:r w:rsidRPr="00FB160B">
        <w:rPr>
          <w:rFonts w:ascii="Times New Roman" w:hAnsi="Times New Roman" w:cs="Times New Roman"/>
          <w:sz w:val="24"/>
          <w:szCs w:val="24"/>
        </w:rPr>
        <w:t>more strict</w:t>
      </w:r>
      <w:proofErr w:type="gramEnd"/>
      <w:r w:rsidRPr="00FB160B">
        <w:rPr>
          <w:rFonts w:ascii="Times New Roman" w:hAnsi="Times New Roman" w:cs="Times New Roman"/>
          <w:sz w:val="24"/>
          <w:szCs w:val="24"/>
        </w:rPr>
        <w:t xml:space="preserve"> about rules and regulation of money market and capital market. The managers of the mutual fund should be devoted in more research activity. They should be concern about increasing the NAV by focusing on reducing cost. More diversity might be necessary in portfolio creation or they should include some promising industry and some risk free instrument in the portfolio. Most importantly they have to be very precise regarding selectivity of stock and timing. Along with study of the market study of trend of common investor should also be taken in account.</w:t>
      </w:r>
      <w:r w:rsidR="000B41F4">
        <w:rPr>
          <w:rFonts w:ascii="Times New Roman" w:hAnsi="Times New Roman" w:cs="Times New Roman"/>
          <w:sz w:val="24"/>
          <w:szCs w:val="24"/>
        </w:rPr>
        <w:t xml:space="preserve"> </w:t>
      </w:r>
      <w:r w:rsidR="000B41F4" w:rsidRPr="00D462A9">
        <w:rPr>
          <w:rFonts w:ascii="Times New Roman" w:hAnsi="Times New Roman" w:cs="Times New Roman"/>
          <w:sz w:val="24"/>
          <w:szCs w:val="24"/>
        </w:rPr>
        <w:t xml:space="preserve">Through the study, it was found in terms of market value of NAV none of the mutual fund </w:t>
      </w:r>
      <w:proofErr w:type="gramStart"/>
      <w:r w:rsidR="000B41F4" w:rsidRPr="00D462A9">
        <w:rPr>
          <w:rFonts w:ascii="Times New Roman" w:hAnsi="Times New Roman" w:cs="Times New Roman"/>
          <w:sz w:val="24"/>
          <w:szCs w:val="24"/>
        </w:rPr>
        <w:t>were</w:t>
      </w:r>
      <w:proofErr w:type="gramEnd"/>
      <w:r w:rsidR="000B41F4" w:rsidRPr="00D462A9">
        <w:rPr>
          <w:rFonts w:ascii="Times New Roman" w:hAnsi="Times New Roman" w:cs="Times New Roman"/>
          <w:sz w:val="24"/>
          <w:szCs w:val="24"/>
        </w:rPr>
        <w:t xml:space="preserve"> able to produce positive Sharpe or </w:t>
      </w:r>
      <w:proofErr w:type="spellStart"/>
      <w:r w:rsidR="000B41F4" w:rsidRPr="00D462A9">
        <w:rPr>
          <w:rFonts w:ascii="Times New Roman" w:hAnsi="Times New Roman" w:cs="Times New Roman"/>
          <w:sz w:val="24"/>
          <w:szCs w:val="24"/>
        </w:rPr>
        <w:t>Treynor</w:t>
      </w:r>
      <w:proofErr w:type="spellEnd"/>
      <w:r w:rsidR="000B41F4" w:rsidRPr="00D462A9">
        <w:rPr>
          <w:rFonts w:ascii="Times New Roman" w:hAnsi="Times New Roman" w:cs="Times New Roman"/>
          <w:sz w:val="24"/>
          <w:szCs w:val="24"/>
        </w:rPr>
        <w:t xml:space="preserve"> ratio and none of the mutual fund were able to provide expected return suggested by Capital Asset Pricing Model, which is expressed by negative Alpha in Jensen’s index. However, in consideration of price DBH1STMF gained positive figure in every dimension. EBL1SMF were its close competitor but it did not manage to have positive Sharpe ratio in consideration of return on weekly closing price. </w:t>
      </w:r>
    </w:p>
    <w:p w:rsidR="000B41F4" w:rsidRDefault="000B41F4" w:rsidP="000B41F4"/>
    <w:p w:rsidR="0058700F" w:rsidRDefault="0058700F" w:rsidP="00FB160B">
      <w:pPr>
        <w:spacing w:line="360" w:lineRule="auto"/>
        <w:jc w:val="both"/>
        <w:rPr>
          <w:rFonts w:ascii="Times New Roman" w:hAnsi="Times New Roman" w:cs="Times New Roman"/>
          <w:sz w:val="24"/>
          <w:szCs w:val="24"/>
        </w:rPr>
      </w:pPr>
    </w:p>
    <w:p w:rsidR="0058700F" w:rsidRDefault="0058700F">
      <w:pPr>
        <w:rPr>
          <w:rFonts w:ascii="Times New Roman" w:hAnsi="Times New Roman" w:cs="Times New Roman"/>
          <w:sz w:val="24"/>
          <w:szCs w:val="24"/>
        </w:rPr>
      </w:pPr>
      <w:r>
        <w:rPr>
          <w:rFonts w:ascii="Times New Roman" w:hAnsi="Times New Roman" w:cs="Times New Roman"/>
          <w:sz w:val="24"/>
          <w:szCs w:val="24"/>
        </w:rPr>
        <w:br w:type="page"/>
      </w:r>
    </w:p>
    <w:p w:rsidR="00D524A0" w:rsidRPr="00BE70E3" w:rsidRDefault="008330D0" w:rsidP="00DA0A93">
      <w:pPr>
        <w:pStyle w:val="Heading1"/>
        <w:spacing w:line="360" w:lineRule="auto"/>
        <w:rPr>
          <w:rFonts w:ascii="Times New Roman" w:hAnsi="Times New Roman" w:cs="Times New Roman"/>
          <w:b/>
          <w:color w:val="auto"/>
          <w:sz w:val="40"/>
          <w:szCs w:val="40"/>
        </w:rPr>
      </w:pPr>
      <w:bookmarkStart w:id="37" w:name="_Toc12181236"/>
      <w:bookmarkStart w:id="38" w:name="_Toc13070822"/>
      <w:r w:rsidRPr="00BE70E3">
        <w:rPr>
          <w:rFonts w:ascii="Times New Roman" w:hAnsi="Times New Roman" w:cs="Times New Roman"/>
          <w:b/>
          <w:color w:val="auto"/>
          <w:sz w:val="40"/>
          <w:szCs w:val="40"/>
        </w:rPr>
        <w:lastRenderedPageBreak/>
        <w:t>Reference</w:t>
      </w:r>
      <w:bookmarkEnd w:id="37"/>
      <w:bookmarkEnd w:id="38"/>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r w:rsidRPr="000B41F4">
        <w:rPr>
          <w:rFonts w:ascii="Times New Roman" w:hAnsi="Times New Roman" w:cs="Times New Roman"/>
          <w:sz w:val="24"/>
          <w:szCs w:val="24"/>
          <w:shd w:val="clear" w:color="auto" w:fill="FFFFFF"/>
        </w:rPr>
        <w:t xml:space="preserve">Abdullah, M. N., &amp; </w:t>
      </w:r>
      <w:proofErr w:type="spellStart"/>
      <w:r w:rsidRPr="000B41F4">
        <w:rPr>
          <w:rFonts w:ascii="Times New Roman" w:hAnsi="Times New Roman" w:cs="Times New Roman"/>
          <w:sz w:val="24"/>
          <w:szCs w:val="24"/>
          <w:shd w:val="clear" w:color="auto" w:fill="FFFFFF"/>
        </w:rPr>
        <w:t>Parvez</w:t>
      </w:r>
      <w:proofErr w:type="spellEnd"/>
      <w:r w:rsidRPr="000B41F4">
        <w:rPr>
          <w:rFonts w:ascii="Times New Roman" w:hAnsi="Times New Roman" w:cs="Times New Roman"/>
          <w:sz w:val="24"/>
          <w:szCs w:val="24"/>
          <w:shd w:val="clear" w:color="auto" w:fill="FFFFFF"/>
        </w:rPr>
        <w:t>, K. (2012). Corporate Governance of Mutual Fund in Bangladesh. </w:t>
      </w:r>
      <w:r w:rsidRPr="000B41F4">
        <w:rPr>
          <w:rFonts w:ascii="Times New Roman" w:hAnsi="Times New Roman" w:cs="Times New Roman"/>
          <w:i/>
          <w:iCs/>
          <w:sz w:val="24"/>
          <w:szCs w:val="24"/>
          <w:shd w:val="clear" w:color="auto" w:fill="FFFFFF"/>
        </w:rPr>
        <w:t>Corporate Governance</w:t>
      </w:r>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3</w:t>
      </w:r>
      <w:r w:rsidRPr="000B41F4">
        <w:rPr>
          <w:rFonts w:ascii="Times New Roman" w:hAnsi="Times New Roman" w:cs="Times New Roman"/>
          <w:sz w:val="24"/>
          <w:szCs w:val="24"/>
          <w:shd w:val="clear" w:color="auto" w:fill="FFFFFF"/>
        </w:rPr>
        <w:t>(6).</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r w:rsidRPr="000B41F4">
        <w:rPr>
          <w:rFonts w:ascii="Times New Roman" w:hAnsi="Times New Roman" w:cs="Times New Roman"/>
          <w:sz w:val="24"/>
          <w:szCs w:val="24"/>
          <w:shd w:val="clear" w:color="auto" w:fill="FFFFFF"/>
        </w:rPr>
        <w:t>ACMA, M. Q. (2014). Comparative Study on Performance Evaluation of Mutual Fund Schemes in Bangladesh: An Analysis of Monthly Returns. </w:t>
      </w:r>
      <w:r w:rsidRPr="000B41F4">
        <w:rPr>
          <w:rFonts w:ascii="Times New Roman" w:hAnsi="Times New Roman" w:cs="Times New Roman"/>
          <w:i/>
          <w:iCs/>
          <w:sz w:val="24"/>
          <w:szCs w:val="24"/>
          <w:shd w:val="clear" w:color="auto" w:fill="FFFFFF"/>
        </w:rPr>
        <w:t>Journal of Business Studies Quarterly</w:t>
      </w:r>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5</w:t>
      </w:r>
      <w:r w:rsidRPr="000B41F4">
        <w:rPr>
          <w:rFonts w:ascii="Times New Roman" w:hAnsi="Times New Roman" w:cs="Times New Roman"/>
          <w:sz w:val="24"/>
          <w:szCs w:val="24"/>
          <w:shd w:val="clear" w:color="auto" w:fill="FFFFFF"/>
        </w:rPr>
        <w:t>(4), 190.</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rPr>
      </w:pPr>
      <w:proofErr w:type="spellStart"/>
      <w:r w:rsidRPr="000B41F4">
        <w:rPr>
          <w:rFonts w:ascii="Times New Roman" w:hAnsi="Times New Roman" w:cs="Times New Roman"/>
          <w:sz w:val="24"/>
          <w:szCs w:val="24"/>
          <w:shd w:val="clear" w:color="auto" w:fill="FFFFFF"/>
        </w:rPr>
        <w:t>Annaert</w:t>
      </w:r>
      <w:proofErr w:type="spellEnd"/>
      <w:r w:rsidRPr="000B41F4">
        <w:rPr>
          <w:rFonts w:ascii="Times New Roman" w:hAnsi="Times New Roman" w:cs="Times New Roman"/>
          <w:sz w:val="24"/>
          <w:szCs w:val="24"/>
          <w:shd w:val="clear" w:color="auto" w:fill="FFFFFF"/>
        </w:rPr>
        <w:t xml:space="preserve">, J., Van Den </w:t>
      </w:r>
      <w:proofErr w:type="spellStart"/>
      <w:r w:rsidRPr="000B41F4">
        <w:rPr>
          <w:rFonts w:ascii="Times New Roman" w:hAnsi="Times New Roman" w:cs="Times New Roman"/>
          <w:sz w:val="24"/>
          <w:szCs w:val="24"/>
          <w:shd w:val="clear" w:color="auto" w:fill="FFFFFF"/>
        </w:rPr>
        <w:t>Broeck</w:t>
      </w:r>
      <w:proofErr w:type="spellEnd"/>
      <w:r w:rsidRPr="000B41F4">
        <w:rPr>
          <w:rFonts w:ascii="Times New Roman" w:hAnsi="Times New Roman" w:cs="Times New Roman"/>
          <w:sz w:val="24"/>
          <w:szCs w:val="24"/>
          <w:shd w:val="clear" w:color="auto" w:fill="FFFFFF"/>
        </w:rPr>
        <w:t xml:space="preserve">, J., &amp; Vander </w:t>
      </w:r>
      <w:proofErr w:type="spellStart"/>
      <w:r w:rsidRPr="000B41F4">
        <w:rPr>
          <w:rFonts w:ascii="Times New Roman" w:hAnsi="Times New Roman" w:cs="Times New Roman"/>
          <w:sz w:val="24"/>
          <w:szCs w:val="24"/>
          <w:shd w:val="clear" w:color="auto" w:fill="FFFFFF"/>
        </w:rPr>
        <w:t>Vennet</w:t>
      </w:r>
      <w:proofErr w:type="spellEnd"/>
      <w:r w:rsidRPr="000B41F4">
        <w:rPr>
          <w:rFonts w:ascii="Times New Roman" w:hAnsi="Times New Roman" w:cs="Times New Roman"/>
          <w:sz w:val="24"/>
          <w:szCs w:val="24"/>
          <w:shd w:val="clear" w:color="auto" w:fill="FFFFFF"/>
        </w:rPr>
        <w:t>, R. (2001). Determinants of Mutual Fund Performance: A Bayesian Stochastic Frontier Approach. </w:t>
      </w:r>
      <w:r w:rsidRPr="000B41F4">
        <w:rPr>
          <w:rFonts w:ascii="Times New Roman" w:hAnsi="Times New Roman" w:cs="Times New Roman"/>
          <w:i/>
          <w:iCs/>
          <w:sz w:val="24"/>
          <w:szCs w:val="24"/>
          <w:shd w:val="clear" w:color="auto" w:fill="FFFFFF"/>
        </w:rPr>
        <w:t>European Journal of Operational Research</w:t>
      </w:r>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151</w:t>
      </w:r>
      <w:r w:rsidRPr="000B41F4">
        <w:rPr>
          <w:rFonts w:ascii="Times New Roman" w:hAnsi="Times New Roman" w:cs="Times New Roman"/>
          <w:sz w:val="24"/>
          <w:szCs w:val="24"/>
          <w:shd w:val="clear" w:color="auto" w:fill="FFFFFF"/>
        </w:rPr>
        <w:t>(3), 1-38.</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r w:rsidRPr="000B41F4">
        <w:rPr>
          <w:rFonts w:ascii="Times New Roman" w:hAnsi="Times New Roman" w:cs="Times New Roman"/>
          <w:sz w:val="24"/>
          <w:szCs w:val="24"/>
          <w:shd w:val="clear" w:color="auto" w:fill="FFFFFF"/>
        </w:rPr>
        <w:t xml:space="preserve">Anwar, S. R., &amp; </w:t>
      </w:r>
      <w:proofErr w:type="spellStart"/>
      <w:r w:rsidRPr="000B41F4">
        <w:rPr>
          <w:rFonts w:ascii="Times New Roman" w:hAnsi="Times New Roman" w:cs="Times New Roman"/>
          <w:sz w:val="24"/>
          <w:szCs w:val="24"/>
          <w:shd w:val="clear" w:color="auto" w:fill="FFFFFF"/>
        </w:rPr>
        <w:t>Arif</w:t>
      </w:r>
      <w:proofErr w:type="spellEnd"/>
      <w:r w:rsidRPr="000B41F4">
        <w:rPr>
          <w:rFonts w:ascii="Times New Roman" w:hAnsi="Times New Roman" w:cs="Times New Roman"/>
          <w:sz w:val="24"/>
          <w:szCs w:val="24"/>
          <w:shd w:val="clear" w:color="auto" w:fill="FFFFFF"/>
        </w:rPr>
        <w:t xml:space="preserve">, T. M. H. (2017). Evaluation of mutual </w:t>
      </w:r>
      <w:proofErr w:type="spellStart"/>
      <w:r w:rsidRPr="000B41F4">
        <w:rPr>
          <w:rFonts w:ascii="Times New Roman" w:hAnsi="Times New Roman" w:cs="Times New Roman"/>
          <w:sz w:val="24"/>
          <w:szCs w:val="24"/>
          <w:shd w:val="clear" w:color="auto" w:fill="FFFFFF"/>
        </w:rPr>
        <w:t>funds</w:t>
      </w:r>
      <w:proofErr w:type="spellEnd"/>
      <w:r w:rsidRPr="000B41F4">
        <w:rPr>
          <w:rFonts w:ascii="Times New Roman" w:hAnsi="Times New Roman" w:cs="Times New Roman"/>
          <w:sz w:val="24"/>
          <w:szCs w:val="24"/>
          <w:shd w:val="clear" w:color="auto" w:fill="FFFFFF"/>
        </w:rPr>
        <w:t xml:space="preserve"> performance in Bangladesh: Investors and market perspective. </w:t>
      </w:r>
      <w:r w:rsidRPr="000B41F4">
        <w:rPr>
          <w:rFonts w:ascii="Times New Roman" w:hAnsi="Times New Roman" w:cs="Times New Roman"/>
          <w:i/>
          <w:iCs/>
          <w:sz w:val="24"/>
          <w:szCs w:val="24"/>
          <w:shd w:val="clear" w:color="auto" w:fill="FFFFFF"/>
        </w:rPr>
        <w:t>Global Journal of Management and Business Research</w:t>
      </w:r>
      <w:r w:rsidRPr="000B41F4">
        <w:rPr>
          <w:rFonts w:ascii="Times New Roman" w:hAnsi="Times New Roman" w:cs="Times New Roman"/>
          <w:sz w:val="24"/>
          <w:szCs w:val="24"/>
          <w:shd w:val="clear" w:color="auto" w:fill="FFFFFF"/>
        </w:rPr>
        <w:t>.</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proofErr w:type="spellStart"/>
      <w:r w:rsidRPr="000B41F4">
        <w:rPr>
          <w:rFonts w:ascii="Times New Roman" w:hAnsi="Times New Roman" w:cs="Times New Roman"/>
          <w:sz w:val="24"/>
          <w:szCs w:val="24"/>
          <w:shd w:val="clear" w:color="auto" w:fill="FFFFFF"/>
        </w:rPr>
        <w:t>Biplob</w:t>
      </w:r>
      <w:proofErr w:type="spellEnd"/>
      <w:r w:rsidRPr="000B41F4">
        <w:rPr>
          <w:rFonts w:ascii="Times New Roman" w:hAnsi="Times New Roman" w:cs="Times New Roman"/>
          <w:sz w:val="24"/>
          <w:szCs w:val="24"/>
          <w:shd w:val="clear" w:color="auto" w:fill="FFFFFF"/>
        </w:rPr>
        <w:t>, M. N. K. (2017). Performance Evaluation of Bangladeshi Mutual Fund: An Analysis of Monthly Return Based on Net Asset Value.</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proofErr w:type="spellStart"/>
      <w:r w:rsidRPr="000B41F4">
        <w:rPr>
          <w:rFonts w:ascii="Times New Roman" w:hAnsi="Times New Roman" w:cs="Times New Roman"/>
          <w:sz w:val="24"/>
          <w:szCs w:val="24"/>
          <w:shd w:val="clear" w:color="auto" w:fill="FFFFFF"/>
        </w:rPr>
        <w:t>Bodie</w:t>
      </w:r>
      <w:proofErr w:type="spellEnd"/>
      <w:r w:rsidRPr="000B41F4">
        <w:rPr>
          <w:rFonts w:ascii="Times New Roman" w:hAnsi="Times New Roman" w:cs="Times New Roman"/>
          <w:sz w:val="24"/>
          <w:szCs w:val="24"/>
          <w:shd w:val="clear" w:color="auto" w:fill="FFFFFF"/>
        </w:rPr>
        <w:t>, Z., Kane, A., &amp; Marcus, A. J. (2013). </w:t>
      </w:r>
      <w:r w:rsidRPr="000B41F4">
        <w:rPr>
          <w:rFonts w:ascii="Times New Roman" w:hAnsi="Times New Roman" w:cs="Times New Roman"/>
          <w:i/>
          <w:iCs/>
          <w:sz w:val="24"/>
          <w:szCs w:val="24"/>
          <w:shd w:val="clear" w:color="auto" w:fill="FFFFFF"/>
        </w:rPr>
        <w:t>Investments and portfolio management</w:t>
      </w:r>
      <w:r w:rsidRPr="000B41F4">
        <w:rPr>
          <w:rFonts w:ascii="Times New Roman" w:hAnsi="Times New Roman" w:cs="Times New Roman"/>
          <w:sz w:val="24"/>
          <w:szCs w:val="24"/>
          <w:shd w:val="clear" w:color="auto" w:fill="FFFFFF"/>
        </w:rPr>
        <w:t>. McGraw Hill Education (India) Private Limited.</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r w:rsidRPr="000B41F4">
        <w:rPr>
          <w:rFonts w:ascii="Times New Roman" w:hAnsi="Times New Roman" w:cs="Times New Roman"/>
          <w:sz w:val="24"/>
          <w:szCs w:val="24"/>
          <w:shd w:val="clear" w:color="auto" w:fill="FFFFFF"/>
        </w:rPr>
        <w:t>Brown, F. E., &amp; Vickers, D. (1963). Mutual fund portfolio activity, performance, and market impact. </w:t>
      </w:r>
      <w:r w:rsidRPr="000B41F4">
        <w:rPr>
          <w:rFonts w:ascii="Times New Roman" w:hAnsi="Times New Roman" w:cs="Times New Roman"/>
          <w:i/>
          <w:iCs/>
          <w:sz w:val="24"/>
          <w:szCs w:val="24"/>
          <w:shd w:val="clear" w:color="auto" w:fill="FFFFFF"/>
        </w:rPr>
        <w:t>The Journal of Finance</w:t>
      </w:r>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18</w:t>
      </w:r>
      <w:r w:rsidRPr="000B41F4">
        <w:rPr>
          <w:rFonts w:ascii="Times New Roman" w:hAnsi="Times New Roman" w:cs="Times New Roman"/>
          <w:sz w:val="24"/>
          <w:szCs w:val="24"/>
          <w:shd w:val="clear" w:color="auto" w:fill="FFFFFF"/>
        </w:rPr>
        <w:t>(2), 377-391.</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r w:rsidRPr="000B41F4">
        <w:rPr>
          <w:rFonts w:ascii="Times New Roman" w:hAnsi="Times New Roman" w:cs="Times New Roman"/>
          <w:sz w:val="24"/>
          <w:szCs w:val="24"/>
          <w:shd w:val="clear" w:color="auto" w:fill="FFFFFF"/>
        </w:rPr>
        <w:t xml:space="preserve">Chang, E. C., &amp; </w:t>
      </w:r>
      <w:proofErr w:type="spellStart"/>
      <w:r w:rsidRPr="000B41F4">
        <w:rPr>
          <w:rFonts w:ascii="Times New Roman" w:hAnsi="Times New Roman" w:cs="Times New Roman"/>
          <w:sz w:val="24"/>
          <w:szCs w:val="24"/>
          <w:shd w:val="clear" w:color="auto" w:fill="FFFFFF"/>
        </w:rPr>
        <w:t>Lewellen</w:t>
      </w:r>
      <w:proofErr w:type="spellEnd"/>
      <w:r w:rsidRPr="000B41F4">
        <w:rPr>
          <w:rFonts w:ascii="Times New Roman" w:hAnsi="Times New Roman" w:cs="Times New Roman"/>
          <w:sz w:val="24"/>
          <w:szCs w:val="24"/>
          <w:shd w:val="clear" w:color="auto" w:fill="FFFFFF"/>
        </w:rPr>
        <w:t>, W. G. (1984). Market timing and mutual fund investment performance. </w:t>
      </w:r>
      <w:r w:rsidRPr="000B41F4">
        <w:rPr>
          <w:rFonts w:ascii="Times New Roman" w:hAnsi="Times New Roman" w:cs="Times New Roman"/>
          <w:i/>
          <w:iCs/>
          <w:sz w:val="24"/>
          <w:szCs w:val="24"/>
          <w:shd w:val="clear" w:color="auto" w:fill="FFFFFF"/>
        </w:rPr>
        <w:t>Journal of Business</w:t>
      </w:r>
      <w:r w:rsidRPr="000B41F4">
        <w:rPr>
          <w:rFonts w:ascii="Times New Roman" w:hAnsi="Times New Roman" w:cs="Times New Roman"/>
          <w:sz w:val="24"/>
          <w:szCs w:val="24"/>
          <w:shd w:val="clear" w:color="auto" w:fill="FFFFFF"/>
        </w:rPr>
        <w:t>, 57-72.</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r w:rsidRPr="000B41F4">
        <w:rPr>
          <w:rFonts w:ascii="Times New Roman" w:hAnsi="Times New Roman" w:cs="Times New Roman"/>
          <w:sz w:val="24"/>
          <w:szCs w:val="24"/>
          <w:shd w:val="clear" w:color="auto" w:fill="FFFFFF"/>
        </w:rPr>
        <w:t xml:space="preserve">Chowdhury, T. S., </w:t>
      </w:r>
      <w:proofErr w:type="spellStart"/>
      <w:r w:rsidRPr="000B41F4">
        <w:rPr>
          <w:rFonts w:ascii="Times New Roman" w:hAnsi="Times New Roman" w:cs="Times New Roman"/>
          <w:sz w:val="24"/>
          <w:szCs w:val="24"/>
          <w:shd w:val="clear" w:color="auto" w:fill="FFFFFF"/>
        </w:rPr>
        <w:t>Habibullah</w:t>
      </w:r>
      <w:proofErr w:type="spellEnd"/>
      <w:r w:rsidRPr="000B41F4">
        <w:rPr>
          <w:rFonts w:ascii="Times New Roman" w:hAnsi="Times New Roman" w:cs="Times New Roman"/>
          <w:sz w:val="24"/>
          <w:szCs w:val="24"/>
          <w:shd w:val="clear" w:color="auto" w:fill="FFFFFF"/>
        </w:rPr>
        <w:t xml:space="preserve">, M., &amp; </w:t>
      </w:r>
      <w:proofErr w:type="spellStart"/>
      <w:r w:rsidRPr="000B41F4">
        <w:rPr>
          <w:rFonts w:ascii="Times New Roman" w:hAnsi="Times New Roman" w:cs="Times New Roman"/>
          <w:sz w:val="24"/>
          <w:szCs w:val="24"/>
          <w:shd w:val="clear" w:color="auto" w:fill="FFFFFF"/>
        </w:rPr>
        <w:t>Nahar</w:t>
      </w:r>
      <w:proofErr w:type="spellEnd"/>
      <w:r w:rsidRPr="000B41F4">
        <w:rPr>
          <w:rFonts w:ascii="Times New Roman" w:hAnsi="Times New Roman" w:cs="Times New Roman"/>
          <w:sz w:val="24"/>
          <w:szCs w:val="24"/>
          <w:shd w:val="clear" w:color="auto" w:fill="FFFFFF"/>
        </w:rPr>
        <w:t>, N. (2018). Risk and return analysis of closed-end mutual fund in Bangladesh. </w:t>
      </w:r>
      <w:r w:rsidRPr="000B41F4">
        <w:rPr>
          <w:rFonts w:ascii="Times New Roman" w:hAnsi="Times New Roman" w:cs="Times New Roman"/>
          <w:i/>
          <w:iCs/>
          <w:sz w:val="24"/>
          <w:szCs w:val="24"/>
          <w:shd w:val="clear" w:color="auto" w:fill="FFFFFF"/>
        </w:rPr>
        <w:t>Journal of Accounting, Business and Finance Research</w:t>
      </w:r>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3</w:t>
      </w:r>
      <w:r w:rsidRPr="000B41F4">
        <w:rPr>
          <w:rFonts w:ascii="Times New Roman" w:hAnsi="Times New Roman" w:cs="Times New Roman"/>
          <w:sz w:val="24"/>
          <w:szCs w:val="24"/>
          <w:shd w:val="clear" w:color="auto" w:fill="FFFFFF"/>
        </w:rPr>
        <w:t>(2), 83-92.</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r w:rsidRPr="000B41F4">
        <w:rPr>
          <w:rFonts w:ascii="Times New Roman" w:hAnsi="Times New Roman" w:cs="Times New Roman"/>
          <w:sz w:val="24"/>
          <w:szCs w:val="24"/>
          <w:shd w:val="clear" w:color="auto" w:fill="FFFFFF"/>
        </w:rPr>
        <w:t>Ferreira, M. A., Miguel, A. F., &amp; Ramos, S. (2006). </w:t>
      </w:r>
      <w:r w:rsidRPr="000B41F4">
        <w:rPr>
          <w:rFonts w:ascii="Times New Roman" w:hAnsi="Times New Roman" w:cs="Times New Roman"/>
          <w:i/>
          <w:iCs/>
          <w:sz w:val="24"/>
          <w:szCs w:val="24"/>
          <w:shd w:val="clear" w:color="auto" w:fill="FFFFFF"/>
        </w:rPr>
        <w:t>The determinants of mutual fund performance: A cross-country study</w:t>
      </w:r>
      <w:r w:rsidRPr="000B41F4">
        <w:rPr>
          <w:rFonts w:ascii="Times New Roman" w:hAnsi="Times New Roman" w:cs="Times New Roman"/>
          <w:sz w:val="24"/>
          <w:szCs w:val="24"/>
          <w:shd w:val="clear" w:color="auto" w:fill="FFFFFF"/>
        </w:rPr>
        <w:t> (No. 06-31). Swiss Finance Institute.</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proofErr w:type="spellStart"/>
      <w:r w:rsidRPr="000B41F4">
        <w:rPr>
          <w:rFonts w:ascii="Times New Roman" w:hAnsi="Times New Roman" w:cs="Times New Roman"/>
          <w:sz w:val="24"/>
          <w:szCs w:val="24"/>
          <w:shd w:val="clear" w:color="auto" w:fill="FFFFFF"/>
        </w:rPr>
        <w:t>Goel</w:t>
      </w:r>
      <w:proofErr w:type="spellEnd"/>
      <w:r w:rsidRPr="000B41F4">
        <w:rPr>
          <w:rFonts w:ascii="Times New Roman" w:hAnsi="Times New Roman" w:cs="Times New Roman"/>
          <w:sz w:val="24"/>
          <w:szCs w:val="24"/>
          <w:shd w:val="clear" w:color="auto" w:fill="FFFFFF"/>
        </w:rPr>
        <w:t>, S., Mani, M., &amp; Sharma, R. (2012). A Review of Performance Indicators of Mutual Funds. </w:t>
      </w:r>
      <w:r w:rsidRPr="000B41F4">
        <w:rPr>
          <w:rFonts w:ascii="Times New Roman" w:hAnsi="Times New Roman" w:cs="Times New Roman"/>
          <w:i/>
          <w:iCs/>
          <w:sz w:val="24"/>
          <w:szCs w:val="24"/>
          <w:shd w:val="clear" w:color="auto" w:fill="FFFFFF"/>
        </w:rPr>
        <w:t>Researchers World</w:t>
      </w:r>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3</w:t>
      </w:r>
      <w:r w:rsidRPr="000B41F4">
        <w:rPr>
          <w:rFonts w:ascii="Times New Roman" w:hAnsi="Times New Roman" w:cs="Times New Roman"/>
          <w:sz w:val="24"/>
          <w:szCs w:val="24"/>
          <w:shd w:val="clear" w:color="auto" w:fill="FFFFFF"/>
        </w:rPr>
        <w:t>(4), 100.</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proofErr w:type="spellStart"/>
      <w:r w:rsidRPr="000B41F4">
        <w:rPr>
          <w:rFonts w:ascii="Times New Roman" w:hAnsi="Times New Roman" w:cs="Times New Roman"/>
          <w:sz w:val="24"/>
          <w:szCs w:val="24"/>
          <w:shd w:val="clear" w:color="auto" w:fill="FFFFFF"/>
        </w:rPr>
        <w:t>Grinblatt</w:t>
      </w:r>
      <w:proofErr w:type="spellEnd"/>
      <w:r w:rsidRPr="000B41F4">
        <w:rPr>
          <w:rFonts w:ascii="Times New Roman" w:hAnsi="Times New Roman" w:cs="Times New Roman"/>
          <w:sz w:val="24"/>
          <w:szCs w:val="24"/>
          <w:shd w:val="clear" w:color="auto" w:fill="FFFFFF"/>
        </w:rPr>
        <w:t>, M., &amp; Titman, S. (1993). Performance measurement without benchmarks: An examination of mutual fund returns. </w:t>
      </w:r>
      <w:r w:rsidRPr="000B41F4">
        <w:rPr>
          <w:rFonts w:ascii="Times New Roman" w:hAnsi="Times New Roman" w:cs="Times New Roman"/>
          <w:i/>
          <w:iCs/>
          <w:sz w:val="24"/>
          <w:szCs w:val="24"/>
          <w:shd w:val="clear" w:color="auto" w:fill="FFFFFF"/>
        </w:rPr>
        <w:t>Journal of business</w:t>
      </w:r>
      <w:r w:rsidRPr="000B41F4">
        <w:rPr>
          <w:rFonts w:ascii="Times New Roman" w:hAnsi="Times New Roman" w:cs="Times New Roman"/>
          <w:sz w:val="24"/>
          <w:szCs w:val="24"/>
          <w:shd w:val="clear" w:color="auto" w:fill="FFFFFF"/>
        </w:rPr>
        <w:t>, 47-68.</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proofErr w:type="spellStart"/>
      <w:r w:rsidRPr="000B41F4">
        <w:rPr>
          <w:rFonts w:ascii="Times New Roman" w:hAnsi="Times New Roman" w:cs="Times New Roman"/>
          <w:sz w:val="24"/>
          <w:szCs w:val="24"/>
          <w:shd w:val="clear" w:color="auto" w:fill="FFFFFF"/>
        </w:rPr>
        <w:t>Henriksson</w:t>
      </w:r>
      <w:proofErr w:type="spellEnd"/>
      <w:r w:rsidRPr="000B41F4">
        <w:rPr>
          <w:rFonts w:ascii="Times New Roman" w:hAnsi="Times New Roman" w:cs="Times New Roman"/>
          <w:sz w:val="24"/>
          <w:szCs w:val="24"/>
          <w:shd w:val="clear" w:color="auto" w:fill="FFFFFF"/>
        </w:rPr>
        <w:t>, R. D. (1984). Market timing and mutual fund performance: An empirical investigation. </w:t>
      </w:r>
      <w:r w:rsidRPr="000B41F4">
        <w:rPr>
          <w:rFonts w:ascii="Times New Roman" w:hAnsi="Times New Roman" w:cs="Times New Roman"/>
          <w:i/>
          <w:iCs/>
          <w:sz w:val="24"/>
          <w:szCs w:val="24"/>
          <w:shd w:val="clear" w:color="auto" w:fill="FFFFFF"/>
        </w:rPr>
        <w:t>Journal of business</w:t>
      </w:r>
      <w:r w:rsidRPr="000B41F4">
        <w:rPr>
          <w:rFonts w:ascii="Times New Roman" w:hAnsi="Times New Roman" w:cs="Times New Roman"/>
          <w:sz w:val="24"/>
          <w:szCs w:val="24"/>
          <w:shd w:val="clear" w:color="auto" w:fill="FFFFFF"/>
        </w:rPr>
        <w:t>, 73-96.</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r w:rsidRPr="000B41F4">
        <w:rPr>
          <w:rFonts w:ascii="Times New Roman" w:hAnsi="Times New Roman" w:cs="Times New Roman"/>
          <w:sz w:val="24"/>
          <w:szCs w:val="24"/>
          <w:shd w:val="clear" w:color="auto" w:fill="FFFFFF"/>
        </w:rPr>
        <w:t>Islam, R. (2015). Mutual fund performance: an analysis of mutual funds’ return compare to the market return (DSEX).</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r w:rsidRPr="000B41F4">
        <w:rPr>
          <w:rFonts w:ascii="Times New Roman" w:hAnsi="Times New Roman" w:cs="Times New Roman"/>
          <w:sz w:val="24"/>
          <w:szCs w:val="24"/>
          <w:shd w:val="clear" w:color="auto" w:fill="FFFFFF"/>
        </w:rPr>
        <w:lastRenderedPageBreak/>
        <w:t>Jensen, M. C. (1968). The performance of mutual funds in the period 1945–1964. </w:t>
      </w:r>
      <w:r w:rsidRPr="000B41F4">
        <w:rPr>
          <w:rFonts w:ascii="Times New Roman" w:hAnsi="Times New Roman" w:cs="Times New Roman"/>
          <w:i/>
          <w:iCs/>
          <w:sz w:val="24"/>
          <w:szCs w:val="24"/>
          <w:shd w:val="clear" w:color="auto" w:fill="FFFFFF"/>
        </w:rPr>
        <w:t>The Journal of finance</w:t>
      </w:r>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23</w:t>
      </w:r>
      <w:r w:rsidRPr="000B41F4">
        <w:rPr>
          <w:rFonts w:ascii="Times New Roman" w:hAnsi="Times New Roman" w:cs="Times New Roman"/>
          <w:sz w:val="24"/>
          <w:szCs w:val="24"/>
          <w:shd w:val="clear" w:color="auto" w:fill="FFFFFF"/>
        </w:rPr>
        <w:t>(2), 389-416.</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proofErr w:type="spellStart"/>
      <w:r w:rsidRPr="000B41F4">
        <w:rPr>
          <w:rFonts w:ascii="Times New Roman" w:hAnsi="Times New Roman" w:cs="Times New Roman"/>
          <w:sz w:val="24"/>
          <w:szCs w:val="24"/>
          <w:shd w:val="clear" w:color="auto" w:fill="FFFFFF"/>
        </w:rPr>
        <w:t>Kon</w:t>
      </w:r>
      <w:proofErr w:type="spellEnd"/>
      <w:r w:rsidRPr="000B41F4">
        <w:rPr>
          <w:rFonts w:ascii="Times New Roman" w:hAnsi="Times New Roman" w:cs="Times New Roman"/>
          <w:sz w:val="24"/>
          <w:szCs w:val="24"/>
          <w:shd w:val="clear" w:color="auto" w:fill="FFFFFF"/>
        </w:rPr>
        <w:t>, S. J., &amp; Jen, F. C. (1979). The investment performance of mutual funds: An empirical investigation of timing, selectivity, and market efficiency. </w:t>
      </w:r>
      <w:r w:rsidRPr="000B41F4">
        <w:rPr>
          <w:rFonts w:ascii="Times New Roman" w:hAnsi="Times New Roman" w:cs="Times New Roman"/>
          <w:i/>
          <w:iCs/>
          <w:sz w:val="24"/>
          <w:szCs w:val="24"/>
          <w:shd w:val="clear" w:color="auto" w:fill="FFFFFF"/>
        </w:rPr>
        <w:t>Journal of Business</w:t>
      </w:r>
      <w:r w:rsidRPr="000B41F4">
        <w:rPr>
          <w:rFonts w:ascii="Times New Roman" w:hAnsi="Times New Roman" w:cs="Times New Roman"/>
          <w:sz w:val="24"/>
          <w:szCs w:val="24"/>
          <w:shd w:val="clear" w:color="auto" w:fill="FFFFFF"/>
        </w:rPr>
        <w:t>, 263-289.</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proofErr w:type="spellStart"/>
      <w:r w:rsidRPr="000B41F4">
        <w:rPr>
          <w:rFonts w:ascii="Times New Roman" w:hAnsi="Times New Roman" w:cs="Times New Roman"/>
          <w:sz w:val="24"/>
          <w:szCs w:val="24"/>
          <w:shd w:val="clear" w:color="auto" w:fill="FFFFFF"/>
        </w:rPr>
        <w:t>Malkiel</w:t>
      </w:r>
      <w:proofErr w:type="spellEnd"/>
      <w:r w:rsidRPr="000B41F4">
        <w:rPr>
          <w:rFonts w:ascii="Times New Roman" w:hAnsi="Times New Roman" w:cs="Times New Roman"/>
          <w:sz w:val="24"/>
          <w:szCs w:val="24"/>
          <w:shd w:val="clear" w:color="auto" w:fill="FFFFFF"/>
        </w:rPr>
        <w:t xml:space="preserve">, B. G., &amp; </w:t>
      </w:r>
      <w:proofErr w:type="spellStart"/>
      <w:r w:rsidRPr="000B41F4">
        <w:rPr>
          <w:rFonts w:ascii="Times New Roman" w:hAnsi="Times New Roman" w:cs="Times New Roman"/>
          <w:sz w:val="24"/>
          <w:szCs w:val="24"/>
          <w:shd w:val="clear" w:color="auto" w:fill="FFFFFF"/>
        </w:rPr>
        <w:t>Fama</w:t>
      </w:r>
      <w:proofErr w:type="spellEnd"/>
      <w:r w:rsidRPr="000B41F4">
        <w:rPr>
          <w:rFonts w:ascii="Times New Roman" w:hAnsi="Times New Roman" w:cs="Times New Roman"/>
          <w:sz w:val="24"/>
          <w:szCs w:val="24"/>
          <w:shd w:val="clear" w:color="auto" w:fill="FFFFFF"/>
        </w:rPr>
        <w:t>, E. F. (1970). Efficient capital markets: A review of theory and empirical work. </w:t>
      </w:r>
      <w:r w:rsidRPr="000B41F4">
        <w:rPr>
          <w:rFonts w:ascii="Times New Roman" w:hAnsi="Times New Roman" w:cs="Times New Roman"/>
          <w:i/>
          <w:iCs/>
          <w:sz w:val="24"/>
          <w:szCs w:val="24"/>
          <w:shd w:val="clear" w:color="auto" w:fill="FFFFFF"/>
        </w:rPr>
        <w:t>The journal of Finance</w:t>
      </w:r>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25</w:t>
      </w:r>
      <w:r w:rsidRPr="000B41F4">
        <w:rPr>
          <w:rFonts w:ascii="Times New Roman" w:hAnsi="Times New Roman" w:cs="Times New Roman"/>
          <w:sz w:val="24"/>
          <w:szCs w:val="24"/>
          <w:shd w:val="clear" w:color="auto" w:fill="FFFFFF"/>
        </w:rPr>
        <w:t>(2), 383-417.</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r w:rsidRPr="000B41F4">
        <w:rPr>
          <w:rFonts w:ascii="Times New Roman" w:hAnsi="Times New Roman" w:cs="Times New Roman"/>
          <w:sz w:val="24"/>
          <w:szCs w:val="24"/>
          <w:shd w:val="clear" w:color="auto" w:fill="FFFFFF"/>
        </w:rPr>
        <w:t>McDonald, J. G. (1974). Objectives and performance of mutual funds, 1960–1969. </w:t>
      </w:r>
      <w:r w:rsidRPr="000B41F4">
        <w:rPr>
          <w:rFonts w:ascii="Times New Roman" w:hAnsi="Times New Roman" w:cs="Times New Roman"/>
          <w:i/>
          <w:iCs/>
          <w:sz w:val="24"/>
          <w:szCs w:val="24"/>
          <w:shd w:val="clear" w:color="auto" w:fill="FFFFFF"/>
        </w:rPr>
        <w:t>Journal of Financial and Quantitative Analysis</w:t>
      </w:r>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9</w:t>
      </w:r>
      <w:r w:rsidRPr="000B41F4">
        <w:rPr>
          <w:rFonts w:ascii="Times New Roman" w:hAnsi="Times New Roman" w:cs="Times New Roman"/>
          <w:sz w:val="24"/>
          <w:szCs w:val="24"/>
          <w:shd w:val="clear" w:color="auto" w:fill="FFFFFF"/>
        </w:rPr>
        <w:t>(3), 311-333.</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r w:rsidRPr="000B41F4">
        <w:rPr>
          <w:rFonts w:ascii="Times New Roman" w:hAnsi="Times New Roman" w:cs="Times New Roman"/>
          <w:sz w:val="24"/>
          <w:szCs w:val="24"/>
          <w:shd w:val="clear" w:color="auto" w:fill="FFFFFF"/>
        </w:rPr>
        <w:t xml:space="preserve">Ross, S. A., </w:t>
      </w:r>
      <w:proofErr w:type="spellStart"/>
      <w:r w:rsidRPr="000B41F4">
        <w:rPr>
          <w:rFonts w:ascii="Times New Roman" w:hAnsi="Times New Roman" w:cs="Times New Roman"/>
          <w:sz w:val="24"/>
          <w:szCs w:val="24"/>
          <w:shd w:val="clear" w:color="auto" w:fill="FFFFFF"/>
        </w:rPr>
        <w:t>Westerfield</w:t>
      </w:r>
      <w:proofErr w:type="spellEnd"/>
      <w:r w:rsidRPr="000B41F4">
        <w:rPr>
          <w:rFonts w:ascii="Times New Roman" w:hAnsi="Times New Roman" w:cs="Times New Roman"/>
          <w:sz w:val="24"/>
          <w:szCs w:val="24"/>
          <w:shd w:val="clear" w:color="auto" w:fill="FFFFFF"/>
        </w:rPr>
        <w:t>, R., Jaffe, J. F., &amp; Jordan, B. D. (2013). </w:t>
      </w:r>
      <w:r w:rsidRPr="000B41F4">
        <w:rPr>
          <w:rFonts w:ascii="Times New Roman" w:hAnsi="Times New Roman" w:cs="Times New Roman"/>
          <w:i/>
          <w:iCs/>
          <w:sz w:val="24"/>
          <w:szCs w:val="24"/>
          <w:shd w:val="clear" w:color="auto" w:fill="FFFFFF"/>
        </w:rPr>
        <w:t>Corporate finance</w:t>
      </w:r>
      <w:r w:rsidRPr="000B41F4">
        <w:rPr>
          <w:rFonts w:ascii="Times New Roman" w:hAnsi="Times New Roman" w:cs="Times New Roman"/>
          <w:sz w:val="24"/>
          <w:szCs w:val="24"/>
          <w:shd w:val="clear" w:color="auto" w:fill="FFFFFF"/>
        </w:rPr>
        <w:t> (pp. 353-54). McGraw-Hill/Irwin.</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r w:rsidRPr="000B41F4">
        <w:rPr>
          <w:rFonts w:ascii="Times New Roman" w:hAnsi="Times New Roman" w:cs="Times New Roman"/>
          <w:sz w:val="24"/>
          <w:szCs w:val="24"/>
          <w:shd w:val="clear" w:color="auto" w:fill="FFFFFF"/>
        </w:rPr>
        <w:t>Sharpe, W. F. (1966). Mutual fund performance. </w:t>
      </w:r>
      <w:r w:rsidRPr="000B41F4">
        <w:rPr>
          <w:rFonts w:ascii="Times New Roman" w:hAnsi="Times New Roman" w:cs="Times New Roman"/>
          <w:i/>
          <w:iCs/>
          <w:sz w:val="24"/>
          <w:szCs w:val="24"/>
          <w:shd w:val="clear" w:color="auto" w:fill="FFFFFF"/>
        </w:rPr>
        <w:t>The Journal of business</w:t>
      </w:r>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39</w:t>
      </w:r>
      <w:r w:rsidRPr="000B41F4">
        <w:rPr>
          <w:rFonts w:ascii="Times New Roman" w:hAnsi="Times New Roman" w:cs="Times New Roman"/>
          <w:sz w:val="24"/>
          <w:szCs w:val="24"/>
          <w:shd w:val="clear" w:color="auto" w:fill="FFFFFF"/>
        </w:rPr>
        <w:t>(1), 119-138.</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r w:rsidRPr="000B41F4">
        <w:rPr>
          <w:rFonts w:ascii="Times New Roman" w:hAnsi="Times New Roman" w:cs="Times New Roman"/>
          <w:sz w:val="24"/>
          <w:szCs w:val="24"/>
          <w:shd w:val="clear" w:color="auto" w:fill="FFFFFF"/>
        </w:rPr>
        <w:t xml:space="preserve">Titman, S., &amp; </w:t>
      </w:r>
      <w:proofErr w:type="spellStart"/>
      <w:r w:rsidRPr="000B41F4">
        <w:rPr>
          <w:rFonts w:ascii="Times New Roman" w:hAnsi="Times New Roman" w:cs="Times New Roman"/>
          <w:sz w:val="24"/>
          <w:szCs w:val="24"/>
          <w:shd w:val="clear" w:color="auto" w:fill="FFFFFF"/>
        </w:rPr>
        <w:t>Grinblatt</w:t>
      </w:r>
      <w:proofErr w:type="spellEnd"/>
      <w:r w:rsidRPr="000B41F4">
        <w:rPr>
          <w:rFonts w:ascii="Times New Roman" w:hAnsi="Times New Roman" w:cs="Times New Roman"/>
          <w:sz w:val="24"/>
          <w:szCs w:val="24"/>
          <w:shd w:val="clear" w:color="auto" w:fill="FFFFFF"/>
        </w:rPr>
        <w:t>, M. (1989). Mutual fund performance: An analysis of quarterly portfolio holdings. </w:t>
      </w:r>
      <w:r w:rsidRPr="000B41F4">
        <w:rPr>
          <w:rFonts w:ascii="Times New Roman" w:hAnsi="Times New Roman" w:cs="Times New Roman"/>
          <w:i/>
          <w:iCs/>
          <w:sz w:val="24"/>
          <w:szCs w:val="24"/>
          <w:shd w:val="clear" w:color="auto" w:fill="FFFFFF"/>
        </w:rPr>
        <w:t xml:space="preserve">Journal of </w:t>
      </w:r>
      <w:proofErr w:type="spellStart"/>
      <w:r w:rsidRPr="000B41F4">
        <w:rPr>
          <w:rFonts w:ascii="Times New Roman" w:hAnsi="Times New Roman" w:cs="Times New Roman"/>
          <w:i/>
          <w:iCs/>
          <w:sz w:val="24"/>
          <w:szCs w:val="24"/>
          <w:shd w:val="clear" w:color="auto" w:fill="FFFFFF"/>
        </w:rPr>
        <w:t>Bussines</w:t>
      </w:r>
      <w:proofErr w:type="spellEnd"/>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62</w:t>
      </w:r>
      <w:r w:rsidRPr="000B41F4">
        <w:rPr>
          <w:rFonts w:ascii="Times New Roman" w:hAnsi="Times New Roman" w:cs="Times New Roman"/>
          <w:sz w:val="24"/>
          <w:szCs w:val="24"/>
          <w:shd w:val="clear" w:color="auto" w:fill="FFFFFF"/>
        </w:rPr>
        <w:t>(3).</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proofErr w:type="spellStart"/>
      <w:r w:rsidRPr="000B41F4">
        <w:rPr>
          <w:rFonts w:ascii="Times New Roman" w:hAnsi="Times New Roman" w:cs="Times New Roman"/>
          <w:sz w:val="24"/>
          <w:szCs w:val="24"/>
          <w:shd w:val="clear" w:color="auto" w:fill="FFFFFF"/>
        </w:rPr>
        <w:t>Treynor</w:t>
      </w:r>
      <w:proofErr w:type="spellEnd"/>
      <w:r w:rsidRPr="000B41F4">
        <w:rPr>
          <w:rFonts w:ascii="Times New Roman" w:hAnsi="Times New Roman" w:cs="Times New Roman"/>
          <w:sz w:val="24"/>
          <w:szCs w:val="24"/>
          <w:shd w:val="clear" w:color="auto" w:fill="FFFFFF"/>
        </w:rPr>
        <w:t xml:space="preserve">, J., &amp; </w:t>
      </w:r>
      <w:proofErr w:type="spellStart"/>
      <w:r w:rsidRPr="000B41F4">
        <w:rPr>
          <w:rFonts w:ascii="Times New Roman" w:hAnsi="Times New Roman" w:cs="Times New Roman"/>
          <w:sz w:val="24"/>
          <w:szCs w:val="24"/>
          <w:shd w:val="clear" w:color="auto" w:fill="FFFFFF"/>
        </w:rPr>
        <w:t>Mazuy</w:t>
      </w:r>
      <w:proofErr w:type="spellEnd"/>
      <w:r w:rsidRPr="000B41F4">
        <w:rPr>
          <w:rFonts w:ascii="Times New Roman" w:hAnsi="Times New Roman" w:cs="Times New Roman"/>
          <w:sz w:val="24"/>
          <w:szCs w:val="24"/>
          <w:shd w:val="clear" w:color="auto" w:fill="FFFFFF"/>
        </w:rPr>
        <w:t xml:space="preserve">, K. (1966). Can mutual funds outguess the </w:t>
      </w:r>
      <w:proofErr w:type="gramStart"/>
      <w:r w:rsidRPr="000B41F4">
        <w:rPr>
          <w:rFonts w:ascii="Times New Roman" w:hAnsi="Times New Roman" w:cs="Times New Roman"/>
          <w:sz w:val="24"/>
          <w:szCs w:val="24"/>
          <w:shd w:val="clear" w:color="auto" w:fill="FFFFFF"/>
        </w:rPr>
        <w:t>market.</w:t>
      </w:r>
      <w:proofErr w:type="gramEnd"/>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Harvard business review</w:t>
      </w:r>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44</w:t>
      </w:r>
      <w:r w:rsidRPr="000B41F4">
        <w:rPr>
          <w:rFonts w:ascii="Times New Roman" w:hAnsi="Times New Roman" w:cs="Times New Roman"/>
          <w:sz w:val="24"/>
          <w:szCs w:val="24"/>
          <w:shd w:val="clear" w:color="auto" w:fill="FFFFFF"/>
        </w:rPr>
        <w:t>(4), 131-136.</w:t>
      </w:r>
    </w:p>
    <w:p w:rsidR="00D524A0" w:rsidRPr="000B41F4" w:rsidRDefault="00D524A0" w:rsidP="00D524A0">
      <w:pPr>
        <w:pStyle w:val="ListParagraph"/>
        <w:numPr>
          <w:ilvl w:val="0"/>
          <w:numId w:val="14"/>
        </w:numPr>
        <w:spacing w:line="360" w:lineRule="auto"/>
        <w:jc w:val="both"/>
        <w:rPr>
          <w:rFonts w:ascii="Times New Roman" w:hAnsi="Times New Roman" w:cs="Times New Roman"/>
          <w:sz w:val="24"/>
          <w:szCs w:val="24"/>
          <w:shd w:val="clear" w:color="auto" w:fill="FFFFFF"/>
        </w:rPr>
      </w:pPr>
      <w:proofErr w:type="spellStart"/>
      <w:r w:rsidRPr="000B41F4">
        <w:rPr>
          <w:rFonts w:ascii="Times New Roman" w:hAnsi="Times New Roman" w:cs="Times New Roman"/>
          <w:sz w:val="24"/>
          <w:szCs w:val="24"/>
          <w:shd w:val="clear" w:color="auto" w:fill="FFFFFF"/>
        </w:rPr>
        <w:t>Volkman</w:t>
      </w:r>
      <w:proofErr w:type="spellEnd"/>
      <w:r w:rsidRPr="000B41F4">
        <w:rPr>
          <w:rFonts w:ascii="Times New Roman" w:hAnsi="Times New Roman" w:cs="Times New Roman"/>
          <w:sz w:val="24"/>
          <w:szCs w:val="24"/>
          <w:shd w:val="clear" w:color="auto" w:fill="FFFFFF"/>
        </w:rPr>
        <w:t>, D. A. (1999). Market volatility and perverse timing performance of mutual fund managers. </w:t>
      </w:r>
      <w:r w:rsidRPr="000B41F4">
        <w:rPr>
          <w:rFonts w:ascii="Times New Roman" w:hAnsi="Times New Roman" w:cs="Times New Roman"/>
          <w:i/>
          <w:iCs/>
          <w:sz w:val="24"/>
          <w:szCs w:val="24"/>
          <w:shd w:val="clear" w:color="auto" w:fill="FFFFFF"/>
        </w:rPr>
        <w:t>Journal of Financial Research</w:t>
      </w:r>
      <w:r w:rsidRPr="000B41F4">
        <w:rPr>
          <w:rFonts w:ascii="Times New Roman" w:hAnsi="Times New Roman" w:cs="Times New Roman"/>
          <w:sz w:val="24"/>
          <w:szCs w:val="24"/>
          <w:shd w:val="clear" w:color="auto" w:fill="FFFFFF"/>
        </w:rPr>
        <w:t>, </w:t>
      </w:r>
      <w:r w:rsidRPr="000B41F4">
        <w:rPr>
          <w:rFonts w:ascii="Times New Roman" w:hAnsi="Times New Roman" w:cs="Times New Roman"/>
          <w:i/>
          <w:iCs/>
          <w:sz w:val="24"/>
          <w:szCs w:val="24"/>
          <w:shd w:val="clear" w:color="auto" w:fill="FFFFFF"/>
        </w:rPr>
        <w:t>22</w:t>
      </w:r>
      <w:r w:rsidRPr="000B41F4">
        <w:rPr>
          <w:rFonts w:ascii="Times New Roman" w:hAnsi="Times New Roman" w:cs="Times New Roman"/>
          <w:sz w:val="24"/>
          <w:szCs w:val="24"/>
          <w:shd w:val="clear" w:color="auto" w:fill="FFFFFF"/>
        </w:rPr>
        <w:t>(4), 449-470.</w:t>
      </w:r>
    </w:p>
    <w:p w:rsidR="00E6531C" w:rsidRDefault="00E6531C" w:rsidP="00FB160B">
      <w:pPr>
        <w:spacing w:line="360" w:lineRule="auto"/>
        <w:jc w:val="both"/>
        <w:rPr>
          <w:rFonts w:ascii="Times New Roman" w:hAnsi="Times New Roman" w:cs="Times New Roman"/>
          <w:sz w:val="24"/>
          <w:szCs w:val="24"/>
        </w:rPr>
      </w:pPr>
    </w:p>
    <w:p w:rsidR="00E6531C" w:rsidRDefault="00E6531C">
      <w:pPr>
        <w:rPr>
          <w:rFonts w:ascii="Times New Roman" w:hAnsi="Times New Roman" w:cs="Times New Roman"/>
          <w:sz w:val="24"/>
          <w:szCs w:val="24"/>
        </w:rPr>
      </w:pPr>
      <w:r>
        <w:rPr>
          <w:rFonts w:ascii="Times New Roman" w:hAnsi="Times New Roman" w:cs="Times New Roman"/>
          <w:sz w:val="24"/>
          <w:szCs w:val="24"/>
        </w:rPr>
        <w:br w:type="page"/>
      </w:r>
    </w:p>
    <w:p w:rsidR="00E6531C" w:rsidRDefault="00E6531C" w:rsidP="00E6531C">
      <w:pPr>
        <w:pStyle w:val="Heading1"/>
        <w:jc w:val="center"/>
        <w:rPr>
          <w:rFonts w:ascii="Times New Roman" w:hAnsi="Times New Roman" w:cs="Times New Roman"/>
          <w:b/>
          <w:sz w:val="40"/>
          <w:szCs w:val="40"/>
        </w:rPr>
      </w:pPr>
    </w:p>
    <w:p w:rsidR="00E6531C" w:rsidRDefault="00E6531C" w:rsidP="00E6531C">
      <w:pPr>
        <w:pStyle w:val="Heading1"/>
        <w:jc w:val="center"/>
        <w:rPr>
          <w:rFonts w:ascii="Times New Roman" w:hAnsi="Times New Roman" w:cs="Times New Roman"/>
          <w:b/>
          <w:sz w:val="40"/>
          <w:szCs w:val="40"/>
        </w:rPr>
      </w:pPr>
    </w:p>
    <w:p w:rsidR="00E6531C" w:rsidRDefault="00E6531C" w:rsidP="00E6531C">
      <w:pPr>
        <w:pStyle w:val="Heading1"/>
        <w:jc w:val="center"/>
        <w:rPr>
          <w:rFonts w:ascii="Times New Roman" w:hAnsi="Times New Roman" w:cs="Times New Roman"/>
          <w:b/>
          <w:sz w:val="40"/>
          <w:szCs w:val="40"/>
        </w:rPr>
      </w:pPr>
    </w:p>
    <w:p w:rsidR="00E6531C" w:rsidRDefault="00E6531C" w:rsidP="00E6531C">
      <w:pPr>
        <w:pStyle w:val="Heading1"/>
        <w:jc w:val="center"/>
        <w:rPr>
          <w:rFonts w:ascii="Times New Roman" w:hAnsi="Times New Roman" w:cs="Times New Roman"/>
          <w:b/>
          <w:sz w:val="40"/>
          <w:szCs w:val="40"/>
        </w:rPr>
      </w:pPr>
    </w:p>
    <w:p w:rsidR="00E6531C" w:rsidRDefault="00E6531C" w:rsidP="00E6531C">
      <w:pPr>
        <w:pStyle w:val="Heading1"/>
        <w:jc w:val="center"/>
        <w:rPr>
          <w:rFonts w:ascii="Times New Roman" w:hAnsi="Times New Roman" w:cs="Times New Roman"/>
          <w:b/>
          <w:sz w:val="40"/>
          <w:szCs w:val="40"/>
        </w:rPr>
      </w:pPr>
    </w:p>
    <w:p w:rsidR="00E6531C" w:rsidRDefault="00E6531C" w:rsidP="00E6531C">
      <w:pPr>
        <w:pStyle w:val="Heading1"/>
        <w:jc w:val="center"/>
        <w:rPr>
          <w:rFonts w:ascii="Times New Roman" w:hAnsi="Times New Roman" w:cs="Times New Roman"/>
          <w:b/>
          <w:sz w:val="40"/>
          <w:szCs w:val="40"/>
        </w:rPr>
      </w:pPr>
    </w:p>
    <w:p w:rsidR="00E6531C" w:rsidRDefault="00E6531C" w:rsidP="00E6531C">
      <w:pPr>
        <w:pStyle w:val="Heading1"/>
        <w:jc w:val="center"/>
        <w:rPr>
          <w:rFonts w:ascii="Times New Roman" w:hAnsi="Times New Roman" w:cs="Times New Roman"/>
          <w:b/>
          <w:sz w:val="40"/>
          <w:szCs w:val="40"/>
        </w:rPr>
      </w:pPr>
    </w:p>
    <w:p w:rsidR="00E6531C" w:rsidRDefault="00E6531C" w:rsidP="00E6531C">
      <w:pPr>
        <w:pStyle w:val="Heading1"/>
        <w:jc w:val="center"/>
        <w:rPr>
          <w:rFonts w:ascii="Times New Roman" w:hAnsi="Times New Roman" w:cs="Times New Roman"/>
          <w:b/>
          <w:sz w:val="40"/>
          <w:szCs w:val="40"/>
        </w:rPr>
      </w:pPr>
    </w:p>
    <w:p w:rsidR="00FB160B" w:rsidRPr="00BE70E3" w:rsidRDefault="00E6531C" w:rsidP="00E6531C">
      <w:pPr>
        <w:pStyle w:val="Heading1"/>
        <w:jc w:val="center"/>
        <w:rPr>
          <w:rFonts w:ascii="Times New Roman" w:hAnsi="Times New Roman" w:cs="Times New Roman"/>
          <w:b/>
          <w:color w:val="auto"/>
          <w:sz w:val="40"/>
          <w:szCs w:val="40"/>
        </w:rPr>
      </w:pPr>
      <w:bookmarkStart w:id="39" w:name="_Toc13070823"/>
      <w:r w:rsidRPr="00BE70E3">
        <w:rPr>
          <w:rFonts w:ascii="Times New Roman" w:hAnsi="Times New Roman" w:cs="Times New Roman"/>
          <w:b/>
          <w:color w:val="auto"/>
          <w:sz w:val="40"/>
          <w:szCs w:val="40"/>
        </w:rPr>
        <w:t>Appendix</w:t>
      </w:r>
      <w:bookmarkEnd w:id="39"/>
    </w:p>
    <w:p w:rsidR="00E6531C" w:rsidRDefault="00E6531C" w:rsidP="00E6531C"/>
    <w:p w:rsidR="00E6531C" w:rsidRDefault="00E6531C" w:rsidP="00E6531C"/>
    <w:p w:rsidR="00E6531C" w:rsidRDefault="00E6531C" w:rsidP="00E6531C"/>
    <w:p w:rsidR="00E6531C" w:rsidRDefault="00E6531C" w:rsidP="00E6531C"/>
    <w:p w:rsidR="00E6531C" w:rsidRDefault="00E6531C" w:rsidP="00E6531C"/>
    <w:p w:rsidR="00E6531C" w:rsidRDefault="00E6531C" w:rsidP="00E6531C"/>
    <w:p w:rsidR="00E6531C" w:rsidRDefault="00E6531C" w:rsidP="00E6531C"/>
    <w:p w:rsidR="00E6531C" w:rsidRDefault="00E6531C" w:rsidP="00E6531C"/>
    <w:p w:rsidR="00E6531C" w:rsidRDefault="00E6531C" w:rsidP="00E6531C"/>
    <w:p w:rsidR="00E6531C" w:rsidRDefault="00E6531C" w:rsidP="00E6531C"/>
    <w:p w:rsidR="00E6531C" w:rsidRDefault="00E6531C" w:rsidP="00E6531C"/>
    <w:p w:rsidR="00E6531C" w:rsidRDefault="00E6531C" w:rsidP="00E6531C"/>
    <w:p w:rsidR="00E6531C" w:rsidRDefault="00E6531C" w:rsidP="00E6531C"/>
    <w:p w:rsidR="00E6531C" w:rsidRDefault="00E6531C" w:rsidP="00E6531C"/>
    <w:p w:rsidR="00E6531C" w:rsidRDefault="00E6531C" w:rsidP="00E6531C"/>
    <w:p w:rsidR="00E6531C" w:rsidRDefault="00E6531C" w:rsidP="00E6531C">
      <w:pPr>
        <w:sectPr w:rsidR="00E6531C" w:rsidSect="00117324">
          <w:footerReference w:type="default" r:id="rId34"/>
          <w:pgSz w:w="11906" w:h="16838" w:code="9"/>
          <w:pgMar w:top="1440" w:right="1440" w:bottom="1440" w:left="1440" w:header="720" w:footer="720" w:gutter="0"/>
          <w:pgNumType w:start="1"/>
          <w:cols w:space="720"/>
          <w:docGrid w:linePitch="360"/>
        </w:sectPr>
      </w:pPr>
    </w:p>
    <w:p w:rsidR="00A0170D" w:rsidRPr="002B3CE7" w:rsidRDefault="002D6F69" w:rsidP="00A0170D">
      <w:pPr>
        <w:tabs>
          <w:tab w:val="left" w:pos="13530"/>
        </w:tabs>
        <w:rPr>
          <w:rFonts w:ascii="Times New Roman" w:hAnsi="Times New Roman" w:cs="Times New Roman"/>
          <w:b/>
          <w:sz w:val="20"/>
          <w:szCs w:val="20"/>
        </w:rPr>
      </w:pPr>
      <w:r w:rsidRPr="002B3CE7">
        <w:rPr>
          <w:rFonts w:ascii="Times New Roman" w:hAnsi="Times New Roman" w:cs="Times New Roman"/>
          <w:b/>
          <w:sz w:val="20"/>
          <w:szCs w:val="20"/>
        </w:rPr>
        <w:lastRenderedPageBreak/>
        <w:t xml:space="preserve">Table 1: </w:t>
      </w:r>
      <w:r w:rsidR="002B3CE7" w:rsidRPr="002B3CE7">
        <w:rPr>
          <w:rFonts w:ascii="Times New Roman" w:hAnsi="Times New Roman" w:cs="Times New Roman"/>
          <w:b/>
          <w:sz w:val="20"/>
          <w:szCs w:val="20"/>
        </w:rPr>
        <w:t>Data of Daily Closing Price of Selected Mutual Fund</w:t>
      </w:r>
      <w:r w:rsidR="00C97D77">
        <w:rPr>
          <w:rFonts w:ascii="Times New Roman" w:hAnsi="Times New Roman" w:cs="Times New Roman"/>
          <w:b/>
          <w:sz w:val="20"/>
          <w:szCs w:val="20"/>
        </w:rPr>
        <w:t>s</w:t>
      </w:r>
      <w:r w:rsidR="002B3CE7" w:rsidRPr="002B3CE7">
        <w:rPr>
          <w:rFonts w:ascii="Times New Roman" w:hAnsi="Times New Roman" w:cs="Times New Roman"/>
          <w:b/>
          <w:sz w:val="20"/>
          <w:szCs w:val="20"/>
        </w:rPr>
        <w:t xml:space="preserve"> </w:t>
      </w:r>
    </w:p>
    <w:tbl>
      <w:tblPr>
        <w:tblStyle w:val="TableGrid"/>
        <w:tblW w:w="0" w:type="auto"/>
        <w:jc w:val="center"/>
        <w:tblLook w:val="04A0" w:firstRow="1" w:lastRow="0" w:firstColumn="1" w:lastColumn="0" w:noHBand="0" w:noVBand="1"/>
      </w:tblPr>
      <w:tblGrid>
        <w:gridCol w:w="960"/>
        <w:gridCol w:w="1380"/>
        <w:gridCol w:w="1283"/>
        <w:gridCol w:w="1439"/>
        <w:gridCol w:w="1161"/>
        <w:gridCol w:w="1305"/>
        <w:gridCol w:w="1272"/>
        <w:gridCol w:w="1350"/>
        <w:gridCol w:w="1439"/>
        <w:gridCol w:w="1534"/>
        <w:gridCol w:w="1416"/>
        <w:gridCol w:w="794"/>
      </w:tblGrid>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p>
        </w:tc>
        <w:tc>
          <w:tcPr>
            <w:tcW w:w="12865" w:type="dxa"/>
            <w:gridSpan w:val="10"/>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r w:rsidRPr="00FA3A7D">
              <w:rPr>
                <w:rFonts w:ascii="Times New Roman" w:hAnsi="Times New Roman" w:cs="Times New Roman"/>
                <w:b/>
                <w:sz w:val="20"/>
                <w:szCs w:val="20"/>
              </w:rPr>
              <w:t>Closing Price</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r w:rsidRPr="00FA3A7D">
              <w:rPr>
                <w:rFonts w:ascii="Times New Roman" w:hAnsi="Times New Roman" w:cs="Times New Roman"/>
                <w:b/>
                <w:sz w:val="20"/>
                <w:szCs w:val="20"/>
              </w:rPr>
              <w:t>SL NO</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r w:rsidRPr="00FA3A7D">
              <w:rPr>
                <w:rFonts w:ascii="Times New Roman" w:hAnsi="Times New Roman" w:cs="Times New Roman"/>
                <w:b/>
                <w:sz w:val="20"/>
                <w:szCs w:val="20"/>
              </w:rPr>
              <w:t>DATE</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r w:rsidRPr="00FA3A7D">
              <w:rPr>
                <w:rFonts w:ascii="Times New Roman" w:hAnsi="Times New Roman" w:cs="Times New Roman"/>
                <w:b/>
                <w:sz w:val="20"/>
                <w:szCs w:val="20"/>
              </w:rPr>
              <w:t>ABB1STMF</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r w:rsidRPr="00FA3A7D">
              <w:rPr>
                <w:rFonts w:ascii="Times New Roman" w:hAnsi="Times New Roman" w:cs="Times New Roman"/>
                <w:b/>
                <w:sz w:val="20"/>
                <w:szCs w:val="20"/>
              </w:rPr>
              <w:t>AIBL1STIMF</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r w:rsidRPr="00FA3A7D">
              <w:rPr>
                <w:rFonts w:ascii="Times New Roman" w:hAnsi="Times New Roman" w:cs="Times New Roman"/>
                <w:b/>
                <w:sz w:val="20"/>
                <w:szCs w:val="20"/>
              </w:rPr>
              <w:t>ATCSLGF</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r w:rsidRPr="00FA3A7D">
              <w:rPr>
                <w:rFonts w:ascii="Times New Roman" w:hAnsi="Times New Roman" w:cs="Times New Roman"/>
                <w:b/>
                <w:sz w:val="20"/>
                <w:szCs w:val="20"/>
              </w:rPr>
              <w:t>DBH1STMF</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r w:rsidRPr="00FA3A7D">
              <w:rPr>
                <w:rFonts w:ascii="Times New Roman" w:hAnsi="Times New Roman" w:cs="Times New Roman"/>
                <w:b/>
                <w:sz w:val="20"/>
                <w:szCs w:val="20"/>
              </w:rPr>
              <w:t>EBL1STMF</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r w:rsidRPr="00FA3A7D">
              <w:rPr>
                <w:rFonts w:ascii="Times New Roman" w:hAnsi="Times New Roman" w:cs="Times New Roman"/>
                <w:b/>
                <w:sz w:val="20"/>
                <w:szCs w:val="20"/>
              </w:rPr>
              <w:t>EBLNRBMF</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r w:rsidRPr="00FA3A7D">
              <w:rPr>
                <w:rFonts w:ascii="Times New Roman" w:hAnsi="Times New Roman" w:cs="Times New Roman"/>
                <w:b/>
                <w:sz w:val="20"/>
                <w:szCs w:val="20"/>
              </w:rPr>
              <w:t>1JANATAMF</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r w:rsidRPr="00FA3A7D">
              <w:rPr>
                <w:rFonts w:ascii="Times New Roman" w:hAnsi="Times New Roman" w:cs="Times New Roman"/>
                <w:b/>
                <w:sz w:val="20"/>
                <w:szCs w:val="20"/>
              </w:rPr>
              <w:t>1STPRIMFMF</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r w:rsidRPr="00FA3A7D">
              <w:rPr>
                <w:rFonts w:ascii="Times New Roman" w:hAnsi="Times New Roman" w:cs="Times New Roman"/>
                <w:b/>
                <w:sz w:val="20"/>
                <w:szCs w:val="20"/>
              </w:rPr>
              <w:t>EXIM1STMF</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b/>
                <w:sz w:val="20"/>
                <w:szCs w:val="20"/>
              </w:rPr>
            </w:pPr>
            <w:r w:rsidRPr="00FA3A7D">
              <w:rPr>
                <w:rFonts w:ascii="Times New Roman" w:hAnsi="Times New Roman" w:cs="Times New Roman"/>
                <w:b/>
                <w:sz w:val="20"/>
                <w:szCs w:val="20"/>
              </w:rPr>
              <w:t>FBFIF</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29-Dec-16</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31-Jan-17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529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28-Feb-17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509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508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507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506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505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504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503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502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501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500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498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30-Mar-17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30-Apr-17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467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31-May-17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436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29-Jun-17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31-Jul-17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409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408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407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406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405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404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403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402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401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400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399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398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397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396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395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394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393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392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391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31-Aug-17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390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389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388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387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386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385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384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383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382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381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380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379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378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377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376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375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374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373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372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28-Sep-17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371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370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369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368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367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366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365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364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363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362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361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360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359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358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357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356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355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354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353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352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351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350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31-Oct-17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349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348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347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346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345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344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343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342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341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340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339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338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337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336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335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334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333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332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331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330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329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328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30-Nov-17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327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326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325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324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323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322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321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320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312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28-Dec-17</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31-Jan-18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281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28-Feb-18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250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29-Mar-18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30-Apr-18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219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31-May-18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188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28-Jun-18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31-Jul-18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157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30-Aug-18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30-Sep-18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126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31-Oct-18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95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29-Nov-18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27-Dec-18</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64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9.2</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5.8</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31-Jan-19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10.7</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33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7.6</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9.1</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7.5</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10.5</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8.2</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5.6</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27-Feb-19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5.4</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8.1</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5.3</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7.3</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7.2</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8.8</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10.4</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4.8</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5.1</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10.3</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18-Mar-19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5.2</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19-Mar-19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4.6</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20-Mar-19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8.6</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21-Mar-19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8.7</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24-Mar-19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25-Mar-19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10.2</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7.1</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9.7</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27-Mar-19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7.8</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28-Mar-19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31-Mar-19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1-Apr-19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2-Apr-19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6.9</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3-Apr-19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10.1</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5</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3</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4-Apr-19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8.5</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6.7</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9.6</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lastRenderedPageBreak/>
              <w:t>2</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7-Apr-19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4.5</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7.9</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9.9</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8.4</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6.8</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9.5</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4.9</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r>
      <w:tr w:rsidR="00A0170D" w:rsidRPr="00FA3A7D" w:rsidTr="00FA3A7D">
        <w:trPr>
          <w:trHeight w:val="300"/>
          <w:jc w:val="center"/>
        </w:trPr>
        <w:tc>
          <w:tcPr>
            <w:tcW w:w="96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1</w:t>
            </w:r>
          </w:p>
        </w:tc>
        <w:tc>
          <w:tcPr>
            <w:tcW w:w="138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8-Apr-19</w:t>
            </w:r>
          </w:p>
        </w:tc>
        <w:tc>
          <w:tcPr>
            <w:tcW w:w="1283"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4.4</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7.7</w:t>
            </w:r>
          </w:p>
        </w:tc>
        <w:tc>
          <w:tcPr>
            <w:tcW w:w="1161"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9.8</w:t>
            </w:r>
          </w:p>
        </w:tc>
        <w:tc>
          <w:tcPr>
            <w:tcW w:w="1305"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8.3</w:t>
            </w:r>
          </w:p>
        </w:tc>
        <w:tc>
          <w:tcPr>
            <w:tcW w:w="1272"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6.4</w:t>
            </w:r>
          </w:p>
        </w:tc>
        <w:tc>
          <w:tcPr>
            <w:tcW w:w="1350"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4.2</w:t>
            </w:r>
          </w:p>
        </w:tc>
        <w:tc>
          <w:tcPr>
            <w:tcW w:w="1439"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4.3</w:t>
            </w:r>
          </w:p>
        </w:tc>
        <w:tc>
          <w:tcPr>
            <w:tcW w:w="1534"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9.4</w:t>
            </w:r>
          </w:p>
        </w:tc>
        <w:tc>
          <w:tcPr>
            <w:tcW w:w="141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4.7</w:t>
            </w:r>
          </w:p>
        </w:tc>
        <w:tc>
          <w:tcPr>
            <w:tcW w:w="666" w:type="dxa"/>
            <w:noWrap/>
            <w:vAlign w:val="center"/>
            <w:hideMark/>
          </w:tcPr>
          <w:p w:rsidR="00A0170D" w:rsidRPr="00FA3A7D" w:rsidRDefault="00A0170D" w:rsidP="00AC06AB">
            <w:pPr>
              <w:tabs>
                <w:tab w:val="left" w:pos="13530"/>
              </w:tabs>
              <w:jc w:val="center"/>
              <w:rPr>
                <w:rFonts w:ascii="Times New Roman" w:hAnsi="Times New Roman" w:cs="Times New Roman"/>
                <w:sz w:val="20"/>
                <w:szCs w:val="20"/>
              </w:rPr>
            </w:pPr>
            <w:r w:rsidRPr="00FA3A7D">
              <w:rPr>
                <w:rFonts w:ascii="Times New Roman" w:hAnsi="Times New Roman" w:cs="Times New Roman"/>
                <w:sz w:val="20"/>
                <w:szCs w:val="20"/>
              </w:rPr>
              <w:t>4.1</w:t>
            </w:r>
          </w:p>
        </w:tc>
      </w:tr>
    </w:tbl>
    <w:p w:rsidR="00A0170D" w:rsidRPr="00B253BA" w:rsidRDefault="00A0170D" w:rsidP="00A0170D">
      <w:pPr>
        <w:tabs>
          <w:tab w:val="left" w:pos="13530"/>
        </w:tabs>
        <w:rPr>
          <w:rFonts w:ascii="Times New Roman" w:hAnsi="Times New Roman" w:cs="Times New Roman"/>
          <w:sz w:val="20"/>
          <w:szCs w:val="20"/>
        </w:rPr>
      </w:pPr>
    </w:p>
    <w:p w:rsidR="00A0170D" w:rsidRPr="00A06DC0" w:rsidRDefault="00013606" w:rsidP="00A0170D">
      <w:pPr>
        <w:tabs>
          <w:tab w:val="left" w:pos="13530"/>
        </w:tabs>
        <w:rPr>
          <w:rFonts w:ascii="Times New Roman" w:hAnsi="Times New Roman" w:cs="Times New Roman"/>
          <w:b/>
          <w:sz w:val="20"/>
          <w:szCs w:val="20"/>
        </w:rPr>
      </w:pPr>
      <w:r w:rsidRPr="00A06DC0">
        <w:rPr>
          <w:rFonts w:ascii="Times New Roman" w:hAnsi="Times New Roman" w:cs="Times New Roman"/>
          <w:b/>
          <w:sz w:val="20"/>
          <w:szCs w:val="20"/>
        </w:rPr>
        <w:t xml:space="preserve">Table 2: Data of Weekly NAV of </w:t>
      </w:r>
      <w:r w:rsidR="00D533FB" w:rsidRPr="00A06DC0">
        <w:rPr>
          <w:rFonts w:ascii="Times New Roman" w:hAnsi="Times New Roman" w:cs="Times New Roman"/>
          <w:b/>
          <w:sz w:val="20"/>
          <w:szCs w:val="20"/>
        </w:rPr>
        <w:t>ABB1STMF</w:t>
      </w:r>
      <w:r w:rsidR="00A06DC0" w:rsidRPr="00A06DC0">
        <w:rPr>
          <w:rFonts w:ascii="Times New Roman" w:hAnsi="Times New Roman" w:cs="Times New Roman"/>
          <w:b/>
          <w:sz w:val="20"/>
          <w:szCs w:val="20"/>
        </w:rPr>
        <w:t>, AIBL1STMF, ATCSLGF, DBH1STMF, EBL1STMF, EBLNRBMF, 1JANATAMF, EXIM1STMF and FBFIF</w:t>
      </w:r>
    </w:p>
    <w:tbl>
      <w:tblPr>
        <w:tblStyle w:val="TableGrid"/>
        <w:tblW w:w="0" w:type="auto"/>
        <w:jc w:val="center"/>
        <w:tblLook w:val="04A0" w:firstRow="1" w:lastRow="0" w:firstColumn="1" w:lastColumn="0" w:noHBand="0" w:noVBand="1"/>
      </w:tblPr>
      <w:tblGrid>
        <w:gridCol w:w="759"/>
        <w:gridCol w:w="903"/>
        <w:gridCol w:w="749"/>
        <w:gridCol w:w="903"/>
        <w:gridCol w:w="749"/>
        <w:gridCol w:w="903"/>
        <w:gridCol w:w="748"/>
        <w:gridCol w:w="902"/>
        <w:gridCol w:w="748"/>
        <w:gridCol w:w="902"/>
        <w:gridCol w:w="748"/>
        <w:gridCol w:w="902"/>
        <w:gridCol w:w="748"/>
        <w:gridCol w:w="902"/>
        <w:gridCol w:w="748"/>
        <w:gridCol w:w="902"/>
        <w:gridCol w:w="748"/>
        <w:gridCol w:w="902"/>
        <w:gridCol w:w="748"/>
      </w:tblGrid>
      <w:tr w:rsidR="00A0170D" w:rsidRPr="00B253BA" w:rsidTr="00AC06AB">
        <w:trPr>
          <w:trHeight w:val="300"/>
          <w:jc w:val="center"/>
        </w:trPr>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p>
        </w:tc>
        <w:tc>
          <w:tcPr>
            <w:tcW w:w="0" w:type="auto"/>
            <w:gridSpan w:val="18"/>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Weekly NAV</w:t>
            </w:r>
          </w:p>
        </w:tc>
      </w:tr>
      <w:tr w:rsidR="00A0170D" w:rsidRPr="00B253BA" w:rsidTr="00AC06AB">
        <w:trPr>
          <w:trHeight w:val="300"/>
          <w:jc w:val="center"/>
        </w:trPr>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p>
        </w:tc>
        <w:tc>
          <w:tcPr>
            <w:tcW w:w="0" w:type="auto"/>
            <w:gridSpan w:val="2"/>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ABB1STMF</w:t>
            </w:r>
          </w:p>
        </w:tc>
        <w:tc>
          <w:tcPr>
            <w:tcW w:w="0" w:type="auto"/>
            <w:gridSpan w:val="2"/>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AIBL1STIMF</w:t>
            </w:r>
          </w:p>
        </w:tc>
        <w:tc>
          <w:tcPr>
            <w:tcW w:w="0" w:type="auto"/>
            <w:gridSpan w:val="2"/>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ATCSLGF</w:t>
            </w:r>
          </w:p>
        </w:tc>
        <w:tc>
          <w:tcPr>
            <w:tcW w:w="0" w:type="auto"/>
            <w:gridSpan w:val="2"/>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DBH1STMF</w:t>
            </w:r>
          </w:p>
        </w:tc>
        <w:tc>
          <w:tcPr>
            <w:tcW w:w="0" w:type="auto"/>
            <w:gridSpan w:val="2"/>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EBL1STMF</w:t>
            </w:r>
          </w:p>
        </w:tc>
        <w:tc>
          <w:tcPr>
            <w:tcW w:w="0" w:type="auto"/>
            <w:gridSpan w:val="2"/>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EBLNRBMF</w:t>
            </w:r>
          </w:p>
        </w:tc>
        <w:tc>
          <w:tcPr>
            <w:tcW w:w="0" w:type="auto"/>
            <w:gridSpan w:val="2"/>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1JANATAMF</w:t>
            </w:r>
          </w:p>
        </w:tc>
        <w:tc>
          <w:tcPr>
            <w:tcW w:w="0" w:type="auto"/>
            <w:gridSpan w:val="2"/>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EXIM1STMF</w:t>
            </w:r>
          </w:p>
        </w:tc>
        <w:tc>
          <w:tcPr>
            <w:tcW w:w="0" w:type="auto"/>
            <w:gridSpan w:val="2"/>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FBFIF</w:t>
            </w:r>
          </w:p>
        </w:tc>
      </w:tr>
      <w:tr w:rsidR="00A0170D" w:rsidRPr="00B253BA" w:rsidTr="00AC06AB">
        <w:trPr>
          <w:trHeight w:val="300"/>
          <w:jc w:val="center"/>
        </w:trPr>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DATE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Market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Cost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Market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Cost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Market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Cost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Market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Cost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Market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Cost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Market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Cost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Market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Cost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Market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Cost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Market Price</w:t>
            </w:r>
          </w:p>
        </w:tc>
        <w:tc>
          <w:tcPr>
            <w:tcW w:w="0" w:type="auto"/>
            <w:noWrap/>
            <w:vAlign w:val="center"/>
            <w:hideMark/>
          </w:tcPr>
          <w:p w:rsidR="00A0170D" w:rsidRPr="00BE348C" w:rsidRDefault="00A0170D" w:rsidP="00AC06AB">
            <w:pPr>
              <w:tabs>
                <w:tab w:val="left" w:pos="13530"/>
              </w:tabs>
              <w:jc w:val="center"/>
              <w:rPr>
                <w:rFonts w:ascii="Times New Roman" w:hAnsi="Times New Roman" w:cs="Times New Roman"/>
                <w:b/>
                <w:sz w:val="20"/>
                <w:szCs w:val="20"/>
              </w:rPr>
            </w:pPr>
            <w:r w:rsidRPr="00BE348C">
              <w:rPr>
                <w:rFonts w:ascii="Times New Roman" w:hAnsi="Times New Roman" w:cs="Times New Roman"/>
                <w:b/>
                <w:sz w:val="20"/>
                <w:szCs w:val="20"/>
              </w:rPr>
              <w:t>Cost Price</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29-Dec-16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10.46</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5-Jan-17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10.48</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12-Jan-17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10.47</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19-Jan-17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10.48</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26-Jan-17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10.50</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2-Feb-17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10.50</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9-Feb-17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16-Feb-17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23-Feb-17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2-Mar-17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9-Mar-17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13.34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10.55</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16-Mar-17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10.56</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23-</w:t>
            </w:r>
            <w:r w:rsidRPr="00B253BA">
              <w:rPr>
                <w:rFonts w:ascii="Times New Roman" w:hAnsi="Times New Roman" w:cs="Times New Roman"/>
                <w:sz w:val="20"/>
                <w:szCs w:val="20"/>
              </w:rPr>
              <w:lastRenderedPageBreak/>
              <w:t>Mar-17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lastRenderedPageBreak/>
              <w:t>12.67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10.57</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lastRenderedPageBreak/>
              <w:t>30-Mar-17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6-Apr-17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13-Apr-17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20-Apr-17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27-Apr-17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4-May-17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11-May-17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18-May-17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10.68</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25-May-17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10.70</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1-Jun-17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8-Jun-17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10.78</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15-Jun-17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11.15</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22-Jun-17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11.57</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29-Jun-17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lastRenderedPageBreak/>
              <w:t>6-Jul-17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13-Jul-17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20-Jul-17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9.97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27-Jul-17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9.97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3-Aug-17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10-Aug-17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17-Aug-17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24-Aug-17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31-Aug-17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9.99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11.65</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7-Sep-17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9.97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14-Sep-17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9.98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10.58</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21-Sep-17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9.96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28-Sep-17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5-Oct-17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12-Oct-17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19-Oct-17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13.35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lastRenderedPageBreak/>
              <w:t>26-Oct-17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2-Nov-17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9-Nov-17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16-Nov-17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23-Nov-17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30-Nov-17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7-Dec-17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14-Dec-17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14.04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21-Dec-17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10.66</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28-Dec-17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4-Jan-18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14.20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11-Jan-18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10.80</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18-Jan-18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25-Jan-18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14.37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1-Feb-18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8-Feb-18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lastRenderedPageBreak/>
              <w:t>15-Feb-18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10.80</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22-Feb-18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10.80</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1-Mar-18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8-Mar-18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15-Mar-18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22-Mar-18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29-Mar-18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5-Apr-18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12-Apr-18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19-Apr-18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10.90</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26-Apr-18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3-May-18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10.96</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10-May-18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13.80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10.96</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17-May-18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10.96</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lastRenderedPageBreak/>
              <w:t>24-May-18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10.97</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31-May-18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10.98</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7-Jun-18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10.98</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12-Jun-18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21-Jun-18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28-Jun-18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11.37</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5-Jul-18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12-Jul-18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19-Jul-18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26-Jul-18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13.52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2-Aug-18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9-Aug-18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16-Aug-18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20-Aug-18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30-Aug-18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6-Sep-18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lastRenderedPageBreak/>
              <w:t>13-Sep-18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20-Sep-18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27-Sep-18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4-Oct-18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11-Oct-18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18-Oct-18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25-Oct-18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1-Nov-18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8-Nov-18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15-Nov-18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22-Nov-18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29-Nov-18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6-Dec-18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13-Dec-18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10.75</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20-</w:t>
            </w:r>
            <w:r w:rsidRPr="00B253BA">
              <w:rPr>
                <w:rFonts w:ascii="Times New Roman" w:hAnsi="Times New Roman" w:cs="Times New Roman"/>
                <w:sz w:val="20"/>
                <w:szCs w:val="20"/>
              </w:rPr>
              <w:lastRenderedPageBreak/>
              <w:t>Dec-18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lastRenderedPageBreak/>
              <w:t>11.15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10.75</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lastRenderedPageBreak/>
              <w:t>27-Dec-18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3-Jan-19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10.79</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10-Jan-19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10.80</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17-Jan-19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24-Jan-19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31-Jan-19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7-Feb-19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14-Feb-19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20-Feb-19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10.81</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27-Feb-19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7-Mar-19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14-Mar-19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10.83</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21-Mar-19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28-Mar-19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r>
      <w:tr w:rsidR="00A0170D" w:rsidRPr="00B253BA" w:rsidTr="00AC06AB">
        <w:trPr>
          <w:trHeight w:val="300"/>
          <w:jc w:val="center"/>
        </w:trPr>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4-Apr-19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11.59</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11.27</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10.84</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11.22</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10.90</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10.95</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10.96</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11.21</w:t>
            </w:r>
          </w:p>
        </w:tc>
        <w:tc>
          <w:tcPr>
            <w:tcW w:w="0" w:type="auto"/>
            <w:noWrap/>
            <w:vAlign w:val="center"/>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10.85</w:t>
            </w:r>
          </w:p>
        </w:tc>
      </w:tr>
    </w:tbl>
    <w:p w:rsidR="00762F95" w:rsidRDefault="00762F95" w:rsidP="00A0170D">
      <w:pPr>
        <w:rPr>
          <w:rFonts w:ascii="Times New Roman" w:hAnsi="Times New Roman" w:cs="Times New Roman"/>
          <w:sz w:val="20"/>
          <w:szCs w:val="20"/>
        </w:rPr>
      </w:pPr>
    </w:p>
    <w:p w:rsidR="00762F95" w:rsidRDefault="00966A2F" w:rsidP="00762F95">
      <w:pPr>
        <w:rPr>
          <w:rFonts w:ascii="Times New Roman" w:hAnsi="Times New Roman" w:cs="Times New Roman"/>
          <w:sz w:val="20"/>
          <w:szCs w:val="20"/>
        </w:rPr>
      </w:pPr>
      <w:r>
        <w:rPr>
          <w:rFonts w:ascii="Times New Roman" w:hAnsi="Times New Roman" w:cs="Times New Roman"/>
          <w:sz w:val="20"/>
          <w:szCs w:val="20"/>
        </w:rPr>
        <w:lastRenderedPageBreak/>
        <w:t>*</w:t>
      </w:r>
      <w:r w:rsidR="00762F95">
        <w:rPr>
          <w:rFonts w:ascii="Times New Roman" w:hAnsi="Times New Roman" w:cs="Times New Roman"/>
          <w:sz w:val="20"/>
          <w:szCs w:val="20"/>
        </w:rPr>
        <w:t>Note: Data of Weekly NAV of 1STPRIMFMF</w:t>
      </w:r>
      <w:r w:rsidR="00CD1846">
        <w:rPr>
          <w:rFonts w:ascii="Times New Roman" w:hAnsi="Times New Roman" w:cs="Times New Roman"/>
          <w:sz w:val="20"/>
          <w:szCs w:val="20"/>
        </w:rPr>
        <w:t xml:space="preserve"> has been showed on Table 3 as the date </w:t>
      </w:r>
      <w:r w:rsidR="00136FBC">
        <w:rPr>
          <w:rFonts w:ascii="Times New Roman" w:hAnsi="Times New Roman" w:cs="Times New Roman"/>
          <w:sz w:val="20"/>
          <w:szCs w:val="20"/>
        </w:rPr>
        <w:t>NAV announcement of the mutual fund does not match with other selected mutual funds.</w:t>
      </w:r>
    </w:p>
    <w:p w:rsidR="00762F95" w:rsidRDefault="00762F95" w:rsidP="00762F95">
      <w:pPr>
        <w:tabs>
          <w:tab w:val="left" w:pos="2550"/>
        </w:tabs>
        <w:rPr>
          <w:rFonts w:ascii="Times New Roman" w:hAnsi="Times New Roman" w:cs="Times New Roman"/>
          <w:sz w:val="20"/>
          <w:szCs w:val="20"/>
        </w:rPr>
      </w:pPr>
      <w:r>
        <w:rPr>
          <w:rFonts w:ascii="Times New Roman" w:hAnsi="Times New Roman" w:cs="Times New Roman"/>
          <w:sz w:val="20"/>
          <w:szCs w:val="20"/>
        </w:rPr>
        <w:tab/>
      </w:r>
    </w:p>
    <w:p w:rsidR="00A0170D" w:rsidRPr="00762F95" w:rsidRDefault="00762F95" w:rsidP="00762F95">
      <w:pPr>
        <w:tabs>
          <w:tab w:val="left" w:pos="2550"/>
        </w:tabs>
        <w:rPr>
          <w:rFonts w:ascii="Times New Roman" w:hAnsi="Times New Roman" w:cs="Times New Roman"/>
          <w:sz w:val="20"/>
          <w:szCs w:val="20"/>
        </w:rPr>
        <w:sectPr w:rsidR="00A0170D" w:rsidRPr="00762F95" w:rsidSect="00117324">
          <w:pgSz w:w="16838" w:h="11906" w:orient="landscape" w:code="9"/>
          <w:pgMar w:top="720" w:right="720" w:bottom="720" w:left="720" w:header="720" w:footer="720" w:gutter="0"/>
          <w:cols w:space="720"/>
          <w:docGrid w:linePitch="360"/>
        </w:sectPr>
      </w:pPr>
      <w:r>
        <w:rPr>
          <w:rFonts w:ascii="Times New Roman" w:hAnsi="Times New Roman" w:cs="Times New Roman"/>
          <w:sz w:val="20"/>
          <w:szCs w:val="20"/>
        </w:rPr>
        <w:tab/>
      </w:r>
    </w:p>
    <w:p w:rsidR="00A0170D" w:rsidRPr="00DE5335" w:rsidRDefault="00D477E7" w:rsidP="00DE5335">
      <w:pPr>
        <w:tabs>
          <w:tab w:val="left" w:pos="4785"/>
        </w:tabs>
        <w:jc w:val="center"/>
        <w:rPr>
          <w:rFonts w:ascii="Times New Roman" w:hAnsi="Times New Roman" w:cs="Times New Roman"/>
          <w:b/>
          <w:sz w:val="20"/>
          <w:szCs w:val="20"/>
        </w:rPr>
      </w:pPr>
      <w:r w:rsidRPr="00DE5335">
        <w:rPr>
          <w:rFonts w:ascii="Times New Roman" w:hAnsi="Times New Roman" w:cs="Times New Roman"/>
          <w:b/>
          <w:sz w:val="20"/>
          <w:szCs w:val="20"/>
        </w:rPr>
        <w:lastRenderedPageBreak/>
        <w:t>Table 3: Data of Weekly NAV of 1STPRIM</w:t>
      </w:r>
      <w:r w:rsidR="00D67A4F" w:rsidRPr="00DE5335">
        <w:rPr>
          <w:rFonts w:ascii="Times New Roman" w:hAnsi="Times New Roman" w:cs="Times New Roman"/>
          <w:b/>
          <w:sz w:val="20"/>
          <w:szCs w:val="20"/>
        </w:rPr>
        <w:t>FMF</w:t>
      </w:r>
    </w:p>
    <w:tbl>
      <w:tblPr>
        <w:tblStyle w:val="TableGrid1"/>
        <w:tblpPr w:leftFromText="180" w:rightFromText="180" w:vertAnchor="text" w:tblpXSpec="center" w:tblpY="1"/>
        <w:tblW w:w="0" w:type="auto"/>
        <w:tblLook w:val="04A0" w:firstRow="1" w:lastRow="0" w:firstColumn="1" w:lastColumn="0" w:noHBand="0" w:noVBand="1"/>
      </w:tblPr>
      <w:tblGrid>
        <w:gridCol w:w="1435"/>
        <w:gridCol w:w="1403"/>
        <w:gridCol w:w="1207"/>
      </w:tblGrid>
      <w:tr w:rsidR="00A0170D" w:rsidRPr="00B253BA" w:rsidTr="00966A2F">
        <w:trPr>
          <w:trHeight w:val="300"/>
        </w:trPr>
        <w:tc>
          <w:tcPr>
            <w:tcW w:w="4045" w:type="dxa"/>
            <w:gridSpan w:val="3"/>
            <w:noWrap/>
            <w:hideMark/>
          </w:tcPr>
          <w:p w:rsidR="00A0170D" w:rsidRPr="00B253BA" w:rsidRDefault="00A0170D" w:rsidP="00AC06AB">
            <w:pPr>
              <w:tabs>
                <w:tab w:val="left" w:pos="13530"/>
              </w:tabs>
              <w:jc w:val="center"/>
              <w:rPr>
                <w:rFonts w:ascii="Times New Roman" w:hAnsi="Times New Roman" w:cs="Times New Roman"/>
                <w:b/>
                <w:sz w:val="20"/>
                <w:szCs w:val="20"/>
              </w:rPr>
            </w:pPr>
            <w:r w:rsidRPr="00B253BA">
              <w:rPr>
                <w:rFonts w:ascii="Times New Roman" w:hAnsi="Times New Roman" w:cs="Times New Roman"/>
                <w:b/>
                <w:sz w:val="20"/>
                <w:szCs w:val="20"/>
              </w:rPr>
              <w:t>Weekly NAV</w:t>
            </w:r>
          </w:p>
        </w:tc>
      </w:tr>
      <w:tr w:rsidR="00A0170D" w:rsidRPr="00B253BA" w:rsidTr="00966A2F">
        <w:trPr>
          <w:trHeight w:val="300"/>
        </w:trPr>
        <w:tc>
          <w:tcPr>
            <w:tcW w:w="4045" w:type="dxa"/>
            <w:gridSpan w:val="3"/>
            <w:noWrap/>
            <w:hideMark/>
          </w:tcPr>
          <w:p w:rsidR="00A0170D" w:rsidRPr="00B253BA" w:rsidRDefault="00A0170D" w:rsidP="00AC06AB">
            <w:pPr>
              <w:tabs>
                <w:tab w:val="left" w:pos="13530"/>
              </w:tabs>
              <w:jc w:val="center"/>
              <w:rPr>
                <w:rFonts w:ascii="Times New Roman" w:hAnsi="Times New Roman" w:cs="Times New Roman"/>
                <w:b/>
                <w:sz w:val="20"/>
                <w:szCs w:val="20"/>
              </w:rPr>
            </w:pPr>
            <w:r w:rsidRPr="00B253BA">
              <w:rPr>
                <w:rFonts w:ascii="Times New Roman" w:hAnsi="Times New Roman" w:cs="Times New Roman"/>
                <w:b/>
                <w:sz w:val="20"/>
                <w:szCs w:val="20"/>
              </w:rPr>
              <w:t>1STPRIMFMF</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b/>
                <w:sz w:val="20"/>
                <w:szCs w:val="20"/>
              </w:rPr>
            </w:pPr>
            <w:r w:rsidRPr="00B253BA">
              <w:rPr>
                <w:rFonts w:ascii="Times New Roman" w:hAnsi="Times New Roman" w:cs="Times New Roman"/>
                <w:b/>
                <w:sz w:val="20"/>
                <w:szCs w:val="20"/>
              </w:rPr>
              <w:t>DATE</w:t>
            </w:r>
          </w:p>
        </w:tc>
        <w:tc>
          <w:tcPr>
            <w:tcW w:w="1403" w:type="dxa"/>
            <w:noWrap/>
            <w:hideMark/>
          </w:tcPr>
          <w:p w:rsidR="00A0170D" w:rsidRPr="00B253BA" w:rsidRDefault="00A0170D" w:rsidP="00AC06AB">
            <w:pPr>
              <w:tabs>
                <w:tab w:val="left" w:pos="13530"/>
              </w:tabs>
              <w:jc w:val="center"/>
              <w:rPr>
                <w:rFonts w:ascii="Times New Roman" w:hAnsi="Times New Roman" w:cs="Times New Roman"/>
                <w:b/>
                <w:sz w:val="20"/>
                <w:szCs w:val="20"/>
              </w:rPr>
            </w:pPr>
            <w:r w:rsidRPr="00B253BA">
              <w:rPr>
                <w:rFonts w:ascii="Times New Roman" w:hAnsi="Times New Roman" w:cs="Times New Roman"/>
                <w:b/>
                <w:sz w:val="20"/>
                <w:szCs w:val="20"/>
              </w:rPr>
              <w:t>Market Price</w:t>
            </w:r>
          </w:p>
        </w:tc>
        <w:tc>
          <w:tcPr>
            <w:tcW w:w="1207" w:type="dxa"/>
            <w:noWrap/>
            <w:hideMark/>
          </w:tcPr>
          <w:p w:rsidR="00A0170D" w:rsidRPr="00B253BA" w:rsidRDefault="00A0170D" w:rsidP="00AC06AB">
            <w:pPr>
              <w:tabs>
                <w:tab w:val="left" w:pos="13530"/>
              </w:tabs>
              <w:jc w:val="center"/>
              <w:rPr>
                <w:rFonts w:ascii="Times New Roman" w:hAnsi="Times New Roman" w:cs="Times New Roman"/>
                <w:b/>
                <w:sz w:val="20"/>
                <w:szCs w:val="20"/>
              </w:rPr>
            </w:pPr>
            <w:r w:rsidRPr="00B253BA">
              <w:rPr>
                <w:rFonts w:ascii="Times New Roman" w:hAnsi="Times New Roman" w:cs="Times New Roman"/>
                <w:b/>
                <w:sz w:val="20"/>
                <w:szCs w:val="20"/>
              </w:rPr>
              <w:t>Cost Price</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27-Dec-16</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16.55</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3-Jan-17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16.60</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10-Jan-17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16.60</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17-Jan-17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13.56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16.70</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24-Jan-17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13.71</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16.80</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31-Jan-17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13.03</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16.84</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7-Feb-17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16.86</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14-Feb-17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13.39</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16.91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20-Feb-17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13.43</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16.96</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28-Feb-17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16.48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7-Mar-17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12.90</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16.51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14-Mar-17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12.97</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16.51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21-Mar-17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12.91</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16.51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28-Mar-17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16.55</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4-Apr-17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16.68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11-Apr-17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16.72</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18-Apr-17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12.47</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16.59</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25-Apr-17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16.61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2-May-17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12.23</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16.61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8-May-17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12.35</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16.66</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16-May-17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12.09</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16.67</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23-May-17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11.91</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16.68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30-May-17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11.82</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16.72</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6-Jun-17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12.06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16.67</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13-Jun-17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11.97</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16.70</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20-Jun-17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12.13</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16.74</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28-Jun-17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12.36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16.75</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lastRenderedPageBreak/>
              <w:t>4-Jul-17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12.72</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16.83</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11-Jul-17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13.01</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16.88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18-Jul-17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12.80</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16.88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25-Jul-17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12.85</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16.94</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1-Aug-17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13.23</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17.01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8-Aug-17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13.00</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16.99</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13-Aug-17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13.15</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17.01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22-Aug-17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13.14</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17.06</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29-Aug-17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13.25</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17.11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5-Sep-17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13.40</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17.05</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12-Sep-17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13.48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17.08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19-Sep-17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13.56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17.12</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26-Sep-17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13.24</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17.19</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3-Oct-17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13.22</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17.24</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10-Oct-17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17.18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17-Oct-17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12.97</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17.38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24-Oct-17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17.39</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31-Oct-17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12.91</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17.52</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7-Nov-17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17.54</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14-Nov-17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13.01</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17.54</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21-Nov-17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17.56</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28-Nov-17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13.21</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13.21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5-Dec-17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13.09</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17.48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12-Dec-17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17.48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19-Dec-17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12.97</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17.48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26-Dec-17</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13.07</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17.50</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2-Jan-18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13.33</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17.51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9-Jan-18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17.47</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16-Jan-18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13.12</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17.62</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23-Jan-18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17.69</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30-Jan-18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13.18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17.77</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lastRenderedPageBreak/>
              <w:t>6-Feb-18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12.76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17.82</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13-Feb-18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12.94</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17.86</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20-Feb-18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12.55</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17.84</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27-Feb-18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11.40</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17.01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6-Mar-18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16.98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13-Mar-18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16.98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20-Mar-18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11.00</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16.99</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27-Mar-18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10.68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17.02</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3-Apr-18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11.34</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16.98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10-Apr-18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16.99</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17-Apr-18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11.40</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17.05</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24-Apr-18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11.39</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17.05</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30-Apr-18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11.51</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17.10</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8-May-18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11.27</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17.09</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15-May-18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11.07</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17.09</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22-May-18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17.16</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29-May-18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17.16</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5-Jun-18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10.70</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17.12</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12-Jun-18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10.79</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17.18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19-Jun-18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17.18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26-Jun-18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11.03</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17.21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3-Jul-18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10.82</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17.22</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10-Jul-18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17.23</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17-Jul-18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11.19</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17.26</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24-Jul-18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11.04</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17.28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31-Jul-18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10.99</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17.28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7-Aug-18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11.04</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17.31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19-Aug-18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11.04</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17.30</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21-Aug-18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17.30</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28-Aug-18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11.61</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17.31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4-Sep-18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11.53</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17.30</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lastRenderedPageBreak/>
              <w:t>11-Sep-18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11.64</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17.31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18-Sep-18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11.34</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17.36</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25-Sep-18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17.35</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2-Oct-18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11.25</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17.38</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9-Oct-18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11.32</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17.37</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16-Oct-18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11.29</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17.39</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23-Oct-18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10.90</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17.43</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30-Oct-18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11.06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17.43</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7-Nov-18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11.25</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17.46</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13-Nov-18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11.13</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17.46</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20-Nov-18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10.78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17.50</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28-Nov-18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11.46</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17.81</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4-Dec-18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11.38</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17.55</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11-Dec-18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11.19</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17.70</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18-Dec-18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11.20</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17.73</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26-Dec-18</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11.45</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17.84</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1-Jan-19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11.77</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17.83</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8-Jan-19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12.63</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17.85</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15-Jan-19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13.04</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18.00</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22-Jan-19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12.95</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17.97</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29-Jan-19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13.35</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18.12</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5-Feb-19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13.02</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18.16</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12-Feb-19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12.84</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18.23</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19-Feb-19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12.81</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18.17</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26-Feb-19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12.69</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18.25</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5-Mar-19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12.59</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18.27</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12-Mar-19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12.59</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18.27</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19-Mar-19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11.25</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17.42</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25-Mar-19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11.15</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17.42</w:t>
            </w:r>
          </w:p>
        </w:tc>
      </w:tr>
      <w:tr w:rsidR="00A0170D" w:rsidRPr="00B253BA" w:rsidTr="00966A2F">
        <w:trPr>
          <w:trHeight w:val="300"/>
        </w:trPr>
        <w:tc>
          <w:tcPr>
            <w:tcW w:w="1435"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2-Apr-19</w:t>
            </w:r>
          </w:p>
        </w:tc>
        <w:tc>
          <w:tcPr>
            <w:tcW w:w="1403"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11.24</w:t>
            </w:r>
          </w:p>
        </w:tc>
        <w:tc>
          <w:tcPr>
            <w:tcW w:w="1207" w:type="dxa"/>
            <w:noWrap/>
            <w:hideMark/>
          </w:tcPr>
          <w:p w:rsidR="00A0170D" w:rsidRPr="00B253BA" w:rsidRDefault="00A0170D" w:rsidP="00AC06AB">
            <w:pPr>
              <w:tabs>
                <w:tab w:val="left" w:pos="13530"/>
              </w:tabs>
              <w:jc w:val="center"/>
              <w:rPr>
                <w:rFonts w:ascii="Times New Roman" w:hAnsi="Times New Roman" w:cs="Times New Roman"/>
                <w:sz w:val="20"/>
                <w:szCs w:val="20"/>
              </w:rPr>
            </w:pPr>
            <w:r w:rsidRPr="00B253BA">
              <w:rPr>
                <w:rFonts w:ascii="Times New Roman" w:hAnsi="Times New Roman" w:cs="Times New Roman"/>
                <w:sz w:val="20"/>
                <w:szCs w:val="20"/>
              </w:rPr>
              <w:t>17.44</w:t>
            </w:r>
          </w:p>
        </w:tc>
      </w:tr>
    </w:tbl>
    <w:p w:rsidR="00A0170D" w:rsidRPr="00B253BA" w:rsidRDefault="00A0170D" w:rsidP="00A0170D">
      <w:pPr>
        <w:tabs>
          <w:tab w:val="left" w:pos="13530"/>
        </w:tabs>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rPr>
          <w:rFonts w:ascii="Times New Roman" w:hAnsi="Times New Roman" w:cs="Times New Roman"/>
          <w:sz w:val="20"/>
          <w:szCs w:val="20"/>
        </w:rPr>
      </w:pPr>
    </w:p>
    <w:p w:rsidR="00A0170D" w:rsidRPr="00B253BA" w:rsidRDefault="00A0170D" w:rsidP="00A0170D">
      <w:pPr>
        <w:tabs>
          <w:tab w:val="left" w:pos="6750"/>
        </w:tabs>
        <w:rPr>
          <w:rFonts w:ascii="Times New Roman" w:hAnsi="Times New Roman" w:cs="Times New Roman"/>
          <w:sz w:val="20"/>
          <w:szCs w:val="20"/>
        </w:rPr>
        <w:sectPr w:rsidR="00A0170D" w:rsidRPr="00B253BA" w:rsidSect="00117324">
          <w:pgSz w:w="16838" w:h="11906" w:orient="landscape" w:code="9"/>
          <w:pgMar w:top="720" w:right="720" w:bottom="720" w:left="720" w:header="720" w:footer="720" w:gutter="0"/>
          <w:cols w:space="720"/>
          <w:docGrid w:linePitch="360"/>
        </w:sectPr>
      </w:pPr>
    </w:p>
    <w:p w:rsidR="00B1476C" w:rsidRDefault="00B1476C" w:rsidP="00CE2132">
      <w:pPr>
        <w:jc w:val="center"/>
        <w:rPr>
          <w:rFonts w:ascii="Times New Roman" w:hAnsi="Times New Roman" w:cs="Times New Roman"/>
          <w:b/>
          <w:sz w:val="20"/>
          <w:szCs w:val="20"/>
        </w:rPr>
      </w:pPr>
    </w:p>
    <w:p w:rsidR="00B1476C" w:rsidRDefault="00B1476C" w:rsidP="00B1476C">
      <w:pPr>
        <w:jc w:val="center"/>
        <w:rPr>
          <w:rFonts w:ascii="Times New Roman" w:hAnsi="Times New Roman" w:cs="Times New Roman"/>
          <w:b/>
          <w:sz w:val="20"/>
          <w:szCs w:val="20"/>
        </w:rPr>
      </w:pPr>
      <w:r w:rsidRPr="00BC1861">
        <w:rPr>
          <w:rFonts w:ascii="Times New Roman" w:hAnsi="Times New Roman" w:cs="Times New Roman"/>
          <w:b/>
          <w:sz w:val="20"/>
          <w:szCs w:val="20"/>
        </w:rPr>
        <w:t xml:space="preserve">Table 4: </w:t>
      </w:r>
      <w:r>
        <w:rPr>
          <w:rFonts w:ascii="Times New Roman" w:hAnsi="Times New Roman" w:cs="Times New Roman"/>
          <w:b/>
          <w:sz w:val="20"/>
          <w:szCs w:val="20"/>
        </w:rPr>
        <w:t>Data of DSEX Index</w:t>
      </w:r>
    </w:p>
    <w:tbl>
      <w:tblPr>
        <w:tblStyle w:val="TableGrid"/>
        <w:tblpPr w:leftFromText="180" w:rightFromText="180" w:vertAnchor="page" w:horzAnchor="margin" w:tblpXSpec="center" w:tblpY="2386"/>
        <w:tblW w:w="0" w:type="auto"/>
        <w:tblLook w:val="04A0" w:firstRow="1" w:lastRow="0" w:firstColumn="1" w:lastColumn="0" w:noHBand="0" w:noVBand="1"/>
      </w:tblPr>
      <w:tblGrid>
        <w:gridCol w:w="960"/>
        <w:gridCol w:w="1555"/>
        <w:gridCol w:w="1216"/>
      </w:tblGrid>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b/>
                <w:sz w:val="20"/>
                <w:szCs w:val="20"/>
              </w:rPr>
            </w:pPr>
            <w:r w:rsidRPr="00AE4C28">
              <w:rPr>
                <w:rFonts w:ascii="Times New Roman" w:hAnsi="Times New Roman" w:cs="Times New Roman"/>
                <w:b/>
                <w:sz w:val="20"/>
                <w:szCs w:val="20"/>
              </w:rPr>
              <w:t>SL NO</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b/>
                <w:sz w:val="20"/>
                <w:szCs w:val="20"/>
              </w:rPr>
            </w:pPr>
            <w:r w:rsidRPr="00AE4C28">
              <w:rPr>
                <w:rFonts w:ascii="Times New Roman" w:hAnsi="Times New Roman" w:cs="Times New Roman"/>
                <w:b/>
                <w:sz w:val="20"/>
                <w:szCs w:val="20"/>
              </w:rPr>
              <w:t>Date</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b/>
                <w:sz w:val="20"/>
                <w:szCs w:val="20"/>
              </w:rPr>
            </w:pPr>
            <w:r w:rsidRPr="00AE4C28">
              <w:rPr>
                <w:rFonts w:ascii="Times New Roman" w:hAnsi="Times New Roman" w:cs="Times New Roman"/>
                <w:b/>
                <w:sz w:val="20"/>
                <w:szCs w:val="20"/>
              </w:rPr>
              <w:t>DSEX INDEX</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29-Dec-16</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5,036.05011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5,083.89246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5,119.58845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5,137.73640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5,156.60260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5,182.24715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5,158.69676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5,214.60412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5,277.39207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5,333.87512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5,342.87747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5,422.79539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5,477.86142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5,575.47273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5,533.49693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5,534.06587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5,602.84613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5,669.79587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5,708.24946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5,621.27851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5,618.64762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5,500.85518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5,421.20757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31-Jan-17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5,468.34018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5,473.89142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5,365.13602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5,322.86856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5,363.09324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5,392.10144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5,488.23449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5,512.46483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5,546.28696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5,558.57254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5,598.71301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5,580.63679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5,590.66585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5,583.00893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5,604.99881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5,625.83857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5,625.33057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lastRenderedPageBreak/>
              <w:t>517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5,635.11315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5,620.24699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28-Feb-17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5,612.69664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5,597.21656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5,586.74541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5,573.07669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5,588.83500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5,622.49419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509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5,649.98579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508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5,671.61964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507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5,676.25864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506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5,659.72114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505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5,681.25831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504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5,684.31078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503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5,701.27286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502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5,695.45447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501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5,695.72056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500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5,724.85691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499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5,736.30955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498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5,726.23394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497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5,697.93206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496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5,737.41949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495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5,733.24297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494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30-Mar-17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5,719.61091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493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5,691.37205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492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5,739.33532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491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5,777.11925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490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5,756.92003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489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5,736.40484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488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5,700.79099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487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5,689.67081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486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5,683.46456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485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5,646.37848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484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5,645.86305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483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5,592.83074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482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5,596.12257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481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5,571.52226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480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5,555.09803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479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5,521.66384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478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5,438.24624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477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5,435.63467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476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5,469.46922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475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5,517.37047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474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5,534.42019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lastRenderedPageBreak/>
              <w:t>473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30-Apr-17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5,475.55266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472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5,521.38401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471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5,545.10026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470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5,540.71061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469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5,533.44829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468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5,529.50644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467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5,511.05598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466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5,496.20889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465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5,460.07187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464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5,428.05923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463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5,435.68251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462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5,429.66639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461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5,399.66073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460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5,363.72940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459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5,385.35554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458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5,394.81773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457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5,412.68542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456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5,413.81896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455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5,368.73488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454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5,356.58169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453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5,373.25797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452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31-May-17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5,403.11620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451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5,438.70501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450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5,443.99297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449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5,482.52578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448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5,500.65559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447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5,489.87671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446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5,475.74586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445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5,455.17275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444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5,450.11702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443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5,454.78392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442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5,459.72115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441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5,468.32538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440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5,461.63423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439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5,478.82227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438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5,527.22086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437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5,567.69572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436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5,599.07808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435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5,646.28446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434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29-Jun-17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5,656.04928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433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5,654.62255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432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5,726.37719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431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5,760.50386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430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5,782.65675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lastRenderedPageBreak/>
              <w:t>429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5,749.65792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428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5,774.29526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427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5,827.18885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426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5,830.77245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425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5,790.78579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424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5,834.86542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423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5,844.72026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422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5,824.42645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421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5,819.26439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420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5,775.59450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419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5,782.47163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418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5,775.59778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417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5,798.11874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416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5,801.89898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415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5,824.42899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414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5,815.07072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413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5,802.04305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412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31-Jul-17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5,860.64891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411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5,876.26377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410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5,891.16453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409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5,880.44742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408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5,907.62916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407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5,913.59997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406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5,897.67788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405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5,890.12810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404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5,901.80712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403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5,921.59566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402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5,883.24075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401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5,861.11574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400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5,819.27172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399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5,844.10904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398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5,862.33245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397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5,855.87729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396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5,885.42088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395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5,915.42102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394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5,947.24792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393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5,948.50506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392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5,973.94583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391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31-Aug-17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6,006.43351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390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6,038.37610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389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6,083.00911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388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6,069.17952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387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6,114.98743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386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6,167.49169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lastRenderedPageBreak/>
              <w:t>385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6,151.20704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384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6,149.39787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383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6,184.57100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382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6,203.90385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381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6,240.57205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380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6,235.94010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379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6,236.58681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378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6,172.91468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377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6,170.47687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376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6,165.32370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375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6,106.24740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374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6,104.27267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373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6,079.32486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372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28-Sep-17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6,092.84094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371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6,092.95331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370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6,133.22819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369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6,159.95864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368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6,202.31136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367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6,205.50065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366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6,128.89581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365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6,141.81318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364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6,108.57108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363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6,064.40705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362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6,008.94652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361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6,013.84172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360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6,031.74095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359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6,025.27178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358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6,039.55536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357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6,041.20222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356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5,981.95190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355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5,968.02001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354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6,001.52836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353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6,018.25979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352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5,995.41425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351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5,996.24753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350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31-Oct-17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6,019.59132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349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6,072.33484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348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6,099.02416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347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6,072.99139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346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6,104.50857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345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6,129.69325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344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6,159.07350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343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6,193.56601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342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6,223.78499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lastRenderedPageBreak/>
              <w:t>341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6,216.61819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340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6,252.14383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339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6,235.71216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338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6,282.09378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337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6,306.95163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336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6,319.12474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335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6,281.87217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334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6,289.33147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333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6,322.51462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332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6,336.88453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331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6,302.45877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330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6,272.57356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329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6,278.55230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328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30-Nov-17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6,306.86095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327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6,296.20047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326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6,262.76879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325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6,286.75108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324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6,266.29655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323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6,248.22606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322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6,204.43082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321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6,196.65354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320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6,251.60168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6,224.07629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6,230.01591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6,213.08841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6,224.60839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6,228.65524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6,196.48187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6,182.78975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6,159.30715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6,167.56942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6,186.46590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28-Dec-17</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6,244.52234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6,254.41473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6,279.96767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6,318.27139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6,302.84314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6,268.42002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6,210.50496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6,198.53410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6,172.44745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6,179.32255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6,117.89954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6,057.85847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lastRenderedPageBreak/>
              <w:t>297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6,128.80970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6,098.32933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6,122.23167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6,147.19168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6,195.00185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6,206.72293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6,200.68846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6,215.80393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6,144.72444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6,176.44999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6,127.80348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31-Jan-18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6,039.78399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6,021.44709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5,888.29438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5,869.78842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5,949.24877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5,936.34828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5,965.62501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6,093.95427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6,082.29023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6,088.37040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6,102.30771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6,050.19990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5,950.75994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5,940.24443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5,909.03422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5,906.98236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5,832.12929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5,774.57040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5,798.42938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28-Feb-18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5,804.94333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5,870.83441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5,883.38783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5,835.33688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5,847.81656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5,822.18808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5,827.98872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5,773.36584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5,705.57259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5,623.64282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5,635.05259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5,720.59819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5,721.69693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5,663.76643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lastRenderedPageBreak/>
              <w:t>253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5,648.90745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5,572.05828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5,580.58694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5,570.18730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5,491.79711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5,488.86881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29-Mar-18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5,597.44378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5,747.14299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5,827.51655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5,790.28611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5,793.05226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5,841.19155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5,865.38473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5,879.41746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5,859.60882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5,833.26417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5,813.13679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5,773.60733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5,784.67310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5,777.95360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5,822.99626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5,843.46987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5,813.28689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5,806.13298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5,777.35819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5,802.02864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5,813.79512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30-Apr-18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5,739.22955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5,698.68944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5,694.27988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5,683.53519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5,642.46715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5,627.33265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5,587.21838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5,558.66963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5,557.57504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5,548.89460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5,511.76275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5,443.30862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5,390.70072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5,413.28599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5,391.89081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5,361.09379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5,429.69291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lastRenderedPageBreak/>
              <w:t>209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5,456.82024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5,417.42160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5,409.69905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5,395.75473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31-May-18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5,343.87807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5,316.96621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5,313.70845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5,346.80212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5,398.75981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5,366.66888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5,323.29401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5,326.44407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5,365.22181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5,341.29650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5,344.96418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5,384.87321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5,441.75763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5,521.99788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5,433.78968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5,411.27679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5,429.04051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28-Jun-18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5,405.46105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5,322.41197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5,273.16793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5,309.11919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5,362.27936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5,366.02239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5,341.27406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5,371.30119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5,379.24172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5,358.90836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5,336.74999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5,339.91390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5,325.48201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5,334.18077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5,337.42403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5,339.18251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5,348.06630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5,335.38121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5,319.44440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5,305.17422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5,280.07093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5,262.91327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31-Jul-18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5,302.63740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lastRenderedPageBreak/>
              <w:t>165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5,348.20253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5,399.79375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5,357.02725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5,353.41513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5,381.88633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5,405.95554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5,407.00611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5,407.18751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5,378.72921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5,408.45737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5,467.74446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5,538.50792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5,571.19897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5,596.91489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5,584.97075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5,619.41820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5,603.25791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30-Aug-18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5,600.64010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5,590.42207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5,552.80768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5,562.23772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5,574.24609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5,549.78417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5,540.11077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5,543.93541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5,529.81554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5,500.61506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5,464.17614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5,443.80743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5,472.60157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5,505.05396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5,467.05065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5,415.24511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5,357.54807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5,386.88767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5,390.85074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5,342.88955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30-Sep-18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5,368.95714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5,369.91286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5,380.93052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5,422.65948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5,418.27779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5,410.81367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5,440.94729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lastRenderedPageBreak/>
              <w:t>121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5,455.81068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5,436.15142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5,435.01343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5,446.40973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5,384.41199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5,399.88440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5,380.78552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5,381.51874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5,331.16861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5,251.95278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5,252.67171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5,276.33044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5,282.04106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5,212.23312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5,246.51303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5,299.07393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31-Oct-18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5,284.12752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5,258.47686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5,238.98858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5,224.94004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5,204.35961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5,242.21758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5,259.11276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5,278.97980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5,239.06085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5,258.58916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5,245.58718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5,244.62735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5,256.06558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5,257.10830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5,298.83557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5,305.95045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5,276.24137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5,279.25571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5,288.54914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5,286.72472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29-Nov-18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5,281.25158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5,290.76784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5,296.55091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5,345.42738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5,361.11206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5,332.80612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5,306.22937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5,295.69868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lastRenderedPageBreak/>
              <w:t>77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5,275.76037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5,265.84016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5,251.01606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5,218.01291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5,233.59417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5,242.56289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5,265.31641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5,281.77575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5,300.09301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5,349.18107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27-Dec-18</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5,385.64133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5,465.25479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5,496.43861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5,590.47315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5,687.00761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5,655.18715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5,770.77513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5,798.59112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5,797.30468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5,860.21586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5,836.23416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5,863.27706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5,839.48297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5,825.57232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5,887.27724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5,859.30443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5,865.46428</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5,925.24293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5,950.01115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5,939.45495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5,904.22615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5,924.53277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5,884.11144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31-Jan-19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5,821.01017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5,801.33182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5,828.07014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5,800.24136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5,786.00819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5,811.92116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5,763.73205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5,733.91011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5,731.95396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5,748.31475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5,750.29187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lastRenderedPageBreak/>
              <w:t>33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5,775.82504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5,724.52113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5,735.92062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5,745.83391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5,714.27370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5,755.79403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5,738.64284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27-Feb-19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5,711.82993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5,723.07935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5,682.41493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5,687.48862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5,686.38384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5,688.45734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5,710.06541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5,690.82305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5,682.43562</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5,653.21463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5,655.81976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18-Mar-19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5,604.90310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19-Mar-19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5,631.29351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20-Mar-19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5,600.55766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21-Mar-19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5,570.15307</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24-Mar-19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5,512.07884</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10</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25-Mar-19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5,530.07159</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9</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27-Mar-19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5,502.48640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28-Mar-19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5,505.49750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31-Mar-19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5,491.90543</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6</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1-Apr-19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5,503.08070</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2-Apr-19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5,522.17221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3-Apr-19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5,452.19871</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3</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4-Apr-19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5,459.91205</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2</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7-Apr-19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5,433.89196</w:t>
            </w:r>
          </w:p>
        </w:tc>
      </w:tr>
      <w:tr w:rsidR="00CE2132" w:rsidRPr="00AE4C28" w:rsidTr="00B1476C">
        <w:trPr>
          <w:trHeight w:val="300"/>
        </w:trPr>
        <w:tc>
          <w:tcPr>
            <w:tcW w:w="960"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1</w:t>
            </w:r>
          </w:p>
        </w:tc>
        <w:tc>
          <w:tcPr>
            <w:tcW w:w="1555"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8-Apr-19</w:t>
            </w:r>
          </w:p>
        </w:tc>
        <w:tc>
          <w:tcPr>
            <w:tcW w:w="1216" w:type="dxa"/>
            <w:noWrap/>
            <w:vAlign w:val="center"/>
            <w:hideMark/>
          </w:tcPr>
          <w:p w:rsidR="00CE2132" w:rsidRPr="00AE4C28" w:rsidRDefault="00CE2132" w:rsidP="00B1476C">
            <w:pPr>
              <w:tabs>
                <w:tab w:val="left" w:pos="6750"/>
              </w:tabs>
              <w:jc w:val="center"/>
              <w:rPr>
                <w:rFonts w:ascii="Times New Roman" w:hAnsi="Times New Roman" w:cs="Times New Roman"/>
                <w:sz w:val="20"/>
                <w:szCs w:val="20"/>
              </w:rPr>
            </w:pPr>
            <w:r w:rsidRPr="00AE4C28">
              <w:rPr>
                <w:rFonts w:ascii="Times New Roman" w:hAnsi="Times New Roman" w:cs="Times New Roman"/>
                <w:sz w:val="20"/>
                <w:szCs w:val="20"/>
              </w:rPr>
              <w:t>5,372.23165</w:t>
            </w:r>
          </w:p>
        </w:tc>
      </w:tr>
    </w:tbl>
    <w:p w:rsidR="00CE2132" w:rsidRPr="00BC1861" w:rsidRDefault="00CE2132" w:rsidP="00CE2132">
      <w:pPr>
        <w:jc w:val="center"/>
        <w:rPr>
          <w:rFonts w:ascii="Times New Roman" w:hAnsi="Times New Roman" w:cs="Times New Roman"/>
          <w:b/>
          <w:sz w:val="20"/>
          <w:szCs w:val="20"/>
        </w:rPr>
      </w:pPr>
    </w:p>
    <w:p w:rsidR="00030374" w:rsidRDefault="00030374" w:rsidP="00EE2C35">
      <w:pPr>
        <w:tabs>
          <w:tab w:val="left" w:pos="6750"/>
        </w:tabs>
        <w:jc w:val="center"/>
        <w:rPr>
          <w:rFonts w:ascii="Times New Roman" w:hAnsi="Times New Roman" w:cs="Times New Roman"/>
          <w:b/>
          <w:sz w:val="20"/>
          <w:szCs w:val="20"/>
        </w:rPr>
      </w:pPr>
    </w:p>
    <w:p w:rsidR="00EE2C35" w:rsidRPr="00EE2C35" w:rsidRDefault="00EE2C35" w:rsidP="00EE2C35">
      <w:pPr>
        <w:tabs>
          <w:tab w:val="left" w:pos="6750"/>
        </w:tabs>
        <w:jc w:val="center"/>
        <w:rPr>
          <w:rFonts w:ascii="Times New Roman" w:hAnsi="Times New Roman" w:cs="Times New Roman"/>
          <w:b/>
          <w:sz w:val="20"/>
          <w:szCs w:val="20"/>
        </w:rPr>
      </w:pPr>
    </w:p>
    <w:p w:rsidR="00A0170D" w:rsidRPr="00B253BA" w:rsidRDefault="00A0170D" w:rsidP="00A0170D">
      <w:pPr>
        <w:tabs>
          <w:tab w:val="left" w:pos="6750"/>
        </w:tabs>
        <w:rPr>
          <w:rFonts w:ascii="Times New Roman" w:hAnsi="Times New Roman" w:cs="Times New Roman"/>
          <w:sz w:val="20"/>
          <w:szCs w:val="20"/>
        </w:rPr>
      </w:pPr>
    </w:p>
    <w:p w:rsidR="00A0170D" w:rsidRPr="00B253BA" w:rsidRDefault="00A0170D" w:rsidP="00A0170D">
      <w:pPr>
        <w:tabs>
          <w:tab w:val="left" w:pos="6750"/>
        </w:tabs>
        <w:rPr>
          <w:rFonts w:ascii="Times New Roman" w:hAnsi="Times New Roman" w:cs="Times New Roman"/>
          <w:sz w:val="20"/>
          <w:szCs w:val="20"/>
        </w:rPr>
      </w:pPr>
    </w:p>
    <w:p w:rsidR="00A0170D" w:rsidRPr="00B253BA" w:rsidRDefault="00A0170D" w:rsidP="00A0170D">
      <w:pPr>
        <w:tabs>
          <w:tab w:val="left" w:pos="10125"/>
        </w:tabs>
        <w:rPr>
          <w:rFonts w:ascii="Times New Roman" w:hAnsi="Times New Roman" w:cs="Times New Roman"/>
          <w:sz w:val="20"/>
          <w:szCs w:val="20"/>
        </w:rPr>
      </w:pPr>
    </w:p>
    <w:sectPr w:rsidR="00A0170D" w:rsidRPr="00B253BA" w:rsidSect="00117324">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B47" w:rsidRDefault="00EB3B47" w:rsidP="00B4267F">
      <w:pPr>
        <w:spacing w:after="0" w:line="240" w:lineRule="auto"/>
      </w:pPr>
      <w:r>
        <w:separator/>
      </w:r>
    </w:p>
  </w:endnote>
  <w:endnote w:type="continuationSeparator" w:id="0">
    <w:p w:rsidR="00EB3B47" w:rsidRDefault="00EB3B47" w:rsidP="00B42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4000207B" w:usb2="00000000"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8D4" w:rsidRDefault="00C978D4">
    <w:pPr>
      <w:pStyle w:val="Footer"/>
      <w:jc w:val="center"/>
    </w:pPr>
  </w:p>
  <w:p w:rsidR="00C978D4" w:rsidRDefault="00C978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191268"/>
      <w:docPartObj>
        <w:docPartGallery w:val="Page Numbers (Bottom of Page)"/>
        <w:docPartUnique/>
      </w:docPartObj>
    </w:sdtPr>
    <w:sdtEndPr/>
    <w:sdtContent>
      <w:p w:rsidR="00C978D4" w:rsidRDefault="00C978D4">
        <w:pPr>
          <w:pStyle w:val="Footer"/>
          <w:jc w:val="center"/>
        </w:pPr>
        <w:r>
          <w:t>[</w:t>
        </w:r>
        <w:r>
          <w:fldChar w:fldCharType="begin"/>
        </w:r>
        <w:r>
          <w:instrText xml:space="preserve"> PAGE   \* MERGEFORMAT </w:instrText>
        </w:r>
        <w:r>
          <w:fldChar w:fldCharType="separate"/>
        </w:r>
        <w:r w:rsidR="007B25EB">
          <w:rPr>
            <w:noProof/>
          </w:rPr>
          <w:t>iv</w:t>
        </w:r>
        <w:r>
          <w:rPr>
            <w:noProof/>
          </w:rPr>
          <w:fldChar w:fldCharType="end"/>
        </w:r>
        <w:r>
          <w:t>]</w:t>
        </w:r>
      </w:p>
    </w:sdtContent>
  </w:sdt>
  <w:p w:rsidR="00C978D4" w:rsidRDefault="00C978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735809"/>
      <w:docPartObj>
        <w:docPartGallery w:val="Page Numbers (Bottom of Page)"/>
        <w:docPartUnique/>
      </w:docPartObj>
    </w:sdtPr>
    <w:sdtEndPr>
      <w:rPr>
        <w:noProof/>
      </w:rPr>
    </w:sdtEndPr>
    <w:sdtContent>
      <w:p w:rsidR="00C978D4" w:rsidRDefault="00C978D4">
        <w:pPr>
          <w:pStyle w:val="Footer"/>
          <w:jc w:val="center"/>
        </w:pPr>
        <w:r>
          <w:fldChar w:fldCharType="begin"/>
        </w:r>
        <w:r>
          <w:instrText xml:space="preserve"> PAGE   \* MERGEFORMAT </w:instrText>
        </w:r>
        <w:r>
          <w:fldChar w:fldCharType="separate"/>
        </w:r>
        <w:r w:rsidR="007B25EB">
          <w:rPr>
            <w:noProof/>
          </w:rPr>
          <w:t>47</w:t>
        </w:r>
        <w:r>
          <w:rPr>
            <w:noProof/>
          </w:rPr>
          <w:fldChar w:fldCharType="end"/>
        </w:r>
      </w:p>
    </w:sdtContent>
  </w:sdt>
  <w:p w:rsidR="00C978D4" w:rsidRDefault="00C978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B47" w:rsidRDefault="00EB3B47" w:rsidP="00B4267F">
      <w:pPr>
        <w:spacing w:after="0" w:line="240" w:lineRule="auto"/>
      </w:pPr>
      <w:r>
        <w:separator/>
      </w:r>
    </w:p>
  </w:footnote>
  <w:footnote w:type="continuationSeparator" w:id="0">
    <w:p w:rsidR="00EB3B47" w:rsidRDefault="00EB3B47" w:rsidP="00B426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39C9"/>
    <w:multiLevelType w:val="multilevel"/>
    <w:tmpl w:val="E0B4DAE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042D62DA"/>
    <w:multiLevelType w:val="hybridMultilevel"/>
    <w:tmpl w:val="317AA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B35DA"/>
    <w:multiLevelType w:val="multilevel"/>
    <w:tmpl w:val="60A647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F030B11"/>
    <w:multiLevelType w:val="multilevel"/>
    <w:tmpl w:val="E0B4DAE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11C61F9C"/>
    <w:multiLevelType w:val="multilevel"/>
    <w:tmpl w:val="E0B4DAE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1F105197"/>
    <w:multiLevelType w:val="multilevel"/>
    <w:tmpl w:val="664E452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261B2315"/>
    <w:multiLevelType w:val="multilevel"/>
    <w:tmpl w:val="E0B4DAE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26815770"/>
    <w:multiLevelType w:val="multilevel"/>
    <w:tmpl w:val="E0B4DAE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3A3A0A37"/>
    <w:multiLevelType w:val="hybridMultilevel"/>
    <w:tmpl w:val="2D98791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475B1C"/>
    <w:multiLevelType w:val="multilevel"/>
    <w:tmpl w:val="664E452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3EF62B4F"/>
    <w:multiLevelType w:val="multilevel"/>
    <w:tmpl w:val="E0B4DAE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3FD04033"/>
    <w:multiLevelType w:val="hybridMultilevel"/>
    <w:tmpl w:val="2D160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622816"/>
    <w:multiLevelType w:val="hybridMultilevel"/>
    <w:tmpl w:val="CEC88C1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3D5FEA"/>
    <w:multiLevelType w:val="multilevel"/>
    <w:tmpl w:val="AB74EFF4"/>
    <w:lvl w:ilvl="0">
      <w:start w:val="5"/>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4CEA6ED3"/>
    <w:multiLevelType w:val="hybridMultilevel"/>
    <w:tmpl w:val="8CAAD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B95D73"/>
    <w:multiLevelType w:val="multilevel"/>
    <w:tmpl w:val="664E452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4EBD7114"/>
    <w:multiLevelType w:val="hybridMultilevel"/>
    <w:tmpl w:val="9BCA373A"/>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7">
    <w:nsid w:val="516C5065"/>
    <w:multiLevelType w:val="multilevel"/>
    <w:tmpl w:val="E0B4DAE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nsid w:val="51DF10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494025D"/>
    <w:multiLevelType w:val="multilevel"/>
    <w:tmpl w:val="9200783A"/>
    <w:lvl w:ilvl="0">
      <w:start w:val="5"/>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0">
    <w:nsid w:val="590022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DE96EED"/>
    <w:multiLevelType w:val="multilevel"/>
    <w:tmpl w:val="60A647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F242270"/>
    <w:multiLevelType w:val="hybridMultilevel"/>
    <w:tmpl w:val="96769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5B181B"/>
    <w:multiLevelType w:val="multilevel"/>
    <w:tmpl w:val="05A60E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40" w:hanging="720"/>
      </w:pPr>
      <w:rPr>
        <w:rFonts w:hint="default"/>
      </w:rPr>
    </w:lvl>
    <w:lvl w:ilvl="3">
      <w:start w:val="1"/>
      <w:numFmt w:val="decimal"/>
      <w:lvlText w:val="%1.%2.%3.%4"/>
      <w:lvlJc w:val="left"/>
      <w:pPr>
        <w:ind w:left="1950" w:hanging="72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130" w:hanging="1080"/>
      </w:pPr>
      <w:rPr>
        <w:rFonts w:hint="default"/>
      </w:rPr>
    </w:lvl>
    <w:lvl w:ilvl="6">
      <w:start w:val="1"/>
      <w:numFmt w:val="decimal"/>
      <w:lvlText w:val="%1.%2.%3.%4.%5.%6.%7"/>
      <w:lvlJc w:val="left"/>
      <w:pPr>
        <w:ind w:left="3900" w:hanging="1440"/>
      </w:pPr>
      <w:rPr>
        <w:rFonts w:hint="default"/>
      </w:rPr>
    </w:lvl>
    <w:lvl w:ilvl="7">
      <w:start w:val="1"/>
      <w:numFmt w:val="decimal"/>
      <w:lvlText w:val="%1.%2.%3.%4.%5.%6.%7.%8"/>
      <w:lvlJc w:val="left"/>
      <w:pPr>
        <w:ind w:left="4310" w:hanging="1440"/>
      </w:pPr>
      <w:rPr>
        <w:rFonts w:hint="default"/>
      </w:rPr>
    </w:lvl>
    <w:lvl w:ilvl="8">
      <w:start w:val="1"/>
      <w:numFmt w:val="decimal"/>
      <w:lvlText w:val="%1.%2.%3.%4.%5.%6.%7.%8.%9"/>
      <w:lvlJc w:val="left"/>
      <w:pPr>
        <w:ind w:left="4720" w:hanging="1440"/>
      </w:pPr>
      <w:rPr>
        <w:rFonts w:hint="default"/>
      </w:rPr>
    </w:lvl>
  </w:abstractNum>
  <w:abstractNum w:abstractNumId="24">
    <w:nsid w:val="68EF5530"/>
    <w:multiLevelType w:val="multilevel"/>
    <w:tmpl w:val="664E452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6953539A"/>
    <w:multiLevelType w:val="hybridMultilevel"/>
    <w:tmpl w:val="0B26F0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B060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DA47852"/>
    <w:multiLevelType w:val="hybridMultilevel"/>
    <w:tmpl w:val="503A5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204323"/>
    <w:multiLevelType w:val="hybridMultilevel"/>
    <w:tmpl w:val="58982C3E"/>
    <w:lvl w:ilvl="0" w:tplc="ECECACE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nsid w:val="7C824801"/>
    <w:multiLevelType w:val="multilevel"/>
    <w:tmpl w:val="E0B4DAE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28"/>
  </w:num>
  <w:num w:numId="3">
    <w:abstractNumId w:val="15"/>
  </w:num>
  <w:num w:numId="4">
    <w:abstractNumId w:val="1"/>
  </w:num>
  <w:num w:numId="5">
    <w:abstractNumId w:val="21"/>
  </w:num>
  <w:num w:numId="6">
    <w:abstractNumId w:val="22"/>
  </w:num>
  <w:num w:numId="7">
    <w:abstractNumId w:val="16"/>
  </w:num>
  <w:num w:numId="8">
    <w:abstractNumId w:val="23"/>
  </w:num>
  <w:num w:numId="9">
    <w:abstractNumId w:val="12"/>
  </w:num>
  <w:num w:numId="10">
    <w:abstractNumId w:val="11"/>
  </w:num>
  <w:num w:numId="11">
    <w:abstractNumId w:val="8"/>
  </w:num>
  <w:num w:numId="12">
    <w:abstractNumId w:val="14"/>
  </w:num>
  <w:num w:numId="13">
    <w:abstractNumId w:val="19"/>
  </w:num>
  <w:num w:numId="14">
    <w:abstractNumId w:val="25"/>
  </w:num>
  <w:num w:numId="15">
    <w:abstractNumId w:val="27"/>
  </w:num>
  <w:num w:numId="16">
    <w:abstractNumId w:val="24"/>
  </w:num>
  <w:num w:numId="17">
    <w:abstractNumId w:val="9"/>
  </w:num>
  <w:num w:numId="18">
    <w:abstractNumId w:val="5"/>
  </w:num>
  <w:num w:numId="19">
    <w:abstractNumId w:val="20"/>
  </w:num>
  <w:num w:numId="20">
    <w:abstractNumId w:val="18"/>
  </w:num>
  <w:num w:numId="21">
    <w:abstractNumId w:val="26"/>
  </w:num>
  <w:num w:numId="22">
    <w:abstractNumId w:val="17"/>
  </w:num>
  <w:num w:numId="23">
    <w:abstractNumId w:val="29"/>
  </w:num>
  <w:num w:numId="24">
    <w:abstractNumId w:val="3"/>
  </w:num>
  <w:num w:numId="25">
    <w:abstractNumId w:val="0"/>
  </w:num>
  <w:num w:numId="26">
    <w:abstractNumId w:val="6"/>
  </w:num>
  <w:num w:numId="27">
    <w:abstractNumId w:val="10"/>
  </w:num>
  <w:num w:numId="28">
    <w:abstractNumId w:val="7"/>
  </w:num>
  <w:num w:numId="29">
    <w:abstractNumId w:val="4"/>
  </w:num>
  <w:num w:numId="30">
    <w:abstractNumId w:val="13"/>
  </w:num>
  <w:num w:numId="31">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LI0MDM3NTO0MDIzMTWzMDRX0lEKTi0uzszPAykwrgUATTW0SSwAAAA="/>
  </w:docVars>
  <w:rsids>
    <w:rsidRoot w:val="00F70E3D"/>
    <w:rsid w:val="0000043A"/>
    <w:rsid w:val="00013606"/>
    <w:rsid w:val="00015911"/>
    <w:rsid w:val="00021697"/>
    <w:rsid w:val="000235EC"/>
    <w:rsid w:val="000302D5"/>
    <w:rsid w:val="00030374"/>
    <w:rsid w:val="000308CD"/>
    <w:rsid w:val="00034E3D"/>
    <w:rsid w:val="00035F6C"/>
    <w:rsid w:val="00036E81"/>
    <w:rsid w:val="000377C1"/>
    <w:rsid w:val="00037B12"/>
    <w:rsid w:val="0004008F"/>
    <w:rsid w:val="00040C38"/>
    <w:rsid w:val="00040CFD"/>
    <w:rsid w:val="00041DC8"/>
    <w:rsid w:val="00044E2E"/>
    <w:rsid w:val="0005129F"/>
    <w:rsid w:val="00056535"/>
    <w:rsid w:val="00062797"/>
    <w:rsid w:val="000673E2"/>
    <w:rsid w:val="00071E4D"/>
    <w:rsid w:val="00074B7D"/>
    <w:rsid w:val="00084963"/>
    <w:rsid w:val="00091057"/>
    <w:rsid w:val="0009674F"/>
    <w:rsid w:val="000978FF"/>
    <w:rsid w:val="000A5E2D"/>
    <w:rsid w:val="000A6603"/>
    <w:rsid w:val="000B3DD5"/>
    <w:rsid w:val="000B41F4"/>
    <w:rsid w:val="000C0257"/>
    <w:rsid w:val="000C221E"/>
    <w:rsid w:val="000C7263"/>
    <w:rsid w:val="000E1B42"/>
    <w:rsid w:val="000E207E"/>
    <w:rsid w:val="000E2C8B"/>
    <w:rsid w:val="000E40EA"/>
    <w:rsid w:val="000F155A"/>
    <w:rsid w:val="000F73CE"/>
    <w:rsid w:val="000F7FBD"/>
    <w:rsid w:val="00102FDE"/>
    <w:rsid w:val="0010441D"/>
    <w:rsid w:val="001164EA"/>
    <w:rsid w:val="00117324"/>
    <w:rsid w:val="00123BC7"/>
    <w:rsid w:val="00123FBF"/>
    <w:rsid w:val="0013436C"/>
    <w:rsid w:val="00134DAC"/>
    <w:rsid w:val="00136FBC"/>
    <w:rsid w:val="00140DC3"/>
    <w:rsid w:val="00151733"/>
    <w:rsid w:val="00157BCA"/>
    <w:rsid w:val="00160DCC"/>
    <w:rsid w:val="00163F43"/>
    <w:rsid w:val="00165517"/>
    <w:rsid w:val="00165742"/>
    <w:rsid w:val="0016674C"/>
    <w:rsid w:val="00166A88"/>
    <w:rsid w:val="00173400"/>
    <w:rsid w:val="00182E91"/>
    <w:rsid w:val="00184C48"/>
    <w:rsid w:val="001865AD"/>
    <w:rsid w:val="00195B77"/>
    <w:rsid w:val="00196281"/>
    <w:rsid w:val="0019799E"/>
    <w:rsid w:val="001A2C9D"/>
    <w:rsid w:val="001B0AC4"/>
    <w:rsid w:val="001B328F"/>
    <w:rsid w:val="001C1970"/>
    <w:rsid w:val="001C5D7C"/>
    <w:rsid w:val="001D3CBE"/>
    <w:rsid w:val="001D55F2"/>
    <w:rsid w:val="001E0822"/>
    <w:rsid w:val="001E560C"/>
    <w:rsid w:val="001F1303"/>
    <w:rsid w:val="001F18EE"/>
    <w:rsid w:val="001F4AF6"/>
    <w:rsid w:val="001F5D8B"/>
    <w:rsid w:val="001F7DDA"/>
    <w:rsid w:val="00200981"/>
    <w:rsid w:val="00202196"/>
    <w:rsid w:val="002028C0"/>
    <w:rsid w:val="00207C37"/>
    <w:rsid w:val="00207F91"/>
    <w:rsid w:val="00210B98"/>
    <w:rsid w:val="00213D10"/>
    <w:rsid w:val="00214038"/>
    <w:rsid w:val="00217D6A"/>
    <w:rsid w:val="00232E6F"/>
    <w:rsid w:val="00234767"/>
    <w:rsid w:val="002402F9"/>
    <w:rsid w:val="00242580"/>
    <w:rsid w:val="00254A18"/>
    <w:rsid w:val="00262325"/>
    <w:rsid w:val="00263EB7"/>
    <w:rsid w:val="00264A3E"/>
    <w:rsid w:val="00265505"/>
    <w:rsid w:val="0026617B"/>
    <w:rsid w:val="0026624C"/>
    <w:rsid w:val="0027056B"/>
    <w:rsid w:val="00271F09"/>
    <w:rsid w:val="00272602"/>
    <w:rsid w:val="002728FD"/>
    <w:rsid w:val="002731D1"/>
    <w:rsid w:val="0027411F"/>
    <w:rsid w:val="00281708"/>
    <w:rsid w:val="002909C9"/>
    <w:rsid w:val="00292D7E"/>
    <w:rsid w:val="002A0242"/>
    <w:rsid w:val="002A1B79"/>
    <w:rsid w:val="002A2721"/>
    <w:rsid w:val="002A29C8"/>
    <w:rsid w:val="002A39B1"/>
    <w:rsid w:val="002A437F"/>
    <w:rsid w:val="002A4CB2"/>
    <w:rsid w:val="002A5D28"/>
    <w:rsid w:val="002A6ADE"/>
    <w:rsid w:val="002A6FE3"/>
    <w:rsid w:val="002B3CE7"/>
    <w:rsid w:val="002B77AF"/>
    <w:rsid w:val="002C0250"/>
    <w:rsid w:val="002C1C24"/>
    <w:rsid w:val="002C1ED9"/>
    <w:rsid w:val="002C4E62"/>
    <w:rsid w:val="002C674D"/>
    <w:rsid w:val="002D1082"/>
    <w:rsid w:val="002D1A6D"/>
    <w:rsid w:val="002D2623"/>
    <w:rsid w:val="002D6F69"/>
    <w:rsid w:val="002E56EC"/>
    <w:rsid w:val="002E6420"/>
    <w:rsid w:val="002F1863"/>
    <w:rsid w:val="002F2576"/>
    <w:rsid w:val="002F3A11"/>
    <w:rsid w:val="002F5CBA"/>
    <w:rsid w:val="00304705"/>
    <w:rsid w:val="00306032"/>
    <w:rsid w:val="00311257"/>
    <w:rsid w:val="0031412A"/>
    <w:rsid w:val="0031565C"/>
    <w:rsid w:val="00316D0E"/>
    <w:rsid w:val="00316FC6"/>
    <w:rsid w:val="00320F69"/>
    <w:rsid w:val="003211D4"/>
    <w:rsid w:val="00327761"/>
    <w:rsid w:val="003318EA"/>
    <w:rsid w:val="003329F6"/>
    <w:rsid w:val="00335FC9"/>
    <w:rsid w:val="00337FAD"/>
    <w:rsid w:val="00340817"/>
    <w:rsid w:val="003410DC"/>
    <w:rsid w:val="003427C8"/>
    <w:rsid w:val="003500DE"/>
    <w:rsid w:val="0036034F"/>
    <w:rsid w:val="00361768"/>
    <w:rsid w:val="00365719"/>
    <w:rsid w:val="0037079D"/>
    <w:rsid w:val="003764D1"/>
    <w:rsid w:val="00380A63"/>
    <w:rsid w:val="0038165B"/>
    <w:rsid w:val="00381B9B"/>
    <w:rsid w:val="00382A37"/>
    <w:rsid w:val="00382FAC"/>
    <w:rsid w:val="00394717"/>
    <w:rsid w:val="00395D48"/>
    <w:rsid w:val="003974F5"/>
    <w:rsid w:val="003B0DFD"/>
    <w:rsid w:val="003B62C6"/>
    <w:rsid w:val="003B7EA2"/>
    <w:rsid w:val="003C11CF"/>
    <w:rsid w:val="003C2B44"/>
    <w:rsid w:val="003C3747"/>
    <w:rsid w:val="003C4546"/>
    <w:rsid w:val="003C776D"/>
    <w:rsid w:val="003D0821"/>
    <w:rsid w:val="003D0877"/>
    <w:rsid w:val="003E0155"/>
    <w:rsid w:val="003E6867"/>
    <w:rsid w:val="003F1684"/>
    <w:rsid w:val="003F27C7"/>
    <w:rsid w:val="003F33E8"/>
    <w:rsid w:val="003F3487"/>
    <w:rsid w:val="003F35AB"/>
    <w:rsid w:val="003F5C69"/>
    <w:rsid w:val="003F73EB"/>
    <w:rsid w:val="00401D9C"/>
    <w:rsid w:val="0040532C"/>
    <w:rsid w:val="004217CE"/>
    <w:rsid w:val="0042413E"/>
    <w:rsid w:val="00425788"/>
    <w:rsid w:val="00431513"/>
    <w:rsid w:val="0043210A"/>
    <w:rsid w:val="00434F25"/>
    <w:rsid w:val="00441111"/>
    <w:rsid w:val="004668F4"/>
    <w:rsid w:val="00466BBF"/>
    <w:rsid w:val="004700E6"/>
    <w:rsid w:val="004712EA"/>
    <w:rsid w:val="00472BFE"/>
    <w:rsid w:val="00485D0E"/>
    <w:rsid w:val="004868FC"/>
    <w:rsid w:val="00494A1E"/>
    <w:rsid w:val="004955AF"/>
    <w:rsid w:val="004A596A"/>
    <w:rsid w:val="004B0DD5"/>
    <w:rsid w:val="004B2E14"/>
    <w:rsid w:val="004B6A1F"/>
    <w:rsid w:val="004B6E3B"/>
    <w:rsid w:val="004C1A78"/>
    <w:rsid w:val="004C31FA"/>
    <w:rsid w:val="004C3762"/>
    <w:rsid w:val="004C7AB1"/>
    <w:rsid w:val="004D2118"/>
    <w:rsid w:val="004D3057"/>
    <w:rsid w:val="004D5408"/>
    <w:rsid w:val="004E3716"/>
    <w:rsid w:val="004F0859"/>
    <w:rsid w:val="004F2934"/>
    <w:rsid w:val="004F46EE"/>
    <w:rsid w:val="004F74CF"/>
    <w:rsid w:val="00503706"/>
    <w:rsid w:val="00513E52"/>
    <w:rsid w:val="00514403"/>
    <w:rsid w:val="00514A68"/>
    <w:rsid w:val="0051667F"/>
    <w:rsid w:val="00517E40"/>
    <w:rsid w:val="00521E48"/>
    <w:rsid w:val="0052231F"/>
    <w:rsid w:val="00524A47"/>
    <w:rsid w:val="00530C2B"/>
    <w:rsid w:val="00531460"/>
    <w:rsid w:val="00532B44"/>
    <w:rsid w:val="0053587A"/>
    <w:rsid w:val="005362D1"/>
    <w:rsid w:val="0053635E"/>
    <w:rsid w:val="0053722C"/>
    <w:rsid w:val="005448E6"/>
    <w:rsid w:val="0054745E"/>
    <w:rsid w:val="005502F6"/>
    <w:rsid w:val="00552EFE"/>
    <w:rsid w:val="0055312E"/>
    <w:rsid w:val="00553DEA"/>
    <w:rsid w:val="005569C3"/>
    <w:rsid w:val="00557DD4"/>
    <w:rsid w:val="00557DEE"/>
    <w:rsid w:val="0056050E"/>
    <w:rsid w:val="00560C69"/>
    <w:rsid w:val="0056211D"/>
    <w:rsid w:val="00573678"/>
    <w:rsid w:val="00573A2F"/>
    <w:rsid w:val="00582A9F"/>
    <w:rsid w:val="00583590"/>
    <w:rsid w:val="005863E0"/>
    <w:rsid w:val="0058700F"/>
    <w:rsid w:val="0059297C"/>
    <w:rsid w:val="005A1C9A"/>
    <w:rsid w:val="005A32B2"/>
    <w:rsid w:val="005B3E9E"/>
    <w:rsid w:val="005B50B1"/>
    <w:rsid w:val="005B5529"/>
    <w:rsid w:val="005B5D38"/>
    <w:rsid w:val="005B6E2E"/>
    <w:rsid w:val="005C255E"/>
    <w:rsid w:val="005C425D"/>
    <w:rsid w:val="005C4701"/>
    <w:rsid w:val="005C6FAC"/>
    <w:rsid w:val="005D1576"/>
    <w:rsid w:val="005D2FC9"/>
    <w:rsid w:val="005D3E31"/>
    <w:rsid w:val="005D5400"/>
    <w:rsid w:val="005E2AEC"/>
    <w:rsid w:val="005E44C2"/>
    <w:rsid w:val="005E513E"/>
    <w:rsid w:val="005E7369"/>
    <w:rsid w:val="005F1EA4"/>
    <w:rsid w:val="00601575"/>
    <w:rsid w:val="00604398"/>
    <w:rsid w:val="006046D1"/>
    <w:rsid w:val="0060701A"/>
    <w:rsid w:val="0061524C"/>
    <w:rsid w:val="0062215F"/>
    <w:rsid w:val="00633517"/>
    <w:rsid w:val="00634EFE"/>
    <w:rsid w:val="00636088"/>
    <w:rsid w:val="00640B25"/>
    <w:rsid w:val="0064399E"/>
    <w:rsid w:val="0065284F"/>
    <w:rsid w:val="0066019C"/>
    <w:rsid w:val="00661002"/>
    <w:rsid w:val="006615C2"/>
    <w:rsid w:val="006619A1"/>
    <w:rsid w:val="00662FE9"/>
    <w:rsid w:val="00666864"/>
    <w:rsid w:val="00670EC0"/>
    <w:rsid w:val="00671EEC"/>
    <w:rsid w:val="006745C8"/>
    <w:rsid w:val="00674BCB"/>
    <w:rsid w:val="006802D2"/>
    <w:rsid w:val="006805A9"/>
    <w:rsid w:val="00682691"/>
    <w:rsid w:val="00682ED5"/>
    <w:rsid w:val="00686341"/>
    <w:rsid w:val="006914EE"/>
    <w:rsid w:val="006918E9"/>
    <w:rsid w:val="006920E9"/>
    <w:rsid w:val="00692800"/>
    <w:rsid w:val="00694BE7"/>
    <w:rsid w:val="006A3AB7"/>
    <w:rsid w:val="006A4AF3"/>
    <w:rsid w:val="006A55D7"/>
    <w:rsid w:val="006A64A4"/>
    <w:rsid w:val="006A6F0B"/>
    <w:rsid w:val="006B2BDF"/>
    <w:rsid w:val="006B51E7"/>
    <w:rsid w:val="006B5D3E"/>
    <w:rsid w:val="006B6D83"/>
    <w:rsid w:val="006C4475"/>
    <w:rsid w:val="006C4AEB"/>
    <w:rsid w:val="006C612F"/>
    <w:rsid w:val="006D176F"/>
    <w:rsid w:val="006E11BB"/>
    <w:rsid w:val="006E151D"/>
    <w:rsid w:val="006E1858"/>
    <w:rsid w:val="006F3E2C"/>
    <w:rsid w:val="006F4BF4"/>
    <w:rsid w:val="006F6432"/>
    <w:rsid w:val="006F7240"/>
    <w:rsid w:val="006F79BD"/>
    <w:rsid w:val="0070331E"/>
    <w:rsid w:val="0070542E"/>
    <w:rsid w:val="007070A2"/>
    <w:rsid w:val="007104BF"/>
    <w:rsid w:val="0071100D"/>
    <w:rsid w:val="007121C0"/>
    <w:rsid w:val="00714C5D"/>
    <w:rsid w:val="00727F2A"/>
    <w:rsid w:val="0073037D"/>
    <w:rsid w:val="0073166F"/>
    <w:rsid w:val="00731DF0"/>
    <w:rsid w:val="0073235D"/>
    <w:rsid w:val="00742139"/>
    <w:rsid w:val="00742171"/>
    <w:rsid w:val="00743118"/>
    <w:rsid w:val="007467A9"/>
    <w:rsid w:val="00746F2A"/>
    <w:rsid w:val="00746FF8"/>
    <w:rsid w:val="007507BA"/>
    <w:rsid w:val="00752B68"/>
    <w:rsid w:val="00755876"/>
    <w:rsid w:val="00761C21"/>
    <w:rsid w:val="00762F95"/>
    <w:rsid w:val="0077270D"/>
    <w:rsid w:val="00773DD6"/>
    <w:rsid w:val="00774845"/>
    <w:rsid w:val="00774E50"/>
    <w:rsid w:val="00777751"/>
    <w:rsid w:val="00781C21"/>
    <w:rsid w:val="00783A2C"/>
    <w:rsid w:val="00784382"/>
    <w:rsid w:val="00785059"/>
    <w:rsid w:val="00785F77"/>
    <w:rsid w:val="00786945"/>
    <w:rsid w:val="007876DA"/>
    <w:rsid w:val="00797E5B"/>
    <w:rsid w:val="007A66E0"/>
    <w:rsid w:val="007A6991"/>
    <w:rsid w:val="007B25EB"/>
    <w:rsid w:val="007B2E14"/>
    <w:rsid w:val="007C093E"/>
    <w:rsid w:val="007C11D7"/>
    <w:rsid w:val="007C17C8"/>
    <w:rsid w:val="007C20B0"/>
    <w:rsid w:val="007C294E"/>
    <w:rsid w:val="007D5474"/>
    <w:rsid w:val="007E1121"/>
    <w:rsid w:val="007E1236"/>
    <w:rsid w:val="007F2B6E"/>
    <w:rsid w:val="007F7602"/>
    <w:rsid w:val="008018F5"/>
    <w:rsid w:val="008019A7"/>
    <w:rsid w:val="00801D18"/>
    <w:rsid w:val="00802AD3"/>
    <w:rsid w:val="0080492A"/>
    <w:rsid w:val="00812640"/>
    <w:rsid w:val="00814E56"/>
    <w:rsid w:val="00820E29"/>
    <w:rsid w:val="00822EB2"/>
    <w:rsid w:val="008307F9"/>
    <w:rsid w:val="008330D0"/>
    <w:rsid w:val="00834F3E"/>
    <w:rsid w:val="00845E0D"/>
    <w:rsid w:val="00845EED"/>
    <w:rsid w:val="0085081B"/>
    <w:rsid w:val="00856FD8"/>
    <w:rsid w:val="00860C25"/>
    <w:rsid w:val="00863FA6"/>
    <w:rsid w:val="0086666D"/>
    <w:rsid w:val="008703C9"/>
    <w:rsid w:val="00871D98"/>
    <w:rsid w:val="0087288F"/>
    <w:rsid w:val="00875982"/>
    <w:rsid w:val="008826E3"/>
    <w:rsid w:val="00882CE1"/>
    <w:rsid w:val="0088749A"/>
    <w:rsid w:val="008904FA"/>
    <w:rsid w:val="00892A38"/>
    <w:rsid w:val="008A06A6"/>
    <w:rsid w:val="008A1101"/>
    <w:rsid w:val="008A6808"/>
    <w:rsid w:val="008C3EFB"/>
    <w:rsid w:val="008C7AA4"/>
    <w:rsid w:val="008D03FA"/>
    <w:rsid w:val="008D15F1"/>
    <w:rsid w:val="008D468E"/>
    <w:rsid w:val="008D4FFE"/>
    <w:rsid w:val="008E2085"/>
    <w:rsid w:val="008F242D"/>
    <w:rsid w:val="008F7D10"/>
    <w:rsid w:val="009017B6"/>
    <w:rsid w:val="00901F9D"/>
    <w:rsid w:val="0090270F"/>
    <w:rsid w:val="00903FDF"/>
    <w:rsid w:val="00904D22"/>
    <w:rsid w:val="0091074B"/>
    <w:rsid w:val="00913D55"/>
    <w:rsid w:val="0092057F"/>
    <w:rsid w:val="00921050"/>
    <w:rsid w:val="00922825"/>
    <w:rsid w:val="00925CA5"/>
    <w:rsid w:val="0093017D"/>
    <w:rsid w:val="0093040D"/>
    <w:rsid w:val="0093343A"/>
    <w:rsid w:val="00937113"/>
    <w:rsid w:val="00942C7D"/>
    <w:rsid w:val="00942EB3"/>
    <w:rsid w:val="009469AA"/>
    <w:rsid w:val="00960675"/>
    <w:rsid w:val="00960995"/>
    <w:rsid w:val="00961890"/>
    <w:rsid w:val="00966A2F"/>
    <w:rsid w:val="009670EF"/>
    <w:rsid w:val="00971C24"/>
    <w:rsid w:val="0097383C"/>
    <w:rsid w:val="00981023"/>
    <w:rsid w:val="009837C6"/>
    <w:rsid w:val="00983F17"/>
    <w:rsid w:val="00994480"/>
    <w:rsid w:val="0099449D"/>
    <w:rsid w:val="00996519"/>
    <w:rsid w:val="009A17A8"/>
    <w:rsid w:val="009A6932"/>
    <w:rsid w:val="009B237C"/>
    <w:rsid w:val="009B6BFA"/>
    <w:rsid w:val="009C4672"/>
    <w:rsid w:val="009C5069"/>
    <w:rsid w:val="009D6F7D"/>
    <w:rsid w:val="009E2083"/>
    <w:rsid w:val="009F60E4"/>
    <w:rsid w:val="009F7849"/>
    <w:rsid w:val="00A00B2E"/>
    <w:rsid w:val="00A0170D"/>
    <w:rsid w:val="00A030D5"/>
    <w:rsid w:val="00A06326"/>
    <w:rsid w:val="00A06DC0"/>
    <w:rsid w:val="00A10E4F"/>
    <w:rsid w:val="00A11A0F"/>
    <w:rsid w:val="00A11BEE"/>
    <w:rsid w:val="00A13E4E"/>
    <w:rsid w:val="00A16CD7"/>
    <w:rsid w:val="00A170C9"/>
    <w:rsid w:val="00A2476F"/>
    <w:rsid w:val="00A34BFA"/>
    <w:rsid w:val="00A36882"/>
    <w:rsid w:val="00A3797F"/>
    <w:rsid w:val="00A40880"/>
    <w:rsid w:val="00A41A51"/>
    <w:rsid w:val="00A43543"/>
    <w:rsid w:val="00A4443A"/>
    <w:rsid w:val="00A447D8"/>
    <w:rsid w:val="00A47BDD"/>
    <w:rsid w:val="00A54AD1"/>
    <w:rsid w:val="00A54D5A"/>
    <w:rsid w:val="00A564BD"/>
    <w:rsid w:val="00A66D9F"/>
    <w:rsid w:val="00A66F2D"/>
    <w:rsid w:val="00A76CAE"/>
    <w:rsid w:val="00A95196"/>
    <w:rsid w:val="00A96982"/>
    <w:rsid w:val="00AA35DF"/>
    <w:rsid w:val="00AA7D33"/>
    <w:rsid w:val="00AB43BB"/>
    <w:rsid w:val="00AB489B"/>
    <w:rsid w:val="00AC06AB"/>
    <w:rsid w:val="00AC1A94"/>
    <w:rsid w:val="00AC2293"/>
    <w:rsid w:val="00AC26C8"/>
    <w:rsid w:val="00AC50C2"/>
    <w:rsid w:val="00AC5CCF"/>
    <w:rsid w:val="00AC5DEF"/>
    <w:rsid w:val="00AE2550"/>
    <w:rsid w:val="00AE4C28"/>
    <w:rsid w:val="00AF262C"/>
    <w:rsid w:val="00AF397A"/>
    <w:rsid w:val="00B050B3"/>
    <w:rsid w:val="00B0557A"/>
    <w:rsid w:val="00B06A8F"/>
    <w:rsid w:val="00B077B6"/>
    <w:rsid w:val="00B10525"/>
    <w:rsid w:val="00B11FC3"/>
    <w:rsid w:val="00B1271C"/>
    <w:rsid w:val="00B1476C"/>
    <w:rsid w:val="00B175F6"/>
    <w:rsid w:val="00B17C05"/>
    <w:rsid w:val="00B20FFA"/>
    <w:rsid w:val="00B2552A"/>
    <w:rsid w:val="00B26AEA"/>
    <w:rsid w:val="00B323BC"/>
    <w:rsid w:val="00B34434"/>
    <w:rsid w:val="00B3538B"/>
    <w:rsid w:val="00B35F36"/>
    <w:rsid w:val="00B37958"/>
    <w:rsid w:val="00B4264C"/>
    <w:rsid w:val="00B4267F"/>
    <w:rsid w:val="00B50E2F"/>
    <w:rsid w:val="00B57A9F"/>
    <w:rsid w:val="00B70AB0"/>
    <w:rsid w:val="00B72C63"/>
    <w:rsid w:val="00B74617"/>
    <w:rsid w:val="00B84B8F"/>
    <w:rsid w:val="00B87860"/>
    <w:rsid w:val="00B910A7"/>
    <w:rsid w:val="00B92C00"/>
    <w:rsid w:val="00B95687"/>
    <w:rsid w:val="00B977B6"/>
    <w:rsid w:val="00BA0DA6"/>
    <w:rsid w:val="00BC1437"/>
    <w:rsid w:val="00BC1861"/>
    <w:rsid w:val="00BC6710"/>
    <w:rsid w:val="00BD05E0"/>
    <w:rsid w:val="00BD0D59"/>
    <w:rsid w:val="00BD20DB"/>
    <w:rsid w:val="00BE108E"/>
    <w:rsid w:val="00BE26D7"/>
    <w:rsid w:val="00BE2C04"/>
    <w:rsid w:val="00BE348C"/>
    <w:rsid w:val="00BE614B"/>
    <w:rsid w:val="00BE70E3"/>
    <w:rsid w:val="00BF0038"/>
    <w:rsid w:val="00BF04D3"/>
    <w:rsid w:val="00BF4C54"/>
    <w:rsid w:val="00BF5AFC"/>
    <w:rsid w:val="00BF6013"/>
    <w:rsid w:val="00C13126"/>
    <w:rsid w:val="00C142D3"/>
    <w:rsid w:val="00C30FDA"/>
    <w:rsid w:val="00C37670"/>
    <w:rsid w:val="00C4745B"/>
    <w:rsid w:val="00C5092F"/>
    <w:rsid w:val="00C52DCB"/>
    <w:rsid w:val="00C637F7"/>
    <w:rsid w:val="00C66549"/>
    <w:rsid w:val="00C73AF6"/>
    <w:rsid w:val="00C7488D"/>
    <w:rsid w:val="00C91B30"/>
    <w:rsid w:val="00C9202E"/>
    <w:rsid w:val="00C9498C"/>
    <w:rsid w:val="00C967E8"/>
    <w:rsid w:val="00C978D4"/>
    <w:rsid w:val="00C97D77"/>
    <w:rsid w:val="00CA3497"/>
    <w:rsid w:val="00CA78EF"/>
    <w:rsid w:val="00CB111D"/>
    <w:rsid w:val="00CB1A09"/>
    <w:rsid w:val="00CB77FA"/>
    <w:rsid w:val="00CC0885"/>
    <w:rsid w:val="00CD1846"/>
    <w:rsid w:val="00CD27CB"/>
    <w:rsid w:val="00CD3DBB"/>
    <w:rsid w:val="00CE2132"/>
    <w:rsid w:val="00CE747F"/>
    <w:rsid w:val="00CF0480"/>
    <w:rsid w:val="00CF4003"/>
    <w:rsid w:val="00CF591A"/>
    <w:rsid w:val="00D00254"/>
    <w:rsid w:val="00D01A9B"/>
    <w:rsid w:val="00D02870"/>
    <w:rsid w:val="00D10FF2"/>
    <w:rsid w:val="00D1770A"/>
    <w:rsid w:val="00D22277"/>
    <w:rsid w:val="00D24ACC"/>
    <w:rsid w:val="00D2627E"/>
    <w:rsid w:val="00D305CC"/>
    <w:rsid w:val="00D319FE"/>
    <w:rsid w:val="00D32788"/>
    <w:rsid w:val="00D34F74"/>
    <w:rsid w:val="00D35E22"/>
    <w:rsid w:val="00D35F5D"/>
    <w:rsid w:val="00D37533"/>
    <w:rsid w:val="00D37999"/>
    <w:rsid w:val="00D41426"/>
    <w:rsid w:val="00D42ABC"/>
    <w:rsid w:val="00D477E7"/>
    <w:rsid w:val="00D51887"/>
    <w:rsid w:val="00D524A0"/>
    <w:rsid w:val="00D533FB"/>
    <w:rsid w:val="00D5471C"/>
    <w:rsid w:val="00D648FB"/>
    <w:rsid w:val="00D67A4F"/>
    <w:rsid w:val="00D67D58"/>
    <w:rsid w:val="00D7027B"/>
    <w:rsid w:val="00D732F4"/>
    <w:rsid w:val="00D7361A"/>
    <w:rsid w:val="00D744D4"/>
    <w:rsid w:val="00D76A1A"/>
    <w:rsid w:val="00D82AF1"/>
    <w:rsid w:val="00D8348E"/>
    <w:rsid w:val="00D86D02"/>
    <w:rsid w:val="00D9296D"/>
    <w:rsid w:val="00D972EB"/>
    <w:rsid w:val="00DA0A93"/>
    <w:rsid w:val="00DA67F3"/>
    <w:rsid w:val="00DB0DDC"/>
    <w:rsid w:val="00DB4E1F"/>
    <w:rsid w:val="00DB6C41"/>
    <w:rsid w:val="00DC3DD5"/>
    <w:rsid w:val="00DC5AA3"/>
    <w:rsid w:val="00DC5EE1"/>
    <w:rsid w:val="00DC6AFF"/>
    <w:rsid w:val="00DD16C5"/>
    <w:rsid w:val="00DD2431"/>
    <w:rsid w:val="00DD5B42"/>
    <w:rsid w:val="00DE3EDE"/>
    <w:rsid w:val="00DE4CC6"/>
    <w:rsid w:val="00DE5335"/>
    <w:rsid w:val="00DE6016"/>
    <w:rsid w:val="00DE61FE"/>
    <w:rsid w:val="00DE66C1"/>
    <w:rsid w:val="00DF7CC1"/>
    <w:rsid w:val="00E01C5B"/>
    <w:rsid w:val="00E04EDD"/>
    <w:rsid w:val="00E077C3"/>
    <w:rsid w:val="00E14276"/>
    <w:rsid w:val="00E17852"/>
    <w:rsid w:val="00E350F0"/>
    <w:rsid w:val="00E402D3"/>
    <w:rsid w:val="00E40585"/>
    <w:rsid w:val="00E41958"/>
    <w:rsid w:val="00E4500E"/>
    <w:rsid w:val="00E454FB"/>
    <w:rsid w:val="00E45982"/>
    <w:rsid w:val="00E52BB2"/>
    <w:rsid w:val="00E53F50"/>
    <w:rsid w:val="00E64C97"/>
    <w:rsid w:val="00E6531C"/>
    <w:rsid w:val="00E65A61"/>
    <w:rsid w:val="00E6645F"/>
    <w:rsid w:val="00E72E7D"/>
    <w:rsid w:val="00E76FF9"/>
    <w:rsid w:val="00E849A1"/>
    <w:rsid w:val="00E8520D"/>
    <w:rsid w:val="00E91678"/>
    <w:rsid w:val="00E92888"/>
    <w:rsid w:val="00EA288B"/>
    <w:rsid w:val="00EB3B47"/>
    <w:rsid w:val="00EB4407"/>
    <w:rsid w:val="00EB5DFF"/>
    <w:rsid w:val="00EC73F3"/>
    <w:rsid w:val="00ED1415"/>
    <w:rsid w:val="00EE2C35"/>
    <w:rsid w:val="00EE4BE9"/>
    <w:rsid w:val="00EF6C9F"/>
    <w:rsid w:val="00F00178"/>
    <w:rsid w:val="00F04FA0"/>
    <w:rsid w:val="00F0569E"/>
    <w:rsid w:val="00F10E98"/>
    <w:rsid w:val="00F13B7F"/>
    <w:rsid w:val="00F151CD"/>
    <w:rsid w:val="00F1659F"/>
    <w:rsid w:val="00F218AE"/>
    <w:rsid w:val="00F265B7"/>
    <w:rsid w:val="00F30286"/>
    <w:rsid w:val="00F31C11"/>
    <w:rsid w:val="00F34F69"/>
    <w:rsid w:val="00F35930"/>
    <w:rsid w:val="00F43982"/>
    <w:rsid w:val="00F614AF"/>
    <w:rsid w:val="00F70743"/>
    <w:rsid w:val="00F70E3D"/>
    <w:rsid w:val="00F72D77"/>
    <w:rsid w:val="00F73EED"/>
    <w:rsid w:val="00F75A34"/>
    <w:rsid w:val="00F77D05"/>
    <w:rsid w:val="00F83CDD"/>
    <w:rsid w:val="00F84926"/>
    <w:rsid w:val="00F85C9E"/>
    <w:rsid w:val="00F85EE0"/>
    <w:rsid w:val="00F87207"/>
    <w:rsid w:val="00F92B63"/>
    <w:rsid w:val="00F93DBD"/>
    <w:rsid w:val="00F969FA"/>
    <w:rsid w:val="00F96DC4"/>
    <w:rsid w:val="00FA3822"/>
    <w:rsid w:val="00FA3A7D"/>
    <w:rsid w:val="00FA4E92"/>
    <w:rsid w:val="00FA577A"/>
    <w:rsid w:val="00FB11DD"/>
    <w:rsid w:val="00FB160B"/>
    <w:rsid w:val="00FB26CC"/>
    <w:rsid w:val="00FB62B5"/>
    <w:rsid w:val="00FB7CE7"/>
    <w:rsid w:val="00FC7826"/>
    <w:rsid w:val="00FD01EB"/>
    <w:rsid w:val="00FD4AA8"/>
    <w:rsid w:val="00FD5387"/>
    <w:rsid w:val="00FD7ED2"/>
    <w:rsid w:val="00FE158C"/>
    <w:rsid w:val="00FE6DE9"/>
    <w:rsid w:val="00FF0127"/>
    <w:rsid w:val="00FF4F81"/>
    <w:rsid w:val="00FF6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426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35F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01D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92A3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92A3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67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4267F"/>
    <w:pPr>
      <w:outlineLvl w:val="9"/>
    </w:pPr>
  </w:style>
  <w:style w:type="paragraph" w:styleId="TOC2">
    <w:name w:val="toc 2"/>
    <w:basedOn w:val="Normal"/>
    <w:next w:val="Normal"/>
    <w:autoRedefine/>
    <w:uiPriority w:val="39"/>
    <w:unhideWhenUsed/>
    <w:rsid w:val="00B4267F"/>
    <w:pPr>
      <w:spacing w:after="100"/>
      <w:ind w:left="220"/>
    </w:pPr>
    <w:rPr>
      <w:rFonts w:eastAsiaTheme="minorEastAsia" w:cs="Times New Roman"/>
    </w:rPr>
  </w:style>
  <w:style w:type="paragraph" w:styleId="TOC1">
    <w:name w:val="toc 1"/>
    <w:basedOn w:val="Normal"/>
    <w:next w:val="Normal"/>
    <w:autoRedefine/>
    <w:uiPriority w:val="39"/>
    <w:unhideWhenUsed/>
    <w:rsid w:val="00B4267F"/>
    <w:pPr>
      <w:spacing w:after="100"/>
    </w:pPr>
    <w:rPr>
      <w:rFonts w:eastAsiaTheme="minorEastAsia" w:cs="Times New Roman"/>
    </w:rPr>
  </w:style>
  <w:style w:type="paragraph" w:styleId="TOC3">
    <w:name w:val="toc 3"/>
    <w:basedOn w:val="Normal"/>
    <w:next w:val="Normal"/>
    <w:autoRedefine/>
    <w:uiPriority w:val="39"/>
    <w:unhideWhenUsed/>
    <w:rsid w:val="00B4267F"/>
    <w:pPr>
      <w:spacing w:after="100"/>
      <w:ind w:left="440"/>
    </w:pPr>
    <w:rPr>
      <w:rFonts w:eastAsiaTheme="minorEastAsia" w:cs="Times New Roman"/>
    </w:rPr>
  </w:style>
  <w:style w:type="paragraph" w:styleId="Header">
    <w:name w:val="header"/>
    <w:basedOn w:val="Normal"/>
    <w:link w:val="HeaderChar"/>
    <w:uiPriority w:val="99"/>
    <w:unhideWhenUsed/>
    <w:rsid w:val="00B42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67F"/>
  </w:style>
  <w:style w:type="paragraph" w:styleId="Footer">
    <w:name w:val="footer"/>
    <w:basedOn w:val="Normal"/>
    <w:link w:val="FooterChar"/>
    <w:uiPriority w:val="99"/>
    <w:unhideWhenUsed/>
    <w:rsid w:val="00B42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67F"/>
  </w:style>
  <w:style w:type="paragraph" w:styleId="ListParagraph">
    <w:name w:val="List Paragraph"/>
    <w:basedOn w:val="Normal"/>
    <w:uiPriority w:val="34"/>
    <w:qFormat/>
    <w:rsid w:val="00552EFE"/>
    <w:pPr>
      <w:ind w:left="720"/>
      <w:contextualSpacing/>
    </w:pPr>
  </w:style>
  <w:style w:type="character" w:styleId="Hyperlink">
    <w:name w:val="Hyperlink"/>
    <w:basedOn w:val="DefaultParagraphFont"/>
    <w:uiPriority w:val="99"/>
    <w:unhideWhenUsed/>
    <w:rsid w:val="005F1EA4"/>
    <w:rPr>
      <w:color w:val="0563C1" w:themeColor="hyperlink"/>
      <w:u w:val="single"/>
    </w:rPr>
  </w:style>
  <w:style w:type="character" w:customStyle="1" w:styleId="Heading2Char">
    <w:name w:val="Heading 2 Char"/>
    <w:basedOn w:val="DefaultParagraphFont"/>
    <w:link w:val="Heading2"/>
    <w:uiPriority w:val="9"/>
    <w:rsid w:val="00035F6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01D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5502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2F6"/>
    <w:rPr>
      <w:rFonts w:ascii="Segoe UI" w:hAnsi="Segoe UI" w:cs="Segoe UI"/>
      <w:sz w:val="18"/>
      <w:szCs w:val="18"/>
    </w:rPr>
  </w:style>
  <w:style w:type="table" w:styleId="TableGrid">
    <w:name w:val="Table Grid"/>
    <w:basedOn w:val="TableNormal"/>
    <w:uiPriority w:val="39"/>
    <w:rsid w:val="00123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ord">
    <w:name w:val="mord"/>
    <w:basedOn w:val="DefaultParagraphFont"/>
    <w:rsid w:val="00D305CC"/>
  </w:style>
  <w:style w:type="character" w:customStyle="1" w:styleId="mrel">
    <w:name w:val="mrel"/>
    <w:basedOn w:val="DefaultParagraphFont"/>
    <w:rsid w:val="00D305CC"/>
  </w:style>
  <w:style w:type="character" w:customStyle="1" w:styleId="vlist-s">
    <w:name w:val="vlist-s"/>
    <w:basedOn w:val="DefaultParagraphFont"/>
    <w:rsid w:val="00D305CC"/>
  </w:style>
  <w:style w:type="character" w:customStyle="1" w:styleId="mopen">
    <w:name w:val="mopen"/>
    <w:basedOn w:val="DefaultParagraphFont"/>
    <w:rsid w:val="00D305CC"/>
  </w:style>
  <w:style w:type="character" w:customStyle="1" w:styleId="mclose">
    <w:name w:val="mclose"/>
    <w:basedOn w:val="DefaultParagraphFont"/>
    <w:rsid w:val="00D305CC"/>
  </w:style>
  <w:style w:type="character" w:customStyle="1" w:styleId="mpunct">
    <w:name w:val="mpunct"/>
    <w:basedOn w:val="DefaultParagraphFont"/>
    <w:rsid w:val="00D305CC"/>
  </w:style>
  <w:style w:type="paragraph" w:styleId="NormalWeb">
    <w:name w:val="Normal (Web)"/>
    <w:basedOn w:val="Normal"/>
    <w:uiPriority w:val="99"/>
    <w:unhideWhenUsed/>
    <w:rsid w:val="00D305C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FA577A"/>
  </w:style>
  <w:style w:type="table" w:customStyle="1" w:styleId="TableGrid1">
    <w:name w:val="Table Grid1"/>
    <w:basedOn w:val="TableNormal"/>
    <w:next w:val="TableGrid"/>
    <w:uiPriority w:val="39"/>
    <w:rsid w:val="00FA57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A577A"/>
    <w:rPr>
      <w:i/>
      <w:iCs/>
    </w:rPr>
  </w:style>
  <w:style w:type="character" w:styleId="PlaceholderText">
    <w:name w:val="Placeholder Text"/>
    <w:basedOn w:val="DefaultParagraphFont"/>
    <w:uiPriority w:val="99"/>
    <w:semiHidden/>
    <w:rsid w:val="00785059"/>
    <w:rPr>
      <w:color w:val="808080"/>
    </w:rPr>
  </w:style>
  <w:style w:type="character" w:customStyle="1" w:styleId="Heading4Char">
    <w:name w:val="Heading 4 Char"/>
    <w:basedOn w:val="DefaultParagraphFont"/>
    <w:link w:val="Heading4"/>
    <w:uiPriority w:val="9"/>
    <w:rsid w:val="00892A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892A38"/>
    <w:rPr>
      <w:rFonts w:asciiTheme="majorHAnsi" w:eastAsiaTheme="majorEastAsia" w:hAnsiTheme="majorHAnsi" w:cstheme="majorBidi"/>
      <w:color w:val="2E74B5" w:themeColor="accent1" w:themeShade="BF"/>
    </w:rPr>
  </w:style>
  <w:style w:type="numbering" w:customStyle="1" w:styleId="NoList2">
    <w:name w:val="No List2"/>
    <w:next w:val="NoList"/>
    <w:uiPriority w:val="99"/>
    <w:semiHidden/>
    <w:unhideWhenUsed/>
    <w:rsid w:val="00892A38"/>
  </w:style>
  <w:style w:type="table" w:customStyle="1" w:styleId="TableGrid2">
    <w:name w:val="Table Grid2"/>
    <w:basedOn w:val="TableNormal"/>
    <w:next w:val="TableGrid"/>
    <w:uiPriority w:val="39"/>
    <w:rsid w:val="00892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892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892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1524C"/>
  </w:style>
  <w:style w:type="table" w:customStyle="1" w:styleId="TableGrid21">
    <w:name w:val="Table Grid21"/>
    <w:basedOn w:val="TableNormal"/>
    <w:next w:val="TableGrid"/>
    <w:uiPriority w:val="39"/>
    <w:rsid w:val="00615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15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615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39"/>
    <w:rsid w:val="00615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F73EED"/>
  </w:style>
  <w:style w:type="table" w:customStyle="1" w:styleId="TableGrid22">
    <w:name w:val="Table Grid22"/>
    <w:basedOn w:val="TableNormal"/>
    <w:next w:val="TableGrid"/>
    <w:uiPriority w:val="39"/>
    <w:rsid w:val="00F73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F73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F73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39"/>
    <w:rsid w:val="00F73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426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35F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01D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92A3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92A3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67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4267F"/>
    <w:pPr>
      <w:outlineLvl w:val="9"/>
    </w:pPr>
  </w:style>
  <w:style w:type="paragraph" w:styleId="TOC2">
    <w:name w:val="toc 2"/>
    <w:basedOn w:val="Normal"/>
    <w:next w:val="Normal"/>
    <w:autoRedefine/>
    <w:uiPriority w:val="39"/>
    <w:unhideWhenUsed/>
    <w:rsid w:val="00B4267F"/>
    <w:pPr>
      <w:spacing w:after="100"/>
      <w:ind w:left="220"/>
    </w:pPr>
    <w:rPr>
      <w:rFonts w:eastAsiaTheme="minorEastAsia" w:cs="Times New Roman"/>
    </w:rPr>
  </w:style>
  <w:style w:type="paragraph" w:styleId="TOC1">
    <w:name w:val="toc 1"/>
    <w:basedOn w:val="Normal"/>
    <w:next w:val="Normal"/>
    <w:autoRedefine/>
    <w:uiPriority w:val="39"/>
    <w:unhideWhenUsed/>
    <w:rsid w:val="00B4267F"/>
    <w:pPr>
      <w:spacing w:after="100"/>
    </w:pPr>
    <w:rPr>
      <w:rFonts w:eastAsiaTheme="minorEastAsia" w:cs="Times New Roman"/>
    </w:rPr>
  </w:style>
  <w:style w:type="paragraph" w:styleId="TOC3">
    <w:name w:val="toc 3"/>
    <w:basedOn w:val="Normal"/>
    <w:next w:val="Normal"/>
    <w:autoRedefine/>
    <w:uiPriority w:val="39"/>
    <w:unhideWhenUsed/>
    <w:rsid w:val="00B4267F"/>
    <w:pPr>
      <w:spacing w:after="100"/>
      <w:ind w:left="440"/>
    </w:pPr>
    <w:rPr>
      <w:rFonts w:eastAsiaTheme="minorEastAsia" w:cs="Times New Roman"/>
    </w:rPr>
  </w:style>
  <w:style w:type="paragraph" w:styleId="Header">
    <w:name w:val="header"/>
    <w:basedOn w:val="Normal"/>
    <w:link w:val="HeaderChar"/>
    <w:uiPriority w:val="99"/>
    <w:unhideWhenUsed/>
    <w:rsid w:val="00B42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67F"/>
  </w:style>
  <w:style w:type="paragraph" w:styleId="Footer">
    <w:name w:val="footer"/>
    <w:basedOn w:val="Normal"/>
    <w:link w:val="FooterChar"/>
    <w:uiPriority w:val="99"/>
    <w:unhideWhenUsed/>
    <w:rsid w:val="00B42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67F"/>
  </w:style>
  <w:style w:type="paragraph" w:styleId="ListParagraph">
    <w:name w:val="List Paragraph"/>
    <w:basedOn w:val="Normal"/>
    <w:uiPriority w:val="34"/>
    <w:qFormat/>
    <w:rsid w:val="00552EFE"/>
    <w:pPr>
      <w:ind w:left="720"/>
      <w:contextualSpacing/>
    </w:pPr>
  </w:style>
  <w:style w:type="character" w:styleId="Hyperlink">
    <w:name w:val="Hyperlink"/>
    <w:basedOn w:val="DefaultParagraphFont"/>
    <w:uiPriority w:val="99"/>
    <w:unhideWhenUsed/>
    <w:rsid w:val="005F1EA4"/>
    <w:rPr>
      <w:color w:val="0563C1" w:themeColor="hyperlink"/>
      <w:u w:val="single"/>
    </w:rPr>
  </w:style>
  <w:style w:type="character" w:customStyle="1" w:styleId="Heading2Char">
    <w:name w:val="Heading 2 Char"/>
    <w:basedOn w:val="DefaultParagraphFont"/>
    <w:link w:val="Heading2"/>
    <w:uiPriority w:val="9"/>
    <w:rsid w:val="00035F6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01D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5502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2F6"/>
    <w:rPr>
      <w:rFonts w:ascii="Segoe UI" w:hAnsi="Segoe UI" w:cs="Segoe UI"/>
      <w:sz w:val="18"/>
      <w:szCs w:val="18"/>
    </w:rPr>
  </w:style>
  <w:style w:type="table" w:styleId="TableGrid">
    <w:name w:val="Table Grid"/>
    <w:basedOn w:val="TableNormal"/>
    <w:uiPriority w:val="39"/>
    <w:rsid w:val="00123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ord">
    <w:name w:val="mord"/>
    <w:basedOn w:val="DefaultParagraphFont"/>
    <w:rsid w:val="00D305CC"/>
  </w:style>
  <w:style w:type="character" w:customStyle="1" w:styleId="mrel">
    <w:name w:val="mrel"/>
    <w:basedOn w:val="DefaultParagraphFont"/>
    <w:rsid w:val="00D305CC"/>
  </w:style>
  <w:style w:type="character" w:customStyle="1" w:styleId="vlist-s">
    <w:name w:val="vlist-s"/>
    <w:basedOn w:val="DefaultParagraphFont"/>
    <w:rsid w:val="00D305CC"/>
  </w:style>
  <w:style w:type="character" w:customStyle="1" w:styleId="mopen">
    <w:name w:val="mopen"/>
    <w:basedOn w:val="DefaultParagraphFont"/>
    <w:rsid w:val="00D305CC"/>
  </w:style>
  <w:style w:type="character" w:customStyle="1" w:styleId="mclose">
    <w:name w:val="mclose"/>
    <w:basedOn w:val="DefaultParagraphFont"/>
    <w:rsid w:val="00D305CC"/>
  </w:style>
  <w:style w:type="character" w:customStyle="1" w:styleId="mpunct">
    <w:name w:val="mpunct"/>
    <w:basedOn w:val="DefaultParagraphFont"/>
    <w:rsid w:val="00D305CC"/>
  </w:style>
  <w:style w:type="paragraph" w:styleId="NormalWeb">
    <w:name w:val="Normal (Web)"/>
    <w:basedOn w:val="Normal"/>
    <w:uiPriority w:val="99"/>
    <w:unhideWhenUsed/>
    <w:rsid w:val="00D305C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FA577A"/>
  </w:style>
  <w:style w:type="table" w:customStyle="1" w:styleId="TableGrid1">
    <w:name w:val="Table Grid1"/>
    <w:basedOn w:val="TableNormal"/>
    <w:next w:val="TableGrid"/>
    <w:uiPriority w:val="39"/>
    <w:rsid w:val="00FA57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A577A"/>
    <w:rPr>
      <w:i/>
      <w:iCs/>
    </w:rPr>
  </w:style>
  <w:style w:type="character" w:styleId="PlaceholderText">
    <w:name w:val="Placeholder Text"/>
    <w:basedOn w:val="DefaultParagraphFont"/>
    <w:uiPriority w:val="99"/>
    <w:semiHidden/>
    <w:rsid w:val="00785059"/>
    <w:rPr>
      <w:color w:val="808080"/>
    </w:rPr>
  </w:style>
  <w:style w:type="character" w:customStyle="1" w:styleId="Heading4Char">
    <w:name w:val="Heading 4 Char"/>
    <w:basedOn w:val="DefaultParagraphFont"/>
    <w:link w:val="Heading4"/>
    <w:uiPriority w:val="9"/>
    <w:rsid w:val="00892A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892A38"/>
    <w:rPr>
      <w:rFonts w:asciiTheme="majorHAnsi" w:eastAsiaTheme="majorEastAsia" w:hAnsiTheme="majorHAnsi" w:cstheme="majorBidi"/>
      <w:color w:val="2E74B5" w:themeColor="accent1" w:themeShade="BF"/>
    </w:rPr>
  </w:style>
  <w:style w:type="numbering" w:customStyle="1" w:styleId="NoList2">
    <w:name w:val="No List2"/>
    <w:next w:val="NoList"/>
    <w:uiPriority w:val="99"/>
    <w:semiHidden/>
    <w:unhideWhenUsed/>
    <w:rsid w:val="00892A38"/>
  </w:style>
  <w:style w:type="table" w:customStyle="1" w:styleId="TableGrid2">
    <w:name w:val="Table Grid2"/>
    <w:basedOn w:val="TableNormal"/>
    <w:next w:val="TableGrid"/>
    <w:uiPriority w:val="39"/>
    <w:rsid w:val="00892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892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892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1524C"/>
  </w:style>
  <w:style w:type="table" w:customStyle="1" w:styleId="TableGrid21">
    <w:name w:val="Table Grid21"/>
    <w:basedOn w:val="TableNormal"/>
    <w:next w:val="TableGrid"/>
    <w:uiPriority w:val="39"/>
    <w:rsid w:val="00615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15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615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39"/>
    <w:rsid w:val="00615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F73EED"/>
  </w:style>
  <w:style w:type="table" w:customStyle="1" w:styleId="TableGrid22">
    <w:name w:val="Table Grid22"/>
    <w:basedOn w:val="TableNormal"/>
    <w:next w:val="TableGrid"/>
    <w:uiPriority w:val="39"/>
    <w:rsid w:val="00F73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F73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F73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39"/>
    <w:rsid w:val="00F73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13.xml"/><Relationship Id="rId32" Type="http://schemas.openxmlformats.org/officeDocument/2006/relationships/chart" Target="charts/chart2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8.xml"/><Relationship Id="rId31" Type="http://schemas.openxmlformats.org/officeDocument/2006/relationships/chart" Target="charts/chart20.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F:\Mutual%20Fund%20Data\yearly%20nav.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C:\Users\ANONDO\AppData\Roaming\Microsoft\Excel\Descriptive%20Statistics%20(version%201).xlsb" TargetMode="External"/><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ANONDO\AppData\Roaming\Microsoft\Excel\Descriptive%20Statistics%20(version%201).xlsb" TargetMode="External"/><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oleObject" Target="file:///F:\Mutual%20Fund%20Data\Chart%20Experiment.xlsx" TargetMode="External"/><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oleObject" Target="file:///F:\Mutual%20Fund%20Data\Chart%20Experiment.xlsx" TargetMode="External"/><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oleObject" Target="file:///F:\Mutual%20Fund%20Data\Chart%20Experiment.xlsx" TargetMode="External"/><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oleObject" Target="file:///F:\Mutual%20Fund%20Data\Chart%20Experiment.xlsx" TargetMode="External"/><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ANONDO\AppData\Roaming\Microsoft\Excel\Descriptive%20Statistics%20(version%201).xlsb" TargetMode="External"/><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ANONDO\AppData\Roaming\Microsoft\Excel\Descriptive%20Statistics%20(version%201).xlsb" TargetMode="External"/><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ANONDO\AppData\Roaming\Microsoft\Excel\Descriptive%20Statistics%20(version%201).xlsb" TargetMode="External"/><Relationship Id="rId1" Type="http://schemas.openxmlformats.org/officeDocument/2006/relationships/themeOverride" Target="../theme/themeOverride17.xml"/></Relationships>
</file>

<file path=word/charts/_rels/chart19.xml.rels><?xml version="1.0" encoding="UTF-8" standalone="yes"?>
<Relationships xmlns="http://schemas.openxmlformats.org/package/2006/relationships"><Relationship Id="rId2" Type="http://schemas.openxmlformats.org/officeDocument/2006/relationships/oleObject" Target="file:///F:\Mutual%20Fund%20Data\Daily%20Chart.xlsx" TargetMode="External"/><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2" Type="http://schemas.openxmlformats.org/officeDocument/2006/relationships/oleObject" Target="file:///F:\Mutual%20Fund%20Data\Descriptive%20Statistics.xlsx" TargetMode="External"/><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2" Type="http://schemas.openxmlformats.org/officeDocument/2006/relationships/oleObject" Target="file:///F:\Mutual%20Fund%20Data\Daily%20Chart.xlsx" TargetMode="External"/><Relationship Id="rId1" Type="http://schemas.openxmlformats.org/officeDocument/2006/relationships/themeOverride" Target="../theme/themeOverride19.xml"/></Relationships>
</file>

<file path=word/charts/_rels/chart21.xml.rels><?xml version="1.0" encoding="UTF-8" standalone="yes"?>
<Relationships xmlns="http://schemas.openxmlformats.org/package/2006/relationships"><Relationship Id="rId2" Type="http://schemas.openxmlformats.org/officeDocument/2006/relationships/oleObject" Target="file:///F:\Mutual%20Fund%20Data\Daily%20Chart.xlsx" TargetMode="External"/><Relationship Id="rId1" Type="http://schemas.openxmlformats.org/officeDocument/2006/relationships/themeOverride" Target="../theme/themeOverride20.xml"/></Relationships>
</file>

<file path=word/charts/_rels/chart22.xml.rels><?xml version="1.0" encoding="UTF-8" standalone="yes"?>
<Relationships xmlns="http://schemas.openxmlformats.org/package/2006/relationships"><Relationship Id="rId2" Type="http://schemas.openxmlformats.org/officeDocument/2006/relationships/oleObject" Target="file:///F:\Mutual%20Fund%20Data\Daily%20Chart.xlsx" TargetMode="External"/><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2" Type="http://schemas.openxmlformats.org/officeDocument/2006/relationships/oleObject" Target="file:///F:\Mutual%20Fund%20Data\Descriptive%20Statistics.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F:\Mutual%20Fund%20Data\Descriptive%20Statistics.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F:\Mutual%20Fund%20Data\Chart.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F:\Mutual%20Fund%20Data\Chart.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F:\Mutual%20Fund%20Data\Chart.xlsx"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oleObject" Target="file:///F:\Mutual%20Fund%20Data\Chart.xlsx" TargetMode="External"/><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ANONDO\AppData\Roaming\Microsoft\Excel\Descriptive%20Statistics%20(version%201).xlsb"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Yeraly</a:t>
            </a:r>
            <a:r>
              <a:rPr lang="en-US" baseline="0"/>
              <a:t> NAV of 2018</a:t>
            </a:r>
            <a:endParaRPr lang="en-US"/>
          </a:p>
        </c:rich>
      </c:tx>
      <c:layout>
        <c:manualLayout>
          <c:xMode val="edge"/>
          <c:yMode val="edge"/>
          <c:x val="0.36325005131430116"/>
          <c:y val="7.1326676176890159E-3"/>
        </c:manualLayout>
      </c:layout>
      <c:overlay val="0"/>
      <c:spPr>
        <a:noFill/>
        <a:ln>
          <a:noFill/>
        </a:ln>
        <a:effectLst/>
      </c:spPr>
    </c:title>
    <c:autoTitleDeleted val="0"/>
    <c:plotArea>
      <c:layout>
        <c:manualLayout>
          <c:layoutTarget val="inner"/>
          <c:xMode val="edge"/>
          <c:yMode val="edge"/>
          <c:x val="6.2554011031482962E-2"/>
          <c:y val="0.16620423675843665"/>
          <c:w val="0.90910892388451447"/>
          <c:h val="0.46440708796875935"/>
        </c:manualLayout>
      </c:layout>
      <c:barChart>
        <c:barDir val="col"/>
        <c:grouping val="clustered"/>
        <c:varyColors val="0"/>
        <c:ser>
          <c:idx val="0"/>
          <c:order val="0"/>
          <c:spPr>
            <a:solidFill>
              <a:schemeClr val="accent1"/>
            </a:solidFill>
            <a:ln>
              <a:noFill/>
            </a:ln>
            <a:effectLst/>
          </c:spPr>
          <c:invertIfNegative val="0"/>
          <c:dLbls>
            <c:dLbl>
              <c:idx val="7"/>
              <c:layout>
                <c:manualLayout>
                  <c:x val="-1.626899305384252E-16"/>
                  <c:y val="3.56633380884450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0AF-48A0-970A-65FDBF3B6E3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Sheet1!$A$68:$A$77</c:f>
              <c:strCache>
                <c:ptCount val="10"/>
                <c:pt idx="0">
                  <c:v>ABB1STMF</c:v>
                </c:pt>
                <c:pt idx="1">
                  <c:v>AIBL1STIMF</c:v>
                </c:pt>
                <c:pt idx="2">
                  <c:v>ATCSLGF</c:v>
                </c:pt>
                <c:pt idx="3">
                  <c:v>DBH1STMF</c:v>
                </c:pt>
                <c:pt idx="4">
                  <c:v>EBL1STMF</c:v>
                </c:pt>
                <c:pt idx="5">
                  <c:v>EBLNRBMF</c:v>
                </c:pt>
                <c:pt idx="6">
                  <c:v>1JANATAMF</c:v>
                </c:pt>
                <c:pt idx="7">
                  <c:v>1STPRIMFMF</c:v>
                </c:pt>
                <c:pt idx="8">
                  <c:v>EXIM1STMF</c:v>
                </c:pt>
                <c:pt idx="9">
                  <c:v>FBFIF</c:v>
                </c:pt>
              </c:strCache>
            </c:strRef>
          </c:cat>
          <c:val>
            <c:numRef>
              <c:f>Sheet1!$B$68:$B$77</c:f>
              <c:numCache>
                <c:formatCode>_(* #,##0.00_);_(* \(#,##0.00\);_(* "-"??_);_(@_)</c:formatCode>
                <c:ptCount val="10"/>
                <c:pt idx="0">
                  <c:v>12.04</c:v>
                </c:pt>
                <c:pt idx="1">
                  <c:v>11.9</c:v>
                </c:pt>
                <c:pt idx="2">
                  <c:v>13.47</c:v>
                </c:pt>
                <c:pt idx="3">
                  <c:v>11.96</c:v>
                </c:pt>
                <c:pt idx="4">
                  <c:v>11.44</c:v>
                </c:pt>
                <c:pt idx="5">
                  <c:v>11.49</c:v>
                </c:pt>
                <c:pt idx="6">
                  <c:v>11.36</c:v>
                </c:pt>
                <c:pt idx="7">
                  <c:v>17.829999999999998</c:v>
                </c:pt>
                <c:pt idx="8">
                  <c:v>11.59</c:v>
                </c:pt>
                <c:pt idx="9">
                  <c:v>12.01</c:v>
                </c:pt>
              </c:numCache>
            </c:numRef>
          </c:val>
          <c:extLst xmlns:c16r2="http://schemas.microsoft.com/office/drawing/2015/06/chart">
            <c:ext xmlns:c16="http://schemas.microsoft.com/office/drawing/2014/chart" uri="{C3380CC4-5D6E-409C-BE32-E72D297353CC}">
              <c16:uniqueId val="{00000001-50AF-48A0-970A-65FDBF3B6E31}"/>
            </c:ext>
          </c:extLst>
        </c:ser>
        <c:dLbls>
          <c:dLblPos val="outEnd"/>
          <c:showLegendKey val="0"/>
          <c:showVal val="1"/>
          <c:showCatName val="0"/>
          <c:showSerName val="0"/>
          <c:showPercent val="0"/>
          <c:showBubbleSize val="0"/>
        </c:dLbls>
        <c:gapWidth val="267"/>
        <c:overlap val="-43"/>
        <c:axId val="222292992"/>
        <c:axId val="222672768"/>
      </c:barChart>
      <c:catAx>
        <c:axId val="2222929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222672768"/>
        <c:crosses val="autoZero"/>
        <c:auto val="1"/>
        <c:lblAlgn val="ctr"/>
        <c:lblOffset val="100"/>
        <c:noMultiLvlLbl val="0"/>
      </c:catAx>
      <c:valAx>
        <c:axId val="222672768"/>
        <c:scaling>
          <c:orientation val="minMax"/>
        </c:scaling>
        <c:delete val="1"/>
        <c:axPos val="l"/>
        <c:majorGridlines>
          <c:spPr>
            <a:ln w="9525" cap="flat" cmpd="sng" algn="ctr">
              <a:solidFill>
                <a:schemeClr val="dk1">
                  <a:lumMod val="15000"/>
                  <a:lumOff val="85000"/>
                </a:schemeClr>
              </a:solidFill>
              <a:round/>
            </a:ln>
            <a:effectLst/>
          </c:spPr>
        </c:majorGridlines>
        <c:numFmt formatCode="_(* #,##0.00_);_(* \(#,##0.00\);_(* &quot;-&quot;??_);_(@_)" sourceLinked="1"/>
        <c:majorTickMark val="none"/>
        <c:minorTickMark val="none"/>
        <c:tickLblPos val="nextTo"/>
        <c:crossAx val="22229299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sz="1600"/>
              <a:t>Stdev.</a:t>
            </a:r>
            <a:r>
              <a:rPr lang="en-US" sz="1600" baseline="0"/>
              <a:t> of MF &amp; DSEX  (Weekly return on Price)   </a:t>
            </a:r>
            <a:endParaRPr lang="en-US" sz="1600"/>
          </a:p>
        </c:rich>
      </c:tx>
      <c:layout>
        <c:manualLayout>
          <c:xMode val="edge"/>
          <c:yMode val="edge"/>
          <c:x val="1.7765933821896514E-2"/>
          <c:y val="3.847994958935446E-2"/>
        </c:manualLayout>
      </c:layout>
      <c:overlay val="0"/>
      <c:spPr>
        <a:noFill/>
        <a:ln>
          <a:noFill/>
        </a:ln>
        <a:effectLst/>
      </c:spPr>
    </c:title>
    <c:autoTitleDeleted val="0"/>
    <c:plotArea>
      <c:layout>
        <c:manualLayout>
          <c:layoutTarget val="inner"/>
          <c:xMode val="edge"/>
          <c:yMode val="edge"/>
          <c:x val="2.1568627450980392E-2"/>
          <c:y val="0.18535092863249966"/>
          <c:w val="0.70437763858071356"/>
          <c:h val="0.77322566060709153"/>
        </c:manualLayout>
      </c:layout>
      <c:barChart>
        <c:barDir val="col"/>
        <c:grouping val="clustered"/>
        <c:varyColors val="0"/>
        <c:ser>
          <c:idx val="0"/>
          <c:order val="0"/>
          <c:tx>
            <c:strRef>
              <c:f>Sheet2!$A$2</c:f>
              <c:strCache>
                <c:ptCount val="1"/>
                <c:pt idx="0">
                  <c:v>DSEX ( Benchamark Index)</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Standar Deviation</c:v>
                </c:pt>
              </c:strCache>
            </c:strRef>
          </c:cat>
          <c:val>
            <c:numRef>
              <c:f>Sheet2!$B$2</c:f>
              <c:numCache>
                <c:formatCode>0.00%</c:formatCode>
                <c:ptCount val="1"/>
                <c:pt idx="0">
                  <c:v>1.512673618974345E-2</c:v>
                </c:pt>
              </c:numCache>
            </c:numRef>
          </c:val>
          <c:extLst xmlns:c16r2="http://schemas.microsoft.com/office/drawing/2015/06/chart">
            <c:ext xmlns:c16="http://schemas.microsoft.com/office/drawing/2014/chart" uri="{C3380CC4-5D6E-409C-BE32-E72D297353CC}">
              <c16:uniqueId val="{00000000-F6F7-4631-8160-C00888C60AE6}"/>
            </c:ext>
          </c:extLst>
        </c:ser>
        <c:ser>
          <c:idx val="1"/>
          <c:order val="1"/>
          <c:tx>
            <c:strRef>
              <c:f>Sheet2!$A$3</c:f>
              <c:strCache>
                <c:ptCount val="1"/>
                <c:pt idx="0">
                  <c:v>DBH1STMF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Standar Deviation</c:v>
                </c:pt>
              </c:strCache>
            </c:strRef>
          </c:cat>
          <c:val>
            <c:numRef>
              <c:f>Sheet2!$B$3</c:f>
              <c:numCache>
                <c:formatCode>0.00%</c:formatCode>
                <c:ptCount val="1"/>
                <c:pt idx="0">
                  <c:v>2.3159663169848986E-2</c:v>
                </c:pt>
              </c:numCache>
            </c:numRef>
          </c:val>
          <c:extLst xmlns:c16r2="http://schemas.microsoft.com/office/drawing/2015/06/chart">
            <c:ext xmlns:c16="http://schemas.microsoft.com/office/drawing/2014/chart" uri="{C3380CC4-5D6E-409C-BE32-E72D297353CC}">
              <c16:uniqueId val="{00000001-F6F7-4631-8160-C00888C60AE6}"/>
            </c:ext>
          </c:extLst>
        </c:ser>
        <c:ser>
          <c:idx val="2"/>
          <c:order val="2"/>
          <c:tx>
            <c:strRef>
              <c:f>Sheet2!$A$4</c:f>
              <c:strCache>
                <c:ptCount val="1"/>
                <c:pt idx="0">
                  <c:v>ATCSLGF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Standar Deviation</c:v>
                </c:pt>
              </c:strCache>
            </c:strRef>
          </c:cat>
          <c:val>
            <c:numRef>
              <c:f>Sheet2!$B$4</c:f>
              <c:numCache>
                <c:formatCode>0.00%</c:formatCode>
                <c:ptCount val="1"/>
                <c:pt idx="0">
                  <c:v>2.6468174248494469E-2</c:v>
                </c:pt>
              </c:numCache>
            </c:numRef>
          </c:val>
          <c:extLst xmlns:c16r2="http://schemas.microsoft.com/office/drawing/2015/06/chart">
            <c:ext xmlns:c16="http://schemas.microsoft.com/office/drawing/2014/chart" uri="{C3380CC4-5D6E-409C-BE32-E72D297353CC}">
              <c16:uniqueId val="{00000002-F6F7-4631-8160-C00888C60AE6}"/>
            </c:ext>
          </c:extLst>
        </c:ser>
        <c:ser>
          <c:idx val="3"/>
          <c:order val="3"/>
          <c:tx>
            <c:strRef>
              <c:f>Sheet2!$A$5</c:f>
              <c:strCache>
                <c:ptCount val="1"/>
                <c:pt idx="0">
                  <c:v>FBFIF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Standar Deviation</c:v>
                </c:pt>
              </c:strCache>
            </c:strRef>
          </c:cat>
          <c:val>
            <c:numRef>
              <c:f>Sheet2!$B$5</c:f>
              <c:numCache>
                <c:formatCode>0.00%</c:formatCode>
                <c:ptCount val="1"/>
                <c:pt idx="0">
                  <c:v>3.0679667052592119E-2</c:v>
                </c:pt>
              </c:numCache>
            </c:numRef>
          </c:val>
          <c:extLst xmlns:c16r2="http://schemas.microsoft.com/office/drawing/2015/06/chart">
            <c:ext xmlns:c16="http://schemas.microsoft.com/office/drawing/2014/chart" uri="{C3380CC4-5D6E-409C-BE32-E72D297353CC}">
              <c16:uniqueId val="{00000003-F6F7-4631-8160-C00888C60AE6}"/>
            </c:ext>
          </c:extLst>
        </c:ser>
        <c:ser>
          <c:idx val="4"/>
          <c:order val="4"/>
          <c:tx>
            <c:strRef>
              <c:f>Sheet2!$A$6</c:f>
              <c:strCache>
                <c:ptCount val="1"/>
                <c:pt idx="0">
                  <c:v>AIBL1STIMF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Standar Deviation</c:v>
                </c:pt>
              </c:strCache>
            </c:strRef>
          </c:cat>
          <c:val>
            <c:numRef>
              <c:f>Sheet2!$B$6</c:f>
              <c:numCache>
                <c:formatCode>0.00%</c:formatCode>
                <c:ptCount val="1"/>
                <c:pt idx="0">
                  <c:v>3.2521159586288789E-2</c:v>
                </c:pt>
              </c:numCache>
            </c:numRef>
          </c:val>
          <c:extLst xmlns:c16r2="http://schemas.microsoft.com/office/drawing/2015/06/chart">
            <c:ext xmlns:c16="http://schemas.microsoft.com/office/drawing/2014/chart" uri="{C3380CC4-5D6E-409C-BE32-E72D297353CC}">
              <c16:uniqueId val="{00000004-F6F7-4631-8160-C00888C60AE6}"/>
            </c:ext>
          </c:extLst>
        </c:ser>
        <c:ser>
          <c:idx val="5"/>
          <c:order val="5"/>
          <c:tx>
            <c:strRef>
              <c:f>Sheet2!$A$7</c:f>
              <c:strCache>
                <c:ptCount val="1"/>
                <c:pt idx="0">
                  <c:v>EXIM1STMF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Standar Deviation</c:v>
                </c:pt>
              </c:strCache>
            </c:strRef>
          </c:cat>
          <c:val>
            <c:numRef>
              <c:f>Sheet2!$B$7</c:f>
              <c:numCache>
                <c:formatCode>0.00%</c:formatCode>
                <c:ptCount val="1"/>
                <c:pt idx="0">
                  <c:v>3.4837149794926116E-2</c:v>
                </c:pt>
              </c:numCache>
            </c:numRef>
          </c:val>
          <c:extLst xmlns:c16r2="http://schemas.microsoft.com/office/drawing/2015/06/chart">
            <c:ext xmlns:c16="http://schemas.microsoft.com/office/drawing/2014/chart" uri="{C3380CC4-5D6E-409C-BE32-E72D297353CC}">
              <c16:uniqueId val="{00000005-F6F7-4631-8160-C00888C60AE6}"/>
            </c:ext>
          </c:extLst>
        </c:ser>
        <c:ser>
          <c:idx val="6"/>
          <c:order val="6"/>
          <c:tx>
            <c:strRef>
              <c:f>Sheet2!$A$8</c:f>
              <c:strCache>
                <c:ptCount val="1"/>
                <c:pt idx="0">
                  <c:v>ABB1STMF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Standar Deviation</c:v>
                </c:pt>
              </c:strCache>
            </c:strRef>
          </c:cat>
          <c:val>
            <c:numRef>
              <c:f>Sheet2!$B$8</c:f>
              <c:numCache>
                <c:formatCode>0.00%</c:formatCode>
                <c:ptCount val="1"/>
                <c:pt idx="0">
                  <c:v>3.7166153182943355E-2</c:v>
                </c:pt>
              </c:numCache>
            </c:numRef>
          </c:val>
          <c:extLst xmlns:c16r2="http://schemas.microsoft.com/office/drawing/2015/06/chart">
            <c:ext xmlns:c16="http://schemas.microsoft.com/office/drawing/2014/chart" uri="{C3380CC4-5D6E-409C-BE32-E72D297353CC}">
              <c16:uniqueId val="{00000006-F6F7-4631-8160-C00888C60AE6}"/>
            </c:ext>
          </c:extLst>
        </c:ser>
        <c:ser>
          <c:idx val="7"/>
          <c:order val="7"/>
          <c:tx>
            <c:strRef>
              <c:f>Sheet2!$A$9</c:f>
              <c:strCache>
                <c:ptCount val="1"/>
                <c:pt idx="0">
                  <c:v>EBLNRBMF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Standar Deviation</c:v>
                </c:pt>
              </c:strCache>
            </c:strRef>
          </c:cat>
          <c:val>
            <c:numRef>
              <c:f>Sheet2!$B$9</c:f>
              <c:numCache>
                <c:formatCode>0.00%</c:formatCode>
                <c:ptCount val="1"/>
                <c:pt idx="0">
                  <c:v>3.8859872169953645E-2</c:v>
                </c:pt>
              </c:numCache>
            </c:numRef>
          </c:val>
          <c:extLst xmlns:c16r2="http://schemas.microsoft.com/office/drawing/2015/06/chart">
            <c:ext xmlns:c16="http://schemas.microsoft.com/office/drawing/2014/chart" uri="{C3380CC4-5D6E-409C-BE32-E72D297353CC}">
              <c16:uniqueId val="{00000007-F6F7-4631-8160-C00888C60AE6}"/>
            </c:ext>
          </c:extLst>
        </c:ser>
        <c:ser>
          <c:idx val="8"/>
          <c:order val="8"/>
          <c:tx>
            <c:strRef>
              <c:f>Sheet2!$A$10</c:f>
              <c:strCache>
                <c:ptCount val="1"/>
                <c:pt idx="0">
                  <c:v>1JANATAMF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Standar Deviation</c:v>
                </c:pt>
              </c:strCache>
            </c:strRef>
          </c:cat>
          <c:val>
            <c:numRef>
              <c:f>Sheet2!$B$10</c:f>
              <c:numCache>
                <c:formatCode>0.00%</c:formatCode>
                <c:ptCount val="1"/>
                <c:pt idx="0">
                  <c:v>4.0554963226100901E-2</c:v>
                </c:pt>
              </c:numCache>
            </c:numRef>
          </c:val>
          <c:extLst xmlns:c16r2="http://schemas.microsoft.com/office/drawing/2015/06/chart">
            <c:ext xmlns:c16="http://schemas.microsoft.com/office/drawing/2014/chart" uri="{C3380CC4-5D6E-409C-BE32-E72D297353CC}">
              <c16:uniqueId val="{00000008-F6F7-4631-8160-C00888C60AE6}"/>
            </c:ext>
          </c:extLst>
        </c:ser>
        <c:ser>
          <c:idx val="9"/>
          <c:order val="9"/>
          <c:tx>
            <c:strRef>
              <c:f>Sheet2!$A$11</c:f>
              <c:strCache>
                <c:ptCount val="1"/>
                <c:pt idx="0">
                  <c:v>EBL1STMF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Standar Deviation</c:v>
                </c:pt>
              </c:strCache>
            </c:strRef>
          </c:cat>
          <c:val>
            <c:numRef>
              <c:f>Sheet2!$B$11</c:f>
              <c:numCache>
                <c:formatCode>0.00%</c:formatCode>
                <c:ptCount val="1"/>
                <c:pt idx="0">
                  <c:v>4.3907262194232639E-2</c:v>
                </c:pt>
              </c:numCache>
            </c:numRef>
          </c:val>
          <c:extLst xmlns:c16r2="http://schemas.microsoft.com/office/drawing/2015/06/chart">
            <c:ext xmlns:c16="http://schemas.microsoft.com/office/drawing/2014/chart" uri="{C3380CC4-5D6E-409C-BE32-E72D297353CC}">
              <c16:uniqueId val="{00000009-F6F7-4631-8160-C00888C60AE6}"/>
            </c:ext>
          </c:extLst>
        </c:ser>
        <c:ser>
          <c:idx val="10"/>
          <c:order val="10"/>
          <c:tx>
            <c:strRef>
              <c:f>Sheet2!$A$12</c:f>
              <c:strCache>
                <c:ptCount val="1"/>
                <c:pt idx="0">
                  <c:v>1STPRIMFMF</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Standar Deviation</c:v>
                </c:pt>
              </c:strCache>
            </c:strRef>
          </c:cat>
          <c:val>
            <c:numRef>
              <c:f>Sheet2!$B$12</c:f>
              <c:numCache>
                <c:formatCode>0.00%</c:formatCode>
                <c:ptCount val="1"/>
                <c:pt idx="0">
                  <c:v>4.8363912828428939E-2</c:v>
                </c:pt>
              </c:numCache>
            </c:numRef>
          </c:val>
          <c:extLst xmlns:c16r2="http://schemas.microsoft.com/office/drawing/2015/06/chart">
            <c:ext xmlns:c16="http://schemas.microsoft.com/office/drawing/2014/chart" uri="{C3380CC4-5D6E-409C-BE32-E72D297353CC}">
              <c16:uniqueId val="{0000000A-F6F7-4631-8160-C00888C60AE6}"/>
            </c:ext>
          </c:extLst>
        </c:ser>
        <c:dLbls>
          <c:dLblPos val="outEnd"/>
          <c:showLegendKey val="0"/>
          <c:showVal val="1"/>
          <c:showCatName val="0"/>
          <c:showSerName val="0"/>
          <c:showPercent val="0"/>
          <c:showBubbleSize val="0"/>
        </c:dLbls>
        <c:gapWidth val="267"/>
        <c:overlap val="-43"/>
        <c:axId val="236894464"/>
        <c:axId val="236916736"/>
      </c:barChart>
      <c:catAx>
        <c:axId val="236894464"/>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36916736"/>
        <c:crosses val="autoZero"/>
        <c:auto val="1"/>
        <c:lblAlgn val="ctr"/>
        <c:lblOffset val="100"/>
        <c:noMultiLvlLbl val="0"/>
      </c:catAx>
      <c:valAx>
        <c:axId val="236916736"/>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236894464"/>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7431820448877805"/>
          <c:y val="4.6297465464320738E-2"/>
          <c:w val="0.24606939344552006"/>
          <c:h val="0.90540346918267622"/>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Beta</a:t>
            </a:r>
            <a:r>
              <a:rPr lang="en-US" baseline="0"/>
              <a:t> of MF (Weekly Return on Price) </a:t>
            </a:r>
            <a:endParaRPr lang="en-US"/>
          </a:p>
        </c:rich>
      </c:tx>
      <c:layout>
        <c:manualLayout>
          <c:xMode val="edge"/>
          <c:yMode val="edge"/>
          <c:x val="3.7629598625753179E-2"/>
          <c:y val="1.5912772623685504E-3"/>
        </c:manualLayout>
      </c:layout>
      <c:overlay val="0"/>
      <c:spPr>
        <a:noFill/>
        <a:ln>
          <a:noFill/>
        </a:ln>
        <a:effectLst/>
      </c:spPr>
    </c:title>
    <c:autoTitleDeleted val="0"/>
    <c:plotArea>
      <c:layout>
        <c:manualLayout>
          <c:layoutTarget val="inner"/>
          <c:xMode val="edge"/>
          <c:yMode val="edge"/>
          <c:x val="2.4608501118568233E-2"/>
          <c:y val="0.21332816737698571"/>
          <c:w val="0.79321742500308268"/>
          <c:h val="0.72468035645098783"/>
        </c:manualLayout>
      </c:layout>
      <c:barChart>
        <c:barDir val="col"/>
        <c:grouping val="clustered"/>
        <c:varyColors val="0"/>
        <c:ser>
          <c:idx val="0"/>
          <c:order val="0"/>
          <c:tx>
            <c:strRef>
              <c:f>Sheet3!$A$2</c:f>
              <c:strCache>
                <c:ptCount val="1"/>
                <c:pt idx="0">
                  <c:v>ATCSLGF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Sheet3!$B$2</c:f>
              <c:numCache>
                <c:formatCode>_(* #,##0.00_);_(* \(#,##0.00\);_(* "-"??_);_(@_)</c:formatCode>
                <c:ptCount val="1"/>
                <c:pt idx="0">
                  <c:v>0.43884315298975307</c:v>
                </c:pt>
              </c:numCache>
            </c:numRef>
          </c:val>
          <c:extLst xmlns:c16r2="http://schemas.microsoft.com/office/drawing/2015/06/chart">
            <c:ext xmlns:c16="http://schemas.microsoft.com/office/drawing/2014/chart" uri="{C3380CC4-5D6E-409C-BE32-E72D297353CC}">
              <c16:uniqueId val="{00000000-A8EC-452D-8AEA-F5E0F21C4325}"/>
            </c:ext>
          </c:extLst>
        </c:ser>
        <c:ser>
          <c:idx val="1"/>
          <c:order val="1"/>
          <c:tx>
            <c:strRef>
              <c:f>Sheet3!$A$3</c:f>
              <c:strCache>
                <c:ptCount val="1"/>
                <c:pt idx="0">
                  <c:v>DBH1STMF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Sheet3!$B$3</c:f>
              <c:numCache>
                <c:formatCode>_(* #,##0.00_);_(* \(#,##0.00\);_(* "-"??_);_(@_)</c:formatCode>
                <c:ptCount val="1"/>
                <c:pt idx="0">
                  <c:v>0.6119235009449725</c:v>
                </c:pt>
              </c:numCache>
            </c:numRef>
          </c:val>
          <c:extLst xmlns:c16r2="http://schemas.microsoft.com/office/drawing/2015/06/chart">
            <c:ext xmlns:c16="http://schemas.microsoft.com/office/drawing/2014/chart" uri="{C3380CC4-5D6E-409C-BE32-E72D297353CC}">
              <c16:uniqueId val="{00000001-A8EC-452D-8AEA-F5E0F21C4325}"/>
            </c:ext>
          </c:extLst>
        </c:ser>
        <c:ser>
          <c:idx val="2"/>
          <c:order val="2"/>
          <c:tx>
            <c:strRef>
              <c:f>Sheet3!$A$4</c:f>
              <c:strCache>
                <c:ptCount val="1"/>
                <c:pt idx="0">
                  <c:v>EXIM1STMF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Sheet3!$B$4</c:f>
              <c:numCache>
                <c:formatCode>_(* #,##0.00_);_(* \(#,##0.00\);_(* "-"??_);_(@_)</c:formatCode>
                <c:ptCount val="1"/>
                <c:pt idx="0">
                  <c:v>0.72430970104942538</c:v>
                </c:pt>
              </c:numCache>
            </c:numRef>
          </c:val>
          <c:extLst xmlns:c16r2="http://schemas.microsoft.com/office/drawing/2015/06/chart">
            <c:ext xmlns:c16="http://schemas.microsoft.com/office/drawing/2014/chart" uri="{C3380CC4-5D6E-409C-BE32-E72D297353CC}">
              <c16:uniqueId val="{00000002-A8EC-452D-8AEA-F5E0F21C4325}"/>
            </c:ext>
          </c:extLst>
        </c:ser>
        <c:ser>
          <c:idx val="3"/>
          <c:order val="3"/>
          <c:tx>
            <c:strRef>
              <c:f>Sheet3!$A$5</c:f>
              <c:strCache>
                <c:ptCount val="1"/>
                <c:pt idx="0">
                  <c:v>AIBL1STIMF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Sheet3!$B$5</c:f>
              <c:numCache>
                <c:formatCode>_(* #,##0.00_);_(* \(#,##0.00\);_(* "-"??_);_(@_)</c:formatCode>
                <c:ptCount val="1"/>
                <c:pt idx="0">
                  <c:v>0.85208208105406802</c:v>
                </c:pt>
              </c:numCache>
            </c:numRef>
          </c:val>
          <c:extLst xmlns:c16r2="http://schemas.microsoft.com/office/drawing/2015/06/chart">
            <c:ext xmlns:c16="http://schemas.microsoft.com/office/drawing/2014/chart" uri="{C3380CC4-5D6E-409C-BE32-E72D297353CC}">
              <c16:uniqueId val="{00000003-A8EC-452D-8AEA-F5E0F21C4325}"/>
            </c:ext>
          </c:extLst>
        </c:ser>
        <c:ser>
          <c:idx val="4"/>
          <c:order val="4"/>
          <c:tx>
            <c:strRef>
              <c:f>Sheet3!$A$6</c:f>
              <c:strCache>
                <c:ptCount val="1"/>
                <c:pt idx="0">
                  <c:v>EBL1STMF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Sheet3!$B$6</c:f>
              <c:numCache>
                <c:formatCode>_(* #,##0.00_);_(* \(#,##0.00\);_(* "-"??_);_(@_)</c:formatCode>
                <c:ptCount val="1"/>
                <c:pt idx="0">
                  <c:v>0.94504929865504239</c:v>
                </c:pt>
              </c:numCache>
            </c:numRef>
          </c:val>
          <c:extLst xmlns:c16r2="http://schemas.microsoft.com/office/drawing/2015/06/chart">
            <c:ext xmlns:c16="http://schemas.microsoft.com/office/drawing/2014/chart" uri="{C3380CC4-5D6E-409C-BE32-E72D297353CC}">
              <c16:uniqueId val="{00000004-A8EC-452D-8AEA-F5E0F21C4325}"/>
            </c:ext>
          </c:extLst>
        </c:ser>
        <c:ser>
          <c:idx val="5"/>
          <c:order val="5"/>
          <c:tx>
            <c:strRef>
              <c:f>Sheet3!$A$7</c:f>
              <c:strCache>
                <c:ptCount val="1"/>
                <c:pt idx="0">
                  <c:v>FBFIF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Sheet3!$B$7</c:f>
              <c:numCache>
                <c:formatCode>_(* #,##0.00_);_(* \(#,##0.00\);_(* "-"??_);_(@_)</c:formatCode>
                <c:ptCount val="1"/>
                <c:pt idx="0">
                  <c:v>1.0426879901893609</c:v>
                </c:pt>
              </c:numCache>
            </c:numRef>
          </c:val>
          <c:extLst xmlns:c16r2="http://schemas.microsoft.com/office/drawing/2015/06/chart">
            <c:ext xmlns:c16="http://schemas.microsoft.com/office/drawing/2014/chart" uri="{C3380CC4-5D6E-409C-BE32-E72D297353CC}">
              <c16:uniqueId val="{00000005-A8EC-452D-8AEA-F5E0F21C4325}"/>
            </c:ext>
          </c:extLst>
        </c:ser>
        <c:ser>
          <c:idx val="6"/>
          <c:order val="6"/>
          <c:tx>
            <c:strRef>
              <c:f>Sheet3!$A$8</c:f>
              <c:strCache>
                <c:ptCount val="1"/>
                <c:pt idx="0">
                  <c:v>EBLNRBMF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Sheet3!$B$8</c:f>
              <c:numCache>
                <c:formatCode>_(* #,##0.00_);_(* \(#,##0.00\);_(* "-"??_);_(@_)</c:formatCode>
                <c:ptCount val="1"/>
                <c:pt idx="0">
                  <c:v>1.1968888380100704</c:v>
                </c:pt>
              </c:numCache>
            </c:numRef>
          </c:val>
          <c:extLst xmlns:c16r2="http://schemas.microsoft.com/office/drawing/2015/06/chart">
            <c:ext xmlns:c16="http://schemas.microsoft.com/office/drawing/2014/chart" uri="{C3380CC4-5D6E-409C-BE32-E72D297353CC}">
              <c16:uniqueId val="{00000006-A8EC-452D-8AEA-F5E0F21C4325}"/>
            </c:ext>
          </c:extLst>
        </c:ser>
        <c:ser>
          <c:idx val="7"/>
          <c:order val="7"/>
          <c:tx>
            <c:strRef>
              <c:f>Sheet3!$A$9</c:f>
              <c:strCache>
                <c:ptCount val="1"/>
                <c:pt idx="0">
                  <c:v>1JANATAMF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Sheet3!$B$9</c:f>
              <c:numCache>
                <c:formatCode>_(* #,##0.00_);_(* \(#,##0.00\);_(* "-"??_);_(@_)</c:formatCode>
                <c:ptCount val="1"/>
                <c:pt idx="0">
                  <c:v>1.2661058867087156</c:v>
                </c:pt>
              </c:numCache>
            </c:numRef>
          </c:val>
          <c:extLst xmlns:c16r2="http://schemas.microsoft.com/office/drawing/2015/06/chart">
            <c:ext xmlns:c16="http://schemas.microsoft.com/office/drawing/2014/chart" uri="{C3380CC4-5D6E-409C-BE32-E72D297353CC}">
              <c16:uniqueId val="{00000007-A8EC-452D-8AEA-F5E0F21C4325}"/>
            </c:ext>
          </c:extLst>
        </c:ser>
        <c:ser>
          <c:idx val="8"/>
          <c:order val="8"/>
          <c:tx>
            <c:strRef>
              <c:f>Sheet3!$A$10</c:f>
              <c:strCache>
                <c:ptCount val="1"/>
                <c:pt idx="0">
                  <c:v>ABB1STMF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Sheet3!$B$10</c:f>
              <c:numCache>
                <c:formatCode>_(* #,##0.00_);_(* \(#,##0.00\);_(* "-"??_);_(@_)</c:formatCode>
                <c:ptCount val="1"/>
                <c:pt idx="0">
                  <c:v>1.3473346431640394</c:v>
                </c:pt>
              </c:numCache>
            </c:numRef>
          </c:val>
          <c:extLst xmlns:c16r2="http://schemas.microsoft.com/office/drawing/2015/06/chart">
            <c:ext xmlns:c16="http://schemas.microsoft.com/office/drawing/2014/chart" uri="{C3380CC4-5D6E-409C-BE32-E72D297353CC}">
              <c16:uniqueId val="{00000008-A8EC-452D-8AEA-F5E0F21C4325}"/>
            </c:ext>
          </c:extLst>
        </c:ser>
        <c:ser>
          <c:idx val="9"/>
          <c:order val="9"/>
          <c:tx>
            <c:strRef>
              <c:f>Sheet3!$A$11</c:f>
              <c:strCache>
                <c:ptCount val="1"/>
                <c:pt idx="0">
                  <c:v>1STPRIMFMF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Sheet3!$B$11</c:f>
              <c:numCache>
                <c:formatCode>_(* #,##0.00_);_(* \(#,##0.00\);_(* "-"??_);_(@_)</c:formatCode>
                <c:ptCount val="1"/>
                <c:pt idx="0">
                  <c:v>1.5744476156120784</c:v>
                </c:pt>
              </c:numCache>
            </c:numRef>
          </c:val>
          <c:extLst xmlns:c16r2="http://schemas.microsoft.com/office/drawing/2015/06/chart">
            <c:ext xmlns:c16="http://schemas.microsoft.com/office/drawing/2014/chart" uri="{C3380CC4-5D6E-409C-BE32-E72D297353CC}">
              <c16:uniqueId val="{00000009-A8EC-452D-8AEA-F5E0F21C4325}"/>
            </c:ext>
          </c:extLst>
        </c:ser>
        <c:dLbls>
          <c:dLblPos val="outEnd"/>
          <c:showLegendKey val="0"/>
          <c:showVal val="1"/>
          <c:showCatName val="0"/>
          <c:showSerName val="0"/>
          <c:showPercent val="0"/>
          <c:showBubbleSize val="0"/>
        </c:dLbls>
        <c:gapWidth val="267"/>
        <c:overlap val="-43"/>
        <c:axId val="237026304"/>
        <c:axId val="237056768"/>
      </c:barChart>
      <c:catAx>
        <c:axId val="237026304"/>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37056768"/>
        <c:crosses val="autoZero"/>
        <c:auto val="1"/>
        <c:lblAlgn val="ctr"/>
        <c:lblOffset val="100"/>
        <c:noMultiLvlLbl val="0"/>
      </c:catAx>
      <c:valAx>
        <c:axId val="237056768"/>
        <c:scaling>
          <c:orientation val="minMax"/>
        </c:scaling>
        <c:delete val="1"/>
        <c:axPos val="l"/>
        <c:majorGridlines>
          <c:spPr>
            <a:ln w="9525" cap="flat" cmpd="sng" algn="ctr">
              <a:solidFill>
                <a:schemeClr val="dk1">
                  <a:lumMod val="15000"/>
                  <a:lumOff val="85000"/>
                </a:schemeClr>
              </a:solidFill>
              <a:round/>
            </a:ln>
            <a:effectLst/>
          </c:spPr>
        </c:majorGridlines>
        <c:numFmt formatCode="_(* #,##0.00_);_(* \(#,##0.00\);_(* &quot;-&quot;??_);_(@_)" sourceLinked="1"/>
        <c:majorTickMark val="none"/>
        <c:minorTickMark val="none"/>
        <c:tickLblPos val="nextTo"/>
        <c:crossAx val="237026304"/>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3582328432722131"/>
          <c:y val="0.15782108486439195"/>
          <c:w val="0.15019070168676468"/>
          <c:h val="0.78125546806649171"/>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Sharpe</a:t>
            </a:r>
            <a:r>
              <a:rPr lang="en-US" baseline="0"/>
              <a:t> Ratio Based on Weekly Closing Price</a:t>
            </a:r>
            <a:endParaRPr lang="en-US"/>
          </a:p>
        </c:rich>
      </c:tx>
      <c:layout>
        <c:manualLayout>
          <c:xMode val="edge"/>
          <c:yMode val="edge"/>
          <c:x val="3.0249999999999999E-2"/>
          <c:y val="3.7037037037037035E-2"/>
        </c:manualLayout>
      </c:layout>
      <c:overlay val="0"/>
      <c:spPr>
        <a:noFill/>
        <a:ln>
          <a:noFill/>
        </a:ln>
        <a:effectLst/>
      </c:spPr>
    </c:title>
    <c:autoTitleDeleted val="0"/>
    <c:plotArea>
      <c:layout/>
      <c:barChart>
        <c:barDir val="col"/>
        <c:grouping val="clustered"/>
        <c:varyColors val="0"/>
        <c:ser>
          <c:idx val="0"/>
          <c:order val="0"/>
          <c:tx>
            <c:strRef>
              <c:f>Sheet1!$A$2</c:f>
              <c:strCache>
                <c:ptCount val="1"/>
                <c:pt idx="0">
                  <c:v>DBH1STMF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Sharpe Ratio</c:v>
                </c:pt>
              </c:strCache>
            </c:strRef>
          </c:cat>
          <c:val>
            <c:numRef>
              <c:f>Sheet1!$B$2</c:f>
              <c:numCache>
                <c:formatCode>0.00%</c:formatCode>
                <c:ptCount val="1"/>
                <c:pt idx="0">
                  <c:v>7.2148171978325378E-3</c:v>
                </c:pt>
              </c:numCache>
            </c:numRef>
          </c:val>
          <c:extLst xmlns:c16r2="http://schemas.microsoft.com/office/drawing/2015/06/chart">
            <c:ext xmlns:c16="http://schemas.microsoft.com/office/drawing/2014/chart" uri="{C3380CC4-5D6E-409C-BE32-E72D297353CC}">
              <c16:uniqueId val="{00000000-CAE7-4C3C-A1BE-81356538BCC9}"/>
            </c:ext>
          </c:extLst>
        </c:ser>
        <c:ser>
          <c:idx val="1"/>
          <c:order val="1"/>
          <c:tx>
            <c:strRef>
              <c:f>Sheet1!$A$3</c:f>
              <c:strCache>
                <c:ptCount val="1"/>
                <c:pt idx="0">
                  <c:v>EBL1STMF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Sharpe Ratio</c:v>
                </c:pt>
              </c:strCache>
            </c:strRef>
          </c:cat>
          <c:val>
            <c:numRef>
              <c:f>Sheet1!$B$3</c:f>
              <c:numCache>
                <c:formatCode>0.00%</c:formatCode>
                <c:ptCount val="1"/>
                <c:pt idx="0">
                  <c:v>-2.121688540792044E-3</c:v>
                </c:pt>
              </c:numCache>
            </c:numRef>
          </c:val>
          <c:extLst xmlns:c16r2="http://schemas.microsoft.com/office/drawing/2015/06/chart">
            <c:ext xmlns:c16="http://schemas.microsoft.com/office/drawing/2014/chart" uri="{C3380CC4-5D6E-409C-BE32-E72D297353CC}">
              <c16:uniqueId val="{00000001-CAE7-4C3C-A1BE-81356538BCC9}"/>
            </c:ext>
          </c:extLst>
        </c:ser>
        <c:ser>
          <c:idx val="2"/>
          <c:order val="2"/>
          <c:tx>
            <c:strRef>
              <c:f>Sheet1!$A$4</c:f>
              <c:strCache>
                <c:ptCount val="1"/>
                <c:pt idx="0">
                  <c:v>AIBL1STIMF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Sharpe Ratio</c:v>
                </c:pt>
              </c:strCache>
            </c:strRef>
          </c:cat>
          <c:val>
            <c:numRef>
              <c:f>Sheet1!$B$4</c:f>
              <c:numCache>
                <c:formatCode>0.00%</c:formatCode>
                <c:ptCount val="1"/>
                <c:pt idx="0">
                  <c:v>-1.6490851144314925E-2</c:v>
                </c:pt>
              </c:numCache>
            </c:numRef>
          </c:val>
          <c:extLst xmlns:c16r2="http://schemas.microsoft.com/office/drawing/2015/06/chart">
            <c:ext xmlns:c16="http://schemas.microsoft.com/office/drawing/2014/chart" uri="{C3380CC4-5D6E-409C-BE32-E72D297353CC}">
              <c16:uniqueId val="{00000002-CAE7-4C3C-A1BE-81356538BCC9}"/>
            </c:ext>
          </c:extLst>
        </c:ser>
        <c:ser>
          <c:idx val="3"/>
          <c:order val="3"/>
          <c:tx>
            <c:strRef>
              <c:f>Sheet1!$A$5</c:f>
              <c:strCache>
                <c:ptCount val="1"/>
                <c:pt idx="0">
                  <c:v>ATCSLGF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Sharpe Ratio</c:v>
                </c:pt>
              </c:strCache>
            </c:strRef>
          </c:cat>
          <c:val>
            <c:numRef>
              <c:f>Sheet1!$B$5</c:f>
              <c:numCache>
                <c:formatCode>0.00%</c:formatCode>
                <c:ptCount val="1"/>
                <c:pt idx="0">
                  <c:v>-3.6171489114587757E-2</c:v>
                </c:pt>
              </c:numCache>
            </c:numRef>
          </c:val>
          <c:extLst xmlns:c16r2="http://schemas.microsoft.com/office/drawing/2015/06/chart">
            <c:ext xmlns:c16="http://schemas.microsoft.com/office/drawing/2014/chart" uri="{C3380CC4-5D6E-409C-BE32-E72D297353CC}">
              <c16:uniqueId val="{00000003-CAE7-4C3C-A1BE-81356538BCC9}"/>
            </c:ext>
          </c:extLst>
        </c:ser>
        <c:ser>
          <c:idx val="4"/>
          <c:order val="4"/>
          <c:tx>
            <c:strRef>
              <c:f>Sheet1!$A$6</c:f>
              <c:strCache>
                <c:ptCount val="1"/>
                <c:pt idx="0">
                  <c:v>1STPRIMFMF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Sharpe Ratio</c:v>
                </c:pt>
              </c:strCache>
            </c:strRef>
          </c:cat>
          <c:val>
            <c:numRef>
              <c:f>Sheet1!$B$6</c:f>
              <c:numCache>
                <c:formatCode>0.00%</c:formatCode>
                <c:ptCount val="1"/>
                <c:pt idx="0">
                  <c:v>-3.631855151083864E-2</c:v>
                </c:pt>
              </c:numCache>
            </c:numRef>
          </c:val>
          <c:extLst xmlns:c16r2="http://schemas.microsoft.com/office/drawing/2015/06/chart">
            <c:ext xmlns:c16="http://schemas.microsoft.com/office/drawing/2014/chart" uri="{C3380CC4-5D6E-409C-BE32-E72D297353CC}">
              <c16:uniqueId val="{00000004-CAE7-4C3C-A1BE-81356538BCC9}"/>
            </c:ext>
          </c:extLst>
        </c:ser>
        <c:ser>
          <c:idx val="5"/>
          <c:order val="5"/>
          <c:tx>
            <c:strRef>
              <c:f>Sheet1!$A$7</c:f>
              <c:strCache>
                <c:ptCount val="1"/>
                <c:pt idx="0">
                  <c:v>1JANATAMF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Sharpe Ratio</c:v>
                </c:pt>
              </c:strCache>
            </c:strRef>
          </c:cat>
          <c:val>
            <c:numRef>
              <c:f>Sheet1!$B$7</c:f>
              <c:numCache>
                <c:formatCode>0.00%</c:formatCode>
                <c:ptCount val="1"/>
                <c:pt idx="0">
                  <c:v>-6.3017207342378145E-2</c:v>
                </c:pt>
              </c:numCache>
            </c:numRef>
          </c:val>
          <c:extLst xmlns:c16r2="http://schemas.microsoft.com/office/drawing/2015/06/chart">
            <c:ext xmlns:c16="http://schemas.microsoft.com/office/drawing/2014/chart" uri="{C3380CC4-5D6E-409C-BE32-E72D297353CC}">
              <c16:uniqueId val="{00000005-CAE7-4C3C-A1BE-81356538BCC9}"/>
            </c:ext>
          </c:extLst>
        </c:ser>
        <c:ser>
          <c:idx val="6"/>
          <c:order val="6"/>
          <c:tx>
            <c:strRef>
              <c:f>Sheet1!$A$8</c:f>
              <c:strCache>
                <c:ptCount val="1"/>
                <c:pt idx="0">
                  <c:v>ABB1STMF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Sharpe Ratio</c:v>
                </c:pt>
              </c:strCache>
            </c:strRef>
          </c:cat>
          <c:val>
            <c:numRef>
              <c:f>Sheet1!$B$8</c:f>
              <c:numCache>
                <c:formatCode>0.00%</c:formatCode>
                <c:ptCount val="1"/>
                <c:pt idx="0">
                  <c:v>-7.200005186723521E-2</c:v>
                </c:pt>
              </c:numCache>
            </c:numRef>
          </c:val>
          <c:extLst xmlns:c16r2="http://schemas.microsoft.com/office/drawing/2015/06/chart">
            <c:ext xmlns:c16="http://schemas.microsoft.com/office/drawing/2014/chart" uri="{C3380CC4-5D6E-409C-BE32-E72D297353CC}">
              <c16:uniqueId val="{00000006-CAE7-4C3C-A1BE-81356538BCC9}"/>
            </c:ext>
          </c:extLst>
        </c:ser>
        <c:ser>
          <c:idx val="7"/>
          <c:order val="7"/>
          <c:tx>
            <c:strRef>
              <c:f>Sheet1!$A$9</c:f>
              <c:strCache>
                <c:ptCount val="1"/>
                <c:pt idx="0">
                  <c:v>EBLNRBMF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Sharpe Ratio</c:v>
                </c:pt>
              </c:strCache>
            </c:strRef>
          </c:cat>
          <c:val>
            <c:numRef>
              <c:f>Sheet1!$B$9</c:f>
              <c:numCache>
                <c:formatCode>0.00%</c:formatCode>
                <c:ptCount val="1"/>
                <c:pt idx="0">
                  <c:v>-0.12406737283656108</c:v>
                </c:pt>
              </c:numCache>
            </c:numRef>
          </c:val>
          <c:extLst xmlns:c16r2="http://schemas.microsoft.com/office/drawing/2015/06/chart">
            <c:ext xmlns:c16="http://schemas.microsoft.com/office/drawing/2014/chart" uri="{C3380CC4-5D6E-409C-BE32-E72D297353CC}">
              <c16:uniqueId val="{00000007-CAE7-4C3C-A1BE-81356538BCC9}"/>
            </c:ext>
          </c:extLst>
        </c:ser>
        <c:ser>
          <c:idx val="8"/>
          <c:order val="8"/>
          <c:tx>
            <c:strRef>
              <c:f>Sheet1!$A$10</c:f>
              <c:strCache>
                <c:ptCount val="1"/>
                <c:pt idx="0">
                  <c:v>FBFIF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Sharpe Ratio</c:v>
                </c:pt>
              </c:strCache>
            </c:strRef>
          </c:cat>
          <c:val>
            <c:numRef>
              <c:f>Sheet1!$B$10</c:f>
              <c:numCache>
                <c:formatCode>0.00%</c:formatCode>
                <c:ptCount val="1"/>
                <c:pt idx="0">
                  <c:v>-0.12531814081742113</c:v>
                </c:pt>
              </c:numCache>
            </c:numRef>
          </c:val>
          <c:extLst xmlns:c16r2="http://schemas.microsoft.com/office/drawing/2015/06/chart">
            <c:ext xmlns:c16="http://schemas.microsoft.com/office/drawing/2014/chart" uri="{C3380CC4-5D6E-409C-BE32-E72D297353CC}">
              <c16:uniqueId val="{00000008-CAE7-4C3C-A1BE-81356538BCC9}"/>
            </c:ext>
          </c:extLst>
        </c:ser>
        <c:ser>
          <c:idx val="9"/>
          <c:order val="9"/>
          <c:tx>
            <c:strRef>
              <c:f>Sheet1!$A$11</c:f>
              <c:strCache>
                <c:ptCount val="1"/>
                <c:pt idx="0">
                  <c:v>EXIM1STMF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Sharpe Ratio</c:v>
                </c:pt>
              </c:strCache>
            </c:strRef>
          </c:cat>
          <c:val>
            <c:numRef>
              <c:f>Sheet1!$B$11</c:f>
              <c:numCache>
                <c:formatCode>0.00%</c:formatCode>
                <c:ptCount val="1"/>
                <c:pt idx="0">
                  <c:v>-0.12692805817755187</c:v>
                </c:pt>
              </c:numCache>
            </c:numRef>
          </c:val>
          <c:extLst xmlns:c16r2="http://schemas.microsoft.com/office/drawing/2015/06/chart">
            <c:ext xmlns:c16="http://schemas.microsoft.com/office/drawing/2014/chart" uri="{C3380CC4-5D6E-409C-BE32-E72D297353CC}">
              <c16:uniqueId val="{00000009-CAE7-4C3C-A1BE-81356538BCC9}"/>
            </c:ext>
          </c:extLst>
        </c:ser>
        <c:dLbls>
          <c:dLblPos val="outEnd"/>
          <c:showLegendKey val="0"/>
          <c:showVal val="1"/>
          <c:showCatName val="0"/>
          <c:showSerName val="0"/>
          <c:showPercent val="0"/>
          <c:showBubbleSize val="0"/>
        </c:dLbls>
        <c:gapWidth val="267"/>
        <c:overlap val="-43"/>
        <c:axId val="242352512"/>
        <c:axId val="242354048"/>
      </c:barChart>
      <c:catAx>
        <c:axId val="242352512"/>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42354048"/>
        <c:crosses val="autoZero"/>
        <c:auto val="1"/>
        <c:lblAlgn val="ctr"/>
        <c:lblOffset val="100"/>
        <c:noMultiLvlLbl val="0"/>
      </c:catAx>
      <c:valAx>
        <c:axId val="242354048"/>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242352512"/>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4571344792196701"/>
          <c:y val="0.20012884753042237"/>
          <c:w val="0.14114306905503188"/>
          <c:h val="0.72667972723505259"/>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Treynor</a:t>
            </a:r>
            <a:r>
              <a:rPr lang="en-US" baseline="0"/>
              <a:t> Ratio Based on Weekly Closing Price </a:t>
            </a:r>
            <a:endParaRPr lang="en-US"/>
          </a:p>
        </c:rich>
      </c:tx>
      <c:layout>
        <c:manualLayout>
          <c:xMode val="edge"/>
          <c:yMode val="edge"/>
          <c:x val="8.6548882882176879E-4"/>
          <c:y val="5.591040250403482E-3"/>
        </c:manualLayout>
      </c:layout>
      <c:overlay val="0"/>
      <c:spPr>
        <a:noFill/>
        <a:ln>
          <a:noFill/>
        </a:ln>
        <a:effectLst/>
      </c:spPr>
    </c:title>
    <c:autoTitleDeleted val="0"/>
    <c:plotArea>
      <c:layout>
        <c:manualLayout>
          <c:layoutTarget val="inner"/>
          <c:xMode val="edge"/>
          <c:yMode val="edge"/>
          <c:x val="2.4202420242024202E-2"/>
          <c:y val="0.18112256586483391"/>
          <c:w val="0.79028530751459725"/>
          <c:h val="0.76847651775486825"/>
        </c:manualLayout>
      </c:layout>
      <c:barChart>
        <c:barDir val="col"/>
        <c:grouping val="clustered"/>
        <c:varyColors val="0"/>
        <c:ser>
          <c:idx val="0"/>
          <c:order val="0"/>
          <c:tx>
            <c:strRef>
              <c:f>Sheet2!$A$2</c:f>
              <c:strCache>
                <c:ptCount val="1"/>
                <c:pt idx="0">
                  <c:v>DBH1STMF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Sheet2!$B$2</c:f>
              <c:numCache>
                <c:formatCode>0.00%</c:formatCode>
                <c:ptCount val="1"/>
                <c:pt idx="0">
                  <c:v>2.7306147888714799E-4</c:v>
                </c:pt>
              </c:numCache>
            </c:numRef>
          </c:val>
          <c:extLst xmlns:c16r2="http://schemas.microsoft.com/office/drawing/2015/06/chart">
            <c:ext xmlns:c16="http://schemas.microsoft.com/office/drawing/2014/chart" uri="{C3380CC4-5D6E-409C-BE32-E72D297353CC}">
              <c16:uniqueId val="{00000000-3648-44F6-804F-EB5D990CE7CB}"/>
            </c:ext>
          </c:extLst>
        </c:ser>
        <c:ser>
          <c:idx val="1"/>
          <c:order val="1"/>
          <c:tx>
            <c:strRef>
              <c:f>Sheet2!$A$3</c:f>
              <c:strCache>
                <c:ptCount val="1"/>
                <c:pt idx="0">
                  <c:v>EBL1STMF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Sheet2!$B$3</c:f>
              <c:numCache>
                <c:formatCode>0.00%</c:formatCode>
                <c:ptCount val="1"/>
                <c:pt idx="0">
                  <c:v>-9.857425976362643E-5</c:v>
                </c:pt>
              </c:numCache>
            </c:numRef>
          </c:val>
          <c:extLst xmlns:c16r2="http://schemas.microsoft.com/office/drawing/2015/06/chart">
            <c:ext xmlns:c16="http://schemas.microsoft.com/office/drawing/2014/chart" uri="{C3380CC4-5D6E-409C-BE32-E72D297353CC}">
              <c16:uniqueId val="{00000001-3648-44F6-804F-EB5D990CE7CB}"/>
            </c:ext>
          </c:extLst>
        </c:ser>
        <c:ser>
          <c:idx val="2"/>
          <c:order val="2"/>
          <c:tx>
            <c:strRef>
              <c:f>Sheet2!$A$4</c:f>
              <c:strCache>
                <c:ptCount val="1"/>
                <c:pt idx="0">
                  <c:v>AIBL1STIMF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Sheet2!$B$4</c:f>
              <c:numCache>
                <c:formatCode>0.00%</c:formatCode>
                <c:ptCount val="1"/>
                <c:pt idx="0">
                  <c:v>-6.2940133785534724E-4</c:v>
                </c:pt>
              </c:numCache>
            </c:numRef>
          </c:val>
          <c:extLst xmlns:c16r2="http://schemas.microsoft.com/office/drawing/2015/06/chart">
            <c:ext xmlns:c16="http://schemas.microsoft.com/office/drawing/2014/chart" uri="{C3380CC4-5D6E-409C-BE32-E72D297353CC}">
              <c16:uniqueId val="{00000002-3648-44F6-804F-EB5D990CE7CB}"/>
            </c:ext>
          </c:extLst>
        </c:ser>
        <c:ser>
          <c:idx val="3"/>
          <c:order val="3"/>
          <c:tx>
            <c:strRef>
              <c:f>Sheet2!$A$5</c:f>
              <c:strCache>
                <c:ptCount val="1"/>
                <c:pt idx="0">
                  <c:v>1STPRIMFMF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Sheet2!$B$5</c:f>
              <c:numCache>
                <c:formatCode>0.00%</c:formatCode>
                <c:ptCount val="1"/>
                <c:pt idx="0">
                  <c:v>-1.1156339797574978E-3</c:v>
                </c:pt>
              </c:numCache>
            </c:numRef>
          </c:val>
          <c:extLst xmlns:c16r2="http://schemas.microsoft.com/office/drawing/2015/06/chart">
            <c:ext xmlns:c16="http://schemas.microsoft.com/office/drawing/2014/chart" uri="{C3380CC4-5D6E-409C-BE32-E72D297353CC}">
              <c16:uniqueId val="{00000003-3648-44F6-804F-EB5D990CE7CB}"/>
            </c:ext>
          </c:extLst>
        </c:ser>
        <c:ser>
          <c:idx val="4"/>
          <c:order val="4"/>
          <c:tx>
            <c:strRef>
              <c:f>Sheet2!$A$6</c:f>
              <c:strCache>
                <c:ptCount val="1"/>
                <c:pt idx="0">
                  <c:v>ABB1STMF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Sheet2!$B$6</c:f>
              <c:numCache>
                <c:formatCode>0.00%</c:formatCode>
                <c:ptCount val="1"/>
                <c:pt idx="0">
                  <c:v>-1.9861175324590308E-3</c:v>
                </c:pt>
              </c:numCache>
            </c:numRef>
          </c:val>
          <c:extLst xmlns:c16r2="http://schemas.microsoft.com/office/drawing/2015/06/chart">
            <c:ext xmlns:c16="http://schemas.microsoft.com/office/drawing/2014/chart" uri="{C3380CC4-5D6E-409C-BE32-E72D297353CC}">
              <c16:uniqueId val="{00000004-3648-44F6-804F-EB5D990CE7CB}"/>
            </c:ext>
          </c:extLst>
        </c:ser>
        <c:ser>
          <c:idx val="5"/>
          <c:order val="5"/>
          <c:tx>
            <c:strRef>
              <c:f>Sheet2!$A$7</c:f>
              <c:strCache>
                <c:ptCount val="1"/>
                <c:pt idx="0">
                  <c:v>1JANATAMF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Sheet2!$B$7</c:f>
              <c:numCache>
                <c:formatCode>0.00%</c:formatCode>
                <c:ptCount val="1"/>
                <c:pt idx="0">
                  <c:v>-2.0185203727511656E-3</c:v>
                </c:pt>
              </c:numCache>
            </c:numRef>
          </c:val>
          <c:extLst xmlns:c16r2="http://schemas.microsoft.com/office/drawing/2015/06/chart">
            <c:ext xmlns:c16="http://schemas.microsoft.com/office/drawing/2014/chart" uri="{C3380CC4-5D6E-409C-BE32-E72D297353CC}">
              <c16:uniqueId val="{00000005-3648-44F6-804F-EB5D990CE7CB}"/>
            </c:ext>
          </c:extLst>
        </c:ser>
        <c:ser>
          <c:idx val="6"/>
          <c:order val="6"/>
          <c:tx>
            <c:strRef>
              <c:f>Sheet2!$A$8</c:f>
              <c:strCache>
                <c:ptCount val="1"/>
                <c:pt idx="0">
                  <c:v>ATCSLGF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Sheet2!$B$8</c:f>
              <c:numCache>
                <c:formatCode>0.00%</c:formatCode>
                <c:ptCount val="1"/>
                <c:pt idx="0">
                  <c:v>-2.1816297467327347E-3</c:v>
                </c:pt>
              </c:numCache>
            </c:numRef>
          </c:val>
          <c:extLst xmlns:c16r2="http://schemas.microsoft.com/office/drawing/2015/06/chart">
            <c:ext xmlns:c16="http://schemas.microsoft.com/office/drawing/2014/chart" uri="{C3380CC4-5D6E-409C-BE32-E72D297353CC}">
              <c16:uniqueId val="{00000006-3648-44F6-804F-EB5D990CE7CB}"/>
            </c:ext>
          </c:extLst>
        </c:ser>
        <c:ser>
          <c:idx val="7"/>
          <c:order val="7"/>
          <c:tx>
            <c:strRef>
              <c:f>Sheet2!$A$9</c:f>
              <c:strCache>
                <c:ptCount val="1"/>
                <c:pt idx="0">
                  <c:v>FBFIF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Sheet2!$B$9</c:f>
              <c:numCache>
                <c:formatCode>0.00%</c:formatCode>
                <c:ptCount val="1"/>
                <c:pt idx="0">
                  <c:v>-3.6873147788247769E-3</c:v>
                </c:pt>
              </c:numCache>
            </c:numRef>
          </c:val>
          <c:extLst xmlns:c16r2="http://schemas.microsoft.com/office/drawing/2015/06/chart">
            <c:ext xmlns:c16="http://schemas.microsoft.com/office/drawing/2014/chart" uri="{C3380CC4-5D6E-409C-BE32-E72D297353CC}">
              <c16:uniqueId val="{00000007-3648-44F6-804F-EB5D990CE7CB}"/>
            </c:ext>
          </c:extLst>
        </c:ser>
        <c:ser>
          <c:idx val="8"/>
          <c:order val="8"/>
          <c:tx>
            <c:strRef>
              <c:f>Sheet2!$A$10</c:f>
              <c:strCache>
                <c:ptCount val="1"/>
                <c:pt idx="0">
                  <c:v>EBLNRBMF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Sheet2!$B$10</c:f>
              <c:numCache>
                <c:formatCode>0.00%</c:formatCode>
                <c:ptCount val="1"/>
                <c:pt idx="0">
                  <c:v>-4.0281453847514099E-3</c:v>
                </c:pt>
              </c:numCache>
            </c:numRef>
          </c:val>
          <c:extLst xmlns:c16r2="http://schemas.microsoft.com/office/drawing/2015/06/chart">
            <c:ext xmlns:c16="http://schemas.microsoft.com/office/drawing/2014/chart" uri="{C3380CC4-5D6E-409C-BE32-E72D297353CC}">
              <c16:uniqueId val="{00000008-3648-44F6-804F-EB5D990CE7CB}"/>
            </c:ext>
          </c:extLst>
        </c:ser>
        <c:ser>
          <c:idx val="9"/>
          <c:order val="9"/>
          <c:tx>
            <c:strRef>
              <c:f>Sheet2!$A$11</c:f>
              <c:strCache>
                <c:ptCount val="1"/>
                <c:pt idx="0">
                  <c:v>EXIM1STMF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Sheet2!$B$11</c:f>
              <c:numCache>
                <c:formatCode>0.00%</c:formatCode>
                <c:ptCount val="1"/>
                <c:pt idx="0">
                  <c:v>-6.104863388553091E-3</c:v>
                </c:pt>
              </c:numCache>
            </c:numRef>
          </c:val>
          <c:extLst xmlns:c16r2="http://schemas.microsoft.com/office/drawing/2015/06/chart">
            <c:ext xmlns:c16="http://schemas.microsoft.com/office/drawing/2014/chart" uri="{C3380CC4-5D6E-409C-BE32-E72D297353CC}">
              <c16:uniqueId val="{00000009-3648-44F6-804F-EB5D990CE7CB}"/>
            </c:ext>
          </c:extLst>
        </c:ser>
        <c:dLbls>
          <c:dLblPos val="outEnd"/>
          <c:showLegendKey val="0"/>
          <c:showVal val="1"/>
          <c:showCatName val="0"/>
          <c:showSerName val="0"/>
          <c:showPercent val="0"/>
          <c:showBubbleSize val="0"/>
        </c:dLbls>
        <c:gapWidth val="267"/>
        <c:overlap val="-43"/>
        <c:axId val="242480256"/>
        <c:axId val="242481792"/>
      </c:barChart>
      <c:catAx>
        <c:axId val="242480256"/>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42481792"/>
        <c:crosses val="autoZero"/>
        <c:auto val="1"/>
        <c:lblAlgn val="ctr"/>
        <c:lblOffset val="100"/>
        <c:noMultiLvlLbl val="0"/>
      </c:catAx>
      <c:valAx>
        <c:axId val="242481792"/>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242480256"/>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2767076744358714"/>
          <c:y val="7.9381164310982869E-2"/>
          <c:w val="0.15912796258204828"/>
          <c:h val="0.87258049265580928"/>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Jensens</a:t>
            </a:r>
            <a:r>
              <a:rPr lang="en-US" baseline="0"/>
              <a:t> Alpha Based on Weekly Close Price</a:t>
            </a:r>
            <a:endParaRPr lang="en-US"/>
          </a:p>
        </c:rich>
      </c:tx>
      <c:layout>
        <c:manualLayout>
          <c:xMode val="edge"/>
          <c:yMode val="edge"/>
          <c:x val="2.7729002624671917E-2"/>
          <c:y val="4.1666666666666664E-2"/>
        </c:manualLayout>
      </c:layout>
      <c:overlay val="0"/>
      <c:spPr>
        <a:noFill/>
        <a:ln>
          <a:noFill/>
        </a:ln>
        <a:effectLst/>
      </c:spPr>
    </c:title>
    <c:autoTitleDeleted val="0"/>
    <c:plotArea>
      <c:layout>
        <c:manualLayout>
          <c:layoutTarget val="inner"/>
          <c:xMode val="edge"/>
          <c:yMode val="edge"/>
          <c:x val="2.4691351597579229E-2"/>
          <c:y val="0.21733321796313923"/>
          <c:w val="0.75211714697278997"/>
          <c:h val="0.77837719298245611"/>
        </c:manualLayout>
      </c:layout>
      <c:barChart>
        <c:barDir val="col"/>
        <c:grouping val="clustered"/>
        <c:varyColors val="0"/>
        <c:ser>
          <c:idx val="0"/>
          <c:order val="0"/>
          <c:tx>
            <c:strRef>
              <c:f>Sheet3!$A$2</c:f>
              <c:strCache>
                <c:ptCount val="1"/>
                <c:pt idx="0">
                  <c:v>DBH1STMF</c:v>
                </c:pt>
              </c:strCache>
            </c:strRef>
          </c:tx>
          <c:spPr>
            <a:solidFill>
              <a:schemeClr val="accent1"/>
            </a:solidFill>
            <a:ln>
              <a:noFill/>
            </a:ln>
            <a:effectLst/>
          </c:spPr>
          <c:invertIfNegative val="0"/>
          <c:dLbls>
            <c:dLbl>
              <c:idx val="0"/>
              <c:layout>
                <c:manualLayout>
                  <c:x val="-1.0100893414627432E-17"/>
                  <c:y val="1.990049751243777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769-428A-ACC4-9940B8DA37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Sheet3!$B$2</c:f>
              <c:numCache>
                <c:formatCode>0.00%</c:formatCode>
                <c:ptCount val="1"/>
                <c:pt idx="0">
                  <c:v>4.7141833609649041E-4</c:v>
                </c:pt>
              </c:numCache>
            </c:numRef>
          </c:val>
          <c:extLst xmlns:c16r2="http://schemas.microsoft.com/office/drawing/2015/06/chart">
            <c:ext xmlns:c16="http://schemas.microsoft.com/office/drawing/2014/chart" uri="{C3380CC4-5D6E-409C-BE32-E72D297353CC}">
              <c16:uniqueId val="{00000001-7769-428A-ACC4-9940B8DA3796}"/>
            </c:ext>
          </c:extLst>
        </c:ser>
        <c:ser>
          <c:idx val="1"/>
          <c:order val="1"/>
          <c:tx>
            <c:strRef>
              <c:f>Sheet3!$A$3</c:f>
              <c:strCache>
                <c:ptCount val="1"/>
                <c:pt idx="0">
                  <c:v>EBL1STMF</c:v>
                </c:pt>
              </c:strCache>
            </c:strRef>
          </c:tx>
          <c:spPr>
            <a:solidFill>
              <a:schemeClr val="accent2"/>
            </a:solidFill>
            <a:ln>
              <a:noFill/>
            </a:ln>
            <a:effectLst/>
          </c:spPr>
          <c:invertIfNegative val="0"/>
          <c:dLbls>
            <c:dLbl>
              <c:idx val="0"/>
              <c:layout>
                <c:manualLayout>
                  <c:x val="0"/>
                  <c:y val="3.980099502487559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769-428A-ACC4-9940B8DA37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Sheet3!$B$3</c:f>
              <c:numCache>
                <c:formatCode>0.00%</c:formatCode>
                <c:ptCount val="1"/>
                <c:pt idx="0">
                  <c:v>3.7684025774640975E-4</c:v>
                </c:pt>
              </c:numCache>
            </c:numRef>
          </c:val>
          <c:extLst xmlns:c16r2="http://schemas.microsoft.com/office/drawing/2015/06/chart">
            <c:ext xmlns:c16="http://schemas.microsoft.com/office/drawing/2014/chart" uri="{C3380CC4-5D6E-409C-BE32-E72D297353CC}">
              <c16:uniqueId val="{00000003-7769-428A-ACC4-9940B8DA3796}"/>
            </c:ext>
          </c:extLst>
        </c:ser>
        <c:ser>
          <c:idx val="2"/>
          <c:order val="2"/>
          <c:tx>
            <c:strRef>
              <c:f>Sheet3!$A$4</c:f>
              <c:strCache>
                <c:ptCount val="1"/>
                <c:pt idx="0">
                  <c:v>AIBL1STIMF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Sheet3!$B$4</c:f>
              <c:numCache>
                <c:formatCode>0.00%</c:formatCode>
                <c:ptCount val="1"/>
                <c:pt idx="0">
                  <c:v>-1.1253884363296473E-4</c:v>
                </c:pt>
              </c:numCache>
            </c:numRef>
          </c:val>
          <c:extLst xmlns:c16r2="http://schemas.microsoft.com/office/drawing/2015/06/chart">
            <c:ext xmlns:c16="http://schemas.microsoft.com/office/drawing/2014/chart" uri="{C3380CC4-5D6E-409C-BE32-E72D297353CC}">
              <c16:uniqueId val="{00000004-7769-428A-ACC4-9940B8DA3796}"/>
            </c:ext>
          </c:extLst>
        </c:ser>
        <c:ser>
          <c:idx val="3"/>
          <c:order val="3"/>
          <c:tx>
            <c:strRef>
              <c:f>Sheet3!$A$5</c:f>
              <c:strCache>
                <c:ptCount val="1"/>
                <c:pt idx="0">
                  <c:v>ATCSLGF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Sheet3!$B$5</c:f>
              <c:numCache>
                <c:formatCode>0.00%</c:formatCode>
                <c:ptCount val="1"/>
                <c:pt idx="0">
                  <c:v>-7.3914507147620123E-4</c:v>
                </c:pt>
              </c:numCache>
            </c:numRef>
          </c:val>
          <c:extLst xmlns:c16r2="http://schemas.microsoft.com/office/drawing/2015/06/chart">
            <c:ext xmlns:c16="http://schemas.microsoft.com/office/drawing/2014/chart" uri="{C3380CC4-5D6E-409C-BE32-E72D297353CC}">
              <c16:uniqueId val="{00000005-7769-428A-ACC4-9940B8DA3796}"/>
            </c:ext>
          </c:extLst>
        </c:ser>
        <c:ser>
          <c:idx val="4"/>
          <c:order val="4"/>
          <c:tx>
            <c:strRef>
              <c:f>Sheet3!$A$6</c:f>
              <c:strCache>
                <c:ptCount val="1"/>
                <c:pt idx="0">
                  <c:v>1STPRIMFMF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Sheet3!$B$6</c:f>
              <c:numCache>
                <c:formatCode>0.00%</c:formatCode>
                <c:ptCount val="1"/>
                <c:pt idx="0">
                  <c:v>-9.7349318241671473E-4</c:v>
                </c:pt>
              </c:numCache>
            </c:numRef>
          </c:val>
          <c:extLst xmlns:c16r2="http://schemas.microsoft.com/office/drawing/2015/06/chart">
            <c:ext xmlns:c16="http://schemas.microsoft.com/office/drawing/2014/chart" uri="{C3380CC4-5D6E-409C-BE32-E72D297353CC}">
              <c16:uniqueId val="{00000006-7769-428A-ACC4-9940B8DA3796}"/>
            </c:ext>
          </c:extLst>
        </c:ser>
        <c:ser>
          <c:idx val="5"/>
          <c:order val="5"/>
          <c:tx>
            <c:strRef>
              <c:f>Sheet3!$A$7</c:f>
              <c:strCache>
                <c:ptCount val="1"/>
                <c:pt idx="0">
                  <c:v>1JANATAMF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Sheet3!$B$7</c:f>
              <c:numCache>
                <c:formatCode>0.00%</c:formatCode>
                <c:ptCount val="1"/>
                <c:pt idx="0">
                  <c:v>-1.9259928751248884E-3</c:v>
                </c:pt>
              </c:numCache>
            </c:numRef>
          </c:val>
          <c:extLst xmlns:c16r2="http://schemas.microsoft.com/office/drawing/2015/06/chart">
            <c:ext xmlns:c16="http://schemas.microsoft.com/office/drawing/2014/chart" uri="{C3380CC4-5D6E-409C-BE32-E72D297353CC}">
              <c16:uniqueId val="{00000007-7769-428A-ACC4-9940B8DA3796}"/>
            </c:ext>
          </c:extLst>
        </c:ser>
        <c:ser>
          <c:idx val="6"/>
          <c:order val="6"/>
          <c:tx>
            <c:strRef>
              <c:f>Sheet3!$A$8</c:f>
              <c:strCache>
                <c:ptCount val="1"/>
                <c:pt idx="0">
                  <c:v>ABB1STMF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Sheet3!$B$8</c:f>
              <c:numCache>
                <c:formatCode>0.00%</c:formatCode>
                <c:ptCount val="1"/>
                <c:pt idx="0">
                  <c:v>-2.0059001154420024E-3</c:v>
                </c:pt>
              </c:numCache>
            </c:numRef>
          </c:val>
          <c:extLst xmlns:c16r2="http://schemas.microsoft.com/office/drawing/2015/06/chart">
            <c:ext xmlns:c16="http://schemas.microsoft.com/office/drawing/2014/chart" uri="{C3380CC4-5D6E-409C-BE32-E72D297353CC}">
              <c16:uniqueId val="{00000008-7769-428A-ACC4-9940B8DA3796}"/>
            </c:ext>
          </c:extLst>
        </c:ser>
        <c:ser>
          <c:idx val="7"/>
          <c:order val="7"/>
          <c:tx>
            <c:strRef>
              <c:f>Sheet3!$A$9</c:f>
              <c:strCache>
                <c:ptCount val="1"/>
                <c:pt idx="0">
                  <c:v>FBFIF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Sheet3!$B$9</c:f>
              <c:numCache>
                <c:formatCode>0.00%</c:formatCode>
                <c:ptCount val="1"/>
                <c:pt idx="0">
                  <c:v>-3.3261627620102532E-3</c:v>
                </c:pt>
              </c:numCache>
            </c:numRef>
          </c:val>
          <c:extLst xmlns:c16r2="http://schemas.microsoft.com/office/drawing/2015/06/chart">
            <c:ext xmlns:c16="http://schemas.microsoft.com/office/drawing/2014/chart" uri="{C3380CC4-5D6E-409C-BE32-E72D297353CC}">
              <c16:uniqueId val="{00000009-7769-428A-ACC4-9940B8DA3796}"/>
            </c:ext>
          </c:extLst>
        </c:ser>
        <c:ser>
          <c:idx val="8"/>
          <c:order val="8"/>
          <c:tx>
            <c:strRef>
              <c:f>Sheet3!$A$10</c:f>
              <c:strCache>
                <c:ptCount val="1"/>
                <c:pt idx="0">
                  <c:v>EXIM1STMF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Sheet3!$B$10</c:f>
              <c:numCache>
                <c:formatCode>0.00%</c:formatCode>
                <c:ptCount val="1"/>
                <c:pt idx="0">
                  <c:v>-4.0615935721803626E-3</c:v>
                </c:pt>
              </c:numCache>
            </c:numRef>
          </c:val>
          <c:extLst xmlns:c16r2="http://schemas.microsoft.com/office/drawing/2015/06/chart">
            <c:ext xmlns:c16="http://schemas.microsoft.com/office/drawing/2014/chart" uri="{C3380CC4-5D6E-409C-BE32-E72D297353CC}">
              <c16:uniqueId val="{0000000A-7769-428A-ACC4-9940B8DA3796}"/>
            </c:ext>
          </c:extLst>
        </c:ser>
        <c:ser>
          <c:idx val="9"/>
          <c:order val="9"/>
          <c:tx>
            <c:strRef>
              <c:f>Sheet3!$A$11</c:f>
              <c:strCache>
                <c:ptCount val="1"/>
                <c:pt idx="0">
                  <c:v>EBLNRBMF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Sheet3!$B$11</c:f>
              <c:numCache>
                <c:formatCode>0.00%</c:formatCode>
                <c:ptCount val="1"/>
                <c:pt idx="0">
                  <c:v>-4.2259980506314338E-3</c:v>
                </c:pt>
              </c:numCache>
            </c:numRef>
          </c:val>
          <c:extLst xmlns:c16r2="http://schemas.microsoft.com/office/drawing/2015/06/chart">
            <c:ext xmlns:c16="http://schemas.microsoft.com/office/drawing/2014/chart" uri="{C3380CC4-5D6E-409C-BE32-E72D297353CC}">
              <c16:uniqueId val="{0000000B-7769-428A-ACC4-9940B8DA3796}"/>
            </c:ext>
          </c:extLst>
        </c:ser>
        <c:dLbls>
          <c:dLblPos val="outEnd"/>
          <c:showLegendKey val="0"/>
          <c:showVal val="1"/>
          <c:showCatName val="0"/>
          <c:showSerName val="0"/>
          <c:showPercent val="0"/>
          <c:showBubbleSize val="0"/>
        </c:dLbls>
        <c:gapWidth val="267"/>
        <c:overlap val="-43"/>
        <c:axId val="242633344"/>
        <c:axId val="242659712"/>
      </c:barChart>
      <c:catAx>
        <c:axId val="242633344"/>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42659712"/>
        <c:crosses val="autoZero"/>
        <c:auto val="1"/>
        <c:lblAlgn val="ctr"/>
        <c:lblOffset val="100"/>
        <c:noMultiLvlLbl val="0"/>
      </c:catAx>
      <c:valAx>
        <c:axId val="242659712"/>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242633344"/>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7903582134877768"/>
          <c:y val="0.24377952755905508"/>
          <c:w val="0.19176613024382053"/>
          <c:h val="0.74013675922088684"/>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CAPM</a:t>
            </a:r>
            <a:r>
              <a:rPr lang="en-US" baseline="0"/>
              <a:t> Based on Weekly Close Price</a:t>
            </a:r>
            <a:endParaRPr lang="en-US"/>
          </a:p>
        </c:rich>
      </c:tx>
      <c:layout>
        <c:manualLayout>
          <c:xMode val="edge"/>
          <c:yMode val="edge"/>
          <c:x val="9.1279610434248561E-3"/>
          <c:y val="5.2865972398611462E-3"/>
        </c:manualLayout>
      </c:layout>
      <c:overlay val="0"/>
      <c:spPr>
        <a:noFill/>
        <a:ln>
          <a:noFill/>
        </a:ln>
        <a:effectLst/>
      </c:spPr>
    </c:title>
    <c:autoTitleDeleted val="0"/>
    <c:plotArea>
      <c:layout>
        <c:manualLayout>
          <c:layoutTarget val="inner"/>
          <c:xMode val="edge"/>
          <c:yMode val="edge"/>
          <c:x val="1.3155346496821957E-4"/>
          <c:y val="0.15466647750112317"/>
          <c:w val="0.7905405956486844"/>
          <c:h val="0.81792485398784609"/>
        </c:manualLayout>
      </c:layout>
      <c:barChart>
        <c:barDir val="col"/>
        <c:grouping val="clustered"/>
        <c:varyColors val="0"/>
        <c:ser>
          <c:idx val="0"/>
          <c:order val="0"/>
          <c:tx>
            <c:strRef>
              <c:f>Sheet4!$A$2</c:f>
              <c:strCache>
                <c:ptCount val="1"/>
                <c:pt idx="0">
                  <c:v>ATCSLGF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Sheet4!$B$2</c:f>
              <c:numCache>
                <c:formatCode>0.0000%</c:formatCode>
                <c:ptCount val="1"/>
                <c:pt idx="0">
                  <c:v>8.3944410245607917E-4</c:v>
                </c:pt>
              </c:numCache>
            </c:numRef>
          </c:val>
          <c:extLst xmlns:c16r2="http://schemas.microsoft.com/office/drawing/2015/06/chart">
            <c:ext xmlns:c16="http://schemas.microsoft.com/office/drawing/2014/chart" uri="{C3380CC4-5D6E-409C-BE32-E72D297353CC}">
              <c16:uniqueId val="{00000000-7073-442F-A01A-0ED6F2C21BB0}"/>
            </c:ext>
          </c:extLst>
        </c:ser>
        <c:ser>
          <c:idx val="1"/>
          <c:order val="1"/>
          <c:tx>
            <c:strRef>
              <c:f>Sheet4!$A$3</c:f>
              <c:strCache>
                <c:ptCount val="1"/>
                <c:pt idx="0">
                  <c:v>DBH1STMF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Sheet4!$B$3</c:f>
              <c:numCache>
                <c:formatCode>0.0000%</c:formatCode>
                <c:ptCount val="1"/>
                <c:pt idx="0">
                  <c:v>7.5336670772965255E-4</c:v>
                </c:pt>
              </c:numCache>
            </c:numRef>
          </c:val>
          <c:extLst xmlns:c16r2="http://schemas.microsoft.com/office/drawing/2015/06/chart">
            <c:ext xmlns:c16="http://schemas.microsoft.com/office/drawing/2014/chart" uri="{C3380CC4-5D6E-409C-BE32-E72D297353CC}">
              <c16:uniqueId val="{00000001-7073-442F-A01A-0ED6F2C21BB0}"/>
            </c:ext>
          </c:extLst>
        </c:ser>
        <c:ser>
          <c:idx val="2"/>
          <c:order val="2"/>
          <c:tx>
            <c:strRef>
              <c:f>Sheet4!$A$4</c:f>
              <c:strCache>
                <c:ptCount val="1"/>
                <c:pt idx="0">
                  <c:v>EXIM1STMF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Sheet4!$B$4</c:f>
              <c:numCache>
                <c:formatCode>0.0000%</c:formatCode>
                <c:ptCount val="1"/>
                <c:pt idx="0">
                  <c:v>6.9747410396219856E-4</c:v>
                </c:pt>
              </c:numCache>
            </c:numRef>
          </c:val>
          <c:extLst xmlns:c16r2="http://schemas.microsoft.com/office/drawing/2015/06/chart">
            <c:ext xmlns:c16="http://schemas.microsoft.com/office/drawing/2014/chart" uri="{C3380CC4-5D6E-409C-BE32-E72D297353CC}">
              <c16:uniqueId val="{00000002-7073-442F-A01A-0ED6F2C21BB0}"/>
            </c:ext>
          </c:extLst>
        </c:ser>
        <c:ser>
          <c:idx val="3"/>
          <c:order val="3"/>
          <c:tx>
            <c:strRef>
              <c:f>Sheet4!$A$5</c:f>
              <c:strCache>
                <c:ptCount val="1"/>
                <c:pt idx="0">
                  <c:v>AIBL1STIMF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Sheet4!$B$5</c:f>
              <c:numCache>
                <c:formatCode>0.0000%</c:formatCode>
                <c:ptCount val="1"/>
                <c:pt idx="0">
                  <c:v>6.3392954954727355E-4</c:v>
                </c:pt>
              </c:numCache>
            </c:numRef>
          </c:val>
          <c:extLst xmlns:c16r2="http://schemas.microsoft.com/office/drawing/2015/06/chart">
            <c:ext xmlns:c16="http://schemas.microsoft.com/office/drawing/2014/chart" uri="{C3380CC4-5D6E-409C-BE32-E72D297353CC}">
              <c16:uniqueId val="{00000003-7073-442F-A01A-0ED6F2C21BB0}"/>
            </c:ext>
          </c:extLst>
        </c:ser>
        <c:ser>
          <c:idx val="4"/>
          <c:order val="4"/>
          <c:tx>
            <c:strRef>
              <c:f>Sheet4!$A$6</c:f>
              <c:strCache>
                <c:ptCount val="1"/>
                <c:pt idx="0">
                  <c:v>EBL1STMF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Sheet4!$B$6</c:f>
              <c:numCache>
                <c:formatCode>0.0000%</c:formatCode>
                <c:ptCount val="1"/>
                <c:pt idx="0">
                  <c:v>5.8769451489084279E-4</c:v>
                </c:pt>
              </c:numCache>
            </c:numRef>
          </c:val>
          <c:extLst xmlns:c16r2="http://schemas.microsoft.com/office/drawing/2015/06/chart">
            <c:ext xmlns:c16="http://schemas.microsoft.com/office/drawing/2014/chart" uri="{C3380CC4-5D6E-409C-BE32-E72D297353CC}">
              <c16:uniqueId val="{00000004-7073-442F-A01A-0ED6F2C21BB0}"/>
            </c:ext>
          </c:extLst>
        </c:ser>
        <c:ser>
          <c:idx val="5"/>
          <c:order val="5"/>
          <c:tx>
            <c:strRef>
              <c:f>Sheet4!$A$7</c:f>
              <c:strCache>
                <c:ptCount val="1"/>
                <c:pt idx="0">
                  <c:v>FBFIF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Sheet4!$B$7</c:f>
              <c:numCache>
                <c:formatCode>0.0000%</c:formatCode>
                <c:ptCount val="1"/>
                <c:pt idx="0">
                  <c:v>5.3913623377422639E-4</c:v>
                </c:pt>
              </c:numCache>
            </c:numRef>
          </c:val>
          <c:extLst xmlns:c16r2="http://schemas.microsoft.com/office/drawing/2015/06/chart">
            <c:ext xmlns:c16="http://schemas.microsoft.com/office/drawing/2014/chart" uri="{C3380CC4-5D6E-409C-BE32-E72D297353CC}">
              <c16:uniqueId val="{00000005-7073-442F-A01A-0ED6F2C21BB0}"/>
            </c:ext>
          </c:extLst>
        </c:ser>
        <c:ser>
          <c:idx val="6"/>
          <c:order val="6"/>
          <c:tx>
            <c:strRef>
              <c:f>Sheet4!$A$8</c:f>
              <c:strCache>
                <c:ptCount val="1"/>
                <c:pt idx="0">
                  <c:v>EBLNRBMF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Sheet4!$B$8</c:f>
              <c:numCache>
                <c:formatCode>0.0000%</c:formatCode>
                <c:ptCount val="1"/>
                <c:pt idx="0">
                  <c:v>4.6244810943299854E-4</c:v>
                </c:pt>
              </c:numCache>
            </c:numRef>
          </c:val>
          <c:extLst xmlns:c16r2="http://schemas.microsoft.com/office/drawing/2015/06/chart">
            <c:ext xmlns:c16="http://schemas.microsoft.com/office/drawing/2014/chart" uri="{C3380CC4-5D6E-409C-BE32-E72D297353CC}">
              <c16:uniqueId val="{00000006-7073-442F-A01A-0ED6F2C21BB0}"/>
            </c:ext>
          </c:extLst>
        </c:ser>
        <c:ser>
          <c:idx val="7"/>
          <c:order val="7"/>
          <c:tx>
            <c:strRef>
              <c:f>Sheet4!$A$9</c:f>
              <c:strCache>
                <c:ptCount val="1"/>
                <c:pt idx="0">
                  <c:v>1JANATAMF</c:v>
                </c:pt>
              </c:strCache>
            </c:strRef>
          </c:tx>
          <c:spPr>
            <a:solidFill>
              <a:schemeClr val="accent2">
                <a:lumMod val="60000"/>
              </a:schemeClr>
            </a:solidFill>
            <a:ln>
              <a:noFill/>
            </a:ln>
            <a:effectLst/>
          </c:spPr>
          <c:invertIfNegative val="0"/>
          <c:dLbls>
            <c:dLbl>
              <c:idx val="0"/>
              <c:layout>
                <c:manualLayout>
                  <c:x val="-8.0807147317019457E-17"/>
                  <c:y val="2.469135802469124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073-442F-A01A-0ED6F2C21B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Sheet4!$B$9</c:f>
              <c:numCache>
                <c:formatCode>0.0000%</c:formatCode>
                <c:ptCount val="1"/>
                <c:pt idx="0">
                  <c:v>4.280246564354746E-4</c:v>
                </c:pt>
              </c:numCache>
            </c:numRef>
          </c:val>
          <c:extLst xmlns:c16r2="http://schemas.microsoft.com/office/drawing/2015/06/chart">
            <c:ext xmlns:c16="http://schemas.microsoft.com/office/drawing/2014/chart" uri="{C3380CC4-5D6E-409C-BE32-E72D297353CC}">
              <c16:uniqueId val="{00000008-7073-442F-A01A-0ED6F2C21BB0}"/>
            </c:ext>
          </c:extLst>
        </c:ser>
        <c:ser>
          <c:idx val="8"/>
          <c:order val="8"/>
          <c:tx>
            <c:strRef>
              <c:f>Sheet4!$A$10</c:f>
              <c:strCache>
                <c:ptCount val="1"/>
                <c:pt idx="0">
                  <c:v>ABB1STMF</c:v>
                </c:pt>
              </c:strCache>
            </c:strRef>
          </c:tx>
          <c:spPr>
            <a:solidFill>
              <a:schemeClr val="accent3">
                <a:lumMod val="60000"/>
              </a:schemeClr>
            </a:solidFill>
            <a:ln>
              <a:noFill/>
            </a:ln>
            <a:effectLst/>
          </c:spPr>
          <c:invertIfNegative val="0"/>
          <c:dLbls>
            <c:dLbl>
              <c:idx val="0"/>
              <c:layout>
                <c:manualLayout>
                  <c:x val="0"/>
                  <c:y val="3.086419753086419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073-442F-A01A-0ED6F2C21B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Sheet4!$B$10</c:f>
              <c:numCache>
                <c:formatCode>0.0000%</c:formatCode>
                <c:ptCount val="1"/>
                <c:pt idx="0">
                  <c:v>3.876274662567798E-4</c:v>
                </c:pt>
              </c:numCache>
            </c:numRef>
          </c:val>
          <c:extLst xmlns:c16r2="http://schemas.microsoft.com/office/drawing/2015/06/chart">
            <c:ext xmlns:c16="http://schemas.microsoft.com/office/drawing/2014/chart" uri="{C3380CC4-5D6E-409C-BE32-E72D297353CC}">
              <c16:uniqueId val="{0000000A-7073-442F-A01A-0ED6F2C21BB0}"/>
            </c:ext>
          </c:extLst>
        </c:ser>
        <c:ser>
          <c:idx val="9"/>
          <c:order val="9"/>
          <c:tx>
            <c:strRef>
              <c:f>Sheet4!$A$11</c:f>
              <c:strCache>
                <c:ptCount val="1"/>
                <c:pt idx="0">
                  <c:v>1STPRIMFMF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Sheet4!$B$11</c:f>
              <c:numCache>
                <c:formatCode>0.0000%</c:formatCode>
                <c:ptCount val="1"/>
                <c:pt idx="0">
                  <c:v>2.7467823078401645E-4</c:v>
                </c:pt>
              </c:numCache>
            </c:numRef>
          </c:val>
          <c:extLst xmlns:c16r2="http://schemas.microsoft.com/office/drawing/2015/06/chart">
            <c:ext xmlns:c16="http://schemas.microsoft.com/office/drawing/2014/chart" uri="{C3380CC4-5D6E-409C-BE32-E72D297353CC}">
              <c16:uniqueId val="{0000000B-7073-442F-A01A-0ED6F2C21BB0}"/>
            </c:ext>
          </c:extLst>
        </c:ser>
        <c:dLbls>
          <c:dLblPos val="outEnd"/>
          <c:showLegendKey val="0"/>
          <c:showVal val="1"/>
          <c:showCatName val="0"/>
          <c:showSerName val="0"/>
          <c:showPercent val="0"/>
          <c:showBubbleSize val="0"/>
        </c:dLbls>
        <c:gapWidth val="267"/>
        <c:overlap val="-43"/>
        <c:axId val="259707264"/>
        <c:axId val="259708800"/>
      </c:barChart>
      <c:catAx>
        <c:axId val="259707264"/>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59708800"/>
        <c:crosses val="autoZero"/>
        <c:auto val="1"/>
        <c:lblAlgn val="ctr"/>
        <c:lblOffset val="100"/>
        <c:noMultiLvlLbl val="0"/>
      </c:catAx>
      <c:valAx>
        <c:axId val="259708800"/>
        <c:scaling>
          <c:orientation val="minMax"/>
        </c:scaling>
        <c:delete val="1"/>
        <c:axPos val="l"/>
        <c:majorGridlines>
          <c:spPr>
            <a:ln w="9525" cap="flat" cmpd="sng" algn="ctr">
              <a:solidFill>
                <a:schemeClr val="dk1">
                  <a:lumMod val="15000"/>
                  <a:lumOff val="85000"/>
                </a:schemeClr>
              </a:solidFill>
              <a:round/>
            </a:ln>
            <a:effectLst/>
          </c:spPr>
        </c:majorGridlines>
        <c:numFmt formatCode="0.0000%" sourceLinked="1"/>
        <c:majorTickMark val="none"/>
        <c:minorTickMark val="none"/>
        <c:tickLblPos val="nextTo"/>
        <c:crossAx val="259707264"/>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79740347657074662"/>
          <c:y val="0.13398027949209051"/>
          <c:w val="0.18486995573592299"/>
          <c:h val="0.83041686828252603"/>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Avg.</a:t>
            </a:r>
            <a:r>
              <a:rPr lang="en-US" baseline="0"/>
              <a:t> Return of MF,DSEX and Daily Int. on T-Bill </a:t>
            </a:r>
            <a:endParaRPr lang="en-US"/>
          </a:p>
        </c:rich>
      </c:tx>
      <c:layout>
        <c:manualLayout>
          <c:xMode val="edge"/>
          <c:yMode val="edge"/>
          <c:x val="1.5223562377104812E-2"/>
          <c:y val="1.8203508265655276E-2"/>
        </c:manualLayout>
      </c:layout>
      <c:overlay val="0"/>
      <c:spPr>
        <a:noFill/>
        <a:ln>
          <a:noFill/>
        </a:ln>
        <a:effectLst/>
      </c:spPr>
    </c:title>
    <c:autoTitleDeleted val="0"/>
    <c:plotArea>
      <c:layout>
        <c:manualLayout>
          <c:layoutTarget val="inner"/>
          <c:xMode val="edge"/>
          <c:yMode val="edge"/>
          <c:x val="2.7005099877693661E-3"/>
          <c:y val="0.17174540682414699"/>
          <c:w val="0.82131201027303447"/>
          <c:h val="0.80213414699948782"/>
        </c:manualLayout>
      </c:layout>
      <c:barChart>
        <c:barDir val="col"/>
        <c:grouping val="clustered"/>
        <c:varyColors val="0"/>
        <c:ser>
          <c:idx val="0"/>
          <c:order val="0"/>
          <c:tx>
            <c:strRef>
              <c:f>Sheet10!$A$2</c:f>
              <c:strCache>
                <c:ptCount val="1"/>
                <c:pt idx="0">
                  <c:v>DBH1STMF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Sheet10!$B$1</c:f>
              <c:strCache>
                <c:ptCount val="1"/>
                <c:pt idx="0">
                  <c:v>Average  Return</c:v>
                </c:pt>
              </c:strCache>
            </c:strRef>
          </c:cat>
          <c:val>
            <c:numRef>
              <c:f>Sheet10!$B$2</c:f>
              <c:numCache>
                <c:formatCode>0.00%</c:formatCode>
                <c:ptCount val="1"/>
                <c:pt idx="0">
                  <c:v>3.6114304774952566E-4</c:v>
                </c:pt>
              </c:numCache>
            </c:numRef>
          </c:val>
          <c:extLst xmlns:c16r2="http://schemas.microsoft.com/office/drawing/2015/06/chart">
            <c:ext xmlns:c16="http://schemas.microsoft.com/office/drawing/2014/chart" uri="{C3380CC4-5D6E-409C-BE32-E72D297353CC}">
              <c16:uniqueId val="{00000000-BFA3-492F-AF5B-391F1101096B}"/>
            </c:ext>
          </c:extLst>
        </c:ser>
        <c:ser>
          <c:idx val="1"/>
          <c:order val="1"/>
          <c:tx>
            <c:strRef>
              <c:f>Sheet10!$A$3</c:f>
              <c:strCache>
                <c:ptCount val="1"/>
                <c:pt idx="0">
                  <c:v>EBL1STMF</c:v>
                </c:pt>
              </c:strCache>
            </c:strRef>
          </c:tx>
          <c:spPr>
            <a:solidFill>
              <a:schemeClr val="accent2"/>
            </a:solidFill>
            <a:ln>
              <a:noFill/>
            </a:ln>
            <a:effectLst/>
          </c:spPr>
          <c:invertIfNegative val="0"/>
          <c:dLbls>
            <c:dLbl>
              <c:idx val="0"/>
              <c:layout>
                <c:manualLayout>
                  <c:x val="2.2158209616662972E-3"/>
                  <c:y val="2.655454746625359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FA3-492F-AF5B-391F110109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Sheet10!$B$1</c:f>
              <c:strCache>
                <c:ptCount val="1"/>
                <c:pt idx="0">
                  <c:v>Average  Return</c:v>
                </c:pt>
              </c:strCache>
            </c:strRef>
          </c:cat>
          <c:val>
            <c:numRef>
              <c:f>Sheet10!$B$3</c:f>
              <c:numCache>
                <c:formatCode>0.00%</c:formatCode>
                <c:ptCount val="1"/>
                <c:pt idx="0">
                  <c:v>3.2875122452184156E-4</c:v>
                </c:pt>
              </c:numCache>
            </c:numRef>
          </c:val>
          <c:extLst xmlns:c16r2="http://schemas.microsoft.com/office/drawing/2015/06/chart">
            <c:ext xmlns:c16="http://schemas.microsoft.com/office/drawing/2014/chart" uri="{C3380CC4-5D6E-409C-BE32-E72D297353CC}">
              <c16:uniqueId val="{00000002-BFA3-492F-AF5B-391F1101096B}"/>
            </c:ext>
          </c:extLst>
        </c:ser>
        <c:ser>
          <c:idx val="2"/>
          <c:order val="2"/>
          <c:tx>
            <c:strRef>
              <c:f>Sheet10!$A$4</c:f>
              <c:strCache>
                <c:ptCount val="1"/>
                <c:pt idx="0">
                  <c:v>T-Bill Rate</c:v>
                </c:pt>
              </c:strCache>
            </c:strRef>
          </c:tx>
          <c:spPr>
            <a:solidFill>
              <a:schemeClr val="accent3"/>
            </a:solidFill>
            <a:ln>
              <a:noFill/>
            </a:ln>
            <a:effectLst/>
          </c:spPr>
          <c:invertIfNegative val="0"/>
          <c:dLbls>
            <c:dLbl>
              <c:idx val="0"/>
              <c:layout>
                <c:manualLayout>
                  <c:x val="0"/>
                  <c:y val="-8.8515158220845314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FA3-492F-AF5B-391F110109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Sheet10!$B$1</c:f>
              <c:strCache>
                <c:ptCount val="1"/>
                <c:pt idx="0">
                  <c:v>Average  Return</c:v>
                </c:pt>
              </c:strCache>
            </c:strRef>
          </c:cat>
          <c:val>
            <c:numRef>
              <c:f>Sheet10!$B$4</c:f>
              <c:numCache>
                <c:formatCode>0.000%</c:formatCode>
                <c:ptCount val="1"/>
                <c:pt idx="0">
                  <c:v>1.5109890109890099E-4</c:v>
                </c:pt>
              </c:numCache>
            </c:numRef>
          </c:val>
          <c:extLst xmlns:c16r2="http://schemas.microsoft.com/office/drawing/2015/06/chart">
            <c:ext xmlns:c16="http://schemas.microsoft.com/office/drawing/2014/chart" uri="{C3380CC4-5D6E-409C-BE32-E72D297353CC}">
              <c16:uniqueId val="{00000004-BFA3-492F-AF5B-391F1101096B}"/>
            </c:ext>
          </c:extLst>
        </c:ser>
        <c:ser>
          <c:idx val="3"/>
          <c:order val="3"/>
          <c:tx>
            <c:strRef>
              <c:f>Sheet10!$A$5</c:f>
              <c:strCache>
                <c:ptCount val="1"/>
                <c:pt idx="0">
                  <c:v>DSEX </c:v>
                </c:pt>
              </c:strCache>
            </c:strRef>
          </c:tx>
          <c:spPr>
            <a:solidFill>
              <a:schemeClr val="accent4"/>
            </a:solidFill>
            <a:ln>
              <a:noFill/>
            </a:ln>
            <a:effectLst/>
          </c:spPr>
          <c:invertIfNegative val="0"/>
          <c:dLbls>
            <c:dLbl>
              <c:idx val="0"/>
              <c:layout>
                <c:manualLayout>
                  <c:x val="2.2158209616662972E-3"/>
                  <c:y val="1.770303164416902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FA3-492F-AF5B-391F110109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Sheet10!$B$1</c:f>
              <c:strCache>
                <c:ptCount val="1"/>
                <c:pt idx="0">
                  <c:v>Average  Return</c:v>
                </c:pt>
              </c:strCache>
            </c:strRef>
          </c:cat>
          <c:val>
            <c:numRef>
              <c:f>Sheet10!$B$5</c:f>
              <c:numCache>
                <c:formatCode>0.000%</c:formatCode>
                <c:ptCount val="1"/>
                <c:pt idx="0">
                  <c:v>1.3727130477556666E-4</c:v>
                </c:pt>
              </c:numCache>
            </c:numRef>
          </c:val>
          <c:extLst xmlns:c16r2="http://schemas.microsoft.com/office/drawing/2015/06/chart">
            <c:ext xmlns:c16="http://schemas.microsoft.com/office/drawing/2014/chart" uri="{C3380CC4-5D6E-409C-BE32-E72D297353CC}">
              <c16:uniqueId val="{00000006-BFA3-492F-AF5B-391F1101096B}"/>
            </c:ext>
          </c:extLst>
        </c:ser>
        <c:ser>
          <c:idx val="4"/>
          <c:order val="4"/>
          <c:tx>
            <c:strRef>
              <c:f>Sheet10!$A$6</c:f>
              <c:strCache>
                <c:ptCount val="1"/>
                <c:pt idx="0">
                  <c:v>AIBL1STIMF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Sheet10!$B$1</c:f>
              <c:strCache>
                <c:ptCount val="1"/>
                <c:pt idx="0">
                  <c:v>Average  Return</c:v>
                </c:pt>
              </c:strCache>
            </c:strRef>
          </c:cat>
          <c:val>
            <c:numRef>
              <c:f>Sheet10!$B$6</c:f>
              <c:numCache>
                <c:formatCode>0.000%</c:formatCode>
                <c:ptCount val="1"/>
                <c:pt idx="0">
                  <c:v>-7.5394808235069052E-6</c:v>
                </c:pt>
              </c:numCache>
            </c:numRef>
          </c:val>
          <c:extLst xmlns:c16r2="http://schemas.microsoft.com/office/drawing/2015/06/chart">
            <c:ext xmlns:c16="http://schemas.microsoft.com/office/drawing/2014/chart" uri="{C3380CC4-5D6E-409C-BE32-E72D297353CC}">
              <c16:uniqueId val="{00000007-BFA3-492F-AF5B-391F1101096B}"/>
            </c:ext>
          </c:extLst>
        </c:ser>
        <c:ser>
          <c:idx val="5"/>
          <c:order val="5"/>
          <c:tx>
            <c:strRef>
              <c:f>Sheet10!$A$7</c:f>
              <c:strCache>
                <c:ptCount val="1"/>
                <c:pt idx="0">
                  <c:v>ATCSLGF</c:v>
                </c:pt>
              </c:strCache>
            </c:strRef>
          </c:tx>
          <c:spPr>
            <a:solidFill>
              <a:schemeClr val="accent6"/>
            </a:solidFill>
            <a:ln>
              <a:noFill/>
            </a:ln>
            <a:effectLst/>
          </c:spPr>
          <c:invertIfNegative val="0"/>
          <c:dLbls>
            <c:dLbl>
              <c:idx val="0"/>
              <c:layout>
                <c:manualLayout>
                  <c:x val="-4.0622915017834678E-17"/>
                  <c:y val="-2.655454746625359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BFA3-492F-AF5B-391F110109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Sheet10!$B$1</c:f>
              <c:strCache>
                <c:ptCount val="1"/>
                <c:pt idx="0">
                  <c:v>Average  Return</c:v>
                </c:pt>
              </c:strCache>
            </c:strRef>
          </c:cat>
          <c:val>
            <c:numRef>
              <c:f>Sheet10!$B$7</c:f>
              <c:numCache>
                <c:formatCode>0.000%</c:formatCode>
                <c:ptCount val="1"/>
                <c:pt idx="0">
                  <c:v>-4.0740066538968948E-5</c:v>
                </c:pt>
              </c:numCache>
            </c:numRef>
          </c:val>
          <c:extLst xmlns:c16r2="http://schemas.microsoft.com/office/drawing/2015/06/chart">
            <c:ext xmlns:c16="http://schemas.microsoft.com/office/drawing/2014/chart" uri="{C3380CC4-5D6E-409C-BE32-E72D297353CC}">
              <c16:uniqueId val="{00000009-BFA3-492F-AF5B-391F1101096B}"/>
            </c:ext>
          </c:extLst>
        </c:ser>
        <c:ser>
          <c:idx val="6"/>
          <c:order val="6"/>
          <c:tx>
            <c:strRef>
              <c:f>Sheet10!$A$8</c:f>
              <c:strCache>
                <c:ptCount val="1"/>
                <c:pt idx="0">
                  <c:v>1STPRIMFMF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Sheet10!$B$1</c:f>
              <c:strCache>
                <c:ptCount val="1"/>
                <c:pt idx="0">
                  <c:v>Average  Return</c:v>
                </c:pt>
              </c:strCache>
            </c:strRef>
          </c:cat>
          <c:val>
            <c:numRef>
              <c:f>Sheet10!$B$8</c:f>
              <c:numCache>
                <c:formatCode>0.00%</c:formatCode>
                <c:ptCount val="1"/>
                <c:pt idx="0">
                  <c:v>-2.8434536787164908E-4</c:v>
                </c:pt>
              </c:numCache>
            </c:numRef>
          </c:val>
          <c:extLst xmlns:c16r2="http://schemas.microsoft.com/office/drawing/2015/06/chart">
            <c:ext xmlns:c16="http://schemas.microsoft.com/office/drawing/2014/chart" uri="{C3380CC4-5D6E-409C-BE32-E72D297353CC}">
              <c16:uniqueId val="{0000000A-BFA3-492F-AF5B-391F1101096B}"/>
            </c:ext>
          </c:extLst>
        </c:ser>
        <c:ser>
          <c:idx val="7"/>
          <c:order val="7"/>
          <c:tx>
            <c:strRef>
              <c:f>Sheet10!$A$9</c:f>
              <c:strCache>
                <c:ptCount val="1"/>
                <c:pt idx="0">
                  <c:v>ABB1STMF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Sheet10!$B$1</c:f>
              <c:strCache>
                <c:ptCount val="1"/>
                <c:pt idx="0">
                  <c:v>Average  Return</c:v>
                </c:pt>
              </c:strCache>
            </c:strRef>
          </c:cat>
          <c:val>
            <c:numRef>
              <c:f>Sheet10!$B$9</c:f>
              <c:numCache>
                <c:formatCode>0.00%</c:formatCode>
                <c:ptCount val="1"/>
                <c:pt idx="0">
                  <c:v>-3.726015992644251E-4</c:v>
                </c:pt>
              </c:numCache>
            </c:numRef>
          </c:val>
          <c:extLst xmlns:c16r2="http://schemas.microsoft.com/office/drawing/2015/06/chart">
            <c:ext xmlns:c16="http://schemas.microsoft.com/office/drawing/2014/chart" uri="{C3380CC4-5D6E-409C-BE32-E72D297353CC}">
              <c16:uniqueId val="{0000000B-BFA3-492F-AF5B-391F1101096B}"/>
            </c:ext>
          </c:extLst>
        </c:ser>
        <c:ser>
          <c:idx val="8"/>
          <c:order val="8"/>
          <c:tx>
            <c:strRef>
              <c:f>Sheet10!$A$10</c:f>
              <c:strCache>
                <c:ptCount val="1"/>
                <c:pt idx="0">
                  <c:v>1JANATAMF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Sheet10!$B$1</c:f>
              <c:strCache>
                <c:ptCount val="1"/>
                <c:pt idx="0">
                  <c:v>Average  Return</c:v>
                </c:pt>
              </c:strCache>
            </c:strRef>
          </c:cat>
          <c:val>
            <c:numRef>
              <c:f>Sheet10!$B$10</c:f>
              <c:numCache>
                <c:formatCode>0.00%</c:formatCode>
                <c:ptCount val="1"/>
                <c:pt idx="0">
                  <c:v>-3.7861112856104554E-4</c:v>
                </c:pt>
              </c:numCache>
            </c:numRef>
          </c:val>
          <c:extLst xmlns:c16r2="http://schemas.microsoft.com/office/drawing/2015/06/chart">
            <c:ext xmlns:c16="http://schemas.microsoft.com/office/drawing/2014/chart" uri="{C3380CC4-5D6E-409C-BE32-E72D297353CC}">
              <c16:uniqueId val="{0000000C-BFA3-492F-AF5B-391F1101096B}"/>
            </c:ext>
          </c:extLst>
        </c:ser>
        <c:ser>
          <c:idx val="9"/>
          <c:order val="9"/>
          <c:tx>
            <c:strRef>
              <c:f>Sheet10!$A$11</c:f>
              <c:strCache>
                <c:ptCount val="1"/>
                <c:pt idx="0">
                  <c:v>FBFIF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Sheet10!$B$1</c:f>
              <c:strCache>
                <c:ptCount val="1"/>
                <c:pt idx="0">
                  <c:v>Average  Return</c:v>
                </c:pt>
              </c:strCache>
            </c:strRef>
          </c:cat>
          <c:val>
            <c:numRef>
              <c:f>Sheet10!$B$11</c:f>
              <c:numCache>
                <c:formatCode>0.00%</c:formatCode>
                <c:ptCount val="1"/>
                <c:pt idx="0">
                  <c:v>-5.4378979469476684E-4</c:v>
                </c:pt>
              </c:numCache>
            </c:numRef>
          </c:val>
          <c:extLst xmlns:c16r2="http://schemas.microsoft.com/office/drawing/2015/06/chart">
            <c:ext xmlns:c16="http://schemas.microsoft.com/office/drawing/2014/chart" uri="{C3380CC4-5D6E-409C-BE32-E72D297353CC}">
              <c16:uniqueId val="{0000000D-BFA3-492F-AF5B-391F1101096B}"/>
            </c:ext>
          </c:extLst>
        </c:ser>
        <c:ser>
          <c:idx val="10"/>
          <c:order val="10"/>
          <c:tx>
            <c:strRef>
              <c:f>Sheet10!$A$12</c:f>
              <c:strCache>
                <c:ptCount val="1"/>
                <c:pt idx="0">
                  <c:v>EBLNRBMF</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Sheet10!$B$1</c:f>
              <c:strCache>
                <c:ptCount val="1"/>
                <c:pt idx="0">
                  <c:v>Average  Return</c:v>
                </c:pt>
              </c:strCache>
            </c:strRef>
          </c:cat>
          <c:val>
            <c:numRef>
              <c:f>Sheet10!$B$12</c:f>
              <c:numCache>
                <c:formatCode>0.00%</c:formatCode>
                <c:ptCount val="1"/>
                <c:pt idx="0">
                  <c:v>-6.7541672730796112E-4</c:v>
                </c:pt>
              </c:numCache>
            </c:numRef>
          </c:val>
          <c:extLst xmlns:c16r2="http://schemas.microsoft.com/office/drawing/2015/06/chart">
            <c:ext xmlns:c16="http://schemas.microsoft.com/office/drawing/2014/chart" uri="{C3380CC4-5D6E-409C-BE32-E72D297353CC}">
              <c16:uniqueId val="{0000000E-BFA3-492F-AF5B-391F1101096B}"/>
            </c:ext>
          </c:extLst>
        </c:ser>
        <c:ser>
          <c:idx val="11"/>
          <c:order val="11"/>
          <c:tx>
            <c:strRef>
              <c:f>Sheet10!$A$13</c:f>
              <c:strCache>
                <c:ptCount val="1"/>
                <c:pt idx="0">
                  <c:v>EXIM1STMF</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Sheet10!$B$1</c:f>
              <c:strCache>
                <c:ptCount val="1"/>
                <c:pt idx="0">
                  <c:v>Average  Return</c:v>
                </c:pt>
              </c:strCache>
            </c:strRef>
          </c:cat>
          <c:val>
            <c:numRef>
              <c:f>Sheet10!$B$13</c:f>
              <c:numCache>
                <c:formatCode>0.00%</c:formatCode>
                <c:ptCount val="1"/>
                <c:pt idx="0">
                  <c:v>-7.5137695770137274E-4</c:v>
                </c:pt>
              </c:numCache>
            </c:numRef>
          </c:val>
          <c:extLst xmlns:c16r2="http://schemas.microsoft.com/office/drawing/2015/06/chart">
            <c:ext xmlns:c16="http://schemas.microsoft.com/office/drawing/2014/chart" uri="{C3380CC4-5D6E-409C-BE32-E72D297353CC}">
              <c16:uniqueId val="{0000000F-BFA3-492F-AF5B-391F1101096B}"/>
            </c:ext>
          </c:extLst>
        </c:ser>
        <c:dLbls>
          <c:dLblPos val="outEnd"/>
          <c:showLegendKey val="0"/>
          <c:showVal val="1"/>
          <c:showCatName val="0"/>
          <c:showSerName val="0"/>
          <c:showPercent val="0"/>
          <c:showBubbleSize val="0"/>
        </c:dLbls>
        <c:gapWidth val="267"/>
        <c:overlap val="-43"/>
        <c:axId val="259905408"/>
        <c:axId val="259906944"/>
      </c:barChart>
      <c:catAx>
        <c:axId val="259905408"/>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59906944"/>
        <c:crosses val="autoZero"/>
        <c:auto val="1"/>
        <c:lblAlgn val="ctr"/>
        <c:lblOffset val="100"/>
        <c:noMultiLvlLbl val="0"/>
      </c:catAx>
      <c:valAx>
        <c:axId val="259906944"/>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259905408"/>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2190801376949529"/>
          <c:y val="3.3846784776902887E-2"/>
          <c:w val="0.16555776749931519"/>
          <c:h val="0.94475803805774283"/>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Stdev.</a:t>
            </a:r>
            <a:r>
              <a:rPr lang="en-US" baseline="0"/>
              <a:t> on MF &amp; DSEX Based on Daily Return</a:t>
            </a:r>
            <a:endParaRPr lang="en-US"/>
          </a:p>
        </c:rich>
      </c:tx>
      <c:layout>
        <c:manualLayout>
          <c:xMode val="edge"/>
          <c:yMode val="edge"/>
          <c:x val="1.0563107472262486E-2"/>
          <c:y val="1.4411412571819521E-3"/>
        </c:manualLayout>
      </c:layout>
      <c:overlay val="0"/>
      <c:spPr>
        <a:noFill/>
        <a:ln>
          <a:noFill/>
        </a:ln>
        <a:effectLst/>
      </c:spPr>
    </c:title>
    <c:autoTitleDeleted val="0"/>
    <c:plotArea>
      <c:layout>
        <c:manualLayout>
          <c:layoutTarget val="inner"/>
          <c:xMode val="edge"/>
          <c:yMode val="edge"/>
          <c:x val="2.959480811167261E-3"/>
          <c:y val="0.21479068241469818"/>
          <c:w val="0.79211487452957274"/>
          <c:h val="0.77497178477690287"/>
        </c:manualLayout>
      </c:layout>
      <c:barChart>
        <c:barDir val="col"/>
        <c:grouping val="clustered"/>
        <c:varyColors val="0"/>
        <c:ser>
          <c:idx val="0"/>
          <c:order val="0"/>
          <c:tx>
            <c:strRef>
              <c:f>Sheet11!$A$2</c:f>
              <c:strCache>
                <c:ptCount val="1"/>
                <c:pt idx="0">
                  <c:v>DSEX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Sheet11!$B$1</c:f>
              <c:strCache>
                <c:ptCount val="1"/>
                <c:pt idx="0">
                  <c:v>Standard Deviation</c:v>
                </c:pt>
              </c:strCache>
            </c:strRef>
          </c:cat>
          <c:val>
            <c:numRef>
              <c:f>Sheet11!$B$2</c:f>
              <c:numCache>
                <c:formatCode>0.00%</c:formatCode>
                <c:ptCount val="1"/>
                <c:pt idx="0">
                  <c:v>6.4880473328231547E-3</c:v>
                </c:pt>
              </c:numCache>
            </c:numRef>
          </c:val>
          <c:extLst xmlns:c16r2="http://schemas.microsoft.com/office/drawing/2015/06/chart">
            <c:ext xmlns:c16="http://schemas.microsoft.com/office/drawing/2014/chart" uri="{C3380CC4-5D6E-409C-BE32-E72D297353CC}">
              <c16:uniqueId val="{00000000-C3D1-4C40-8EC3-A2C17BD9ED95}"/>
            </c:ext>
          </c:extLst>
        </c:ser>
        <c:ser>
          <c:idx val="1"/>
          <c:order val="1"/>
          <c:tx>
            <c:strRef>
              <c:f>Sheet11!$A$3</c:f>
              <c:strCache>
                <c:ptCount val="1"/>
                <c:pt idx="0">
                  <c:v>ATCSLGF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Sheet11!$B$1</c:f>
              <c:strCache>
                <c:ptCount val="1"/>
                <c:pt idx="0">
                  <c:v>Standard Deviation</c:v>
                </c:pt>
              </c:strCache>
            </c:strRef>
          </c:cat>
          <c:val>
            <c:numRef>
              <c:f>Sheet11!$B$3</c:f>
              <c:numCache>
                <c:formatCode>0.00%</c:formatCode>
                <c:ptCount val="1"/>
                <c:pt idx="0">
                  <c:v>1.4119815912605659E-2</c:v>
                </c:pt>
              </c:numCache>
            </c:numRef>
          </c:val>
          <c:extLst xmlns:c16r2="http://schemas.microsoft.com/office/drawing/2015/06/chart">
            <c:ext xmlns:c16="http://schemas.microsoft.com/office/drawing/2014/chart" uri="{C3380CC4-5D6E-409C-BE32-E72D297353CC}">
              <c16:uniqueId val="{00000001-C3D1-4C40-8EC3-A2C17BD9ED95}"/>
            </c:ext>
          </c:extLst>
        </c:ser>
        <c:ser>
          <c:idx val="2"/>
          <c:order val="2"/>
          <c:tx>
            <c:strRef>
              <c:f>Sheet11!$A$4</c:f>
              <c:strCache>
                <c:ptCount val="1"/>
                <c:pt idx="0">
                  <c:v>AIBL1STIMF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Sheet11!$B$1</c:f>
              <c:strCache>
                <c:ptCount val="1"/>
                <c:pt idx="0">
                  <c:v>Standard Deviation</c:v>
                </c:pt>
              </c:strCache>
            </c:strRef>
          </c:cat>
          <c:val>
            <c:numRef>
              <c:f>Sheet11!$B$4</c:f>
              <c:numCache>
                <c:formatCode>0.00%</c:formatCode>
                <c:ptCount val="1"/>
                <c:pt idx="0">
                  <c:v>1.5961404717350115E-2</c:v>
                </c:pt>
              </c:numCache>
            </c:numRef>
          </c:val>
          <c:extLst xmlns:c16r2="http://schemas.microsoft.com/office/drawing/2015/06/chart">
            <c:ext xmlns:c16="http://schemas.microsoft.com/office/drawing/2014/chart" uri="{C3380CC4-5D6E-409C-BE32-E72D297353CC}">
              <c16:uniqueId val="{00000002-C3D1-4C40-8EC3-A2C17BD9ED95}"/>
            </c:ext>
          </c:extLst>
        </c:ser>
        <c:ser>
          <c:idx val="3"/>
          <c:order val="3"/>
          <c:tx>
            <c:strRef>
              <c:f>Sheet11!$A$5</c:f>
              <c:strCache>
                <c:ptCount val="1"/>
                <c:pt idx="0">
                  <c:v>DBH1STMF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Sheet11!$B$1</c:f>
              <c:strCache>
                <c:ptCount val="1"/>
                <c:pt idx="0">
                  <c:v>Standard Deviation</c:v>
                </c:pt>
              </c:strCache>
            </c:strRef>
          </c:cat>
          <c:val>
            <c:numRef>
              <c:f>Sheet11!$B$5</c:f>
              <c:numCache>
                <c:formatCode>0.00%</c:formatCode>
                <c:ptCount val="1"/>
                <c:pt idx="0">
                  <c:v>1.6139522171055722E-2</c:v>
                </c:pt>
              </c:numCache>
            </c:numRef>
          </c:val>
          <c:extLst xmlns:c16r2="http://schemas.microsoft.com/office/drawing/2015/06/chart">
            <c:ext xmlns:c16="http://schemas.microsoft.com/office/drawing/2014/chart" uri="{C3380CC4-5D6E-409C-BE32-E72D297353CC}">
              <c16:uniqueId val="{00000003-C3D1-4C40-8EC3-A2C17BD9ED95}"/>
            </c:ext>
          </c:extLst>
        </c:ser>
        <c:ser>
          <c:idx val="4"/>
          <c:order val="4"/>
          <c:tx>
            <c:strRef>
              <c:f>Sheet11!$A$6</c:f>
              <c:strCache>
                <c:ptCount val="1"/>
                <c:pt idx="0">
                  <c:v>FBFIF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Sheet11!$B$1</c:f>
              <c:strCache>
                <c:ptCount val="1"/>
                <c:pt idx="0">
                  <c:v>Standard Deviation</c:v>
                </c:pt>
              </c:strCache>
            </c:strRef>
          </c:cat>
          <c:val>
            <c:numRef>
              <c:f>Sheet11!$B$6</c:f>
              <c:numCache>
                <c:formatCode>0.00%</c:formatCode>
                <c:ptCount val="1"/>
                <c:pt idx="0">
                  <c:v>1.6793726364280965E-2</c:v>
                </c:pt>
              </c:numCache>
            </c:numRef>
          </c:val>
          <c:extLst xmlns:c16r2="http://schemas.microsoft.com/office/drawing/2015/06/chart">
            <c:ext xmlns:c16="http://schemas.microsoft.com/office/drawing/2014/chart" uri="{C3380CC4-5D6E-409C-BE32-E72D297353CC}">
              <c16:uniqueId val="{00000004-C3D1-4C40-8EC3-A2C17BD9ED95}"/>
            </c:ext>
          </c:extLst>
        </c:ser>
        <c:ser>
          <c:idx val="5"/>
          <c:order val="5"/>
          <c:tx>
            <c:strRef>
              <c:f>Sheet11!$A$7</c:f>
              <c:strCache>
                <c:ptCount val="1"/>
                <c:pt idx="0">
                  <c:v>ABB1STMF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Sheet11!$B$1</c:f>
              <c:strCache>
                <c:ptCount val="1"/>
                <c:pt idx="0">
                  <c:v>Standard Deviation</c:v>
                </c:pt>
              </c:strCache>
            </c:strRef>
          </c:cat>
          <c:val>
            <c:numRef>
              <c:f>Sheet11!$B$7</c:f>
              <c:numCache>
                <c:formatCode>0.00%</c:formatCode>
                <c:ptCount val="1"/>
                <c:pt idx="0">
                  <c:v>1.7631659622877775E-2</c:v>
                </c:pt>
              </c:numCache>
            </c:numRef>
          </c:val>
          <c:extLst xmlns:c16r2="http://schemas.microsoft.com/office/drawing/2015/06/chart">
            <c:ext xmlns:c16="http://schemas.microsoft.com/office/drawing/2014/chart" uri="{C3380CC4-5D6E-409C-BE32-E72D297353CC}">
              <c16:uniqueId val="{00000005-C3D1-4C40-8EC3-A2C17BD9ED95}"/>
            </c:ext>
          </c:extLst>
        </c:ser>
        <c:ser>
          <c:idx val="6"/>
          <c:order val="6"/>
          <c:tx>
            <c:strRef>
              <c:f>Sheet11!$A$8</c:f>
              <c:strCache>
                <c:ptCount val="1"/>
                <c:pt idx="0">
                  <c:v>EXIM1STMF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Sheet11!$B$1</c:f>
              <c:strCache>
                <c:ptCount val="1"/>
                <c:pt idx="0">
                  <c:v>Standard Deviation</c:v>
                </c:pt>
              </c:strCache>
            </c:strRef>
          </c:cat>
          <c:val>
            <c:numRef>
              <c:f>Sheet11!$B$8</c:f>
              <c:numCache>
                <c:formatCode>0.00%</c:formatCode>
                <c:ptCount val="1"/>
                <c:pt idx="0">
                  <c:v>1.9018861402470878E-2</c:v>
                </c:pt>
              </c:numCache>
            </c:numRef>
          </c:val>
          <c:extLst xmlns:c16r2="http://schemas.microsoft.com/office/drawing/2015/06/chart">
            <c:ext xmlns:c16="http://schemas.microsoft.com/office/drawing/2014/chart" uri="{C3380CC4-5D6E-409C-BE32-E72D297353CC}">
              <c16:uniqueId val="{00000006-C3D1-4C40-8EC3-A2C17BD9ED95}"/>
            </c:ext>
          </c:extLst>
        </c:ser>
        <c:ser>
          <c:idx val="7"/>
          <c:order val="7"/>
          <c:tx>
            <c:strRef>
              <c:f>Sheet11!$A$9</c:f>
              <c:strCache>
                <c:ptCount val="1"/>
                <c:pt idx="0">
                  <c:v>1JANATAMF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Sheet11!$B$1</c:f>
              <c:strCache>
                <c:ptCount val="1"/>
                <c:pt idx="0">
                  <c:v>Standard Deviation</c:v>
                </c:pt>
              </c:strCache>
            </c:strRef>
          </c:cat>
          <c:val>
            <c:numRef>
              <c:f>Sheet11!$B$9</c:f>
              <c:numCache>
                <c:formatCode>0.00%</c:formatCode>
                <c:ptCount val="1"/>
                <c:pt idx="0">
                  <c:v>1.9557346573185422E-2</c:v>
                </c:pt>
              </c:numCache>
            </c:numRef>
          </c:val>
          <c:extLst xmlns:c16r2="http://schemas.microsoft.com/office/drawing/2015/06/chart">
            <c:ext xmlns:c16="http://schemas.microsoft.com/office/drawing/2014/chart" uri="{C3380CC4-5D6E-409C-BE32-E72D297353CC}">
              <c16:uniqueId val="{00000007-C3D1-4C40-8EC3-A2C17BD9ED95}"/>
            </c:ext>
          </c:extLst>
        </c:ser>
        <c:ser>
          <c:idx val="8"/>
          <c:order val="8"/>
          <c:tx>
            <c:strRef>
              <c:f>Sheet11!$A$10</c:f>
              <c:strCache>
                <c:ptCount val="1"/>
                <c:pt idx="0">
                  <c:v>EBLNRBMF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Sheet11!$B$1</c:f>
              <c:strCache>
                <c:ptCount val="1"/>
                <c:pt idx="0">
                  <c:v>Standard Deviation</c:v>
                </c:pt>
              </c:strCache>
            </c:strRef>
          </c:cat>
          <c:val>
            <c:numRef>
              <c:f>Sheet11!$B$10</c:f>
              <c:numCache>
                <c:formatCode>0.00%</c:formatCode>
                <c:ptCount val="1"/>
                <c:pt idx="0">
                  <c:v>2.0850762729732224E-2</c:v>
                </c:pt>
              </c:numCache>
            </c:numRef>
          </c:val>
          <c:extLst xmlns:c16r2="http://schemas.microsoft.com/office/drawing/2015/06/chart">
            <c:ext xmlns:c16="http://schemas.microsoft.com/office/drawing/2014/chart" uri="{C3380CC4-5D6E-409C-BE32-E72D297353CC}">
              <c16:uniqueId val="{00000008-C3D1-4C40-8EC3-A2C17BD9ED95}"/>
            </c:ext>
          </c:extLst>
        </c:ser>
        <c:ser>
          <c:idx val="9"/>
          <c:order val="9"/>
          <c:tx>
            <c:strRef>
              <c:f>Sheet11!$A$11</c:f>
              <c:strCache>
                <c:ptCount val="1"/>
                <c:pt idx="0">
                  <c:v>1STPRIMFMF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Sheet11!$B$1</c:f>
              <c:strCache>
                <c:ptCount val="1"/>
                <c:pt idx="0">
                  <c:v>Standard Deviation</c:v>
                </c:pt>
              </c:strCache>
            </c:strRef>
          </c:cat>
          <c:val>
            <c:numRef>
              <c:f>Sheet11!$B$11</c:f>
              <c:numCache>
                <c:formatCode>0.00%</c:formatCode>
                <c:ptCount val="1"/>
                <c:pt idx="0">
                  <c:v>2.2177339344889579E-2</c:v>
                </c:pt>
              </c:numCache>
            </c:numRef>
          </c:val>
          <c:extLst xmlns:c16r2="http://schemas.microsoft.com/office/drawing/2015/06/chart">
            <c:ext xmlns:c16="http://schemas.microsoft.com/office/drawing/2014/chart" uri="{C3380CC4-5D6E-409C-BE32-E72D297353CC}">
              <c16:uniqueId val="{00000009-C3D1-4C40-8EC3-A2C17BD9ED95}"/>
            </c:ext>
          </c:extLst>
        </c:ser>
        <c:ser>
          <c:idx val="10"/>
          <c:order val="10"/>
          <c:tx>
            <c:strRef>
              <c:f>Sheet11!$A$12</c:f>
              <c:strCache>
                <c:ptCount val="1"/>
                <c:pt idx="0">
                  <c:v>EBL1STMF</c:v>
                </c:pt>
              </c:strCache>
            </c:strRef>
          </c:tx>
          <c:spPr>
            <a:solidFill>
              <a:schemeClr val="accent5">
                <a:lumMod val="60000"/>
              </a:schemeClr>
            </a:solidFill>
            <a:ln>
              <a:noFill/>
            </a:ln>
            <a:effectLst/>
          </c:spPr>
          <c:invertIfNegative val="0"/>
          <c:dLbls>
            <c:dLbl>
              <c:idx val="0"/>
              <c:layout>
                <c:manualLayout>
                  <c:x val="4.4223327805417356E-3"/>
                  <c:y val="3.100775193798449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C3D1-4C40-8EC3-A2C17BD9ED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Sheet11!$B$1</c:f>
              <c:strCache>
                <c:ptCount val="1"/>
                <c:pt idx="0">
                  <c:v>Standard Deviation</c:v>
                </c:pt>
              </c:strCache>
            </c:strRef>
          </c:cat>
          <c:val>
            <c:numRef>
              <c:f>Sheet11!$B$12</c:f>
              <c:numCache>
                <c:formatCode>0.00%</c:formatCode>
                <c:ptCount val="1"/>
                <c:pt idx="0">
                  <c:v>2.3315671977933185E-2</c:v>
                </c:pt>
              </c:numCache>
            </c:numRef>
          </c:val>
          <c:extLst xmlns:c16r2="http://schemas.microsoft.com/office/drawing/2015/06/chart">
            <c:ext xmlns:c16="http://schemas.microsoft.com/office/drawing/2014/chart" uri="{C3380CC4-5D6E-409C-BE32-E72D297353CC}">
              <c16:uniqueId val="{0000000B-C3D1-4C40-8EC3-A2C17BD9ED95}"/>
            </c:ext>
          </c:extLst>
        </c:ser>
        <c:dLbls>
          <c:dLblPos val="outEnd"/>
          <c:showLegendKey val="0"/>
          <c:showVal val="1"/>
          <c:showCatName val="0"/>
          <c:showSerName val="0"/>
          <c:showPercent val="0"/>
          <c:showBubbleSize val="0"/>
        </c:dLbls>
        <c:gapWidth val="267"/>
        <c:overlap val="-43"/>
        <c:axId val="167977728"/>
        <c:axId val="167979264"/>
      </c:barChart>
      <c:catAx>
        <c:axId val="167977728"/>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167979264"/>
        <c:crosses val="autoZero"/>
        <c:auto val="1"/>
        <c:lblAlgn val="ctr"/>
        <c:lblOffset val="100"/>
        <c:noMultiLvlLbl val="0"/>
      </c:catAx>
      <c:valAx>
        <c:axId val="167979264"/>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167977728"/>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1710067336110337"/>
          <c:y val="8.588577590591874E-2"/>
          <c:w val="0.16964515333019267"/>
          <c:h val="0.89692852346945007"/>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Beta</a:t>
            </a:r>
            <a:r>
              <a:rPr lang="en-US" baseline="0"/>
              <a:t> of MF (Weekly Return on Price) </a:t>
            </a:r>
            <a:endParaRPr lang="en-US"/>
          </a:p>
        </c:rich>
      </c:tx>
      <c:layout>
        <c:manualLayout>
          <c:xMode val="edge"/>
          <c:yMode val="edge"/>
          <c:x val="2.8770240929186178E-2"/>
          <c:y val="1.7089146305375134E-2"/>
        </c:manualLayout>
      </c:layout>
      <c:overlay val="0"/>
      <c:spPr>
        <a:noFill/>
        <a:ln>
          <a:noFill/>
        </a:ln>
        <a:effectLst/>
      </c:spPr>
    </c:title>
    <c:autoTitleDeleted val="0"/>
    <c:plotArea>
      <c:layout>
        <c:manualLayout>
          <c:layoutTarget val="inner"/>
          <c:xMode val="edge"/>
          <c:yMode val="edge"/>
          <c:x val="2.4608501118568233E-2"/>
          <c:y val="0.21332816737698571"/>
          <c:w val="0.79321742500308268"/>
          <c:h val="0.72468035645098783"/>
        </c:manualLayout>
      </c:layout>
      <c:barChart>
        <c:barDir val="col"/>
        <c:grouping val="clustered"/>
        <c:varyColors val="0"/>
        <c:ser>
          <c:idx val="0"/>
          <c:order val="0"/>
          <c:tx>
            <c:strRef>
              <c:f>Sheet3!$A$2</c:f>
              <c:strCache>
                <c:ptCount val="1"/>
                <c:pt idx="0">
                  <c:v>ATCSLGF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Sheet3!$B$2</c:f>
              <c:numCache>
                <c:formatCode>_(* #,##0.00_);_(* \(#,##0.00\);_(* "-"??_);_(@_)</c:formatCode>
                <c:ptCount val="1"/>
                <c:pt idx="0">
                  <c:v>0.43884315298975307</c:v>
                </c:pt>
              </c:numCache>
            </c:numRef>
          </c:val>
          <c:extLst xmlns:c16r2="http://schemas.microsoft.com/office/drawing/2015/06/chart">
            <c:ext xmlns:c16="http://schemas.microsoft.com/office/drawing/2014/chart" uri="{C3380CC4-5D6E-409C-BE32-E72D297353CC}">
              <c16:uniqueId val="{00000000-99C2-4BB5-8C60-EF504ED40226}"/>
            </c:ext>
          </c:extLst>
        </c:ser>
        <c:ser>
          <c:idx val="1"/>
          <c:order val="1"/>
          <c:tx>
            <c:strRef>
              <c:f>Sheet3!$A$3</c:f>
              <c:strCache>
                <c:ptCount val="1"/>
                <c:pt idx="0">
                  <c:v>DBH1STMF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Sheet3!$B$3</c:f>
              <c:numCache>
                <c:formatCode>_(* #,##0.00_);_(* \(#,##0.00\);_(* "-"??_);_(@_)</c:formatCode>
                <c:ptCount val="1"/>
                <c:pt idx="0">
                  <c:v>0.6119235009449725</c:v>
                </c:pt>
              </c:numCache>
            </c:numRef>
          </c:val>
          <c:extLst xmlns:c16r2="http://schemas.microsoft.com/office/drawing/2015/06/chart">
            <c:ext xmlns:c16="http://schemas.microsoft.com/office/drawing/2014/chart" uri="{C3380CC4-5D6E-409C-BE32-E72D297353CC}">
              <c16:uniqueId val="{00000001-99C2-4BB5-8C60-EF504ED40226}"/>
            </c:ext>
          </c:extLst>
        </c:ser>
        <c:ser>
          <c:idx val="2"/>
          <c:order val="2"/>
          <c:tx>
            <c:strRef>
              <c:f>Sheet3!$A$4</c:f>
              <c:strCache>
                <c:ptCount val="1"/>
                <c:pt idx="0">
                  <c:v>EXIM1STMF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Sheet3!$B$4</c:f>
              <c:numCache>
                <c:formatCode>_(* #,##0.00_);_(* \(#,##0.00\);_(* "-"??_);_(@_)</c:formatCode>
                <c:ptCount val="1"/>
                <c:pt idx="0">
                  <c:v>0.72430970104942538</c:v>
                </c:pt>
              </c:numCache>
            </c:numRef>
          </c:val>
          <c:extLst xmlns:c16r2="http://schemas.microsoft.com/office/drawing/2015/06/chart">
            <c:ext xmlns:c16="http://schemas.microsoft.com/office/drawing/2014/chart" uri="{C3380CC4-5D6E-409C-BE32-E72D297353CC}">
              <c16:uniqueId val="{00000002-99C2-4BB5-8C60-EF504ED40226}"/>
            </c:ext>
          </c:extLst>
        </c:ser>
        <c:ser>
          <c:idx val="3"/>
          <c:order val="3"/>
          <c:tx>
            <c:strRef>
              <c:f>Sheet3!$A$5</c:f>
              <c:strCache>
                <c:ptCount val="1"/>
                <c:pt idx="0">
                  <c:v>AIBL1STIMF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Sheet3!$B$5</c:f>
              <c:numCache>
                <c:formatCode>_(* #,##0.00_);_(* \(#,##0.00\);_(* "-"??_);_(@_)</c:formatCode>
                <c:ptCount val="1"/>
                <c:pt idx="0">
                  <c:v>0.85208208105406802</c:v>
                </c:pt>
              </c:numCache>
            </c:numRef>
          </c:val>
          <c:extLst xmlns:c16r2="http://schemas.microsoft.com/office/drawing/2015/06/chart">
            <c:ext xmlns:c16="http://schemas.microsoft.com/office/drawing/2014/chart" uri="{C3380CC4-5D6E-409C-BE32-E72D297353CC}">
              <c16:uniqueId val="{00000003-99C2-4BB5-8C60-EF504ED40226}"/>
            </c:ext>
          </c:extLst>
        </c:ser>
        <c:ser>
          <c:idx val="4"/>
          <c:order val="4"/>
          <c:tx>
            <c:strRef>
              <c:f>Sheet3!$A$6</c:f>
              <c:strCache>
                <c:ptCount val="1"/>
                <c:pt idx="0">
                  <c:v>EBL1STMF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Sheet3!$B$6</c:f>
              <c:numCache>
                <c:formatCode>_(* #,##0.00_);_(* \(#,##0.00\);_(* "-"??_);_(@_)</c:formatCode>
                <c:ptCount val="1"/>
                <c:pt idx="0">
                  <c:v>0.94504929865504239</c:v>
                </c:pt>
              </c:numCache>
            </c:numRef>
          </c:val>
          <c:extLst xmlns:c16r2="http://schemas.microsoft.com/office/drawing/2015/06/chart">
            <c:ext xmlns:c16="http://schemas.microsoft.com/office/drawing/2014/chart" uri="{C3380CC4-5D6E-409C-BE32-E72D297353CC}">
              <c16:uniqueId val="{00000004-99C2-4BB5-8C60-EF504ED40226}"/>
            </c:ext>
          </c:extLst>
        </c:ser>
        <c:ser>
          <c:idx val="5"/>
          <c:order val="5"/>
          <c:tx>
            <c:strRef>
              <c:f>Sheet3!$A$7</c:f>
              <c:strCache>
                <c:ptCount val="1"/>
                <c:pt idx="0">
                  <c:v>FBFIF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Sheet3!$B$7</c:f>
              <c:numCache>
                <c:formatCode>_(* #,##0.00_);_(* \(#,##0.00\);_(* "-"??_);_(@_)</c:formatCode>
                <c:ptCount val="1"/>
                <c:pt idx="0">
                  <c:v>1.0426879901893609</c:v>
                </c:pt>
              </c:numCache>
            </c:numRef>
          </c:val>
          <c:extLst xmlns:c16r2="http://schemas.microsoft.com/office/drawing/2015/06/chart">
            <c:ext xmlns:c16="http://schemas.microsoft.com/office/drawing/2014/chart" uri="{C3380CC4-5D6E-409C-BE32-E72D297353CC}">
              <c16:uniqueId val="{00000005-99C2-4BB5-8C60-EF504ED40226}"/>
            </c:ext>
          </c:extLst>
        </c:ser>
        <c:ser>
          <c:idx val="6"/>
          <c:order val="6"/>
          <c:tx>
            <c:strRef>
              <c:f>Sheet3!$A$8</c:f>
              <c:strCache>
                <c:ptCount val="1"/>
                <c:pt idx="0">
                  <c:v>EBLNRBMF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Sheet3!$B$8</c:f>
              <c:numCache>
                <c:formatCode>_(* #,##0.00_);_(* \(#,##0.00\);_(* "-"??_);_(@_)</c:formatCode>
                <c:ptCount val="1"/>
                <c:pt idx="0">
                  <c:v>1.1968888380100704</c:v>
                </c:pt>
              </c:numCache>
            </c:numRef>
          </c:val>
          <c:extLst xmlns:c16r2="http://schemas.microsoft.com/office/drawing/2015/06/chart">
            <c:ext xmlns:c16="http://schemas.microsoft.com/office/drawing/2014/chart" uri="{C3380CC4-5D6E-409C-BE32-E72D297353CC}">
              <c16:uniqueId val="{00000006-99C2-4BB5-8C60-EF504ED40226}"/>
            </c:ext>
          </c:extLst>
        </c:ser>
        <c:ser>
          <c:idx val="7"/>
          <c:order val="7"/>
          <c:tx>
            <c:strRef>
              <c:f>Sheet3!$A$9</c:f>
              <c:strCache>
                <c:ptCount val="1"/>
                <c:pt idx="0">
                  <c:v>1JANATAMF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Sheet3!$B$9</c:f>
              <c:numCache>
                <c:formatCode>_(* #,##0.00_);_(* \(#,##0.00\);_(* "-"??_);_(@_)</c:formatCode>
                <c:ptCount val="1"/>
                <c:pt idx="0">
                  <c:v>1.2661058867087156</c:v>
                </c:pt>
              </c:numCache>
            </c:numRef>
          </c:val>
          <c:extLst xmlns:c16r2="http://schemas.microsoft.com/office/drawing/2015/06/chart">
            <c:ext xmlns:c16="http://schemas.microsoft.com/office/drawing/2014/chart" uri="{C3380CC4-5D6E-409C-BE32-E72D297353CC}">
              <c16:uniqueId val="{00000007-99C2-4BB5-8C60-EF504ED40226}"/>
            </c:ext>
          </c:extLst>
        </c:ser>
        <c:ser>
          <c:idx val="8"/>
          <c:order val="8"/>
          <c:tx>
            <c:strRef>
              <c:f>Sheet3!$A$10</c:f>
              <c:strCache>
                <c:ptCount val="1"/>
                <c:pt idx="0">
                  <c:v>ABB1STMF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Sheet3!$B$10</c:f>
              <c:numCache>
                <c:formatCode>_(* #,##0.00_);_(* \(#,##0.00\);_(* "-"??_);_(@_)</c:formatCode>
                <c:ptCount val="1"/>
                <c:pt idx="0">
                  <c:v>1.3473346431640394</c:v>
                </c:pt>
              </c:numCache>
            </c:numRef>
          </c:val>
          <c:extLst xmlns:c16r2="http://schemas.microsoft.com/office/drawing/2015/06/chart">
            <c:ext xmlns:c16="http://schemas.microsoft.com/office/drawing/2014/chart" uri="{C3380CC4-5D6E-409C-BE32-E72D297353CC}">
              <c16:uniqueId val="{00000008-99C2-4BB5-8C60-EF504ED40226}"/>
            </c:ext>
          </c:extLst>
        </c:ser>
        <c:ser>
          <c:idx val="9"/>
          <c:order val="9"/>
          <c:tx>
            <c:strRef>
              <c:f>Sheet3!$A$11</c:f>
              <c:strCache>
                <c:ptCount val="1"/>
                <c:pt idx="0">
                  <c:v>1STPRIMFMF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Beta</c:v>
                </c:pt>
              </c:strCache>
            </c:strRef>
          </c:cat>
          <c:val>
            <c:numRef>
              <c:f>Sheet3!$B$11</c:f>
              <c:numCache>
                <c:formatCode>_(* #,##0.00_);_(* \(#,##0.00\);_(* "-"??_);_(@_)</c:formatCode>
                <c:ptCount val="1"/>
                <c:pt idx="0">
                  <c:v>1.5744476156120784</c:v>
                </c:pt>
              </c:numCache>
            </c:numRef>
          </c:val>
          <c:extLst xmlns:c16r2="http://schemas.microsoft.com/office/drawing/2015/06/chart">
            <c:ext xmlns:c16="http://schemas.microsoft.com/office/drawing/2014/chart" uri="{C3380CC4-5D6E-409C-BE32-E72D297353CC}">
              <c16:uniqueId val="{00000009-99C2-4BB5-8C60-EF504ED40226}"/>
            </c:ext>
          </c:extLst>
        </c:ser>
        <c:dLbls>
          <c:dLblPos val="outEnd"/>
          <c:showLegendKey val="0"/>
          <c:showVal val="1"/>
          <c:showCatName val="0"/>
          <c:showSerName val="0"/>
          <c:showPercent val="0"/>
          <c:showBubbleSize val="0"/>
        </c:dLbls>
        <c:gapWidth val="267"/>
        <c:overlap val="-43"/>
        <c:axId val="168384000"/>
        <c:axId val="168385536"/>
      </c:barChart>
      <c:catAx>
        <c:axId val="168384000"/>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168385536"/>
        <c:crosses val="autoZero"/>
        <c:auto val="1"/>
        <c:lblAlgn val="ctr"/>
        <c:lblOffset val="100"/>
        <c:noMultiLvlLbl val="0"/>
      </c:catAx>
      <c:valAx>
        <c:axId val="168385536"/>
        <c:scaling>
          <c:orientation val="minMax"/>
        </c:scaling>
        <c:delete val="1"/>
        <c:axPos val="l"/>
        <c:majorGridlines>
          <c:spPr>
            <a:ln w="9525" cap="flat" cmpd="sng" algn="ctr">
              <a:solidFill>
                <a:schemeClr val="dk1">
                  <a:lumMod val="15000"/>
                  <a:lumOff val="85000"/>
                </a:schemeClr>
              </a:solidFill>
              <a:round/>
            </a:ln>
            <a:effectLst/>
          </c:spPr>
        </c:majorGridlines>
        <c:numFmt formatCode="_(* #,##0.00_);_(* \(#,##0.00\);_(* &quot;-&quot;??_);_(@_)" sourceLinked="1"/>
        <c:majorTickMark val="none"/>
        <c:minorTickMark val="none"/>
        <c:tickLblPos val="nextTo"/>
        <c:crossAx val="168384000"/>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3582328432722131"/>
          <c:y val="0.15782108486439195"/>
          <c:w val="0.15019070168676468"/>
          <c:h val="0.78125546806649171"/>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Sharpe</a:t>
            </a:r>
            <a:r>
              <a:rPr lang="en-US" baseline="0"/>
              <a:t> Ratio Based on Daily Closing Pric</a:t>
            </a:r>
            <a:endParaRPr lang="en-US"/>
          </a:p>
        </c:rich>
      </c:tx>
      <c:layout>
        <c:manualLayout>
          <c:xMode val="edge"/>
          <c:yMode val="edge"/>
          <c:x val="2.28869647108065E-2"/>
          <c:y val="2.115428506219332E-3"/>
        </c:manualLayout>
      </c:layout>
      <c:overlay val="0"/>
      <c:spPr>
        <a:noFill/>
        <a:ln>
          <a:noFill/>
        </a:ln>
        <a:effectLst/>
      </c:spPr>
    </c:title>
    <c:autoTitleDeleted val="0"/>
    <c:plotArea>
      <c:layout>
        <c:manualLayout>
          <c:layoutTarget val="inner"/>
          <c:xMode val="edge"/>
          <c:yMode val="edge"/>
          <c:x val="2.4374030578329271E-2"/>
          <c:y val="0.22499047619047619"/>
          <c:w val="0.79518765560908033"/>
          <c:h val="0.69120000000000004"/>
        </c:manualLayout>
      </c:layout>
      <c:barChart>
        <c:barDir val="col"/>
        <c:grouping val="clustered"/>
        <c:varyColors val="0"/>
        <c:ser>
          <c:idx val="0"/>
          <c:order val="0"/>
          <c:tx>
            <c:strRef>
              <c:f>Sheet1!$A$5</c:f>
              <c:strCache>
                <c:ptCount val="1"/>
                <c:pt idx="0">
                  <c:v>DBH1STMF</c:v>
                </c:pt>
              </c:strCache>
            </c:strRef>
          </c:tx>
          <c:spPr>
            <a:solidFill>
              <a:schemeClr val="accent1"/>
            </a:solidFill>
            <a:ln>
              <a:noFill/>
            </a:ln>
            <a:effectLst/>
          </c:spPr>
          <c:invertIfNegative val="0"/>
          <c:dLbls>
            <c:dLbl>
              <c:idx val="0"/>
              <c:layout>
                <c:manualLayout>
                  <c:x val="-1.015572875445867E-17"/>
                  <c:y val="3.809523809523809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AD4-4234-B394-1E8B66AEEB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Sheet1!$B$4</c:f>
              <c:strCache>
                <c:ptCount val="1"/>
                <c:pt idx="0">
                  <c:v>Sharpe Ratio</c:v>
                </c:pt>
              </c:strCache>
            </c:strRef>
          </c:cat>
          <c:val>
            <c:numRef>
              <c:f>Sheet1!$B$5</c:f>
              <c:numCache>
                <c:formatCode>0.00%</c:formatCode>
                <c:ptCount val="1"/>
                <c:pt idx="0">
                  <c:v>1.3014272939710279E-2</c:v>
                </c:pt>
              </c:numCache>
            </c:numRef>
          </c:val>
          <c:extLst xmlns:c16r2="http://schemas.microsoft.com/office/drawing/2015/06/chart">
            <c:ext xmlns:c16="http://schemas.microsoft.com/office/drawing/2014/chart" uri="{C3380CC4-5D6E-409C-BE32-E72D297353CC}">
              <c16:uniqueId val="{00000001-9AD4-4234-B394-1E8B66AEEBB3}"/>
            </c:ext>
          </c:extLst>
        </c:ser>
        <c:ser>
          <c:idx val="1"/>
          <c:order val="1"/>
          <c:tx>
            <c:strRef>
              <c:f>Sheet1!$A$6</c:f>
              <c:strCache>
                <c:ptCount val="1"/>
                <c:pt idx="0">
                  <c:v>EBL1STMF</c:v>
                </c:pt>
              </c:strCache>
            </c:strRef>
          </c:tx>
          <c:spPr>
            <a:solidFill>
              <a:schemeClr val="accent2"/>
            </a:solidFill>
            <a:ln>
              <a:noFill/>
            </a:ln>
            <a:effectLst/>
          </c:spPr>
          <c:invertIfNegative val="0"/>
          <c:dLbls>
            <c:dLbl>
              <c:idx val="0"/>
              <c:layout>
                <c:manualLayout>
                  <c:x val="0"/>
                  <c:y val="2.285714285714285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AD4-4234-B394-1E8B66AEEB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Sheet1!$B$4</c:f>
              <c:strCache>
                <c:ptCount val="1"/>
                <c:pt idx="0">
                  <c:v>Sharpe Ratio</c:v>
                </c:pt>
              </c:strCache>
            </c:strRef>
          </c:cat>
          <c:val>
            <c:numRef>
              <c:f>Sheet1!$B$6</c:f>
              <c:numCache>
                <c:formatCode>0.00%</c:formatCode>
                <c:ptCount val="1"/>
                <c:pt idx="0">
                  <c:v>7.6194382727239086E-3</c:v>
                </c:pt>
              </c:numCache>
            </c:numRef>
          </c:val>
          <c:extLst xmlns:c16r2="http://schemas.microsoft.com/office/drawing/2015/06/chart">
            <c:ext xmlns:c16="http://schemas.microsoft.com/office/drawing/2014/chart" uri="{C3380CC4-5D6E-409C-BE32-E72D297353CC}">
              <c16:uniqueId val="{00000003-9AD4-4234-B394-1E8B66AEEBB3}"/>
            </c:ext>
          </c:extLst>
        </c:ser>
        <c:ser>
          <c:idx val="2"/>
          <c:order val="2"/>
          <c:tx>
            <c:strRef>
              <c:f>Sheet1!$A$7</c:f>
              <c:strCache>
                <c:ptCount val="1"/>
                <c:pt idx="0">
                  <c:v>AIBL1STIMF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Sheet1!$B$4</c:f>
              <c:strCache>
                <c:ptCount val="1"/>
                <c:pt idx="0">
                  <c:v>Sharpe Ratio</c:v>
                </c:pt>
              </c:strCache>
            </c:strRef>
          </c:cat>
          <c:val>
            <c:numRef>
              <c:f>Sheet1!$B$7</c:f>
              <c:numCache>
                <c:formatCode>0.00%</c:formatCode>
                <c:ptCount val="1"/>
                <c:pt idx="0">
                  <c:v>-9.938873472080275E-3</c:v>
                </c:pt>
              </c:numCache>
            </c:numRef>
          </c:val>
          <c:extLst xmlns:c16r2="http://schemas.microsoft.com/office/drawing/2015/06/chart">
            <c:ext xmlns:c16="http://schemas.microsoft.com/office/drawing/2014/chart" uri="{C3380CC4-5D6E-409C-BE32-E72D297353CC}">
              <c16:uniqueId val="{00000004-9AD4-4234-B394-1E8B66AEEBB3}"/>
            </c:ext>
          </c:extLst>
        </c:ser>
        <c:ser>
          <c:idx val="3"/>
          <c:order val="3"/>
          <c:tx>
            <c:strRef>
              <c:f>Sheet1!$A$8</c:f>
              <c:strCache>
                <c:ptCount val="1"/>
                <c:pt idx="0">
                  <c:v>ATCSLGF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Sheet1!$B$4</c:f>
              <c:strCache>
                <c:ptCount val="1"/>
                <c:pt idx="0">
                  <c:v>Sharpe Ratio</c:v>
                </c:pt>
              </c:strCache>
            </c:strRef>
          </c:cat>
          <c:val>
            <c:numRef>
              <c:f>Sheet1!$B$8</c:f>
              <c:numCache>
                <c:formatCode>0.00%</c:formatCode>
                <c:ptCount val="1"/>
                <c:pt idx="0">
                  <c:v>-1.3586506284873246E-2</c:v>
                </c:pt>
              </c:numCache>
            </c:numRef>
          </c:val>
          <c:extLst xmlns:c16r2="http://schemas.microsoft.com/office/drawing/2015/06/chart">
            <c:ext xmlns:c16="http://schemas.microsoft.com/office/drawing/2014/chart" uri="{C3380CC4-5D6E-409C-BE32-E72D297353CC}">
              <c16:uniqueId val="{00000005-9AD4-4234-B394-1E8B66AEEBB3}"/>
            </c:ext>
          </c:extLst>
        </c:ser>
        <c:ser>
          <c:idx val="4"/>
          <c:order val="4"/>
          <c:tx>
            <c:strRef>
              <c:f>Sheet1!$A$9</c:f>
              <c:strCache>
                <c:ptCount val="1"/>
                <c:pt idx="0">
                  <c:v>1STPRIMFMF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Sheet1!$B$4</c:f>
              <c:strCache>
                <c:ptCount val="1"/>
                <c:pt idx="0">
                  <c:v>Sharpe Ratio</c:v>
                </c:pt>
              </c:strCache>
            </c:strRef>
          </c:cat>
          <c:val>
            <c:numRef>
              <c:f>Sheet1!$B$9</c:f>
              <c:numCache>
                <c:formatCode>0.00%</c:formatCode>
                <c:ptCount val="1"/>
                <c:pt idx="0">
                  <c:v>-1.9634648782649911E-2</c:v>
                </c:pt>
              </c:numCache>
            </c:numRef>
          </c:val>
          <c:extLst xmlns:c16r2="http://schemas.microsoft.com/office/drawing/2015/06/chart">
            <c:ext xmlns:c16="http://schemas.microsoft.com/office/drawing/2014/chart" uri="{C3380CC4-5D6E-409C-BE32-E72D297353CC}">
              <c16:uniqueId val="{00000006-9AD4-4234-B394-1E8B66AEEBB3}"/>
            </c:ext>
          </c:extLst>
        </c:ser>
        <c:ser>
          <c:idx val="5"/>
          <c:order val="5"/>
          <c:tx>
            <c:strRef>
              <c:f>Sheet1!$A$10</c:f>
              <c:strCache>
                <c:ptCount val="1"/>
                <c:pt idx="0">
                  <c:v>1JANATAMF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Sheet1!$B$4</c:f>
              <c:strCache>
                <c:ptCount val="1"/>
                <c:pt idx="0">
                  <c:v>Sharpe Ratio</c:v>
                </c:pt>
              </c:strCache>
            </c:strRef>
          </c:cat>
          <c:val>
            <c:numRef>
              <c:f>Sheet1!$B$10</c:f>
              <c:numCache>
                <c:formatCode>0.00%</c:formatCode>
                <c:ptCount val="1"/>
                <c:pt idx="0">
                  <c:v>-2.7084964091510171E-2</c:v>
                </c:pt>
              </c:numCache>
            </c:numRef>
          </c:val>
          <c:extLst xmlns:c16r2="http://schemas.microsoft.com/office/drawing/2015/06/chart">
            <c:ext xmlns:c16="http://schemas.microsoft.com/office/drawing/2014/chart" uri="{C3380CC4-5D6E-409C-BE32-E72D297353CC}">
              <c16:uniqueId val="{00000007-9AD4-4234-B394-1E8B66AEEBB3}"/>
            </c:ext>
          </c:extLst>
        </c:ser>
        <c:ser>
          <c:idx val="6"/>
          <c:order val="6"/>
          <c:tx>
            <c:strRef>
              <c:f>Sheet1!$A$11</c:f>
              <c:strCache>
                <c:ptCount val="1"/>
                <c:pt idx="0">
                  <c:v>ABB1STMF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Sheet1!$B$4</c:f>
              <c:strCache>
                <c:ptCount val="1"/>
                <c:pt idx="0">
                  <c:v>Sharpe Ratio</c:v>
                </c:pt>
              </c:strCache>
            </c:strRef>
          </c:cat>
          <c:val>
            <c:numRef>
              <c:f>Sheet1!$B$11</c:f>
              <c:numCache>
                <c:formatCode>0.00%</c:formatCode>
                <c:ptCount val="1"/>
                <c:pt idx="0">
                  <c:v>-2.9702280531992808E-2</c:v>
                </c:pt>
              </c:numCache>
            </c:numRef>
          </c:val>
          <c:extLst xmlns:c16r2="http://schemas.microsoft.com/office/drawing/2015/06/chart">
            <c:ext xmlns:c16="http://schemas.microsoft.com/office/drawing/2014/chart" uri="{C3380CC4-5D6E-409C-BE32-E72D297353CC}">
              <c16:uniqueId val="{00000008-9AD4-4234-B394-1E8B66AEEBB3}"/>
            </c:ext>
          </c:extLst>
        </c:ser>
        <c:ser>
          <c:idx val="7"/>
          <c:order val="7"/>
          <c:tx>
            <c:strRef>
              <c:f>Sheet1!$A$12</c:f>
              <c:strCache>
                <c:ptCount val="1"/>
                <c:pt idx="0">
                  <c:v>EBLNRBMF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Sheet1!$B$4</c:f>
              <c:strCache>
                <c:ptCount val="1"/>
                <c:pt idx="0">
                  <c:v>Sharpe Ratio</c:v>
                </c:pt>
              </c:strCache>
            </c:strRef>
          </c:cat>
          <c:val>
            <c:numRef>
              <c:f>Sheet1!$B$12</c:f>
              <c:numCache>
                <c:formatCode>0.00%</c:formatCode>
                <c:ptCount val="1"/>
                <c:pt idx="0">
                  <c:v>-3.9639587247726392E-2</c:v>
                </c:pt>
              </c:numCache>
            </c:numRef>
          </c:val>
          <c:extLst xmlns:c16r2="http://schemas.microsoft.com/office/drawing/2015/06/chart">
            <c:ext xmlns:c16="http://schemas.microsoft.com/office/drawing/2014/chart" uri="{C3380CC4-5D6E-409C-BE32-E72D297353CC}">
              <c16:uniqueId val="{00000009-9AD4-4234-B394-1E8B66AEEBB3}"/>
            </c:ext>
          </c:extLst>
        </c:ser>
        <c:ser>
          <c:idx val="8"/>
          <c:order val="8"/>
          <c:tx>
            <c:strRef>
              <c:f>Sheet1!$A$13</c:f>
              <c:strCache>
                <c:ptCount val="1"/>
                <c:pt idx="0">
                  <c:v>FBFIF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Sheet1!$B$4</c:f>
              <c:strCache>
                <c:ptCount val="1"/>
                <c:pt idx="0">
                  <c:v>Sharpe Ratio</c:v>
                </c:pt>
              </c:strCache>
            </c:strRef>
          </c:cat>
          <c:val>
            <c:numRef>
              <c:f>Sheet1!$B$13</c:f>
              <c:numCache>
                <c:formatCode>0.00%</c:formatCode>
                <c:ptCount val="1"/>
                <c:pt idx="0">
                  <c:v>-4.1377874137073334E-2</c:v>
                </c:pt>
              </c:numCache>
            </c:numRef>
          </c:val>
          <c:extLst xmlns:c16r2="http://schemas.microsoft.com/office/drawing/2015/06/chart">
            <c:ext xmlns:c16="http://schemas.microsoft.com/office/drawing/2014/chart" uri="{C3380CC4-5D6E-409C-BE32-E72D297353CC}">
              <c16:uniqueId val="{0000000A-9AD4-4234-B394-1E8B66AEEBB3}"/>
            </c:ext>
          </c:extLst>
        </c:ser>
        <c:ser>
          <c:idx val="9"/>
          <c:order val="9"/>
          <c:tx>
            <c:strRef>
              <c:f>Sheet1!$A$14</c:f>
              <c:strCache>
                <c:ptCount val="1"/>
                <c:pt idx="0">
                  <c:v>EXIM1STMF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Sheet1!$B$4</c:f>
              <c:strCache>
                <c:ptCount val="1"/>
                <c:pt idx="0">
                  <c:v>Sharpe Ratio</c:v>
                </c:pt>
              </c:strCache>
            </c:strRef>
          </c:cat>
          <c:val>
            <c:numRef>
              <c:f>Sheet1!$B$14</c:f>
              <c:numCache>
                <c:formatCode>0.00%</c:formatCode>
                <c:ptCount val="1"/>
                <c:pt idx="0">
                  <c:v>-4.7451623927551555E-2</c:v>
                </c:pt>
              </c:numCache>
            </c:numRef>
          </c:val>
          <c:extLst xmlns:c16r2="http://schemas.microsoft.com/office/drawing/2015/06/chart">
            <c:ext xmlns:c16="http://schemas.microsoft.com/office/drawing/2014/chart" uri="{C3380CC4-5D6E-409C-BE32-E72D297353CC}">
              <c16:uniqueId val="{0000000B-9AD4-4234-B394-1E8B66AEEBB3}"/>
            </c:ext>
          </c:extLst>
        </c:ser>
        <c:dLbls>
          <c:dLblPos val="outEnd"/>
          <c:showLegendKey val="0"/>
          <c:showVal val="1"/>
          <c:showCatName val="0"/>
          <c:showSerName val="0"/>
          <c:showPercent val="0"/>
          <c:showBubbleSize val="0"/>
        </c:dLbls>
        <c:gapWidth val="267"/>
        <c:overlap val="-43"/>
        <c:axId val="169810944"/>
        <c:axId val="169829120"/>
      </c:barChart>
      <c:catAx>
        <c:axId val="169810944"/>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169829120"/>
        <c:crosses val="autoZero"/>
        <c:auto val="1"/>
        <c:lblAlgn val="ctr"/>
        <c:lblOffset val="100"/>
        <c:noMultiLvlLbl val="0"/>
      </c:catAx>
      <c:valAx>
        <c:axId val="169829120"/>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169810944"/>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0435608048993879"/>
          <c:y val="0.1013396762904637"/>
          <c:w val="0.17897725284339458"/>
          <c:h val="0.85532954214056589"/>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Weekly Avg. Return of MF &amp; DSEX</a:t>
            </a:r>
          </a:p>
        </c:rich>
      </c:tx>
      <c:layout>
        <c:manualLayout>
          <c:xMode val="edge"/>
          <c:yMode val="edge"/>
          <c:x val="1.2078548320994757E-2"/>
          <c:y val="2.7568318666049084E-3"/>
        </c:manualLayout>
      </c:layout>
      <c:overlay val="0"/>
      <c:spPr>
        <a:noFill/>
        <a:ln>
          <a:noFill/>
        </a:ln>
        <a:effectLst/>
      </c:spPr>
    </c:title>
    <c:autoTitleDeleted val="0"/>
    <c:plotArea>
      <c:layout>
        <c:manualLayout>
          <c:layoutTarget val="inner"/>
          <c:xMode val="edge"/>
          <c:yMode val="edge"/>
          <c:x val="1.6840640407242126E-2"/>
          <c:y val="0.14356147789218654"/>
          <c:w val="0.72029124266443434"/>
          <c:h val="0.83045789554943383"/>
        </c:manualLayout>
      </c:layout>
      <c:barChart>
        <c:barDir val="col"/>
        <c:grouping val="clustered"/>
        <c:varyColors val="0"/>
        <c:ser>
          <c:idx val="0"/>
          <c:order val="0"/>
          <c:tx>
            <c:strRef>
              <c:f>Sheet4!$A$2</c:f>
              <c:strCache>
                <c:ptCount val="1"/>
                <c:pt idx="0">
                  <c:v>T-Bill (Weekly Interest)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Average Return</c:v>
                </c:pt>
              </c:strCache>
            </c:strRef>
          </c:cat>
          <c:val>
            <c:numRef>
              <c:f>Sheet4!$B$2</c:f>
              <c:numCache>
                <c:formatCode>0.00%</c:formatCode>
                <c:ptCount val="1"/>
                <c:pt idx="0">
                  <c:v>1.0576923076923077E-3</c:v>
                </c:pt>
              </c:numCache>
            </c:numRef>
          </c:val>
          <c:extLst xmlns:c16r2="http://schemas.microsoft.com/office/drawing/2015/06/chart">
            <c:ext xmlns:c16="http://schemas.microsoft.com/office/drawing/2014/chart" uri="{C3380CC4-5D6E-409C-BE32-E72D297353CC}">
              <c16:uniqueId val="{00000000-8627-4F35-AC15-300797B3C9C6}"/>
            </c:ext>
          </c:extLst>
        </c:ser>
        <c:ser>
          <c:idx val="1"/>
          <c:order val="1"/>
          <c:tx>
            <c:strRef>
              <c:f>Sheet4!$A$3</c:f>
              <c:strCache>
                <c:ptCount val="1"/>
                <c:pt idx="0">
                  <c:v>DSEX</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Average Return</c:v>
                </c:pt>
              </c:strCache>
            </c:strRef>
          </c:cat>
          <c:val>
            <c:numRef>
              <c:f>Sheet4!$B$3</c:f>
              <c:numCache>
                <c:formatCode>0.00%</c:formatCode>
                <c:ptCount val="1"/>
                <c:pt idx="0">
                  <c:v>8.0163502475688196E-4</c:v>
                </c:pt>
              </c:numCache>
            </c:numRef>
          </c:val>
          <c:extLst xmlns:c16r2="http://schemas.microsoft.com/office/drawing/2015/06/chart">
            <c:ext xmlns:c16="http://schemas.microsoft.com/office/drawing/2014/chart" uri="{C3380CC4-5D6E-409C-BE32-E72D297353CC}">
              <c16:uniqueId val="{00000001-8627-4F35-AC15-300797B3C9C6}"/>
            </c:ext>
          </c:extLst>
        </c:ser>
        <c:ser>
          <c:idx val="2"/>
          <c:order val="2"/>
          <c:tx>
            <c:strRef>
              <c:f>Sheet4!$A$4</c:f>
              <c:strCache>
                <c:ptCount val="1"/>
                <c:pt idx="0">
                  <c:v>DBH1STMF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Average Return</c:v>
                </c:pt>
              </c:strCache>
            </c:strRef>
          </c:cat>
          <c:val>
            <c:numRef>
              <c:f>Sheet4!$B$4</c:f>
              <c:numCache>
                <c:formatCode>0.00%</c:formatCode>
                <c:ptCount val="1"/>
                <c:pt idx="0">
                  <c:v>7.4527286039685159E-4</c:v>
                </c:pt>
              </c:numCache>
            </c:numRef>
          </c:val>
          <c:extLst xmlns:c16r2="http://schemas.microsoft.com/office/drawing/2015/06/chart">
            <c:ext xmlns:c16="http://schemas.microsoft.com/office/drawing/2014/chart" uri="{C3380CC4-5D6E-409C-BE32-E72D297353CC}">
              <c16:uniqueId val="{00000002-8627-4F35-AC15-300797B3C9C6}"/>
            </c:ext>
          </c:extLst>
        </c:ser>
        <c:ser>
          <c:idx val="3"/>
          <c:order val="3"/>
          <c:tx>
            <c:strRef>
              <c:f>Sheet4!$A$5</c:f>
              <c:strCache>
                <c:ptCount val="1"/>
                <c:pt idx="0">
                  <c:v>ATCSLGF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Average Return</c:v>
                </c:pt>
              </c:strCache>
            </c:strRef>
          </c:cat>
          <c:val>
            <c:numRef>
              <c:f>Sheet4!$B$5</c:f>
              <c:numCache>
                <c:formatCode>0.00%</c:formatCode>
                <c:ptCount val="1"/>
                <c:pt idx="0">
                  <c:v>5.2381719417697082E-4</c:v>
                </c:pt>
              </c:numCache>
            </c:numRef>
          </c:val>
          <c:extLst xmlns:c16r2="http://schemas.microsoft.com/office/drawing/2015/06/chart">
            <c:ext xmlns:c16="http://schemas.microsoft.com/office/drawing/2014/chart" uri="{C3380CC4-5D6E-409C-BE32-E72D297353CC}">
              <c16:uniqueId val="{00000003-8627-4F35-AC15-300797B3C9C6}"/>
            </c:ext>
          </c:extLst>
        </c:ser>
        <c:ser>
          <c:idx val="4"/>
          <c:order val="4"/>
          <c:tx>
            <c:strRef>
              <c:f>Sheet4!$A$6</c:f>
              <c:strCache>
                <c:ptCount val="1"/>
                <c:pt idx="0">
                  <c:v>EBL1STMF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Average Return</c:v>
                </c:pt>
              </c:strCache>
            </c:strRef>
          </c:cat>
          <c:val>
            <c:numRef>
              <c:f>Sheet4!$B$6</c:f>
              <c:numCache>
                <c:formatCode>0.00%</c:formatCode>
                <c:ptCount val="1"/>
                <c:pt idx="0">
                  <c:v>4.9302210370944953E-4</c:v>
                </c:pt>
              </c:numCache>
            </c:numRef>
          </c:val>
          <c:extLst xmlns:c16r2="http://schemas.microsoft.com/office/drawing/2015/06/chart">
            <c:ext xmlns:c16="http://schemas.microsoft.com/office/drawing/2014/chart" uri="{C3380CC4-5D6E-409C-BE32-E72D297353CC}">
              <c16:uniqueId val="{00000004-8627-4F35-AC15-300797B3C9C6}"/>
            </c:ext>
          </c:extLst>
        </c:ser>
        <c:ser>
          <c:idx val="5"/>
          <c:order val="5"/>
          <c:tx>
            <c:strRef>
              <c:f>Sheet4!$A$7</c:f>
              <c:strCache>
                <c:ptCount val="1"/>
                <c:pt idx="0">
                  <c:v>EXIM1STMF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Average Return</c:v>
                </c:pt>
              </c:strCache>
            </c:strRef>
          </c:cat>
          <c:val>
            <c:numRef>
              <c:f>Sheet4!$B$7</c:f>
              <c:numCache>
                <c:formatCode>0.00%</c:formatCode>
                <c:ptCount val="1"/>
                <c:pt idx="0">
                  <c:v>4.2538789512698203E-4</c:v>
                </c:pt>
              </c:numCache>
            </c:numRef>
          </c:val>
          <c:extLst xmlns:c16r2="http://schemas.microsoft.com/office/drawing/2015/06/chart">
            <c:ext xmlns:c16="http://schemas.microsoft.com/office/drawing/2014/chart" uri="{C3380CC4-5D6E-409C-BE32-E72D297353CC}">
              <c16:uniqueId val="{00000005-8627-4F35-AC15-300797B3C9C6}"/>
            </c:ext>
          </c:extLst>
        </c:ser>
        <c:ser>
          <c:idx val="6"/>
          <c:order val="6"/>
          <c:tx>
            <c:strRef>
              <c:f>Sheet4!$A$8</c:f>
              <c:strCache>
                <c:ptCount val="1"/>
                <c:pt idx="0">
                  <c:v>AIBL1STIMF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Average Return</c:v>
                </c:pt>
              </c:strCache>
            </c:strRef>
          </c:cat>
          <c:val>
            <c:numRef>
              <c:f>Sheet4!$B$8</c:f>
              <c:numCache>
                <c:formatCode>0.00%</c:formatCode>
                <c:ptCount val="1"/>
                <c:pt idx="0">
                  <c:v>3.4868081866258317E-4</c:v>
                </c:pt>
              </c:numCache>
            </c:numRef>
          </c:val>
          <c:extLst xmlns:c16r2="http://schemas.microsoft.com/office/drawing/2015/06/chart">
            <c:ext xmlns:c16="http://schemas.microsoft.com/office/drawing/2014/chart" uri="{C3380CC4-5D6E-409C-BE32-E72D297353CC}">
              <c16:uniqueId val="{00000006-8627-4F35-AC15-300797B3C9C6}"/>
            </c:ext>
          </c:extLst>
        </c:ser>
        <c:ser>
          <c:idx val="7"/>
          <c:order val="7"/>
          <c:tx>
            <c:strRef>
              <c:f>Sheet4!$A$9</c:f>
              <c:strCache>
                <c:ptCount val="1"/>
                <c:pt idx="0">
                  <c:v>EBLNRBMF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Average Return</c:v>
                </c:pt>
              </c:strCache>
            </c:strRef>
          </c:cat>
          <c:val>
            <c:numRef>
              <c:f>Sheet4!$B$9</c:f>
              <c:numCache>
                <c:formatCode>0.00%</c:formatCode>
                <c:ptCount val="1"/>
                <c:pt idx="0">
                  <c:v>2.1452628337542264E-4</c:v>
                </c:pt>
              </c:numCache>
            </c:numRef>
          </c:val>
          <c:extLst xmlns:c16r2="http://schemas.microsoft.com/office/drawing/2015/06/chart">
            <c:ext xmlns:c16="http://schemas.microsoft.com/office/drawing/2014/chart" uri="{C3380CC4-5D6E-409C-BE32-E72D297353CC}">
              <c16:uniqueId val="{00000007-8627-4F35-AC15-300797B3C9C6}"/>
            </c:ext>
          </c:extLst>
        </c:ser>
        <c:ser>
          <c:idx val="8"/>
          <c:order val="8"/>
          <c:tx>
            <c:strRef>
              <c:f>Sheet4!$A$10</c:f>
              <c:strCache>
                <c:ptCount val="1"/>
                <c:pt idx="0">
                  <c:v>ABB1STMF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Average Return</c:v>
                </c:pt>
              </c:strCache>
            </c:strRef>
          </c:cat>
          <c:val>
            <c:numRef>
              <c:f>Sheet4!$B$10</c:f>
              <c:numCache>
                <c:formatCode>0.00%</c:formatCode>
                <c:ptCount val="1"/>
                <c:pt idx="0">
                  <c:v>2.0687409724535769E-4</c:v>
                </c:pt>
              </c:numCache>
            </c:numRef>
          </c:val>
          <c:extLst xmlns:c16r2="http://schemas.microsoft.com/office/drawing/2015/06/chart">
            <c:ext xmlns:c16="http://schemas.microsoft.com/office/drawing/2014/chart" uri="{C3380CC4-5D6E-409C-BE32-E72D297353CC}">
              <c16:uniqueId val="{00000008-8627-4F35-AC15-300797B3C9C6}"/>
            </c:ext>
          </c:extLst>
        </c:ser>
        <c:ser>
          <c:idx val="9"/>
          <c:order val="9"/>
          <c:tx>
            <c:strRef>
              <c:f>Sheet4!$A$11</c:f>
              <c:strCache>
                <c:ptCount val="1"/>
                <c:pt idx="0">
                  <c:v>FBFIF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Average Return</c:v>
                </c:pt>
              </c:strCache>
            </c:strRef>
          </c:cat>
          <c:val>
            <c:numRef>
              <c:f>Sheet4!$B$11</c:f>
              <c:numCache>
                <c:formatCode>0.00%</c:formatCode>
                <c:ptCount val="1"/>
                <c:pt idx="0">
                  <c:v>1.0662438799804512E-4</c:v>
                </c:pt>
              </c:numCache>
            </c:numRef>
          </c:val>
          <c:extLst xmlns:c16r2="http://schemas.microsoft.com/office/drawing/2015/06/chart">
            <c:ext xmlns:c16="http://schemas.microsoft.com/office/drawing/2014/chart" uri="{C3380CC4-5D6E-409C-BE32-E72D297353CC}">
              <c16:uniqueId val="{00000009-8627-4F35-AC15-300797B3C9C6}"/>
            </c:ext>
          </c:extLst>
        </c:ser>
        <c:ser>
          <c:idx val="10"/>
          <c:order val="10"/>
          <c:tx>
            <c:strRef>
              <c:f>Sheet4!$A$12</c:f>
              <c:strCache>
                <c:ptCount val="1"/>
                <c:pt idx="0">
                  <c:v>1JANATAMF</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Average Return</c:v>
                </c:pt>
              </c:strCache>
            </c:strRef>
          </c:cat>
          <c:val>
            <c:numRef>
              <c:f>Sheet4!$B$12</c:f>
              <c:numCache>
                <c:formatCode>0.00%</c:formatCode>
                <c:ptCount val="1"/>
                <c:pt idx="0">
                  <c:v>9.9909134612469644E-5</c:v>
                </c:pt>
              </c:numCache>
            </c:numRef>
          </c:val>
          <c:extLst xmlns:c16r2="http://schemas.microsoft.com/office/drawing/2015/06/chart">
            <c:ext xmlns:c16="http://schemas.microsoft.com/office/drawing/2014/chart" uri="{C3380CC4-5D6E-409C-BE32-E72D297353CC}">
              <c16:uniqueId val="{0000000A-8627-4F35-AC15-300797B3C9C6}"/>
            </c:ext>
          </c:extLst>
        </c:ser>
        <c:ser>
          <c:idx val="11"/>
          <c:order val="11"/>
          <c:tx>
            <c:strRef>
              <c:f>Sheet4!$A$13</c:f>
              <c:strCache>
                <c:ptCount val="1"/>
                <c:pt idx="0">
                  <c:v>1STPRIMFMF</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Average Return</c:v>
                </c:pt>
              </c:strCache>
            </c:strRef>
          </c:cat>
          <c:val>
            <c:numRef>
              <c:f>Sheet4!$B$13</c:f>
              <c:numCache>
                <c:formatCode>0.00%</c:formatCode>
                <c:ptCount val="1"/>
                <c:pt idx="0">
                  <c:v>-4.34828638581078E-4</c:v>
                </c:pt>
              </c:numCache>
            </c:numRef>
          </c:val>
          <c:extLst xmlns:c16r2="http://schemas.microsoft.com/office/drawing/2015/06/chart">
            <c:ext xmlns:c16="http://schemas.microsoft.com/office/drawing/2014/chart" uri="{C3380CC4-5D6E-409C-BE32-E72D297353CC}">
              <c16:uniqueId val="{0000000B-8627-4F35-AC15-300797B3C9C6}"/>
            </c:ext>
          </c:extLst>
        </c:ser>
        <c:dLbls>
          <c:dLblPos val="outEnd"/>
          <c:showLegendKey val="0"/>
          <c:showVal val="1"/>
          <c:showCatName val="0"/>
          <c:showSerName val="0"/>
          <c:showPercent val="0"/>
          <c:showBubbleSize val="0"/>
        </c:dLbls>
        <c:gapWidth val="267"/>
        <c:overlap val="-43"/>
        <c:axId val="228828288"/>
        <c:axId val="228829824"/>
      </c:barChart>
      <c:catAx>
        <c:axId val="228828288"/>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28829824"/>
        <c:crosses val="autoZero"/>
        <c:auto val="1"/>
        <c:lblAlgn val="ctr"/>
        <c:lblOffset val="100"/>
        <c:noMultiLvlLbl val="0"/>
      </c:catAx>
      <c:valAx>
        <c:axId val="228829824"/>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228828288"/>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75440482730356384"/>
          <c:y val="2.0554815263476682E-2"/>
          <c:w val="0.23447493481919413"/>
          <c:h val="0.96713749242883096"/>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Treynor</a:t>
            </a:r>
            <a:r>
              <a:rPr lang="en-US" baseline="0"/>
              <a:t> Ratio Based on Daily Closing Price</a:t>
            </a:r>
            <a:endParaRPr lang="en-US"/>
          </a:p>
        </c:rich>
      </c:tx>
      <c:layout>
        <c:manualLayout>
          <c:xMode val="edge"/>
          <c:yMode val="edge"/>
          <c:x val="2.3638888888888886E-2"/>
          <c:y val="2.7777777777777776E-2"/>
        </c:manualLayout>
      </c:layout>
      <c:overlay val="0"/>
      <c:spPr>
        <a:noFill/>
        <a:ln>
          <a:noFill/>
        </a:ln>
        <a:effectLst/>
      </c:spPr>
    </c:title>
    <c:autoTitleDeleted val="0"/>
    <c:plotArea>
      <c:layout>
        <c:manualLayout>
          <c:layoutTarget val="inner"/>
          <c:xMode val="edge"/>
          <c:yMode val="edge"/>
          <c:x val="1.5110196652554109E-2"/>
          <c:y val="0.22865704286964125"/>
          <c:w val="0.81673476745055107"/>
          <c:h val="0.77083900226757374"/>
        </c:manualLayout>
      </c:layout>
      <c:barChart>
        <c:barDir val="col"/>
        <c:grouping val="clustered"/>
        <c:varyColors val="0"/>
        <c:ser>
          <c:idx val="0"/>
          <c:order val="0"/>
          <c:tx>
            <c:strRef>
              <c:f>Sheet2!$A$2</c:f>
              <c:strCache>
                <c:ptCount val="1"/>
                <c:pt idx="0">
                  <c:v>DBH1STMF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Sheet2!$B$2</c:f>
              <c:numCache>
                <c:formatCode>0.000%</c:formatCode>
                <c:ptCount val="1"/>
                <c:pt idx="0">
                  <c:v>4.1435725000263293E-4</c:v>
                </c:pt>
              </c:numCache>
            </c:numRef>
          </c:val>
          <c:extLst xmlns:c16r2="http://schemas.microsoft.com/office/drawing/2015/06/chart">
            <c:ext xmlns:c16="http://schemas.microsoft.com/office/drawing/2014/chart" uri="{C3380CC4-5D6E-409C-BE32-E72D297353CC}">
              <c16:uniqueId val="{00000000-F0BA-4268-BD07-45318ED4A1B7}"/>
            </c:ext>
          </c:extLst>
        </c:ser>
        <c:ser>
          <c:idx val="1"/>
          <c:order val="1"/>
          <c:tx>
            <c:strRef>
              <c:f>Sheet2!$A$3</c:f>
              <c:strCache>
                <c:ptCount val="1"/>
                <c:pt idx="0">
                  <c:v>EBL1STMF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Sheet2!$B$3</c:f>
              <c:numCache>
                <c:formatCode>0.000%</c:formatCode>
                <c:ptCount val="1"/>
                <c:pt idx="0">
                  <c:v>2.3707845798595767E-4</c:v>
                </c:pt>
              </c:numCache>
            </c:numRef>
          </c:val>
          <c:extLst xmlns:c16r2="http://schemas.microsoft.com/office/drawing/2015/06/chart">
            <c:ext xmlns:c16="http://schemas.microsoft.com/office/drawing/2014/chart" uri="{C3380CC4-5D6E-409C-BE32-E72D297353CC}">
              <c16:uniqueId val="{00000001-F0BA-4268-BD07-45318ED4A1B7}"/>
            </c:ext>
          </c:extLst>
        </c:ser>
        <c:ser>
          <c:idx val="2"/>
          <c:order val="2"/>
          <c:tx>
            <c:strRef>
              <c:f>Sheet2!$A$4</c:f>
              <c:strCache>
                <c:ptCount val="1"/>
                <c:pt idx="0">
                  <c:v>AIBL1STIMF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Sheet2!$B$4</c:f>
              <c:numCache>
                <c:formatCode>0.000%</c:formatCode>
                <c:ptCount val="1"/>
                <c:pt idx="0">
                  <c:v>-3.0050826604864476E-4</c:v>
                </c:pt>
              </c:numCache>
            </c:numRef>
          </c:val>
          <c:extLst xmlns:c16r2="http://schemas.microsoft.com/office/drawing/2015/06/chart">
            <c:ext xmlns:c16="http://schemas.microsoft.com/office/drawing/2014/chart" uri="{C3380CC4-5D6E-409C-BE32-E72D297353CC}">
              <c16:uniqueId val="{00000002-F0BA-4268-BD07-45318ED4A1B7}"/>
            </c:ext>
          </c:extLst>
        </c:ser>
        <c:ser>
          <c:idx val="3"/>
          <c:order val="3"/>
          <c:tx>
            <c:strRef>
              <c:f>Sheet2!$A$5</c:f>
              <c:strCache>
                <c:ptCount val="1"/>
                <c:pt idx="0">
                  <c:v>1STPRIMFMF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Sheet2!$B$5</c:f>
              <c:numCache>
                <c:formatCode>0.000%</c:formatCode>
                <c:ptCount val="1"/>
                <c:pt idx="0">
                  <c:v>-3.8489314739528345E-4</c:v>
                </c:pt>
              </c:numCache>
            </c:numRef>
          </c:val>
          <c:extLst xmlns:c16r2="http://schemas.microsoft.com/office/drawing/2015/06/chart">
            <c:ext xmlns:c16="http://schemas.microsoft.com/office/drawing/2014/chart" uri="{C3380CC4-5D6E-409C-BE32-E72D297353CC}">
              <c16:uniqueId val="{00000003-F0BA-4268-BD07-45318ED4A1B7}"/>
            </c:ext>
          </c:extLst>
        </c:ser>
        <c:ser>
          <c:idx val="4"/>
          <c:order val="4"/>
          <c:tx>
            <c:strRef>
              <c:f>Sheet2!$A$6</c:f>
              <c:strCache>
                <c:ptCount val="1"/>
                <c:pt idx="0">
                  <c:v>ATCSLGF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Sheet2!$B$6</c:f>
              <c:numCache>
                <c:formatCode>0.000%</c:formatCode>
                <c:ptCount val="1"/>
                <c:pt idx="0">
                  <c:v>-4.8266304018205043E-4</c:v>
                </c:pt>
              </c:numCache>
            </c:numRef>
          </c:val>
          <c:extLst xmlns:c16r2="http://schemas.microsoft.com/office/drawing/2015/06/chart">
            <c:ext xmlns:c16="http://schemas.microsoft.com/office/drawing/2014/chart" uri="{C3380CC4-5D6E-409C-BE32-E72D297353CC}">
              <c16:uniqueId val="{00000004-F0BA-4268-BD07-45318ED4A1B7}"/>
            </c:ext>
          </c:extLst>
        </c:ser>
        <c:ser>
          <c:idx val="5"/>
          <c:order val="5"/>
          <c:tx>
            <c:strRef>
              <c:f>Sheet2!$A$7</c:f>
              <c:strCache>
                <c:ptCount val="1"/>
                <c:pt idx="0">
                  <c:v>ABB1STMF</c:v>
                </c:pt>
              </c:strCache>
            </c:strRef>
          </c:tx>
          <c:spPr>
            <a:solidFill>
              <a:schemeClr val="accent6"/>
            </a:solidFill>
            <a:ln>
              <a:noFill/>
            </a:ln>
            <a:effectLst/>
          </c:spPr>
          <c:invertIfNegative val="0"/>
          <c:dLbls>
            <c:dLbl>
              <c:idx val="0"/>
              <c:layout>
                <c:manualLayout>
                  <c:x val="0"/>
                  <c:y val="-1.731567644953463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0BA-4268-BD07-45318ED4A1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Sheet2!$B$1</c:f>
              <c:strCache>
                <c:ptCount val="1"/>
                <c:pt idx="0">
                  <c:v>Treynor Ratio</c:v>
                </c:pt>
              </c:strCache>
            </c:strRef>
          </c:cat>
          <c:val>
            <c:numRef>
              <c:f>Sheet2!$B$7</c:f>
              <c:numCache>
                <c:formatCode>0.000%</c:formatCode>
                <c:ptCount val="1"/>
                <c:pt idx="0">
                  <c:v>-5.1986021417391387E-4</c:v>
                </c:pt>
              </c:numCache>
            </c:numRef>
          </c:val>
          <c:extLst xmlns:c16r2="http://schemas.microsoft.com/office/drawing/2015/06/chart">
            <c:ext xmlns:c16="http://schemas.microsoft.com/office/drawing/2014/chart" uri="{C3380CC4-5D6E-409C-BE32-E72D297353CC}">
              <c16:uniqueId val="{00000006-F0BA-4268-BD07-45318ED4A1B7}"/>
            </c:ext>
          </c:extLst>
        </c:ser>
        <c:ser>
          <c:idx val="6"/>
          <c:order val="6"/>
          <c:tx>
            <c:strRef>
              <c:f>Sheet2!$A$8</c:f>
              <c:strCache>
                <c:ptCount val="1"/>
                <c:pt idx="0">
                  <c:v>1JANATAMF</c:v>
                </c:pt>
              </c:strCache>
            </c:strRef>
          </c:tx>
          <c:spPr>
            <a:solidFill>
              <a:schemeClr val="accent1">
                <a:lumMod val="60000"/>
              </a:schemeClr>
            </a:solidFill>
            <a:ln>
              <a:noFill/>
            </a:ln>
            <a:effectLst/>
          </c:spPr>
          <c:invertIfNegative val="0"/>
          <c:dLbls>
            <c:dLbl>
              <c:idx val="0"/>
              <c:layout>
                <c:manualLayout>
                  <c:x val="0"/>
                  <c:y val="-4.328902069059533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0BA-4268-BD07-45318ED4A1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Sheet2!$B$1</c:f>
              <c:strCache>
                <c:ptCount val="1"/>
                <c:pt idx="0">
                  <c:v>Treynor Ratio</c:v>
                </c:pt>
              </c:strCache>
            </c:strRef>
          </c:cat>
          <c:val>
            <c:numRef>
              <c:f>Sheet2!$B$8</c:f>
              <c:numCache>
                <c:formatCode>0.000%</c:formatCode>
                <c:ptCount val="1"/>
                <c:pt idx="0">
                  <c:v>-5.2438775476064663E-4</c:v>
                </c:pt>
              </c:numCache>
            </c:numRef>
          </c:val>
          <c:extLst xmlns:c16r2="http://schemas.microsoft.com/office/drawing/2015/06/chart">
            <c:ext xmlns:c16="http://schemas.microsoft.com/office/drawing/2014/chart" uri="{C3380CC4-5D6E-409C-BE32-E72D297353CC}">
              <c16:uniqueId val="{00000008-F0BA-4268-BD07-45318ED4A1B7}"/>
            </c:ext>
          </c:extLst>
        </c:ser>
        <c:ser>
          <c:idx val="7"/>
          <c:order val="7"/>
          <c:tx>
            <c:strRef>
              <c:f>Sheet2!$A$9</c:f>
              <c:strCache>
                <c:ptCount val="1"/>
                <c:pt idx="0">
                  <c:v>FBFIF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Sheet2!$B$9</c:f>
              <c:numCache>
                <c:formatCode>0.000%</c:formatCode>
                <c:ptCount val="1"/>
                <c:pt idx="0">
                  <c:v>-7.5683747227133825E-4</c:v>
                </c:pt>
              </c:numCache>
            </c:numRef>
          </c:val>
          <c:extLst xmlns:c16r2="http://schemas.microsoft.com/office/drawing/2015/06/chart">
            <c:ext xmlns:c16="http://schemas.microsoft.com/office/drawing/2014/chart" uri="{C3380CC4-5D6E-409C-BE32-E72D297353CC}">
              <c16:uniqueId val="{00000009-F0BA-4268-BD07-45318ED4A1B7}"/>
            </c:ext>
          </c:extLst>
        </c:ser>
        <c:ser>
          <c:idx val="8"/>
          <c:order val="8"/>
          <c:tx>
            <c:strRef>
              <c:f>Sheet2!$A$10</c:f>
              <c:strCache>
                <c:ptCount val="1"/>
                <c:pt idx="0">
                  <c:v>EBLNRBMF</c:v>
                </c:pt>
              </c:strCache>
            </c:strRef>
          </c:tx>
          <c:spPr>
            <a:solidFill>
              <a:schemeClr val="accent3">
                <a:lumMod val="60000"/>
              </a:schemeClr>
            </a:solidFill>
            <a:ln>
              <a:noFill/>
            </a:ln>
            <a:effectLst/>
          </c:spPr>
          <c:invertIfNegative val="0"/>
          <c:dLbls>
            <c:dLbl>
              <c:idx val="0"/>
              <c:layout>
                <c:manualLayout>
                  <c:x val="0"/>
                  <c:y val="-1.731601731601731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F0BA-4268-BD07-45318ED4A1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Sheet2!$B$1</c:f>
              <c:strCache>
                <c:ptCount val="1"/>
                <c:pt idx="0">
                  <c:v>Treynor Ratio</c:v>
                </c:pt>
              </c:strCache>
            </c:strRef>
          </c:cat>
          <c:val>
            <c:numRef>
              <c:f>Sheet2!$B$10</c:f>
              <c:numCache>
                <c:formatCode>0.000%</c:formatCode>
                <c:ptCount val="1"/>
                <c:pt idx="0">
                  <c:v>-7.9027927204652307E-4</c:v>
                </c:pt>
              </c:numCache>
            </c:numRef>
          </c:val>
          <c:extLst xmlns:c16r2="http://schemas.microsoft.com/office/drawing/2015/06/chart">
            <c:ext xmlns:c16="http://schemas.microsoft.com/office/drawing/2014/chart" uri="{C3380CC4-5D6E-409C-BE32-E72D297353CC}">
              <c16:uniqueId val="{0000000B-F0BA-4268-BD07-45318ED4A1B7}"/>
            </c:ext>
          </c:extLst>
        </c:ser>
        <c:ser>
          <c:idx val="9"/>
          <c:order val="9"/>
          <c:tx>
            <c:strRef>
              <c:f>Sheet2!$A$11</c:f>
              <c:strCache>
                <c:ptCount val="1"/>
                <c:pt idx="0">
                  <c:v>EXIM1STMF</c:v>
                </c:pt>
              </c:strCache>
            </c:strRef>
          </c:tx>
          <c:spPr>
            <a:solidFill>
              <a:schemeClr val="accent4">
                <a:lumMod val="60000"/>
              </a:schemeClr>
            </a:solidFill>
            <a:ln>
              <a:noFill/>
            </a:ln>
            <a:effectLst/>
          </c:spPr>
          <c:invertIfNegative val="0"/>
          <c:dLbls>
            <c:dLbl>
              <c:idx val="0"/>
              <c:layout>
                <c:manualLayout>
                  <c:x val="0"/>
                  <c:y val="1.731601731601747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F0BA-4268-BD07-45318ED4A1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Sheet2!$B$11</c:f>
              <c:numCache>
                <c:formatCode>0.000%</c:formatCode>
                <c:ptCount val="1"/>
                <c:pt idx="0">
                  <c:v>-1.1115675128656273E-3</c:v>
                </c:pt>
              </c:numCache>
            </c:numRef>
          </c:val>
          <c:extLst xmlns:c16r2="http://schemas.microsoft.com/office/drawing/2015/06/chart">
            <c:ext xmlns:c16="http://schemas.microsoft.com/office/drawing/2014/chart" uri="{C3380CC4-5D6E-409C-BE32-E72D297353CC}">
              <c16:uniqueId val="{0000000D-F0BA-4268-BD07-45318ED4A1B7}"/>
            </c:ext>
          </c:extLst>
        </c:ser>
        <c:dLbls>
          <c:dLblPos val="outEnd"/>
          <c:showLegendKey val="0"/>
          <c:showVal val="1"/>
          <c:showCatName val="0"/>
          <c:showSerName val="0"/>
          <c:showPercent val="0"/>
          <c:showBubbleSize val="0"/>
        </c:dLbls>
        <c:gapWidth val="267"/>
        <c:overlap val="-43"/>
        <c:axId val="172500096"/>
        <c:axId val="172501632"/>
      </c:barChart>
      <c:catAx>
        <c:axId val="172500096"/>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172501632"/>
        <c:crosses val="autoZero"/>
        <c:auto val="1"/>
        <c:lblAlgn val="ctr"/>
        <c:lblOffset val="100"/>
        <c:noMultiLvlLbl val="0"/>
      </c:catAx>
      <c:valAx>
        <c:axId val="172501632"/>
        <c:scaling>
          <c:orientation val="minMax"/>
        </c:scaling>
        <c:delete val="1"/>
        <c:axPos val="l"/>
        <c:majorGridlines>
          <c:spPr>
            <a:ln w="9525" cap="flat" cmpd="sng" algn="ctr">
              <a:solidFill>
                <a:schemeClr val="dk1">
                  <a:lumMod val="15000"/>
                  <a:lumOff val="85000"/>
                </a:schemeClr>
              </a:solidFill>
              <a:round/>
            </a:ln>
            <a:effectLst/>
          </c:spPr>
        </c:majorGridlines>
        <c:numFmt formatCode="0.000%" sourceLinked="1"/>
        <c:majorTickMark val="none"/>
        <c:minorTickMark val="none"/>
        <c:tickLblPos val="nextTo"/>
        <c:crossAx val="172500096"/>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4491204931041908"/>
          <c:y val="0.22524788568095655"/>
          <c:w val="0.14867337562704158"/>
          <c:h val="0.76531147892227758"/>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Jensens</a:t>
            </a:r>
            <a:r>
              <a:rPr lang="en-US" baseline="0"/>
              <a:t> Alpha Based on Daily Price</a:t>
            </a:r>
            <a:endParaRPr lang="en-US"/>
          </a:p>
        </c:rich>
      </c:tx>
      <c:layout>
        <c:manualLayout>
          <c:xMode val="edge"/>
          <c:yMode val="edge"/>
          <c:x val="1.1853944248548812E-2"/>
          <c:y val="4.0240852246410377E-3"/>
        </c:manualLayout>
      </c:layout>
      <c:overlay val="0"/>
      <c:spPr>
        <a:noFill/>
        <a:ln>
          <a:noFill/>
        </a:ln>
        <a:effectLst/>
      </c:spPr>
    </c:title>
    <c:autoTitleDeleted val="0"/>
    <c:plotArea>
      <c:layout>
        <c:manualLayout>
          <c:layoutTarget val="inner"/>
          <c:xMode val="edge"/>
          <c:yMode val="edge"/>
          <c:x val="1.3449119871820406E-2"/>
          <c:y val="0.1605372857804539"/>
          <c:w val="0.83537438090053251"/>
          <c:h val="0.8278715454685811"/>
        </c:manualLayout>
      </c:layout>
      <c:barChart>
        <c:barDir val="col"/>
        <c:grouping val="clustered"/>
        <c:varyColors val="0"/>
        <c:ser>
          <c:idx val="0"/>
          <c:order val="0"/>
          <c:tx>
            <c:strRef>
              <c:f>Sheet3!$A$2</c:f>
              <c:strCache>
                <c:ptCount val="1"/>
                <c:pt idx="0">
                  <c:v>DBH1STMF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Sheet3!$B$2</c:f>
              <c:numCache>
                <c:formatCode>0.000%</c:formatCode>
                <c:ptCount val="1"/>
                <c:pt idx="0">
                  <c:v>2.1705357069218685E-4</c:v>
                </c:pt>
              </c:numCache>
            </c:numRef>
          </c:val>
          <c:extLst xmlns:c16r2="http://schemas.microsoft.com/office/drawing/2015/06/chart">
            <c:ext xmlns:c16="http://schemas.microsoft.com/office/drawing/2014/chart" uri="{C3380CC4-5D6E-409C-BE32-E72D297353CC}">
              <c16:uniqueId val="{00000000-785D-4C19-948C-E4A4F113DD32}"/>
            </c:ext>
          </c:extLst>
        </c:ser>
        <c:ser>
          <c:idx val="1"/>
          <c:order val="1"/>
          <c:tx>
            <c:strRef>
              <c:f>Sheet3!$A$3</c:f>
              <c:strCache>
                <c:ptCount val="1"/>
                <c:pt idx="0">
                  <c:v>EBL1STMF</c:v>
                </c:pt>
              </c:strCache>
            </c:strRef>
          </c:tx>
          <c:spPr>
            <a:solidFill>
              <a:schemeClr val="accent2"/>
            </a:solidFill>
            <a:ln>
              <a:noFill/>
            </a:ln>
            <a:effectLst/>
          </c:spPr>
          <c:invertIfNegative val="0"/>
          <c:dLbls>
            <c:dLbl>
              <c:idx val="0"/>
              <c:layout>
                <c:manualLayout>
                  <c:x val="-2.6881720430107529E-3"/>
                  <c:y val="2.314814814814810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85D-4C19-948C-E4A4F113DD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Sheet3!$B$3</c:f>
              <c:numCache>
                <c:formatCode>0.000%</c:formatCode>
                <c:ptCount val="1"/>
                <c:pt idx="0">
                  <c:v>1.8801389163568955E-4</c:v>
                </c:pt>
              </c:numCache>
            </c:numRef>
          </c:val>
          <c:extLst xmlns:c16r2="http://schemas.microsoft.com/office/drawing/2015/06/chart">
            <c:ext xmlns:c16="http://schemas.microsoft.com/office/drawing/2014/chart" uri="{C3380CC4-5D6E-409C-BE32-E72D297353CC}">
              <c16:uniqueId val="{00000002-785D-4C19-948C-E4A4F113DD32}"/>
            </c:ext>
          </c:extLst>
        </c:ser>
        <c:ser>
          <c:idx val="2"/>
          <c:order val="2"/>
          <c:tx>
            <c:strRef>
              <c:f>Sheet3!$A$4</c:f>
              <c:strCache>
                <c:ptCount val="1"/>
                <c:pt idx="0">
                  <c:v>AIBL1STIMF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Sheet3!$B$4</c:f>
              <c:numCache>
                <c:formatCode>0.000%</c:formatCode>
                <c:ptCount val="1"/>
                <c:pt idx="0">
                  <c:v>-1.5133879068169676E-4</c:v>
                </c:pt>
              </c:numCache>
            </c:numRef>
          </c:val>
          <c:extLst xmlns:c16r2="http://schemas.microsoft.com/office/drawing/2015/06/chart">
            <c:ext xmlns:c16="http://schemas.microsoft.com/office/drawing/2014/chart" uri="{C3380CC4-5D6E-409C-BE32-E72D297353CC}">
              <c16:uniqueId val="{00000003-785D-4C19-948C-E4A4F113DD32}"/>
            </c:ext>
          </c:extLst>
        </c:ser>
        <c:ser>
          <c:idx val="3"/>
          <c:order val="3"/>
          <c:tx>
            <c:strRef>
              <c:f>Sheet3!$A$5</c:f>
              <c:strCache>
                <c:ptCount val="1"/>
                <c:pt idx="0">
                  <c:v>ATCSLGF</c:v>
                </c:pt>
              </c:strCache>
            </c:strRef>
          </c:tx>
          <c:spPr>
            <a:solidFill>
              <a:schemeClr val="accent4"/>
            </a:solidFill>
            <a:ln>
              <a:noFill/>
            </a:ln>
            <a:effectLst/>
          </c:spPr>
          <c:invertIfNegative val="0"/>
          <c:dLbls>
            <c:dLbl>
              <c:idx val="0"/>
              <c:layout>
                <c:manualLayout>
                  <c:x val="-2.6881720430107529E-3"/>
                  <c:y val="-2.314778361038203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85D-4C19-948C-E4A4F113DD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Sheet3!$B$1</c:f>
              <c:strCache>
                <c:ptCount val="1"/>
                <c:pt idx="0">
                  <c:v>Jensens Measure</c:v>
                </c:pt>
              </c:strCache>
            </c:strRef>
          </c:cat>
          <c:val>
            <c:numRef>
              <c:f>Sheet3!$B$5</c:f>
              <c:numCache>
                <c:formatCode>0.000%</c:formatCode>
                <c:ptCount val="1"/>
                <c:pt idx="0">
                  <c:v>-1.8634305934834959E-4</c:v>
                </c:pt>
              </c:numCache>
            </c:numRef>
          </c:val>
          <c:extLst xmlns:c16r2="http://schemas.microsoft.com/office/drawing/2015/06/chart">
            <c:ext xmlns:c16="http://schemas.microsoft.com/office/drawing/2014/chart" uri="{C3380CC4-5D6E-409C-BE32-E72D297353CC}">
              <c16:uniqueId val="{00000005-785D-4C19-948C-E4A4F113DD32}"/>
            </c:ext>
          </c:extLst>
        </c:ser>
        <c:ser>
          <c:idx val="4"/>
          <c:order val="4"/>
          <c:tx>
            <c:strRef>
              <c:f>Sheet3!$A$6</c:f>
              <c:strCache>
                <c:ptCount val="1"/>
                <c:pt idx="0">
                  <c:v>1STPRIMFMF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Sheet3!$B$6</c:f>
              <c:numCache>
                <c:formatCode>0.000%</c:formatCode>
                <c:ptCount val="1"/>
                <c:pt idx="0">
                  <c:v>-4.1980058288940895E-4</c:v>
                </c:pt>
              </c:numCache>
            </c:numRef>
          </c:val>
          <c:extLst xmlns:c16r2="http://schemas.microsoft.com/office/drawing/2015/06/chart">
            <c:ext xmlns:c16="http://schemas.microsoft.com/office/drawing/2014/chart" uri="{C3380CC4-5D6E-409C-BE32-E72D297353CC}">
              <c16:uniqueId val="{00000006-785D-4C19-948C-E4A4F113DD32}"/>
            </c:ext>
          </c:extLst>
        </c:ser>
        <c:ser>
          <c:idx val="5"/>
          <c:order val="5"/>
          <c:tx>
            <c:strRef>
              <c:f>Sheet3!$A$7</c:f>
              <c:strCache>
                <c:ptCount val="1"/>
                <c:pt idx="0">
                  <c:v>ABB1STMF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Sheet3!$B$7</c:f>
              <c:numCache>
                <c:formatCode>0.000%</c:formatCode>
                <c:ptCount val="1"/>
                <c:pt idx="0">
                  <c:v>-5.0977075749031276E-4</c:v>
                </c:pt>
              </c:numCache>
            </c:numRef>
          </c:val>
          <c:extLst xmlns:c16r2="http://schemas.microsoft.com/office/drawing/2015/06/chart">
            <c:ext xmlns:c16="http://schemas.microsoft.com/office/drawing/2014/chart" uri="{C3380CC4-5D6E-409C-BE32-E72D297353CC}">
              <c16:uniqueId val="{00000007-785D-4C19-948C-E4A4F113DD32}"/>
            </c:ext>
          </c:extLst>
        </c:ser>
        <c:ser>
          <c:idx val="6"/>
          <c:order val="6"/>
          <c:tx>
            <c:strRef>
              <c:f>Sheet3!$A$8</c:f>
              <c:strCache>
                <c:ptCount val="1"/>
                <c:pt idx="0">
                  <c:v>1JANATAMF</c:v>
                </c:pt>
              </c:strCache>
            </c:strRef>
          </c:tx>
          <c:spPr>
            <a:solidFill>
              <a:schemeClr val="accent1">
                <a:lumMod val="60000"/>
              </a:schemeClr>
            </a:solidFill>
            <a:ln>
              <a:noFill/>
            </a:ln>
            <a:effectLst/>
          </c:spPr>
          <c:invertIfNegative val="0"/>
          <c:dLbls>
            <c:dLbl>
              <c:idx val="0"/>
              <c:layout>
                <c:manualLayout>
                  <c:x val="2.6881720430107529E-3"/>
                  <c:y val="-2.777741324001158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85D-4C19-948C-E4A4F113DD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Sheet3!$B$1</c:f>
              <c:strCache>
                <c:ptCount val="1"/>
                <c:pt idx="0">
                  <c:v>Jensens Measure</c:v>
                </c:pt>
              </c:strCache>
            </c:strRef>
          </c:cat>
          <c:val>
            <c:numRef>
              <c:f>Sheet3!$B$8</c:f>
              <c:numCache>
                <c:formatCode>0.000%</c:formatCode>
                <c:ptCount val="1"/>
                <c:pt idx="0">
                  <c:v>-5.1574209011127708E-4</c:v>
                </c:pt>
              </c:numCache>
            </c:numRef>
          </c:val>
          <c:extLst xmlns:c16r2="http://schemas.microsoft.com/office/drawing/2015/06/chart">
            <c:ext xmlns:c16="http://schemas.microsoft.com/office/drawing/2014/chart" uri="{C3380CC4-5D6E-409C-BE32-E72D297353CC}">
              <c16:uniqueId val="{00000009-785D-4C19-948C-E4A4F113DD32}"/>
            </c:ext>
          </c:extLst>
        </c:ser>
        <c:ser>
          <c:idx val="7"/>
          <c:order val="7"/>
          <c:tx>
            <c:strRef>
              <c:f>Sheet3!$A$9</c:f>
              <c:strCache>
                <c:ptCount val="1"/>
                <c:pt idx="0">
                  <c:v>FBFIF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Sheet3!$B$9</c:f>
              <c:numCache>
                <c:formatCode>0.000%</c:formatCode>
                <c:ptCount val="1"/>
                <c:pt idx="0">
                  <c:v>-6.8219291799840784E-4</c:v>
                </c:pt>
              </c:numCache>
            </c:numRef>
          </c:val>
          <c:extLst xmlns:c16r2="http://schemas.microsoft.com/office/drawing/2015/06/chart">
            <c:ext xmlns:c16="http://schemas.microsoft.com/office/drawing/2014/chart" uri="{C3380CC4-5D6E-409C-BE32-E72D297353CC}">
              <c16:uniqueId val="{0000000A-785D-4C19-948C-E4A4F113DD32}"/>
            </c:ext>
          </c:extLst>
        </c:ser>
        <c:ser>
          <c:idx val="8"/>
          <c:order val="8"/>
          <c:tx>
            <c:strRef>
              <c:f>Sheet3!$A$10</c:f>
              <c:strCache>
                <c:ptCount val="1"/>
                <c:pt idx="0">
                  <c:v>EBLNRBMF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Sheet3!$B$10</c:f>
              <c:numCache>
                <c:formatCode>0.000%</c:formatCode>
                <c:ptCount val="1"/>
                <c:pt idx="0">
                  <c:v>-8.1205400089265313E-4</c:v>
                </c:pt>
              </c:numCache>
            </c:numRef>
          </c:val>
          <c:extLst xmlns:c16r2="http://schemas.microsoft.com/office/drawing/2015/06/chart">
            <c:ext xmlns:c16="http://schemas.microsoft.com/office/drawing/2014/chart" uri="{C3380CC4-5D6E-409C-BE32-E72D297353CC}">
              <c16:uniqueId val="{0000000B-785D-4C19-948C-E4A4F113DD32}"/>
            </c:ext>
          </c:extLst>
        </c:ser>
        <c:ser>
          <c:idx val="9"/>
          <c:order val="9"/>
          <c:tx>
            <c:strRef>
              <c:f>Sheet3!$A$11</c:f>
              <c:strCache>
                <c:ptCount val="1"/>
                <c:pt idx="0">
                  <c:v>EXIM1STMF</c:v>
                </c:pt>
              </c:strCache>
            </c:strRef>
          </c:tx>
          <c:spPr>
            <a:solidFill>
              <a:schemeClr val="accent4">
                <a:lumMod val="60000"/>
              </a:schemeClr>
            </a:solidFill>
            <a:ln>
              <a:noFill/>
            </a:ln>
            <a:effectLst/>
          </c:spPr>
          <c:invertIfNegative val="0"/>
          <c:dLbls>
            <c:dLbl>
              <c:idx val="0"/>
              <c:layout>
                <c:manualLayout>
                  <c:x val="2.2158209616662903E-3"/>
                  <c:y val="-7.840666975451453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7.9104808331486809E-2"/>
                      <c:h val="9.4000308784931291E-2"/>
                    </c:manualLayout>
                  </c15:layout>
                </c:ext>
                <c:ext xmlns:c16="http://schemas.microsoft.com/office/drawing/2014/chart" uri="{C3380CC4-5D6E-409C-BE32-E72D297353CC}">
                  <c16:uniqueId val="{0000000C-785D-4C19-948C-E4A4F113DD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Sheet3!$B$11</c:f>
              <c:numCache>
                <c:formatCode>0.000%</c:formatCode>
                <c:ptCount val="1"/>
                <c:pt idx="0">
                  <c:v>-8.9124930555667132E-4</c:v>
                </c:pt>
              </c:numCache>
            </c:numRef>
          </c:val>
          <c:extLst xmlns:c16r2="http://schemas.microsoft.com/office/drawing/2015/06/chart">
            <c:ext xmlns:c16="http://schemas.microsoft.com/office/drawing/2014/chart" uri="{C3380CC4-5D6E-409C-BE32-E72D297353CC}">
              <c16:uniqueId val="{0000000D-785D-4C19-948C-E4A4F113DD32}"/>
            </c:ext>
          </c:extLst>
        </c:ser>
        <c:dLbls>
          <c:dLblPos val="outEnd"/>
          <c:showLegendKey val="0"/>
          <c:showVal val="1"/>
          <c:showCatName val="0"/>
          <c:showSerName val="0"/>
          <c:showPercent val="0"/>
          <c:showBubbleSize val="0"/>
        </c:dLbls>
        <c:gapWidth val="267"/>
        <c:overlap val="-43"/>
        <c:axId val="192806912"/>
        <c:axId val="192808448"/>
      </c:barChart>
      <c:catAx>
        <c:axId val="192806912"/>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192808448"/>
        <c:crosses val="autoZero"/>
        <c:auto val="1"/>
        <c:lblAlgn val="ctr"/>
        <c:lblOffset val="100"/>
        <c:noMultiLvlLbl val="0"/>
      </c:catAx>
      <c:valAx>
        <c:axId val="192808448"/>
        <c:scaling>
          <c:orientation val="minMax"/>
        </c:scaling>
        <c:delete val="1"/>
        <c:axPos val="l"/>
        <c:majorGridlines>
          <c:spPr>
            <a:ln w="9525" cap="flat" cmpd="sng" algn="ctr">
              <a:solidFill>
                <a:schemeClr val="dk1">
                  <a:lumMod val="15000"/>
                  <a:lumOff val="85000"/>
                </a:schemeClr>
              </a:solidFill>
              <a:round/>
            </a:ln>
            <a:effectLst/>
          </c:spPr>
        </c:majorGridlines>
        <c:numFmt formatCode="0.000%" sourceLinked="1"/>
        <c:majorTickMark val="none"/>
        <c:minorTickMark val="none"/>
        <c:tickLblPos val="nextTo"/>
        <c:crossAx val="192806912"/>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578020917705691"/>
          <c:y val="0.21350911136107986"/>
          <c:w val="0.13997211562719922"/>
          <c:h val="0.78125546806649171"/>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CAPM</a:t>
            </a:r>
            <a:r>
              <a:rPr lang="en-US" baseline="0"/>
              <a:t> Based on Daily Price</a:t>
            </a:r>
            <a:endParaRPr lang="en-US"/>
          </a:p>
        </c:rich>
      </c:tx>
      <c:layout>
        <c:manualLayout>
          <c:xMode val="edge"/>
          <c:yMode val="edge"/>
          <c:x val="1.0644725981631662E-2"/>
          <c:y val="6.9054080104393734E-3"/>
        </c:manualLayout>
      </c:layout>
      <c:overlay val="0"/>
      <c:spPr>
        <a:noFill/>
        <a:ln>
          <a:noFill/>
        </a:ln>
        <a:effectLst/>
      </c:spPr>
    </c:title>
    <c:autoTitleDeleted val="0"/>
    <c:plotArea>
      <c:layout>
        <c:manualLayout>
          <c:layoutTarget val="inner"/>
          <c:xMode val="edge"/>
          <c:yMode val="edge"/>
          <c:x val="2.2185246810870773E-3"/>
          <c:y val="0.19231638418079097"/>
          <c:w val="0.84152676422934658"/>
          <c:h val="0.80015065913370997"/>
        </c:manualLayout>
      </c:layout>
      <c:barChart>
        <c:barDir val="col"/>
        <c:grouping val="clustered"/>
        <c:varyColors val="0"/>
        <c:ser>
          <c:idx val="0"/>
          <c:order val="0"/>
          <c:tx>
            <c:strRef>
              <c:f>Sheet4!$A$2</c:f>
              <c:strCache>
                <c:ptCount val="1"/>
                <c:pt idx="0">
                  <c:v>ATCSLGF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Sheet4!$B$2</c:f>
              <c:numCache>
                <c:formatCode>0.0000%</c:formatCode>
                <c:ptCount val="1"/>
                <c:pt idx="0">
                  <c:v>1.4560299280938062E-4</c:v>
                </c:pt>
              </c:numCache>
            </c:numRef>
          </c:val>
          <c:extLst xmlns:c16r2="http://schemas.microsoft.com/office/drawing/2015/06/chart">
            <c:ext xmlns:c16="http://schemas.microsoft.com/office/drawing/2014/chart" uri="{C3380CC4-5D6E-409C-BE32-E72D297353CC}">
              <c16:uniqueId val="{00000000-B1A4-4F3B-953B-7E4FF7BF4625}"/>
            </c:ext>
          </c:extLst>
        </c:ser>
        <c:ser>
          <c:idx val="1"/>
          <c:order val="1"/>
          <c:tx>
            <c:strRef>
              <c:f>Sheet4!$A$3</c:f>
              <c:strCache>
                <c:ptCount val="1"/>
                <c:pt idx="0">
                  <c:v>DBH1STMF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Sheet4!$B$3</c:f>
              <c:numCache>
                <c:formatCode>0.0000%</c:formatCode>
                <c:ptCount val="1"/>
                <c:pt idx="0">
                  <c:v>1.440894770573388E-4</c:v>
                </c:pt>
              </c:numCache>
            </c:numRef>
          </c:val>
          <c:extLst xmlns:c16r2="http://schemas.microsoft.com/office/drawing/2015/06/chart">
            <c:ext xmlns:c16="http://schemas.microsoft.com/office/drawing/2014/chart" uri="{C3380CC4-5D6E-409C-BE32-E72D297353CC}">
              <c16:uniqueId val="{00000001-B1A4-4F3B-953B-7E4FF7BF4625}"/>
            </c:ext>
          </c:extLst>
        </c:ser>
        <c:ser>
          <c:idx val="2"/>
          <c:order val="2"/>
          <c:tx>
            <c:strRef>
              <c:f>Sheet4!$A$4</c:f>
              <c:strCache>
                <c:ptCount val="1"/>
                <c:pt idx="0">
                  <c:v>AIBL1STIMF</c:v>
                </c:pt>
              </c:strCache>
            </c:strRef>
          </c:tx>
          <c:spPr>
            <a:solidFill>
              <a:schemeClr val="accent3"/>
            </a:solidFill>
            <a:ln>
              <a:noFill/>
            </a:ln>
            <a:effectLst/>
          </c:spPr>
          <c:invertIfNegative val="0"/>
          <c:dLbls>
            <c:dLbl>
              <c:idx val="0"/>
              <c:layout>
                <c:manualLayout>
                  <c:x val="-2.2158209616662972E-3"/>
                  <c:y val="2.08062418725617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1A4-4F3B-953B-7E4FF7BF46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Sheet4!$B$4</c:f>
              <c:numCache>
                <c:formatCode>0.0000%</c:formatCode>
                <c:ptCount val="1"/>
                <c:pt idx="0">
                  <c:v>1.4379930985818984E-4</c:v>
                </c:pt>
              </c:numCache>
            </c:numRef>
          </c:val>
          <c:extLst xmlns:c16r2="http://schemas.microsoft.com/office/drawing/2015/06/chart">
            <c:ext xmlns:c16="http://schemas.microsoft.com/office/drawing/2014/chart" uri="{C3380CC4-5D6E-409C-BE32-E72D297353CC}">
              <c16:uniqueId val="{00000003-B1A4-4F3B-953B-7E4FF7BF4625}"/>
            </c:ext>
          </c:extLst>
        </c:ser>
        <c:ser>
          <c:idx val="3"/>
          <c:order val="3"/>
          <c:tx>
            <c:strRef>
              <c:f>Sheet4!$A$5</c:f>
              <c:strCache>
                <c:ptCount val="1"/>
                <c:pt idx="0">
                  <c:v>EBL1STMF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Sheet4!$B$5</c:f>
              <c:numCache>
                <c:formatCode>0.0000%</c:formatCode>
                <c:ptCount val="1"/>
                <c:pt idx="0">
                  <c:v>1.4073733288615201E-4</c:v>
                </c:pt>
              </c:numCache>
            </c:numRef>
          </c:val>
          <c:extLst xmlns:c16r2="http://schemas.microsoft.com/office/drawing/2015/06/chart">
            <c:ext xmlns:c16="http://schemas.microsoft.com/office/drawing/2014/chart" uri="{C3380CC4-5D6E-409C-BE32-E72D297353CC}">
              <c16:uniqueId val="{00000004-B1A4-4F3B-953B-7E4FF7BF4625}"/>
            </c:ext>
          </c:extLst>
        </c:ser>
        <c:ser>
          <c:idx val="4"/>
          <c:order val="4"/>
          <c:tx>
            <c:strRef>
              <c:f>Sheet4!$A$6</c:f>
              <c:strCache>
                <c:ptCount val="1"/>
                <c:pt idx="0">
                  <c:v>EXIM1STMF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Sheet4!$B$6</c:f>
              <c:numCache>
                <c:formatCode>0.0000%</c:formatCode>
                <c:ptCount val="1"/>
                <c:pt idx="0">
                  <c:v>1.3987234785529861E-4</c:v>
                </c:pt>
              </c:numCache>
            </c:numRef>
          </c:val>
          <c:extLst xmlns:c16r2="http://schemas.microsoft.com/office/drawing/2015/06/chart">
            <c:ext xmlns:c16="http://schemas.microsoft.com/office/drawing/2014/chart" uri="{C3380CC4-5D6E-409C-BE32-E72D297353CC}">
              <c16:uniqueId val="{00000005-B1A4-4F3B-953B-7E4FF7BF4625}"/>
            </c:ext>
          </c:extLst>
        </c:ser>
        <c:ser>
          <c:idx val="5"/>
          <c:order val="5"/>
          <c:tx>
            <c:strRef>
              <c:f>Sheet4!$A$7</c:f>
              <c:strCache>
                <c:ptCount val="1"/>
                <c:pt idx="0">
                  <c:v>FBFIF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Sheet4!$B$7</c:f>
              <c:numCache>
                <c:formatCode>0.0000%</c:formatCode>
                <c:ptCount val="1"/>
                <c:pt idx="0">
                  <c:v>1.3840312330364106E-4</c:v>
                </c:pt>
              </c:numCache>
            </c:numRef>
          </c:val>
          <c:extLst xmlns:c16r2="http://schemas.microsoft.com/office/drawing/2015/06/chart">
            <c:ext xmlns:c16="http://schemas.microsoft.com/office/drawing/2014/chart" uri="{C3380CC4-5D6E-409C-BE32-E72D297353CC}">
              <c16:uniqueId val="{00000006-B1A4-4F3B-953B-7E4FF7BF4625}"/>
            </c:ext>
          </c:extLst>
        </c:ser>
        <c:ser>
          <c:idx val="6"/>
          <c:order val="6"/>
          <c:tx>
            <c:strRef>
              <c:f>Sheet4!$A$8</c:f>
              <c:strCache>
                <c:ptCount val="1"/>
                <c:pt idx="0">
                  <c:v>ABB1STMF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Sheet4!$B$8</c:f>
              <c:numCache>
                <c:formatCode>0.0000%</c:formatCode>
                <c:ptCount val="1"/>
                <c:pt idx="0">
                  <c:v>1.3716915822588763E-4</c:v>
                </c:pt>
              </c:numCache>
            </c:numRef>
          </c:val>
          <c:extLst xmlns:c16r2="http://schemas.microsoft.com/office/drawing/2015/06/chart">
            <c:ext xmlns:c16="http://schemas.microsoft.com/office/drawing/2014/chart" uri="{C3380CC4-5D6E-409C-BE32-E72D297353CC}">
              <c16:uniqueId val="{00000007-B1A4-4F3B-953B-7E4FF7BF4625}"/>
            </c:ext>
          </c:extLst>
        </c:ser>
        <c:ser>
          <c:idx val="7"/>
          <c:order val="7"/>
          <c:tx>
            <c:strRef>
              <c:f>Sheet4!$A$9</c:f>
              <c:strCache>
                <c:ptCount val="1"/>
                <c:pt idx="0">
                  <c:v>1JANATAMF</c:v>
                </c:pt>
              </c:strCache>
            </c:strRef>
          </c:tx>
          <c:spPr>
            <a:solidFill>
              <a:schemeClr val="accent2">
                <a:lumMod val="60000"/>
              </a:schemeClr>
            </a:solidFill>
            <a:ln>
              <a:noFill/>
            </a:ln>
            <a:effectLst/>
          </c:spPr>
          <c:invertIfNegative val="0"/>
          <c:dLbls>
            <c:dLbl>
              <c:idx val="0"/>
              <c:layout>
                <c:manualLayout>
                  <c:x val="0"/>
                  <c:y val="2.080624187256176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B1A4-4F3B-953B-7E4FF7BF46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Sheet4!$B$9</c:f>
              <c:numCache>
                <c:formatCode>0.0000%</c:formatCode>
                <c:ptCount val="1"/>
                <c:pt idx="0">
                  <c:v>1.3713096155023156E-4</c:v>
                </c:pt>
              </c:numCache>
            </c:numRef>
          </c:val>
          <c:extLst xmlns:c16r2="http://schemas.microsoft.com/office/drawing/2015/06/chart">
            <c:ext xmlns:c16="http://schemas.microsoft.com/office/drawing/2014/chart" uri="{C3380CC4-5D6E-409C-BE32-E72D297353CC}">
              <c16:uniqueId val="{00000009-B1A4-4F3B-953B-7E4FF7BF4625}"/>
            </c:ext>
          </c:extLst>
        </c:ser>
        <c:ser>
          <c:idx val="8"/>
          <c:order val="8"/>
          <c:tx>
            <c:strRef>
              <c:f>Sheet4!$A$10</c:f>
              <c:strCache>
                <c:ptCount val="1"/>
                <c:pt idx="0">
                  <c:v>EBLNRBMF</c:v>
                </c:pt>
              </c:strCache>
            </c:strRef>
          </c:tx>
          <c:spPr>
            <a:solidFill>
              <a:schemeClr val="accent3">
                <a:lumMod val="60000"/>
              </a:schemeClr>
            </a:solidFill>
            <a:ln>
              <a:noFill/>
            </a:ln>
            <a:effectLst/>
          </c:spPr>
          <c:invertIfNegative val="0"/>
          <c:dLbls>
            <c:dLbl>
              <c:idx val="0"/>
              <c:layout>
                <c:manualLayout>
                  <c:x val="2.2158209616662972E-3"/>
                  <c:y val="2.60078023407022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1A4-4F3B-953B-7E4FF7BF46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Sheet4!$B$10</c:f>
              <c:numCache>
                <c:formatCode>0.0000%</c:formatCode>
                <c:ptCount val="1"/>
                <c:pt idx="0">
                  <c:v>1.3663727358469196E-4</c:v>
                </c:pt>
              </c:numCache>
            </c:numRef>
          </c:val>
          <c:extLst xmlns:c16r2="http://schemas.microsoft.com/office/drawing/2015/06/chart">
            <c:ext xmlns:c16="http://schemas.microsoft.com/office/drawing/2014/chart" uri="{C3380CC4-5D6E-409C-BE32-E72D297353CC}">
              <c16:uniqueId val="{0000000B-B1A4-4F3B-953B-7E4FF7BF4625}"/>
            </c:ext>
          </c:extLst>
        </c:ser>
        <c:ser>
          <c:idx val="9"/>
          <c:order val="9"/>
          <c:tx>
            <c:strRef>
              <c:f>Sheet4!$A$11</c:f>
              <c:strCache>
                <c:ptCount val="1"/>
                <c:pt idx="0">
                  <c:v>1STPRIMFMF</c:v>
                </c:pt>
              </c:strCache>
            </c:strRef>
          </c:tx>
          <c:spPr>
            <a:solidFill>
              <a:schemeClr val="accent4">
                <a:lumMod val="60000"/>
              </a:schemeClr>
            </a:solidFill>
            <a:ln>
              <a:noFill/>
            </a:ln>
            <a:effectLst/>
          </c:spPr>
          <c:invertIfNegative val="0"/>
          <c:dLbls>
            <c:dLbl>
              <c:idx val="0"/>
              <c:layout>
                <c:manualLayout>
                  <c:x val="2.2158209616662161E-3"/>
                  <c:y val="2.60078023407022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B1A4-4F3B-953B-7E4FF7BF46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Sheet4!$B$11</c:f>
              <c:numCache>
                <c:formatCode>0.0000%</c:formatCode>
                <c:ptCount val="1"/>
                <c:pt idx="0">
                  <c:v>1.3545521501775987E-4</c:v>
                </c:pt>
              </c:numCache>
            </c:numRef>
          </c:val>
          <c:extLst xmlns:c16r2="http://schemas.microsoft.com/office/drawing/2015/06/chart">
            <c:ext xmlns:c16="http://schemas.microsoft.com/office/drawing/2014/chart" uri="{C3380CC4-5D6E-409C-BE32-E72D297353CC}">
              <c16:uniqueId val="{0000000D-B1A4-4F3B-953B-7E4FF7BF4625}"/>
            </c:ext>
          </c:extLst>
        </c:ser>
        <c:dLbls>
          <c:dLblPos val="outEnd"/>
          <c:showLegendKey val="0"/>
          <c:showVal val="1"/>
          <c:showCatName val="0"/>
          <c:showSerName val="0"/>
          <c:showPercent val="0"/>
          <c:showBubbleSize val="0"/>
        </c:dLbls>
        <c:gapWidth val="267"/>
        <c:overlap val="-43"/>
        <c:axId val="171223296"/>
        <c:axId val="171229184"/>
      </c:barChart>
      <c:catAx>
        <c:axId val="171223296"/>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171229184"/>
        <c:crosses val="autoZero"/>
        <c:auto val="1"/>
        <c:lblAlgn val="ctr"/>
        <c:lblOffset val="100"/>
        <c:noMultiLvlLbl val="0"/>
      </c:catAx>
      <c:valAx>
        <c:axId val="171229184"/>
        <c:scaling>
          <c:orientation val="minMax"/>
        </c:scaling>
        <c:delete val="1"/>
        <c:axPos val="l"/>
        <c:majorGridlines>
          <c:spPr>
            <a:ln w="9525" cap="flat" cmpd="sng" algn="ctr">
              <a:solidFill>
                <a:schemeClr val="dk1">
                  <a:lumMod val="15000"/>
                  <a:lumOff val="85000"/>
                </a:schemeClr>
              </a:solidFill>
              <a:round/>
            </a:ln>
            <a:effectLst/>
          </c:spPr>
        </c:majorGridlines>
        <c:numFmt formatCode="0.0000%" sourceLinked="1"/>
        <c:majorTickMark val="none"/>
        <c:minorTickMark val="none"/>
        <c:tickLblPos val="nextTo"/>
        <c:crossAx val="171223296"/>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4171989580407258"/>
          <c:y val="9.8255019813030517E-2"/>
          <c:w val="0.14276935746426334"/>
          <c:h val="0.86866551303973849"/>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Stdev.</a:t>
            </a:r>
            <a:r>
              <a:rPr lang="en-US" baseline="0"/>
              <a:t> of MF (on Weekly Return on NAV's Market Price)  </a:t>
            </a:r>
            <a:endParaRPr lang="en-US"/>
          </a:p>
        </c:rich>
      </c:tx>
      <c:layout>
        <c:manualLayout>
          <c:xMode val="edge"/>
          <c:yMode val="edge"/>
          <c:x val="2.1603032613006272E-2"/>
          <c:y val="3.7037037037037035E-2"/>
        </c:manualLayout>
      </c:layout>
      <c:overlay val="0"/>
      <c:spPr>
        <a:noFill/>
        <a:ln>
          <a:noFill/>
        </a:ln>
        <a:effectLst/>
      </c:spPr>
    </c:title>
    <c:autoTitleDeleted val="0"/>
    <c:plotArea>
      <c:layout/>
      <c:barChart>
        <c:barDir val="col"/>
        <c:grouping val="clustered"/>
        <c:varyColors val="0"/>
        <c:ser>
          <c:idx val="0"/>
          <c:order val="0"/>
          <c:tx>
            <c:strRef>
              <c:f>Sheet5!$A$2</c:f>
              <c:strCache>
                <c:ptCount val="1"/>
                <c:pt idx="0">
                  <c:v>AIBL1STIMF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Sheet5!$B$1</c:f>
              <c:strCache>
                <c:ptCount val="1"/>
                <c:pt idx="0">
                  <c:v>Standard Deviation</c:v>
                </c:pt>
              </c:strCache>
            </c:strRef>
          </c:cat>
          <c:val>
            <c:numRef>
              <c:f>Sheet5!$B$2</c:f>
              <c:numCache>
                <c:formatCode>0.00%</c:formatCode>
                <c:ptCount val="1"/>
                <c:pt idx="0">
                  <c:v>1.1403375735142097E-2</c:v>
                </c:pt>
              </c:numCache>
            </c:numRef>
          </c:val>
          <c:extLst xmlns:c16r2="http://schemas.microsoft.com/office/drawing/2015/06/chart">
            <c:ext xmlns:c16="http://schemas.microsoft.com/office/drawing/2014/chart" uri="{C3380CC4-5D6E-409C-BE32-E72D297353CC}">
              <c16:uniqueId val="{00000000-D707-4BD2-B392-0878CD4A5B72}"/>
            </c:ext>
          </c:extLst>
        </c:ser>
        <c:ser>
          <c:idx val="1"/>
          <c:order val="1"/>
          <c:tx>
            <c:strRef>
              <c:f>Sheet5!$A$3</c:f>
              <c:strCache>
                <c:ptCount val="1"/>
                <c:pt idx="0">
                  <c:v>FBFIF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Sheet5!$B$1</c:f>
              <c:strCache>
                <c:ptCount val="1"/>
                <c:pt idx="0">
                  <c:v>Standard Deviation</c:v>
                </c:pt>
              </c:strCache>
            </c:strRef>
          </c:cat>
          <c:val>
            <c:numRef>
              <c:f>Sheet5!$B$3</c:f>
              <c:numCache>
                <c:formatCode>0.00%</c:formatCode>
                <c:ptCount val="1"/>
                <c:pt idx="0">
                  <c:v>1.3885928539641566E-2</c:v>
                </c:pt>
              </c:numCache>
            </c:numRef>
          </c:val>
          <c:extLst xmlns:c16r2="http://schemas.microsoft.com/office/drawing/2015/06/chart">
            <c:ext xmlns:c16="http://schemas.microsoft.com/office/drawing/2014/chart" uri="{C3380CC4-5D6E-409C-BE32-E72D297353CC}">
              <c16:uniqueId val="{00000001-D707-4BD2-B392-0878CD4A5B72}"/>
            </c:ext>
          </c:extLst>
        </c:ser>
        <c:ser>
          <c:idx val="2"/>
          <c:order val="2"/>
          <c:tx>
            <c:strRef>
              <c:f>Sheet5!$A$4</c:f>
              <c:strCache>
                <c:ptCount val="1"/>
                <c:pt idx="0">
                  <c:v>EBLNRBMF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Sheet5!$B$1</c:f>
              <c:strCache>
                <c:ptCount val="1"/>
                <c:pt idx="0">
                  <c:v>Standard Deviation</c:v>
                </c:pt>
              </c:strCache>
            </c:strRef>
          </c:cat>
          <c:val>
            <c:numRef>
              <c:f>Sheet5!$B$4</c:f>
              <c:numCache>
                <c:formatCode>0.00%</c:formatCode>
                <c:ptCount val="1"/>
                <c:pt idx="0">
                  <c:v>1.4264295640966001E-2</c:v>
                </c:pt>
              </c:numCache>
            </c:numRef>
          </c:val>
          <c:extLst xmlns:c16r2="http://schemas.microsoft.com/office/drawing/2015/06/chart">
            <c:ext xmlns:c16="http://schemas.microsoft.com/office/drawing/2014/chart" uri="{C3380CC4-5D6E-409C-BE32-E72D297353CC}">
              <c16:uniqueId val="{00000002-D707-4BD2-B392-0878CD4A5B72}"/>
            </c:ext>
          </c:extLst>
        </c:ser>
        <c:ser>
          <c:idx val="3"/>
          <c:order val="3"/>
          <c:tx>
            <c:strRef>
              <c:f>Sheet5!$A$5</c:f>
              <c:strCache>
                <c:ptCount val="1"/>
                <c:pt idx="0">
                  <c:v>ABB1STMF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Sheet5!$B$1</c:f>
              <c:strCache>
                <c:ptCount val="1"/>
                <c:pt idx="0">
                  <c:v>Standard Deviation</c:v>
                </c:pt>
              </c:strCache>
            </c:strRef>
          </c:cat>
          <c:val>
            <c:numRef>
              <c:f>Sheet5!$B$5</c:f>
              <c:numCache>
                <c:formatCode>0.00%</c:formatCode>
                <c:ptCount val="1"/>
                <c:pt idx="0">
                  <c:v>1.4687737510835448E-2</c:v>
                </c:pt>
              </c:numCache>
            </c:numRef>
          </c:val>
          <c:extLst xmlns:c16r2="http://schemas.microsoft.com/office/drawing/2015/06/chart">
            <c:ext xmlns:c16="http://schemas.microsoft.com/office/drawing/2014/chart" uri="{C3380CC4-5D6E-409C-BE32-E72D297353CC}">
              <c16:uniqueId val="{00000003-D707-4BD2-B392-0878CD4A5B72}"/>
            </c:ext>
          </c:extLst>
        </c:ser>
        <c:ser>
          <c:idx val="4"/>
          <c:order val="4"/>
          <c:tx>
            <c:strRef>
              <c:f>Sheet5!$A$6</c:f>
              <c:strCache>
                <c:ptCount val="1"/>
                <c:pt idx="0">
                  <c:v>1JANATAMF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Sheet5!$B$1</c:f>
              <c:strCache>
                <c:ptCount val="1"/>
                <c:pt idx="0">
                  <c:v>Standard Deviation</c:v>
                </c:pt>
              </c:strCache>
            </c:strRef>
          </c:cat>
          <c:val>
            <c:numRef>
              <c:f>Sheet5!$B$6</c:f>
              <c:numCache>
                <c:formatCode>0.00%</c:formatCode>
                <c:ptCount val="1"/>
                <c:pt idx="0">
                  <c:v>1.5015600512041184E-2</c:v>
                </c:pt>
              </c:numCache>
            </c:numRef>
          </c:val>
          <c:extLst xmlns:c16r2="http://schemas.microsoft.com/office/drawing/2015/06/chart">
            <c:ext xmlns:c16="http://schemas.microsoft.com/office/drawing/2014/chart" uri="{C3380CC4-5D6E-409C-BE32-E72D297353CC}">
              <c16:uniqueId val="{00000004-D707-4BD2-B392-0878CD4A5B72}"/>
            </c:ext>
          </c:extLst>
        </c:ser>
        <c:ser>
          <c:idx val="5"/>
          <c:order val="5"/>
          <c:tx>
            <c:strRef>
              <c:f>Sheet5!$A$7</c:f>
              <c:strCache>
                <c:ptCount val="1"/>
                <c:pt idx="0">
                  <c:v>DBH1STMF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Sheet5!$B$1</c:f>
              <c:strCache>
                <c:ptCount val="1"/>
                <c:pt idx="0">
                  <c:v>Standard Deviation</c:v>
                </c:pt>
              </c:strCache>
            </c:strRef>
          </c:cat>
          <c:val>
            <c:numRef>
              <c:f>Sheet5!$B$7</c:f>
              <c:numCache>
                <c:formatCode>0.00%</c:formatCode>
                <c:ptCount val="1"/>
                <c:pt idx="0">
                  <c:v>1.5180048184867481E-2</c:v>
                </c:pt>
              </c:numCache>
            </c:numRef>
          </c:val>
          <c:extLst xmlns:c16r2="http://schemas.microsoft.com/office/drawing/2015/06/chart">
            <c:ext xmlns:c16="http://schemas.microsoft.com/office/drawing/2014/chart" uri="{C3380CC4-5D6E-409C-BE32-E72D297353CC}">
              <c16:uniqueId val="{00000005-D707-4BD2-B392-0878CD4A5B72}"/>
            </c:ext>
          </c:extLst>
        </c:ser>
        <c:ser>
          <c:idx val="6"/>
          <c:order val="6"/>
          <c:tx>
            <c:strRef>
              <c:f>Sheet5!$A$8</c:f>
              <c:strCache>
                <c:ptCount val="1"/>
                <c:pt idx="0">
                  <c:v>DSEX</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Sheet5!$B$1</c:f>
              <c:strCache>
                <c:ptCount val="1"/>
                <c:pt idx="0">
                  <c:v>Standard Deviation</c:v>
                </c:pt>
              </c:strCache>
            </c:strRef>
          </c:cat>
          <c:val>
            <c:numRef>
              <c:f>Sheet5!$B$8</c:f>
              <c:numCache>
                <c:formatCode>0.00%</c:formatCode>
                <c:ptCount val="1"/>
                <c:pt idx="0">
                  <c:v>1.5286911481779379E-2</c:v>
                </c:pt>
              </c:numCache>
            </c:numRef>
          </c:val>
          <c:extLst xmlns:c16r2="http://schemas.microsoft.com/office/drawing/2015/06/chart">
            <c:ext xmlns:c16="http://schemas.microsoft.com/office/drawing/2014/chart" uri="{C3380CC4-5D6E-409C-BE32-E72D297353CC}">
              <c16:uniqueId val="{00000006-D707-4BD2-B392-0878CD4A5B72}"/>
            </c:ext>
          </c:extLst>
        </c:ser>
        <c:ser>
          <c:idx val="7"/>
          <c:order val="7"/>
          <c:tx>
            <c:strRef>
              <c:f>Sheet5!$A$9</c:f>
              <c:strCache>
                <c:ptCount val="1"/>
                <c:pt idx="0">
                  <c:v>EBL1STMF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Sheet5!$B$1</c:f>
              <c:strCache>
                <c:ptCount val="1"/>
                <c:pt idx="0">
                  <c:v>Standard Deviation</c:v>
                </c:pt>
              </c:strCache>
            </c:strRef>
          </c:cat>
          <c:val>
            <c:numRef>
              <c:f>Sheet5!$B$9</c:f>
              <c:numCache>
                <c:formatCode>0.00%</c:formatCode>
                <c:ptCount val="1"/>
                <c:pt idx="0">
                  <c:v>1.5399424027711149E-2</c:v>
                </c:pt>
              </c:numCache>
            </c:numRef>
          </c:val>
          <c:extLst xmlns:c16r2="http://schemas.microsoft.com/office/drawing/2015/06/chart">
            <c:ext xmlns:c16="http://schemas.microsoft.com/office/drawing/2014/chart" uri="{C3380CC4-5D6E-409C-BE32-E72D297353CC}">
              <c16:uniqueId val="{00000007-D707-4BD2-B392-0878CD4A5B72}"/>
            </c:ext>
          </c:extLst>
        </c:ser>
        <c:ser>
          <c:idx val="8"/>
          <c:order val="8"/>
          <c:tx>
            <c:strRef>
              <c:f>Sheet5!$A$10</c:f>
              <c:strCache>
                <c:ptCount val="1"/>
                <c:pt idx="0">
                  <c:v>ATCSLGF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Sheet5!$B$1</c:f>
              <c:strCache>
                <c:ptCount val="1"/>
                <c:pt idx="0">
                  <c:v>Standard Deviation</c:v>
                </c:pt>
              </c:strCache>
            </c:strRef>
          </c:cat>
          <c:val>
            <c:numRef>
              <c:f>Sheet5!$B$10</c:f>
              <c:numCache>
                <c:formatCode>0.00%</c:formatCode>
                <c:ptCount val="1"/>
                <c:pt idx="0">
                  <c:v>1.5890397096914984E-2</c:v>
                </c:pt>
              </c:numCache>
            </c:numRef>
          </c:val>
          <c:extLst xmlns:c16r2="http://schemas.microsoft.com/office/drawing/2015/06/chart">
            <c:ext xmlns:c16="http://schemas.microsoft.com/office/drawing/2014/chart" uri="{C3380CC4-5D6E-409C-BE32-E72D297353CC}">
              <c16:uniqueId val="{00000008-D707-4BD2-B392-0878CD4A5B72}"/>
            </c:ext>
          </c:extLst>
        </c:ser>
        <c:ser>
          <c:idx val="9"/>
          <c:order val="9"/>
          <c:tx>
            <c:strRef>
              <c:f>Sheet5!$A$11</c:f>
              <c:strCache>
                <c:ptCount val="1"/>
                <c:pt idx="0">
                  <c:v>EXIM1STMF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Sheet5!$B$1</c:f>
              <c:strCache>
                <c:ptCount val="1"/>
                <c:pt idx="0">
                  <c:v>Standard Deviation</c:v>
                </c:pt>
              </c:strCache>
            </c:strRef>
          </c:cat>
          <c:val>
            <c:numRef>
              <c:f>Sheet5!$B$11</c:f>
              <c:numCache>
                <c:formatCode>0.00%</c:formatCode>
                <c:ptCount val="1"/>
                <c:pt idx="0">
                  <c:v>1.78350749558417E-2</c:v>
                </c:pt>
              </c:numCache>
            </c:numRef>
          </c:val>
          <c:extLst xmlns:c16r2="http://schemas.microsoft.com/office/drawing/2015/06/chart">
            <c:ext xmlns:c16="http://schemas.microsoft.com/office/drawing/2014/chart" uri="{C3380CC4-5D6E-409C-BE32-E72D297353CC}">
              <c16:uniqueId val="{00000009-D707-4BD2-B392-0878CD4A5B72}"/>
            </c:ext>
          </c:extLst>
        </c:ser>
        <c:ser>
          <c:idx val="10"/>
          <c:order val="10"/>
          <c:tx>
            <c:strRef>
              <c:f>Sheet5!$A$12</c:f>
              <c:strCache>
                <c:ptCount val="1"/>
                <c:pt idx="0">
                  <c:v>1STPRIMFMF</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Sheet5!$B$1</c:f>
              <c:strCache>
                <c:ptCount val="1"/>
                <c:pt idx="0">
                  <c:v>Standard Deviation</c:v>
                </c:pt>
              </c:strCache>
            </c:strRef>
          </c:cat>
          <c:val>
            <c:numRef>
              <c:f>Sheet5!$B$12</c:f>
              <c:numCache>
                <c:formatCode>0.00%</c:formatCode>
                <c:ptCount val="1"/>
                <c:pt idx="0">
                  <c:v>2.5468110209167359E-2</c:v>
                </c:pt>
              </c:numCache>
            </c:numRef>
          </c:val>
          <c:extLst xmlns:c16r2="http://schemas.microsoft.com/office/drawing/2015/06/chart">
            <c:ext xmlns:c16="http://schemas.microsoft.com/office/drawing/2014/chart" uri="{C3380CC4-5D6E-409C-BE32-E72D297353CC}">
              <c16:uniqueId val="{0000000A-D707-4BD2-B392-0878CD4A5B72}"/>
            </c:ext>
          </c:extLst>
        </c:ser>
        <c:dLbls>
          <c:dLblPos val="outEnd"/>
          <c:showLegendKey val="0"/>
          <c:showVal val="1"/>
          <c:showCatName val="0"/>
          <c:showSerName val="0"/>
          <c:showPercent val="0"/>
          <c:showBubbleSize val="0"/>
        </c:dLbls>
        <c:gapWidth val="267"/>
        <c:overlap val="-43"/>
        <c:axId val="229227904"/>
        <c:axId val="229241984"/>
      </c:barChart>
      <c:catAx>
        <c:axId val="229227904"/>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29241984"/>
        <c:crosses val="autoZero"/>
        <c:auto val="1"/>
        <c:lblAlgn val="ctr"/>
        <c:lblOffset val="100"/>
        <c:noMultiLvlLbl val="0"/>
      </c:catAx>
      <c:valAx>
        <c:axId val="229241984"/>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229227904"/>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4482117277994817"/>
          <c:y val="5.4197181422232468E-2"/>
          <c:w val="0.13993226414077978"/>
          <c:h val="0.9032898284974652"/>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r">
              <a:defRPr sz="1600" b="1" i="0" u="none" strike="noStrike" kern="1200" cap="none" spc="0" normalizeH="0" baseline="0">
                <a:solidFill>
                  <a:schemeClr val="dk1">
                    <a:lumMod val="50000"/>
                    <a:lumOff val="50000"/>
                  </a:schemeClr>
                </a:solidFill>
                <a:latin typeface="+mj-lt"/>
                <a:ea typeface="+mj-ea"/>
                <a:cs typeface="+mj-cs"/>
              </a:defRPr>
            </a:pPr>
            <a:r>
              <a:rPr lang="en-US"/>
              <a:t>Beta</a:t>
            </a:r>
            <a:r>
              <a:rPr lang="en-US" baseline="0"/>
              <a:t> of MF(</a:t>
            </a:r>
            <a:r>
              <a:rPr lang="en-US" sz="1600" b="1" i="0" u="none" strike="noStrike" cap="none" normalizeH="0" baseline="0">
                <a:effectLst/>
              </a:rPr>
              <a:t>on Weekly Return on NAV's Market Price)</a:t>
            </a:r>
            <a:endParaRPr lang="en-US"/>
          </a:p>
        </c:rich>
      </c:tx>
      <c:layout>
        <c:manualLayout>
          <c:xMode val="edge"/>
          <c:yMode val="edge"/>
          <c:x val="2.441123148090453E-2"/>
          <c:y val="5.5555555555555552E-2"/>
        </c:manualLayout>
      </c:layout>
      <c:overlay val="0"/>
      <c:spPr>
        <a:noFill/>
        <a:ln>
          <a:noFill/>
        </a:ln>
        <a:effectLst/>
      </c:spPr>
    </c:title>
    <c:autoTitleDeleted val="0"/>
    <c:plotArea>
      <c:layout/>
      <c:barChart>
        <c:barDir val="col"/>
        <c:grouping val="clustered"/>
        <c:varyColors val="0"/>
        <c:ser>
          <c:idx val="0"/>
          <c:order val="0"/>
          <c:tx>
            <c:strRef>
              <c:f>Sheet6!$A$2</c:f>
              <c:strCache>
                <c:ptCount val="1"/>
                <c:pt idx="0">
                  <c:v>AIBL1STIMF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Sheet6!$B$1</c:f>
              <c:strCache>
                <c:ptCount val="1"/>
                <c:pt idx="0">
                  <c:v>Beta</c:v>
                </c:pt>
              </c:strCache>
            </c:strRef>
          </c:cat>
          <c:val>
            <c:numRef>
              <c:f>Sheet6!$B$2</c:f>
              <c:numCache>
                <c:formatCode>0.00</c:formatCode>
                <c:ptCount val="1"/>
                <c:pt idx="0">
                  <c:v>0.27437497344499401</c:v>
                </c:pt>
              </c:numCache>
            </c:numRef>
          </c:val>
          <c:extLst xmlns:c16r2="http://schemas.microsoft.com/office/drawing/2015/06/chart">
            <c:ext xmlns:c16="http://schemas.microsoft.com/office/drawing/2014/chart" uri="{C3380CC4-5D6E-409C-BE32-E72D297353CC}">
              <c16:uniqueId val="{00000000-E98D-4F2A-8FAB-9E4FDB391D33}"/>
            </c:ext>
          </c:extLst>
        </c:ser>
        <c:ser>
          <c:idx val="1"/>
          <c:order val="1"/>
          <c:tx>
            <c:strRef>
              <c:f>Sheet6!$A$3</c:f>
              <c:strCache>
                <c:ptCount val="1"/>
                <c:pt idx="0">
                  <c:v>FBFIF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Sheet6!$B$1</c:f>
              <c:strCache>
                <c:ptCount val="1"/>
                <c:pt idx="0">
                  <c:v>Beta</c:v>
                </c:pt>
              </c:strCache>
            </c:strRef>
          </c:cat>
          <c:val>
            <c:numRef>
              <c:f>Sheet6!$B$3</c:f>
              <c:numCache>
                <c:formatCode>0.00</c:formatCode>
                <c:ptCount val="1"/>
                <c:pt idx="0">
                  <c:v>0.47699161571129295</c:v>
                </c:pt>
              </c:numCache>
            </c:numRef>
          </c:val>
          <c:extLst xmlns:c16r2="http://schemas.microsoft.com/office/drawing/2015/06/chart">
            <c:ext xmlns:c16="http://schemas.microsoft.com/office/drawing/2014/chart" uri="{C3380CC4-5D6E-409C-BE32-E72D297353CC}">
              <c16:uniqueId val="{00000001-E98D-4F2A-8FAB-9E4FDB391D33}"/>
            </c:ext>
          </c:extLst>
        </c:ser>
        <c:ser>
          <c:idx val="2"/>
          <c:order val="2"/>
          <c:tx>
            <c:strRef>
              <c:f>Sheet6!$A$4</c:f>
              <c:strCache>
                <c:ptCount val="1"/>
                <c:pt idx="0">
                  <c:v>DBH1STMF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Sheet6!$B$1</c:f>
              <c:strCache>
                <c:ptCount val="1"/>
                <c:pt idx="0">
                  <c:v>Beta</c:v>
                </c:pt>
              </c:strCache>
            </c:strRef>
          </c:cat>
          <c:val>
            <c:numRef>
              <c:f>Sheet6!$B$4</c:f>
              <c:numCache>
                <c:formatCode>0.00</c:formatCode>
                <c:ptCount val="1"/>
                <c:pt idx="0">
                  <c:v>0.49503382935865858</c:v>
                </c:pt>
              </c:numCache>
            </c:numRef>
          </c:val>
          <c:extLst xmlns:c16r2="http://schemas.microsoft.com/office/drawing/2015/06/chart">
            <c:ext xmlns:c16="http://schemas.microsoft.com/office/drawing/2014/chart" uri="{C3380CC4-5D6E-409C-BE32-E72D297353CC}">
              <c16:uniqueId val="{00000002-E98D-4F2A-8FAB-9E4FDB391D33}"/>
            </c:ext>
          </c:extLst>
        </c:ser>
        <c:ser>
          <c:idx val="3"/>
          <c:order val="3"/>
          <c:tx>
            <c:strRef>
              <c:f>Sheet6!$A$5</c:f>
              <c:strCache>
                <c:ptCount val="1"/>
                <c:pt idx="0">
                  <c:v>EBLNRBMF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Sheet6!$B$1</c:f>
              <c:strCache>
                <c:ptCount val="1"/>
                <c:pt idx="0">
                  <c:v>Beta</c:v>
                </c:pt>
              </c:strCache>
            </c:strRef>
          </c:cat>
          <c:val>
            <c:numRef>
              <c:f>Sheet6!$B$5</c:f>
              <c:numCache>
                <c:formatCode>0.00</c:formatCode>
                <c:ptCount val="1"/>
                <c:pt idx="0">
                  <c:v>0.5321360231124197</c:v>
                </c:pt>
              </c:numCache>
            </c:numRef>
          </c:val>
          <c:extLst xmlns:c16r2="http://schemas.microsoft.com/office/drawing/2015/06/chart">
            <c:ext xmlns:c16="http://schemas.microsoft.com/office/drawing/2014/chart" uri="{C3380CC4-5D6E-409C-BE32-E72D297353CC}">
              <c16:uniqueId val="{00000003-E98D-4F2A-8FAB-9E4FDB391D33}"/>
            </c:ext>
          </c:extLst>
        </c:ser>
        <c:ser>
          <c:idx val="4"/>
          <c:order val="4"/>
          <c:tx>
            <c:strRef>
              <c:f>Sheet6!$A$6</c:f>
              <c:strCache>
                <c:ptCount val="1"/>
                <c:pt idx="0">
                  <c:v>ABB1STMF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Sheet6!$B$1</c:f>
              <c:strCache>
                <c:ptCount val="1"/>
                <c:pt idx="0">
                  <c:v>Beta</c:v>
                </c:pt>
              </c:strCache>
            </c:strRef>
          </c:cat>
          <c:val>
            <c:numRef>
              <c:f>Sheet6!$B$6</c:f>
              <c:numCache>
                <c:formatCode>0.00</c:formatCode>
                <c:ptCount val="1"/>
                <c:pt idx="0">
                  <c:v>0.55044617768080528</c:v>
                </c:pt>
              </c:numCache>
            </c:numRef>
          </c:val>
          <c:extLst xmlns:c16r2="http://schemas.microsoft.com/office/drawing/2015/06/chart">
            <c:ext xmlns:c16="http://schemas.microsoft.com/office/drawing/2014/chart" uri="{C3380CC4-5D6E-409C-BE32-E72D297353CC}">
              <c16:uniqueId val="{00000004-E98D-4F2A-8FAB-9E4FDB391D33}"/>
            </c:ext>
          </c:extLst>
        </c:ser>
        <c:ser>
          <c:idx val="5"/>
          <c:order val="5"/>
          <c:tx>
            <c:strRef>
              <c:f>Sheet6!$A$7</c:f>
              <c:strCache>
                <c:ptCount val="1"/>
                <c:pt idx="0">
                  <c:v>EBL1STMF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Sheet6!$B$1</c:f>
              <c:strCache>
                <c:ptCount val="1"/>
                <c:pt idx="0">
                  <c:v>Beta</c:v>
                </c:pt>
              </c:strCache>
            </c:strRef>
          </c:cat>
          <c:val>
            <c:numRef>
              <c:f>Sheet6!$B$7</c:f>
              <c:numCache>
                <c:formatCode>0.00</c:formatCode>
                <c:ptCount val="1"/>
                <c:pt idx="0">
                  <c:v>0.55611888250341701</c:v>
                </c:pt>
              </c:numCache>
            </c:numRef>
          </c:val>
          <c:extLst xmlns:c16r2="http://schemas.microsoft.com/office/drawing/2015/06/chart">
            <c:ext xmlns:c16="http://schemas.microsoft.com/office/drawing/2014/chart" uri="{C3380CC4-5D6E-409C-BE32-E72D297353CC}">
              <c16:uniqueId val="{00000005-E98D-4F2A-8FAB-9E4FDB391D33}"/>
            </c:ext>
          </c:extLst>
        </c:ser>
        <c:ser>
          <c:idx val="6"/>
          <c:order val="6"/>
          <c:tx>
            <c:strRef>
              <c:f>Sheet6!$A$8</c:f>
              <c:strCache>
                <c:ptCount val="1"/>
                <c:pt idx="0">
                  <c:v>ATCSLGF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Sheet6!$B$1</c:f>
              <c:strCache>
                <c:ptCount val="1"/>
                <c:pt idx="0">
                  <c:v>Beta</c:v>
                </c:pt>
              </c:strCache>
            </c:strRef>
          </c:cat>
          <c:val>
            <c:numRef>
              <c:f>Sheet6!$B$8</c:f>
              <c:numCache>
                <c:formatCode>0.00</c:formatCode>
                <c:ptCount val="1"/>
                <c:pt idx="0">
                  <c:v>0.55875345797996501</c:v>
                </c:pt>
              </c:numCache>
            </c:numRef>
          </c:val>
          <c:extLst xmlns:c16r2="http://schemas.microsoft.com/office/drawing/2015/06/chart">
            <c:ext xmlns:c16="http://schemas.microsoft.com/office/drawing/2014/chart" uri="{C3380CC4-5D6E-409C-BE32-E72D297353CC}">
              <c16:uniqueId val="{00000006-E98D-4F2A-8FAB-9E4FDB391D33}"/>
            </c:ext>
          </c:extLst>
        </c:ser>
        <c:ser>
          <c:idx val="7"/>
          <c:order val="7"/>
          <c:tx>
            <c:strRef>
              <c:f>Sheet6!$A$9</c:f>
              <c:strCache>
                <c:ptCount val="1"/>
                <c:pt idx="0">
                  <c:v>1JANATAMF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Sheet6!$B$1</c:f>
              <c:strCache>
                <c:ptCount val="1"/>
                <c:pt idx="0">
                  <c:v>Beta</c:v>
                </c:pt>
              </c:strCache>
            </c:strRef>
          </c:cat>
          <c:val>
            <c:numRef>
              <c:f>Sheet6!$B$9</c:f>
              <c:numCache>
                <c:formatCode>0.00</c:formatCode>
                <c:ptCount val="1"/>
                <c:pt idx="0">
                  <c:v>0.63052840577746461</c:v>
                </c:pt>
              </c:numCache>
            </c:numRef>
          </c:val>
          <c:extLst xmlns:c16r2="http://schemas.microsoft.com/office/drawing/2015/06/chart">
            <c:ext xmlns:c16="http://schemas.microsoft.com/office/drawing/2014/chart" uri="{C3380CC4-5D6E-409C-BE32-E72D297353CC}">
              <c16:uniqueId val="{00000007-E98D-4F2A-8FAB-9E4FDB391D33}"/>
            </c:ext>
          </c:extLst>
        </c:ser>
        <c:ser>
          <c:idx val="8"/>
          <c:order val="8"/>
          <c:tx>
            <c:strRef>
              <c:f>Sheet6!$A$10</c:f>
              <c:strCache>
                <c:ptCount val="1"/>
                <c:pt idx="0">
                  <c:v>EXIM1STMF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Sheet6!$B$1</c:f>
              <c:strCache>
                <c:ptCount val="1"/>
                <c:pt idx="0">
                  <c:v>Beta</c:v>
                </c:pt>
              </c:strCache>
            </c:strRef>
          </c:cat>
          <c:val>
            <c:numRef>
              <c:f>Sheet6!$B$10</c:f>
              <c:numCache>
                <c:formatCode>0.00</c:formatCode>
                <c:ptCount val="1"/>
                <c:pt idx="0">
                  <c:v>0.67235001024477092</c:v>
                </c:pt>
              </c:numCache>
            </c:numRef>
          </c:val>
          <c:extLst xmlns:c16r2="http://schemas.microsoft.com/office/drawing/2015/06/chart">
            <c:ext xmlns:c16="http://schemas.microsoft.com/office/drawing/2014/chart" uri="{C3380CC4-5D6E-409C-BE32-E72D297353CC}">
              <c16:uniqueId val="{00000008-E98D-4F2A-8FAB-9E4FDB391D33}"/>
            </c:ext>
          </c:extLst>
        </c:ser>
        <c:ser>
          <c:idx val="9"/>
          <c:order val="9"/>
          <c:tx>
            <c:strRef>
              <c:f>Sheet6!$A$11</c:f>
              <c:strCache>
                <c:ptCount val="1"/>
                <c:pt idx="0">
                  <c:v>1STPRIMFMF</c:v>
                </c:pt>
              </c:strCache>
            </c:strRef>
          </c:tx>
          <c:spPr>
            <a:solidFill>
              <a:schemeClr val="accent4">
                <a:lumMod val="60000"/>
              </a:schemeClr>
            </a:solidFill>
            <a:ln>
              <a:noFill/>
            </a:ln>
            <a:effectLst/>
          </c:spPr>
          <c:invertIfNegative val="0"/>
          <c:dLbls>
            <c:dLbl>
              <c:idx val="0"/>
              <c:layout>
                <c:manualLayout>
                  <c:x val="2.2168033695411215E-3"/>
                  <c:y val="1.832760595647195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98D-4F2A-8FAB-9E4FDB391D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Sheet6!$B$1</c:f>
              <c:strCache>
                <c:ptCount val="1"/>
                <c:pt idx="0">
                  <c:v>Beta</c:v>
                </c:pt>
              </c:strCache>
            </c:strRef>
          </c:cat>
          <c:val>
            <c:numRef>
              <c:f>Sheet6!$B$11</c:f>
              <c:numCache>
                <c:formatCode>0.00</c:formatCode>
                <c:ptCount val="1"/>
                <c:pt idx="0">
                  <c:v>1.1102714466168708</c:v>
                </c:pt>
              </c:numCache>
            </c:numRef>
          </c:val>
          <c:extLst xmlns:c16r2="http://schemas.microsoft.com/office/drawing/2015/06/chart">
            <c:ext xmlns:c16="http://schemas.microsoft.com/office/drawing/2014/chart" uri="{C3380CC4-5D6E-409C-BE32-E72D297353CC}">
              <c16:uniqueId val="{0000000A-E98D-4F2A-8FAB-9E4FDB391D33}"/>
            </c:ext>
          </c:extLst>
        </c:ser>
        <c:dLbls>
          <c:dLblPos val="outEnd"/>
          <c:showLegendKey val="0"/>
          <c:showVal val="1"/>
          <c:showCatName val="0"/>
          <c:showSerName val="0"/>
          <c:showPercent val="0"/>
          <c:showBubbleSize val="0"/>
        </c:dLbls>
        <c:gapWidth val="267"/>
        <c:overlap val="-43"/>
        <c:axId val="229597952"/>
        <c:axId val="229599488"/>
      </c:barChart>
      <c:catAx>
        <c:axId val="229597952"/>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29599488"/>
        <c:crosses val="autoZero"/>
        <c:auto val="1"/>
        <c:lblAlgn val="ctr"/>
        <c:lblOffset val="100"/>
        <c:noMultiLvlLbl val="0"/>
      </c:catAx>
      <c:valAx>
        <c:axId val="229599488"/>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229597952"/>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438665239999511"/>
          <c:y val="3.5123540591908767E-2"/>
          <c:w val="0.14283265578280213"/>
          <c:h val="0.9183962349533894"/>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Sharpe</a:t>
            </a:r>
            <a:r>
              <a:rPr lang="en-US" baseline="0"/>
              <a:t> Ratio Based on Market Price of Weekly NAV</a:t>
            </a:r>
            <a:endParaRPr lang="en-US"/>
          </a:p>
        </c:rich>
      </c:tx>
      <c:layout>
        <c:manualLayout>
          <c:xMode val="edge"/>
          <c:yMode val="edge"/>
          <c:x val="3.0228355006112831E-2"/>
          <c:y val="5.6146534874630033E-2"/>
        </c:manualLayout>
      </c:layout>
      <c:overlay val="0"/>
      <c:spPr>
        <a:noFill/>
        <a:ln>
          <a:noFill/>
        </a:ln>
        <a:effectLst/>
      </c:spPr>
    </c:title>
    <c:autoTitleDeleted val="0"/>
    <c:plotArea>
      <c:layout>
        <c:manualLayout>
          <c:layoutTarget val="inner"/>
          <c:xMode val="edge"/>
          <c:yMode val="edge"/>
          <c:x val="2.4485253199777408E-2"/>
          <c:y val="0.22428368794326242"/>
          <c:w val="0.77421967496133104"/>
          <c:h val="0.71330496453900705"/>
        </c:manualLayout>
      </c:layout>
      <c:barChart>
        <c:barDir val="col"/>
        <c:grouping val="clustered"/>
        <c:varyColors val="0"/>
        <c:ser>
          <c:idx val="0"/>
          <c:order val="0"/>
          <c:tx>
            <c:strRef>
              <c:f>Sheet1!$A$2</c:f>
              <c:strCache>
                <c:ptCount val="1"/>
                <c:pt idx="0">
                  <c:v>DBH1STMF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Sheet1!$B$2</c:f>
              <c:numCache>
                <c:formatCode>0.00%</c:formatCode>
                <c:ptCount val="1"/>
                <c:pt idx="0">
                  <c:v>-2.0580925929266636E-2</c:v>
                </c:pt>
              </c:numCache>
            </c:numRef>
          </c:val>
          <c:extLst xmlns:c16r2="http://schemas.microsoft.com/office/drawing/2015/06/chart">
            <c:ext xmlns:c16="http://schemas.microsoft.com/office/drawing/2014/chart" uri="{C3380CC4-5D6E-409C-BE32-E72D297353CC}">
              <c16:uniqueId val="{00000000-65CD-4FA5-94E1-7D14928EB164}"/>
            </c:ext>
          </c:extLst>
        </c:ser>
        <c:ser>
          <c:idx val="1"/>
          <c:order val="1"/>
          <c:tx>
            <c:strRef>
              <c:f>Sheet1!$A$3</c:f>
              <c:strCache>
                <c:ptCount val="1"/>
                <c:pt idx="0">
                  <c:v>ATCSLGF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Sheet1!$B$3</c:f>
              <c:numCache>
                <c:formatCode>0.00%</c:formatCode>
                <c:ptCount val="1"/>
                <c:pt idx="0">
                  <c:v>-3.3597342486739061E-2</c:v>
                </c:pt>
              </c:numCache>
            </c:numRef>
          </c:val>
          <c:extLst xmlns:c16r2="http://schemas.microsoft.com/office/drawing/2015/06/chart">
            <c:ext xmlns:c16="http://schemas.microsoft.com/office/drawing/2014/chart" uri="{C3380CC4-5D6E-409C-BE32-E72D297353CC}">
              <c16:uniqueId val="{00000001-65CD-4FA5-94E1-7D14928EB164}"/>
            </c:ext>
          </c:extLst>
        </c:ser>
        <c:ser>
          <c:idx val="2"/>
          <c:order val="2"/>
          <c:tx>
            <c:strRef>
              <c:f>Sheet1!$A$4</c:f>
              <c:strCache>
                <c:ptCount val="1"/>
                <c:pt idx="0">
                  <c:v>EXIM1STMF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Sheet1!$B$4</c:f>
              <c:numCache>
                <c:formatCode>0.00%</c:formatCode>
                <c:ptCount val="1"/>
                <c:pt idx="0">
                  <c:v>-3.5452859835513093E-2</c:v>
                </c:pt>
              </c:numCache>
            </c:numRef>
          </c:val>
          <c:extLst xmlns:c16r2="http://schemas.microsoft.com/office/drawing/2015/06/chart">
            <c:ext xmlns:c16="http://schemas.microsoft.com/office/drawing/2014/chart" uri="{C3380CC4-5D6E-409C-BE32-E72D297353CC}">
              <c16:uniqueId val="{00000002-65CD-4FA5-94E1-7D14928EB164}"/>
            </c:ext>
          </c:extLst>
        </c:ser>
        <c:ser>
          <c:idx val="3"/>
          <c:order val="3"/>
          <c:tx>
            <c:strRef>
              <c:f>Sheet1!$A$5</c:f>
              <c:strCache>
                <c:ptCount val="1"/>
                <c:pt idx="0">
                  <c:v>EBL1STMF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Sheet1!$B$5</c:f>
              <c:numCache>
                <c:formatCode>0.00%</c:formatCode>
                <c:ptCount val="1"/>
                <c:pt idx="0">
                  <c:v>-3.6668267784998862E-2</c:v>
                </c:pt>
              </c:numCache>
            </c:numRef>
          </c:val>
          <c:extLst xmlns:c16r2="http://schemas.microsoft.com/office/drawing/2015/06/chart">
            <c:ext xmlns:c16="http://schemas.microsoft.com/office/drawing/2014/chart" uri="{C3380CC4-5D6E-409C-BE32-E72D297353CC}">
              <c16:uniqueId val="{00000003-65CD-4FA5-94E1-7D14928EB164}"/>
            </c:ext>
          </c:extLst>
        </c:ser>
        <c:ser>
          <c:idx val="4"/>
          <c:order val="4"/>
          <c:tx>
            <c:strRef>
              <c:f>Sheet1!$A$6</c:f>
              <c:strCache>
                <c:ptCount val="1"/>
                <c:pt idx="0">
                  <c:v>ABB1STMF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Sheet1!$B$6</c:f>
              <c:numCache>
                <c:formatCode>0.00%</c:formatCode>
                <c:ptCount val="1"/>
                <c:pt idx="0">
                  <c:v>-5.7927111634401403E-2</c:v>
                </c:pt>
              </c:numCache>
            </c:numRef>
          </c:val>
          <c:extLst xmlns:c16r2="http://schemas.microsoft.com/office/drawing/2015/06/chart">
            <c:ext xmlns:c16="http://schemas.microsoft.com/office/drawing/2014/chart" uri="{C3380CC4-5D6E-409C-BE32-E72D297353CC}">
              <c16:uniqueId val="{00000004-65CD-4FA5-94E1-7D14928EB164}"/>
            </c:ext>
          </c:extLst>
        </c:ser>
        <c:ser>
          <c:idx val="5"/>
          <c:order val="5"/>
          <c:tx>
            <c:strRef>
              <c:f>Sheet1!$A$7</c:f>
              <c:strCache>
                <c:ptCount val="1"/>
                <c:pt idx="0">
                  <c:v>1STPRIMFMF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Sheet1!$B$7</c:f>
              <c:numCache>
                <c:formatCode>0.00%</c:formatCode>
                <c:ptCount val="1"/>
                <c:pt idx="0">
                  <c:v>-5.8603521581124071E-2</c:v>
                </c:pt>
              </c:numCache>
            </c:numRef>
          </c:val>
          <c:extLst xmlns:c16r2="http://schemas.microsoft.com/office/drawing/2015/06/chart">
            <c:ext xmlns:c16="http://schemas.microsoft.com/office/drawing/2014/chart" uri="{C3380CC4-5D6E-409C-BE32-E72D297353CC}">
              <c16:uniqueId val="{00000005-65CD-4FA5-94E1-7D14928EB164}"/>
            </c:ext>
          </c:extLst>
        </c:ser>
        <c:ser>
          <c:idx val="6"/>
          <c:order val="6"/>
          <c:tx>
            <c:strRef>
              <c:f>Sheet1!$A$8</c:f>
              <c:strCache>
                <c:ptCount val="1"/>
                <c:pt idx="0">
                  <c:v>EBLNRBMF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Sheet1!$B$8</c:f>
              <c:numCache>
                <c:formatCode>0.00%</c:formatCode>
                <c:ptCount val="1"/>
                <c:pt idx="0">
                  <c:v>-5.9110245997382065E-2</c:v>
                </c:pt>
              </c:numCache>
            </c:numRef>
          </c:val>
          <c:extLst xmlns:c16r2="http://schemas.microsoft.com/office/drawing/2015/06/chart">
            <c:ext xmlns:c16="http://schemas.microsoft.com/office/drawing/2014/chart" uri="{C3380CC4-5D6E-409C-BE32-E72D297353CC}">
              <c16:uniqueId val="{00000006-65CD-4FA5-94E1-7D14928EB164}"/>
            </c:ext>
          </c:extLst>
        </c:ser>
        <c:ser>
          <c:idx val="7"/>
          <c:order val="7"/>
          <c:tx>
            <c:strRef>
              <c:f>Sheet1!$A$9</c:f>
              <c:strCache>
                <c:ptCount val="1"/>
                <c:pt idx="0">
                  <c:v>AIBL1STIMF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Sheet1!$B$9</c:f>
              <c:numCache>
                <c:formatCode>0.00%</c:formatCode>
                <c:ptCount val="1"/>
                <c:pt idx="0">
                  <c:v>-6.2175579012515067E-2</c:v>
                </c:pt>
              </c:numCache>
            </c:numRef>
          </c:val>
          <c:extLst xmlns:c16r2="http://schemas.microsoft.com/office/drawing/2015/06/chart">
            <c:ext xmlns:c16="http://schemas.microsoft.com/office/drawing/2014/chart" uri="{C3380CC4-5D6E-409C-BE32-E72D297353CC}">
              <c16:uniqueId val="{00000007-65CD-4FA5-94E1-7D14928EB164}"/>
            </c:ext>
          </c:extLst>
        </c:ser>
        <c:ser>
          <c:idx val="8"/>
          <c:order val="8"/>
          <c:tx>
            <c:strRef>
              <c:f>Sheet1!$A$10</c:f>
              <c:strCache>
                <c:ptCount val="1"/>
                <c:pt idx="0">
                  <c:v>1JANATAMF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Sheet1!$B$10</c:f>
              <c:numCache>
                <c:formatCode>0.00%</c:formatCode>
                <c:ptCount val="1"/>
                <c:pt idx="0">
                  <c:v>-6.3785872054319806E-2</c:v>
                </c:pt>
              </c:numCache>
            </c:numRef>
          </c:val>
          <c:extLst xmlns:c16r2="http://schemas.microsoft.com/office/drawing/2015/06/chart">
            <c:ext xmlns:c16="http://schemas.microsoft.com/office/drawing/2014/chart" uri="{C3380CC4-5D6E-409C-BE32-E72D297353CC}">
              <c16:uniqueId val="{00000008-65CD-4FA5-94E1-7D14928EB164}"/>
            </c:ext>
          </c:extLst>
        </c:ser>
        <c:ser>
          <c:idx val="9"/>
          <c:order val="9"/>
          <c:tx>
            <c:strRef>
              <c:f>Sheet1!$A$11</c:f>
              <c:strCache>
                <c:ptCount val="1"/>
                <c:pt idx="0">
                  <c:v>FBFIF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Sheet1!$B$11</c:f>
              <c:numCache>
                <c:formatCode>0.00%</c:formatCode>
                <c:ptCount val="1"/>
                <c:pt idx="0">
                  <c:v>-6.8491488846363621E-2</c:v>
                </c:pt>
              </c:numCache>
            </c:numRef>
          </c:val>
          <c:extLst xmlns:c16r2="http://schemas.microsoft.com/office/drawing/2015/06/chart">
            <c:ext xmlns:c16="http://schemas.microsoft.com/office/drawing/2014/chart" uri="{C3380CC4-5D6E-409C-BE32-E72D297353CC}">
              <c16:uniqueId val="{00000009-65CD-4FA5-94E1-7D14928EB164}"/>
            </c:ext>
          </c:extLst>
        </c:ser>
        <c:dLbls>
          <c:dLblPos val="outEnd"/>
          <c:showLegendKey val="0"/>
          <c:showVal val="1"/>
          <c:showCatName val="0"/>
          <c:showSerName val="0"/>
          <c:showPercent val="0"/>
          <c:showBubbleSize val="0"/>
        </c:dLbls>
        <c:gapWidth val="267"/>
        <c:overlap val="-43"/>
        <c:axId val="229991936"/>
        <c:axId val="229993472"/>
      </c:barChart>
      <c:catAx>
        <c:axId val="229991936"/>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29993472"/>
        <c:crosses val="autoZero"/>
        <c:auto val="1"/>
        <c:lblAlgn val="ctr"/>
        <c:lblOffset val="100"/>
        <c:noMultiLvlLbl val="0"/>
      </c:catAx>
      <c:valAx>
        <c:axId val="229993472"/>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229991936"/>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0435608048993879"/>
          <c:y val="0.17541375036453777"/>
          <c:w val="0.17897725284339458"/>
          <c:h val="0.75810731991834357"/>
        </c:manualLayout>
      </c:layout>
      <c:overlay val="0"/>
      <c:spPr>
        <a:noFill/>
        <a:ln>
          <a:solidFill>
            <a:srgbClr val="00B0F0"/>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none" spc="0" normalizeH="0" baseline="0">
                <a:solidFill>
                  <a:sysClr val="windowText" lastClr="000000">
                    <a:lumMod val="50000"/>
                    <a:lumOff val="50000"/>
                  </a:sysClr>
                </a:solidFill>
                <a:latin typeface="+mj-lt"/>
                <a:ea typeface="+mj-ea"/>
                <a:cs typeface="+mj-cs"/>
              </a:defRPr>
            </a:pPr>
            <a:r>
              <a:rPr lang="en-US"/>
              <a:t>Treynor</a:t>
            </a:r>
            <a:r>
              <a:rPr lang="en-US" baseline="0"/>
              <a:t> Ratio </a:t>
            </a:r>
            <a:r>
              <a:rPr lang="en-US" sz="1800" b="1" i="0" baseline="0">
                <a:effectLst/>
              </a:rPr>
              <a:t>Based on Market Price of Weekly NAV</a:t>
            </a:r>
            <a:endParaRPr lang="en-US">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none" spc="0" normalizeH="0" baseline="0">
                <a:solidFill>
                  <a:sysClr val="windowText" lastClr="000000">
                    <a:lumMod val="50000"/>
                    <a:lumOff val="50000"/>
                  </a:sysClr>
                </a:solidFill>
                <a:latin typeface="+mj-lt"/>
                <a:ea typeface="+mj-ea"/>
                <a:cs typeface="+mj-cs"/>
              </a:defRPr>
            </a:pPr>
            <a:endParaRPr lang="en-US"/>
          </a:p>
        </c:rich>
      </c:tx>
      <c:layout>
        <c:manualLayout>
          <c:xMode val="edge"/>
          <c:yMode val="edge"/>
          <c:x val="3.1979356225497295E-3"/>
          <c:y val="3.5774773436339333E-3"/>
        </c:manualLayout>
      </c:layout>
      <c:overlay val="0"/>
      <c:spPr>
        <a:noFill/>
        <a:ln>
          <a:noFill/>
        </a:ln>
        <a:effectLst/>
      </c:spPr>
    </c:title>
    <c:autoTitleDeleted val="0"/>
    <c:plotArea>
      <c:layout>
        <c:manualLayout>
          <c:layoutTarget val="inner"/>
          <c:xMode val="edge"/>
          <c:yMode val="edge"/>
          <c:x val="2.2158209616662972E-3"/>
          <c:y val="0.28644927536231884"/>
          <c:w val="0.7863243717624151"/>
          <c:h val="0.69905797101449274"/>
        </c:manualLayout>
      </c:layout>
      <c:barChart>
        <c:barDir val="col"/>
        <c:grouping val="clustered"/>
        <c:varyColors val="0"/>
        <c:ser>
          <c:idx val="0"/>
          <c:order val="0"/>
          <c:tx>
            <c:strRef>
              <c:f>Sheet2!$A$2</c:f>
              <c:strCache>
                <c:ptCount val="1"/>
                <c:pt idx="0">
                  <c:v>DBH1STMF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Sheet2!$B$2</c:f>
              <c:numCache>
                <c:formatCode>0.00%</c:formatCode>
                <c:ptCount val="1"/>
                <c:pt idx="0">
                  <c:v>-6.3110726735627601E-4</c:v>
                </c:pt>
              </c:numCache>
            </c:numRef>
          </c:val>
          <c:extLst xmlns:c16r2="http://schemas.microsoft.com/office/drawing/2015/06/chart">
            <c:ext xmlns:c16="http://schemas.microsoft.com/office/drawing/2014/chart" uri="{C3380CC4-5D6E-409C-BE32-E72D297353CC}">
              <c16:uniqueId val="{00000000-47E8-4F41-B1BC-DD098BC36DE1}"/>
            </c:ext>
          </c:extLst>
        </c:ser>
        <c:ser>
          <c:idx val="1"/>
          <c:order val="1"/>
          <c:tx>
            <c:strRef>
              <c:f>Sheet2!$A$3</c:f>
              <c:strCache>
                <c:ptCount val="1"/>
                <c:pt idx="0">
                  <c:v>EXIM1STMF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Sheet2!$B$3</c:f>
              <c:numCache>
                <c:formatCode>0.00%</c:formatCode>
                <c:ptCount val="1"/>
                <c:pt idx="0">
                  <c:v>-9.4043935886181282E-4</c:v>
                </c:pt>
              </c:numCache>
            </c:numRef>
          </c:val>
          <c:extLst xmlns:c16r2="http://schemas.microsoft.com/office/drawing/2015/06/chart">
            <c:ext xmlns:c16="http://schemas.microsoft.com/office/drawing/2014/chart" uri="{C3380CC4-5D6E-409C-BE32-E72D297353CC}">
              <c16:uniqueId val="{00000001-47E8-4F41-B1BC-DD098BC36DE1}"/>
            </c:ext>
          </c:extLst>
        </c:ser>
        <c:ser>
          <c:idx val="2"/>
          <c:order val="2"/>
          <c:tx>
            <c:strRef>
              <c:f>Sheet2!$A$4</c:f>
              <c:strCache>
                <c:ptCount val="1"/>
                <c:pt idx="0">
                  <c:v>ATCSLGF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Sheet2!$B$4</c:f>
              <c:numCache>
                <c:formatCode>0.00%</c:formatCode>
                <c:ptCount val="1"/>
                <c:pt idx="0">
                  <c:v>-9.5547527427468696E-4</c:v>
                </c:pt>
              </c:numCache>
            </c:numRef>
          </c:val>
          <c:extLst xmlns:c16r2="http://schemas.microsoft.com/office/drawing/2015/06/chart">
            <c:ext xmlns:c16="http://schemas.microsoft.com/office/drawing/2014/chart" uri="{C3380CC4-5D6E-409C-BE32-E72D297353CC}">
              <c16:uniqueId val="{00000002-47E8-4F41-B1BC-DD098BC36DE1}"/>
            </c:ext>
          </c:extLst>
        </c:ser>
        <c:ser>
          <c:idx val="3"/>
          <c:order val="3"/>
          <c:tx>
            <c:strRef>
              <c:f>Sheet2!$A$5</c:f>
              <c:strCache>
                <c:ptCount val="1"/>
                <c:pt idx="0">
                  <c:v>EBL1STMF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Sheet2!$B$5</c:f>
              <c:numCache>
                <c:formatCode>0.00%</c:formatCode>
                <c:ptCount val="1"/>
                <c:pt idx="0">
                  <c:v>-1.0153767867779396E-3</c:v>
                </c:pt>
              </c:numCache>
            </c:numRef>
          </c:val>
          <c:extLst xmlns:c16r2="http://schemas.microsoft.com/office/drawing/2015/06/chart">
            <c:ext xmlns:c16="http://schemas.microsoft.com/office/drawing/2014/chart" uri="{C3380CC4-5D6E-409C-BE32-E72D297353CC}">
              <c16:uniqueId val="{00000003-47E8-4F41-B1BC-DD098BC36DE1}"/>
            </c:ext>
          </c:extLst>
        </c:ser>
        <c:ser>
          <c:idx val="4"/>
          <c:order val="4"/>
          <c:tx>
            <c:strRef>
              <c:f>Sheet2!$A$6</c:f>
              <c:strCache>
                <c:ptCount val="1"/>
                <c:pt idx="0">
                  <c:v>1STPRIMFMF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Sheet2!$B$6</c:f>
              <c:numCache>
                <c:formatCode>0.00%</c:formatCode>
                <c:ptCount val="1"/>
                <c:pt idx="0">
                  <c:v>-1.3442847249843942E-3</c:v>
                </c:pt>
              </c:numCache>
            </c:numRef>
          </c:val>
          <c:extLst xmlns:c16r2="http://schemas.microsoft.com/office/drawing/2015/06/chart">
            <c:ext xmlns:c16="http://schemas.microsoft.com/office/drawing/2014/chart" uri="{C3380CC4-5D6E-409C-BE32-E72D297353CC}">
              <c16:uniqueId val="{00000004-47E8-4F41-B1BC-DD098BC36DE1}"/>
            </c:ext>
          </c:extLst>
        </c:ser>
        <c:ser>
          <c:idx val="5"/>
          <c:order val="5"/>
          <c:tx>
            <c:strRef>
              <c:f>Sheet2!$A$7</c:f>
              <c:strCache>
                <c:ptCount val="1"/>
                <c:pt idx="0">
                  <c:v>1JANATAMF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Sheet2!$B$7</c:f>
              <c:numCache>
                <c:formatCode>0.00%</c:formatCode>
                <c:ptCount val="1"/>
                <c:pt idx="0">
                  <c:v>-1.5190166918790222E-3</c:v>
                </c:pt>
              </c:numCache>
            </c:numRef>
          </c:val>
          <c:extLst xmlns:c16r2="http://schemas.microsoft.com/office/drawing/2015/06/chart">
            <c:ext xmlns:c16="http://schemas.microsoft.com/office/drawing/2014/chart" uri="{C3380CC4-5D6E-409C-BE32-E72D297353CC}">
              <c16:uniqueId val="{00000005-47E8-4F41-B1BC-DD098BC36DE1}"/>
            </c:ext>
          </c:extLst>
        </c:ser>
        <c:ser>
          <c:idx val="6"/>
          <c:order val="6"/>
          <c:tx>
            <c:strRef>
              <c:f>Sheet2!$A$8</c:f>
              <c:strCache>
                <c:ptCount val="1"/>
                <c:pt idx="0">
                  <c:v>ABB1STMF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Sheet2!$B$8</c:f>
              <c:numCache>
                <c:formatCode>0.00%</c:formatCode>
                <c:ptCount val="1"/>
                <c:pt idx="0">
                  <c:v>-1.5456882887836592E-3</c:v>
                </c:pt>
              </c:numCache>
            </c:numRef>
          </c:val>
          <c:extLst xmlns:c16r2="http://schemas.microsoft.com/office/drawing/2015/06/chart">
            <c:ext xmlns:c16="http://schemas.microsoft.com/office/drawing/2014/chart" uri="{C3380CC4-5D6E-409C-BE32-E72D297353CC}">
              <c16:uniqueId val="{00000006-47E8-4F41-B1BC-DD098BC36DE1}"/>
            </c:ext>
          </c:extLst>
        </c:ser>
        <c:ser>
          <c:idx val="7"/>
          <c:order val="7"/>
          <c:tx>
            <c:strRef>
              <c:f>Sheet2!$A$9</c:f>
              <c:strCache>
                <c:ptCount val="1"/>
                <c:pt idx="0">
                  <c:v>EBLNRBMF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Sheet2!$B$9</c:f>
              <c:numCache>
                <c:formatCode>0.00%</c:formatCode>
                <c:ptCount val="1"/>
                <c:pt idx="0">
                  <c:v>-1.5844934146447679E-3</c:v>
                </c:pt>
              </c:numCache>
            </c:numRef>
          </c:val>
          <c:extLst xmlns:c16r2="http://schemas.microsoft.com/office/drawing/2015/06/chart">
            <c:ext xmlns:c16="http://schemas.microsoft.com/office/drawing/2014/chart" uri="{C3380CC4-5D6E-409C-BE32-E72D297353CC}">
              <c16:uniqueId val="{00000007-47E8-4F41-B1BC-DD098BC36DE1}"/>
            </c:ext>
          </c:extLst>
        </c:ser>
        <c:ser>
          <c:idx val="8"/>
          <c:order val="8"/>
          <c:tx>
            <c:strRef>
              <c:f>Sheet2!$A$10</c:f>
              <c:strCache>
                <c:ptCount val="1"/>
                <c:pt idx="0">
                  <c:v>FBFIF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Sheet2!$B$10</c:f>
              <c:numCache>
                <c:formatCode>0.00%</c:formatCode>
                <c:ptCount val="1"/>
                <c:pt idx="0">
                  <c:v>-1.993888127941251E-3</c:v>
                </c:pt>
              </c:numCache>
            </c:numRef>
          </c:val>
          <c:extLst xmlns:c16r2="http://schemas.microsoft.com/office/drawing/2015/06/chart">
            <c:ext xmlns:c16="http://schemas.microsoft.com/office/drawing/2014/chart" uri="{C3380CC4-5D6E-409C-BE32-E72D297353CC}">
              <c16:uniqueId val="{00000008-47E8-4F41-B1BC-DD098BC36DE1}"/>
            </c:ext>
          </c:extLst>
        </c:ser>
        <c:ser>
          <c:idx val="9"/>
          <c:order val="9"/>
          <c:tx>
            <c:strRef>
              <c:f>Sheet2!$A$11</c:f>
              <c:strCache>
                <c:ptCount val="1"/>
                <c:pt idx="0">
                  <c:v>AIBL1STIMF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Sheet2!$B$1</c:f>
              <c:strCache>
                <c:ptCount val="1"/>
                <c:pt idx="0">
                  <c:v>Treynor Ratio</c:v>
                </c:pt>
              </c:strCache>
            </c:strRef>
          </c:cat>
          <c:val>
            <c:numRef>
              <c:f>Sheet2!$B$11</c:f>
              <c:numCache>
                <c:formatCode>0.00%</c:formatCode>
                <c:ptCount val="1"/>
                <c:pt idx="0">
                  <c:v>-2.5840967932589717E-3</c:v>
                </c:pt>
              </c:numCache>
            </c:numRef>
          </c:val>
          <c:extLst xmlns:c16r2="http://schemas.microsoft.com/office/drawing/2015/06/chart">
            <c:ext xmlns:c16="http://schemas.microsoft.com/office/drawing/2014/chart" uri="{C3380CC4-5D6E-409C-BE32-E72D297353CC}">
              <c16:uniqueId val="{00000009-47E8-4F41-B1BC-DD098BC36DE1}"/>
            </c:ext>
          </c:extLst>
        </c:ser>
        <c:dLbls>
          <c:dLblPos val="outEnd"/>
          <c:showLegendKey val="0"/>
          <c:showVal val="1"/>
          <c:showCatName val="0"/>
          <c:showSerName val="0"/>
          <c:showPercent val="0"/>
          <c:showBubbleSize val="0"/>
        </c:dLbls>
        <c:gapWidth val="267"/>
        <c:overlap val="-43"/>
        <c:axId val="230738176"/>
        <c:axId val="230752256"/>
      </c:barChart>
      <c:catAx>
        <c:axId val="230738176"/>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30752256"/>
        <c:crosses val="autoZero"/>
        <c:auto val="1"/>
        <c:lblAlgn val="ctr"/>
        <c:lblOffset val="100"/>
        <c:noMultiLvlLbl val="0"/>
      </c:catAx>
      <c:valAx>
        <c:axId val="230752256"/>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230738176"/>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79200699292158616"/>
          <c:y val="7.6005546476501762E-2"/>
          <c:w val="0.1990691397298209"/>
          <c:h val="0.92158322190858233"/>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Jensen's</a:t>
            </a:r>
            <a:r>
              <a:rPr lang="en-US" baseline="0"/>
              <a:t> Alpha Based on Market Price of  Weekly NAV</a:t>
            </a:r>
            <a:endParaRPr lang="en-US"/>
          </a:p>
        </c:rich>
      </c:tx>
      <c:layout>
        <c:manualLayout>
          <c:xMode val="edge"/>
          <c:yMode val="edge"/>
          <c:x val="2.0695798786741059E-2"/>
          <c:y val="2.0582706491297526E-2"/>
        </c:manualLayout>
      </c:layout>
      <c:overlay val="0"/>
      <c:spPr>
        <a:noFill/>
        <a:ln>
          <a:noFill/>
        </a:ln>
        <a:effectLst/>
      </c:spPr>
    </c:title>
    <c:autoTitleDeleted val="0"/>
    <c:plotArea>
      <c:layout>
        <c:manualLayout>
          <c:layoutTarget val="inner"/>
          <c:xMode val="edge"/>
          <c:yMode val="edge"/>
          <c:x val="2.4282560706401765E-2"/>
          <c:y val="0.19964646464646466"/>
          <c:w val="0.7760887173871478"/>
          <c:h val="0.74479797979797979"/>
        </c:manualLayout>
      </c:layout>
      <c:barChart>
        <c:barDir val="col"/>
        <c:grouping val="clustered"/>
        <c:varyColors val="0"/>
        <c:ser>
          <c:idx val="0"/>
          <c:order val="0"/>
          <c:tx>
            <c:strRef>
              <c:f>Sheet3!$A$2</c:f>
              <c:strCache>
                <c:ptCount val="1"/>
                <c:pt idx="0">
                  <c:v>DBH1STMF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Sheet3!$B$2</c:f>
              <c:numCache>
                <c:formatCode>0.00%</c:formatCode>
                <c:ptCount val="1"/>
                <c:pt idx="0">
                  <c:v>-1.8566242998875875E-4</c:v>
                </c:pt>
              </c:numCache>
            </c:numRef>
          </c:val>
          <c:extLst xmlns:c16r2="http://schemas.microsoft.com/office/drawing/2015/06/chart">
            <c:ext xmlns:c16="http://schemas.microsoft.com/office/drawing/2014/chart" uri="{C3380CC4-5D6E-409C-BE32-E72D297353CC}">
              <c16:uniqueId val="{00000000-6118-4349-B66C-B632B9B19312}"/>
            </c:ext>
          </c:extLst>
        </c:ser>
        <c:ser>
          <c:idx val="1"/>
          <c:order val="1"/>
          <c:tx>
            <c:strRef>
              <c:f>Sheet3!$A$3</c:f>
              <c:strCache>
                <c:ptCount val="1"/>
                <c:pt idx="0">
                  <c:v>ATCSLGF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Sheet3!$B$3</c:f>
              <c:numCache>
                <c:formatCode>0.00%</c:formatCode>
                <c:ptCount val="1"/>
                <c:pt idx="0">
                  <c:v>-3.9080222123421345E-4</c:v>
                </c:pt>
              </c:numCache>
            </c:numRef>
          </c:val>
          <c:extLst xmlns:c16r2="http://schemas.microsoft.com/office/drawing/2015/06/chart">
            <c:ext xmlns:c16="http://schemas.microsoft.com/office/drawing/2014/chart" uri="{C3380CC4-5D6E-409C-BE32-E72D297353CC}">
              <c16:uniqueId val="{00000001-6118-4349-B66C-B632B9B19312}"/>
            </c:ext>
          </c:extLst>
        </c:ser>
        <c:ser>
          <c:idx val="2"/>
          <c:order val="2"/>
          <c:tx>
            <c:strRef>
              <c:f>Sheet3!$A$4</c:f>
              <c:strCache>
                <c:ptCount val="1"/>
                <c:pt idx="0">
                  <c:v>EBL1STMF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Sheet3!$B$4</c:f>
              <c:numCache>
                <c:formatCode>0.00%</c:formatCode>
                <c:ptCount val="1"/>
                <c:pt idx="0">
                  <c:v>-4.2227191393994792E-4</c:v>
                </c:pt>
              </c:numCache>
            </c:numRef>
          </c:val>
          <c:extLst xmlns:c16r2="http://schemas.microsoft.com/office/drawing/2015/06/chart">
            <c:ext xmlns:c16="http://schemas.microsoft.com/office/drawing/2014/chart" uri="{C3380CC4-5D6E-409C-BE32-E72D297353CC}">
              <c16:uniqueId val="{00000002-6118-4349-B66C-B632B9B19312}"/>
            </c:ext>
          </c:extLst>
        </c:ser>
        <c:ser>
          <c:idx val="3"/>
          <c:order val="3"/>
          <c:tx>
            <c:strRef>
              <c:f>Sheet3!$A$5</c:f>
              <c:strCache>
                <c:ptCount val="1"/>
                <c:pt idx="0">
                  <c:v>EXIM1STMF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Sheet3!$B$5</c:f>
              <c:numCache>
                <c:formatCode>0.00%</c:formatCode>
                <c:ptCount val="1"/>
                <c:pt idx="0">
                  <c:v>-4.6014429576044392E-4</c:v>
                </c:pt>
              </c:numCache>
            </c:numRef>
          </c:val>
          <c:extLst xmlns:c16r2="http://schemas.microsoft.com/office/drawing/2015/06/chart">
            <c:ext xmlns:c16="http://schemas.microsoft.com/office/drawing/2014/chart" uri="{C3380CC4-5D6E-409C-BE32-E72D297353CC}">
              <c16:uniqueId val="{00000003-6118-4349-B66C-B632B9B19312}"/>
            </c:ext>
          </c:extLst>
        </c:ser>
        <c:ser>
          <c:idx val="4"/>
          <c:order val="4"/>
          <c:tx>
            <c:strRef>
              <c:f>Sheet3!$A$6</c:f>
              <c:strCache>
                <c:ptCount val="1"/>
                <c:pt idx="0">
                  <c:v>AIBL1STIMF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Sheet3!$B$6</c:f>
              <c:numCache>
                <c:formatCode>0.00%</c:formatCode>
                <c:ptCount val="1"/>
                <c:pt idx="0">
                  <c:v>-6.3875577882391982E-4</c:v>
                </c:pt>
              </c:numCache>
            </c:numRef>
          </c:val>
          <c:extLst xmlns:c16r2="http://schemas.microsoft.com/office/drawing/2015/06/chart">
            <c:ext xmlns:c16="http://schemas.microsoft.com/office/drawing/2014/chart" uri="{C3380CC4-5D6E-409C-BE32-E72D297353CC}">
              <c16:uniqueId val="{00000004-6118-4349-B66C-B632B9B19312}"/>
            </c:ext>
          </c:extLst>
        </c:ser>
        <c:ser>
          <c:idx val="5"/>
          <c:order val="5"/>
          <c:tx>
            <c:strRef>
              <c:f>Sheet3!$A$7</c:f>
              <c:strCache>
                <c:ptCount val="1"/>
                <c:pt idx="0">
                  <c:v>EBLNRBMF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Sheet3!$B$7</c:f>
              <c:numCache>
                <c:formatCode>0.00%</c:formatCode>
                <c:ptCount val="1"/>
                <c:pt idx="0">
                  <c:v>-7.069087200866559E-4</c:v>
                </c:pt>
              </c:numCache>
            </c:numRef>
          </c:val>
          <c:extLst xmlns:c16r2="http://schemas.microsoft.com/office/drawing/2015/06/chart">
            <c:ext xmlns:c16="http://schemas.microsoft.com/office/drawing/2014/chart" uri="{C3380CC4-5D6E-409C-BE32-E72D297353CC}">
              <c16:uniqueId val="{00000005-6118-4349-B66C-B632B9B19312}"/>
            </c:ext>
          </c:extLst>
        </c:ser>
        <c:ser>
          <c:idx val="6"/>
          <c:order val="6"/>
          <c:tx>
            <c:strRef>
              <c:f>Sheet3!$A$8</c:f>
              <c:strCache>
                <c:ptCount val="1"/>
                <c:pt idx="0">
                  <c:v>ABB1STMF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Sheet3!$B$8</c:f>
              <c:numCache>
                <c:formatCode>0.00%</c:formatCode>
                <c:ptCount val="1"/>
                <c:pt idx="0">
                  <c:v>-7.0987245778781239E-4</c:v>
                </c:pt>
              </c:numCache>
            </c:numRef>
          </c:val>
          <c:extLst xmlns:c16r2="http://schemas.microsoft.com/office/drawing/2015/06/chart">
            <c:ext xmlns:c16="http://schemas.microsoft.com/office/drawing/2014/chart" uri="{C3380CC4-5D6E-409C-BE32-E72D297353CC}">
              <c16:uniqueId val="{00000006-6118-4349-B66C-B632B9B19312}"/>
            </c:ext>
          </c:extLst>
        </c:ser>
        <c:ser>
          <c:idx val="7"/>
          <c:order val="7"/>
          <c:tx>
            <c:strRef>
              <c:f>Sheet3!$A$9</c:f>
              <c:strCache>
                <c:ptCount val="1"/>
                <c:pt idx="0">
                  <c:v>1JANATAMF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Sheet3!$B$9</c:f>
              <c:numCache>
                <c:formatCode>0.00%</c:formatCode>
                <c:ptCount val="1"/>
                <c:pt idx="0">
                  <c:v>-7.9633178268285489E-4</c:v>
                </c:pt>
              </c:numCache>
            </c:numRef>
          </c:val>
          <c:extLst xmlns:c16r2="http://schemas.microsoft.com/office/drawing/2015/06/chart">
            <c:ext xmlns:c16="http://schemas.microsoft.com/office/drawing/2014/chart" uri="{C3380CC4-5D6E-409C-BE32-E72D297353CC}">
              <c16:uniqueId val="{00000007-6118-4349-B66C-B632B9B19312}"/>
            </c:ext>
          </c:extLst>
        </c:ser>
        <c:ser>
          <c:idx val="8"/>
          <c:order val="8"/>
          <c:tx>
            <c:strRef>
              <c:f>Sheet3!$A$10</c:f>
              <c:strCache>
                <c:ptCount val="1"/>
                <c:pt idx="0">
                  <c:v>FBFIF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Sheet3!$B$10</c:f>
              <c:numCache>
                <c:formatCode>0.00%</c:formatCode>
                <c:ptCount val="1"/>
                <c:pt idx="0">
                  <c:v>-8.2893074259225024E-4</c:v>
                </c:pt>
              </c:numCache>
            </c:numRef>
          </c:val>
          <c:extLst xmlns:c16r2="http://schemas.microsoft.com/office/drawing/2015/06/chart">
            <c:ext xmlns:c16="http://schemas.microsoft.com/office/drawing/2014/chart" uri="{C3380CC4-5D6E-409C-BE32-E72D297353CC}">
              <c16:uniqueId val="{00000008-6118-4349-B66C-B632B9B19312}"/>
            </c:ext>
          </c:extLst>
        </c:ser>
        <c:ser>
          <c:idx val="9"/>
          <c:order val="9"/>
          <c:tx>
            <c:strRef>
              <c:f>Sheet3!$A$11</c:f>
              <c:strCache>
                <c:ptCount val="1"/>
                <c:pt idx="0">
                  <c:v>1STPRIMFMF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Sheet3!$B$1</c:f>
              <c:strCache>
                <c:ptCount val="1"/>
                <c:pt idx="0">
                  <c:v>Jensens Measure</c:v>
                </c:pt>
              </c:strCache>
            </c:strRef>
          </c:cat>
          <c:val>
            <c:numRef>
              <c:f>Sheet3!$B$11</c:f>
              <c:numCache>
                <c:formatCode>0.00%</c:formatCode>
                <c:ptCount val="1"/>
                <c:pt idx="0">
                  <c:v>-1.1700537484205078E-3</c:v>
                </c:pt>
              </c:numCache>
            </c:numRef>
          </c:val>
          <c:extLst xmlns:c16r2="http://schemas.microsoft.com/office/drawing/2015/06/chart">
            <c:ext xmlns:c16="http://schemas.microsoft.com/office/drawing/2014/chart" uri="{C3380CC4-5D6E-409C-BE32-E72D297353CC}">
              <c16:uniqueId val="{00000009-6118-4349-B66C-B632B9B19312}"/>
            </c:ext>
          </c:extLst>
        </c:ser>
        <c:dLbls>
          <c:dLblPos val="outEnd"/>
          <c:showLegendKey val="0"/>
          <c:showVal val="1"/>
          <c:showCatName val="0"/>
          <c:showSerName val="0"/>
          <c:showPercent val="0"/>
          <c:showBubbleSize val="0"/>
        </c:dLbls>
        <c:gapWidth val="267"/>
        <c:overlap val="-43"/>
        <c:axId val="230943744"/>
        <c:axId val="230994688"/>
      </c:barChart>
      <c:catAx>
        <c:axId val="230943744"/>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30994688"/>
        <c:crosses val="autoZero"/>
        <c:auto val="1"/>
        <c:lblAlgn val="ctr"/>
        <c:lblOffset val="100"/>
        <c:noMultiLvlLbl val="0"/>
      </c:catAx>
      <c:valAx>
        <c:axId val="230994688"/>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230943744"/>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092013001686047"/>
          <c:y val="0.20460788992285059"/>
          <c:w val="0.18417618327510385"/>
          <c:h val="0.73529926406258039"/>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baseline="0"/>
              <a:t>CAPM Based on Market Price of Weekl NAV </a:t>
            </a:r>
            <a:endParaRPr lang="en-US"/>
          </a:p>
        </c:rich>
      </c:tx>
      <c:layout>
        <c:manualLayout>
          <c:xMode val="edge"/>
          <c:yMode val="edge"/>
          <c:x val="1.7301732632258177E-2"/>
          <c:y val="5.7070285569142565E-2"/>
        </c:manualLayout>
      </c:layout>
      <c:overlay val="0"/>
      <c:spPr>
        <a:noFill/>
        <a:ln>
          <a:noFill/>
        </a:ln>
        <a:effectLst/>
      </c:spPr>
    </c:title>
    <c:autoTitleDeleted val="0"/>
    <c:plotArea>
      <c:layout>
        <c:manualLayout>
          <c:layoutTarget val="inner"/>
          <c:xMode val="edge"/>
          <c:yMode val="edge"/>
          <c:x val="2.4691358024691357E-2"/>
          <c:y val="0.2428878648233487"/>
          <c:w val="0.77456383608614576"/>
          <c:h val="0.68952380952380954"/>
        </c:manualLayout>
      </c:layout>
      <c:barChart>
        <c:barDir val="col"/>
        <c:grouping val="clustered"/>
        <c:varyColors val="0"/>
        <c:ser>
          <c:idx val="0"/>
          <c:order val="0"/>
          <c:tx>
            <c:strRef>
              <c:f>Sheet4!$A$2</c:f>
              <c:strCache>
                <c:ptCount val="1"/>
                <c:pt idx="0">
                  <c:v>AIBL1STIMF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Sheet4!$B$2</c:f>
              <c:numCache>
                <c:formatCode>0.00%</c:formatCode>
                <c:ptCount val="1"/>
                <c:pt idx="0">
                  <c:v>9.8743659748650294E-4</c:v>
                </c:pt>
              </c:numCache>
            </c:numRef>
          </c:val>
          <c:extLst xmlns:c16r2="http://schemas.microsoft.com/office/drawing/2015/06/chart">
            <c:ext xmlns:c16="http://schemas.microsoft.com/office/drawing/2014/chart" uri="{C3380CC4-5D6E-409C-BE32-E72D297353CC}">
              <c16:uniqueId val="{00000000-E6BF-488E-BC8C-1BF7F2BDEB56}"/>
            </c:ext>
          </c:extLst>
        </c:ser>
        <c:ser>
          <c:idx val="1"/>
          <c:order val="1"/>
          <c:tx>
            <c:strRef>
              <c:f>Sheet4!$A$3</c:f>
              <c:strCache>
                <c:ptCount val="1"/>
                <c:pt idx="0">
                  <c:v>FBFIF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Sheet4!$B$3</c:f>
              <c:numCache>
                <c:formatCode>0.00%</c:formatCode>
                <c:ptCount val="1"/>
                <c:pt idx="0">
                  <c:v>9.3555513059029533E-4</c:v>
                </c:pt>
              </c:numCache>
            </c:numRef>
          </c:val>
          <c:extLst xmlns:c16r2="http://schemas.microsoft.com/office/drawing/2015/06/chart">
            <c:ext xmlns:c16="http://schemas.microsoft.com/office/drawing/2014/chart" uri="{C3380CC4-5D6E-409C-BE32-E72D297353CC}">
              <c16:uniqueId val="{00000001-E6BF-488E-BC8C-1BF7F2BDEB56}"/>
            </c:ext>
          </c:extLst>
        </c:ser>
        <c:ser>
          <c:idx val="2"/>
          <c:order val="2"/>
          <c:tx>
            <c:strRef>
              <c:f>Sheet4!$A$4</c:f>
              <c:strCache>
                <c:ptCount val="1"/>
                <c:pt idx="0">
                  <c:v>DBH1STMF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Sheet4!$B$4</c:f>
              <c:numCache>
                <c:formatCode>0.00%</c:formatCode>
                <c:ptCount val="1"/>
                <c:pt idx="0">
                  <c:v>9.3093529038561034E-4</c:v>
                </c:pt>
              </c:numCache>
            </c:numRef>
          </c:val>
          <c:extLst xmlns:c16r2="http://schemas.microsoft.com/office/drawing/2015/06/chart">
            <c:ext xmlns:c16="http://schemas.microsoft.com/office/drawing/2014/chart" uri="{C3380CC4-5D6E-409C-BE32-E72D297353CC}">
              <c16:uniqueId val="{00000002-E6BF-488E-BC8C-1BF7F2BDEB56}"/>
            </c:ext>
          </c:extLst>
        </c:ser>
        <c:ser>
          <c:idx val="3"/>
          <c:order val="3"/>
          <c:tx>
            <c:strRef>
              <c:f>Sheet4!$A$5</c:f>
              <c:strCache>
                <c:ptCount val="1"/>
                <c:pt idx="0">
                  <c:v>EBLNRBMF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Sheet4!$B$5</c:f>
              <c:numCache>
                <c:formatCode>0.00%</c:formatCode>
                <c:ptCount val="1"/>
                <c:pt idx="0">
                  <c:v>9.2143500346207857E-4</c:v>
                </c:pt>
              </c:numCache>
            </c:numRef>
          </c:val>
          <c:extLst xmlns:c16r2="http://schemas.microsoft.com/office/drawing/2015/06/chart">
            <c:ext xmlns:c16="http://schemas.microsoft.com/office/drawing/2014/chart" uri="{C3380CC4-5D6E-409C-BE32-E72D297353CC}">
              <c16:uniqueId val="{00000003-E6BF-488E-BC8C-1BF7F2BDEB56}"/>
            </c:ext>
          </c:extLst>
        </c:ser>
        <c:ser>
          <c:idx val="4"/>
          <c:order val="4"/>
          <c:tx>
            <c:strRef>
              <c:f>Sheet4!$A$6</c:f>
              <c:strCache>
                <c:ptCount val="1"/>
                <c:pt idx="0">
                  <c:v>ABB1STMF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Sheet4!$B$6</c:f>
              <c:numCache>
                <c:formatCode>0.00%</c:formatCode>
                <c:ptCount val="1"/>
                <c:pt idx="0">
                  <c:v>9.1674655503317011E-4</c:v>
                </c:pt>
              </c:numCache>
            </c:numRef>
          </c:val>
          <c:extLst xmlns:c16r2="http://schemas.microsoft.com/office/drawing/2015/06/chart">
            <c:ext xmlns:c16="http://schemas.microsoft.com/office/drawing/2014/chart" uri="{C3380CC4-5D6E-409C-BE32-E72D297353CC}">
              <c16:uniqueId val="{00000004-E6BF-488E-BC8C-1BF7F2BDEB56}"/>
            </c:ext>
          </c:extLst>
        </c:ser>
        <c:ser>
          <c:idx val="5"/>
          <c:order val="5"/>
          <c:tx>
            <c:strRef>
              <c:f>Sheet4!$A$7</c:f>
              <c:strCache>
                <c:ptCount val="1"/>
                <c:pt idx="0">
                  <c:v>EBL1STMF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Sheet4!$B$7</c:f>
              <c:numCache>
                <c:formatCode>0.00%</c:formatCode>
                <c:ptCount val="1"/>
                <c:pt idx="0">
                  <c:v>9.1529401764939744E-4</c:v>
                </c:pt>
              </c:numCache>
            </c:numRef>
          </c:val>
          <c:extLst xmlns:c16r2="http://schemas.microsoft.com/office/drawing/2015/06/chart">
            <c:ext xmlns:c16="http://schemas.microsoft.com/office/drawing/2014/chart" uri="{C3380CC4-5D6E-409C-BE32-E72D297353CC}">
              <c16:uniqueId val="{00000005-E6BF-488E-BC8C-1BF7F2BDEB56}"/>
            </c:ext>
          </c:extLst>
        </c:ser>
        <c:ser>
          <c:idx val="6"/>
          <c:order val="6"/>
          <c:tx>
            <c:strRef>
              <c:f>Sheet4!$A$8</c:f>
              <c:strCache>
                <c:ptCount val="1"/>
                <c:pt idx="0">
                  <c:v>ATCSLGF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Sheet4!$B$8</c:f>
              <c:numCache>
                <c:formatCode>0.00%</c:formatCode>
                <c:ptCount val="1"/>
                <c:pt idx="0">
                  <c:v>9.1461941541118427E-4</c:v>
                </c:pt>
              </c:numCache>
            </c:numRef>
          </c:val>
          <c:extLst xmlns:c16r2="http://schemas.microsoft.com/office/drawing/2015/06/chart">
            <c:ext xmlns:c16="http://schemas.microsoft.com/office/drawing/2014/chart" uri="{C3380CC4-5D6E-409C-BE32-E72D297353CC}">
              <c16:uniqueId val="{00000006-E6BF-488E-BC8C-1BF7F2BDEB56}"/>
            </c:ext>
          </c:extLst>
        </c:ser>
        <c:ser>
          <c:idx val="7"/>
          <c:order val="7"/>
          <c:tx>
            <c:strRef>
              <c:f>Sheet4!$A$9</c:f>
              <c:strCache>
                <c:ptCount val="1"/>
                <c:pt idx="0">
                  <c:v>1JANATAMF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Sheet4!$B$9</c:f>
              <c:numCache>
                <c:formatCode>0.00%</c:formatCode>
                <c:ptCount val="1"/>
                <c:pt idx="0">
                  <c:v>8.9624091729532452E-4</c:v>
                </c:pt>
              </c:numCache>
            </c:numRef>
          </c:val>
          <c:extLst xmlns:c16r2="http://schemas.microsoft.com/office/drawing/2015/06/chart">
            <c:ext xmlns:c16="http://schemas.microsoft.com/office/drawing/2014/chart" uri="{C3380CC4-5D6E-409C-BE32-E72D297353CC}">
              <c16:uniqueId val="{00000007-E6BF-488E-BC8C-1BF7F2BDEB56}"/>
            </c:ext>
          </c:extLst>
        </c:ser>
        <c:ser>
          <c:idx val="8"/>
          <c:order val="8"/>
          <c:tx>
            <c:strRef>
              <c:f>Sheet4!$A$10</c:f>
              <c:strCache>
                <c:ptCount val="1"/>
                <c:pt idx="0">
                  <c:v>EXIM1STMF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Sheet4!$B$10</c:f>
              <c:numCache>
                <c:formatCode>0.00%</c:formatCode>
                <c:ptCount val="1"/>
                <c:pt idx="0">
                  <c:v>8.8553219088742595E-4</c:v>
                </c:pt>
              </c:numCache>
            </c:numRef>
          </c:val>
          <c:extLst xmlns:c16r2="http://schemas.microsoft.com/office/drawing/2015/06/chart">
            <c:ext xmlns:c16="http://schemas.microsoft.com/office/drawing/2014/chart" uri="{C3380CC4-5D6E-409C-BE32-E72D297353CC}">
              <c16:uniqueId val="{00000008-E6BF-488E-BC8C-1BF7F2BDEB56}"/>
            </c:ext>
          </c:extLst>
        </c:ser>
        <c:ser>
          <c:idx val="9"/>
          <c:order val="9"/>
          <c:tx>
            <c:strRef>
              <c:f>Sheet4!$A$11</c:f>
              <c:strCache>
                <c:ptCount val="1"/>
                <c:pt idx="0">
                  <c:v>1STPRIMFMF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Sheet4!$B$1</c:f>
              <c:strCache>
                <c:ptCount val="1"/>
                <c:pt idx="0">
                  <c:v>CAPM</c:v>
                </c:pt>
              </c:strCache>
            </c:strRef>
          </c:cat>
          <c:val>
            <c:numRef>
              <c:f>Sheet4!$B$11</c:f>
              <c:numCache>
                <c:formatCode>0.00%</c:formatCode>
                <c:ptCount val="1"/>
                <c:pt idx="0">
                  <c:v>7.3522510983942981E-4</c:v>
                </c:pt>
              </c:numCache>
            </c:numRef>
          </c:val>
          <c:extLst xmlns:c16r2="http://schemas.microsoft.com/office/drawing/2015/06/chart">
            <c:ext xmlns:c16="http://schemas.microsoft.com/office/drawing/2014/chart" uri="{C3380CC4-5D6E-409C-BE32-E72D297353CC}">
              <c16:uniqueId val="{00000009-E6BF-488E-BC8C-1BF7F2BDEB56}"/>
            </c:ext>
          </c:extLst>
        </c:ser>
        <c:dLbls>
          <c:dLblPos val="outEnd"/>
          <c:showLegendKey val="0"/>
          <c:showVal val="1"/>
          <c:showCatName val="0"/>
          <c:showSerName val="0"/>
          <c:showPercent val="0"/>
          <c:showBubbleSize val="0"/>
        </c:dLbls>
        <c:gapWidth val="267"/>
        <c:overlap val="-43"/>
        <c:axId val="231354368"/>
        <c:axId val="231355904"/>
      </c:barChart>
      <c:catAx>
        <c:axId val="231354368"/>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31355904"/>
        <c:crosses val="autoZero"/>
        <c:auto val="1"/>
        <c:lblAlgn val="ctr"/>
        <c:lblOffset val="100"/>
        <c:noMultiLvlLbl val="0"/>
      </c:catAx>
      <c:valAx>
        <c:axId val="231355904"/>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231354368"/>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1272320757885064"/>
          <c:y val="0.17199723718745683"/>
          <c:w val="0.1738087789531359"/>
          <c:h val="0.78947920983561271"/>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spc="0" normalizeH="0" baseline="0">
                <a:solidFill>
                  <a:schemeClr val="dk1">
                    <a:lumMod val="50000"/>
                    <a:lumOff val="50000"/>
                  </a:schemeClr>
                </a:solidFill>
                <a:latin typeface="+mj-lt"/>
                <a:ea typeface="+mj-ea"/>
                <a:cs typeface="+mj-cs"/>
              </a:defRPr>
            </a:pPr>
            <a:r>
              <a:rPr lang="en-US" sz="1400"/>
              <a:t>Weekly Avg.</a:t>
            </a:r>
            <a:r>
              <a:rPr lang="en-US" sz="1400" baseline="0"/>
              <a:t> Return of MF, DSEX &amp; Int. on T-Bill </a:t>
            </a:r>
          </a:p>
          <a:p>
            <a:pPr>
              <a:defRPr sz="1400" b="1" i="0" u="none" strike="noStrike" kern="1200" cap="none" spc="0" normalizeH="0" baseline="0">
                <a:solidFill>
                  <a:schemeClr val="dk1">
                    <a:lumMod val="50000"/>
                    <a:lumOff val="50000"/>
                  </a:schemeClr>
                </a:solidFill>
                <a:latin typeface="+mj-lt"/>
                <a:ea typeface="+mj-ea"/>
                <a:cs typeface="+mj-cs"/>
              </a:defRPr>
            </a:pPr>
            <a:r>
              <a:rPr lang="en-US" sz="1400" baseline="0"/>
              <a:t>(Based on Price) </a:t>
            </a:r>
          </a:p>
          <a:p>
            <a:pPr>
              <a:defRPr sz="1400" b="1" i="0" u="none" strike="noStrike" kern="1200" cap="none" spc="0" normalizeH="0" baseline="0">
                <a:solidFill>
                  <a:schemeClr val="dk1">
                    <a:lumMod val="50000"/>
                    <a:lumOff val="50000"/>
                  </a:schemeClr>
                </a:solidFill>
                <a:latin typeface="+mj-lt"/>
                <a:ea typeface="+mj-ea"/>
                <a:cs typeface="+mj-cs"/>
              </a:defRPr>
            </a:pPr>
            <a:r>
              <a:rPr lang="en-US" sz="1400" baseline="0"/>
              <a:t> </a:t>
            </a:r>
            <a:endParaRPr lang="en-US" sz="1400"/>
          </a:p>
        </c:rich>
      </c:tx>
      <c:layout>
        <c:manualLayout>
          <c:xMode val="edge"/>
          <c:yMode val="edge"/>
          <c:x val="2.3034225547097793E-2"/>
          <c:y val="1.5110301294982758E-3"/>
        </c:manualLayout>
      </c:layout>
      <c:overlay val="0"/>
      <c:spPr>
        <a:noFill/>
        <a:ln>
          <a:noFill/>
        </a:ln>
        <a:effectLst/>
      </c:spPr>
    </c:title>
    <c:autoTitleDeleted val="0"/>
    <c:plotArea>
      <c:layout>
        <c:manualLayout>
          <c:layoutTarget val="inner"/>
          <c:xMode val="edge"/>
          <c:yMode val="edge"/>
          <c:x val="6.8166603552665354E-3"/>
          <c:y val="0.26219942204194174"/>
          <c:w val="0.75001963063074806"/>
          <c:h val="0.72183090750019885"/>
        </c:manualLayout>
      </c:layout>
      <c:barChart>
        <c:barDir val="col"/>
        <c:grouping val="clustered"/>
        <c:varyColors val="0"/>
        <c:ser>
          <c:idx val="0"/>
          <c:order val="0"/>
          <c:tx>
            <c:strRef>
              <c:f>Sheet1!$A$2</c:f>
              <c:strCache>
                <c:ptCount val="1"/>
                <c:pt idx="0">
                  <c:v>DBH1STMF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Average Return</c:v>
                </c:pt>
              </c:strCache>
            </c:strRef>
          </c:cat>
          <c:val>
            <c:numRef>
              <c:f>Sheet1!$B$2</c:f>
              <c:numCache>
                <c:formatCode>0.00%</c:formatCode>
                <c:ptCount val="1"/>
                <c:pt idx="0">
                  <c:v>1.224785043826143E-3</c:v>
                </c:pt>
              </c:numCache>
            </c:numRef>
          </c:val>
          <c:extLst xmlns:c16r2="http://schemas.microsoft.com/office/drawing/2015/06/chart">
            <c:ext xmlns:c16="http://schemas.microsoft.com/office/drawing/2014/chart" uri="{C3380CC4-5D6E-409C-BE32-E72D297353CC}">
              <c16:uniqueId val="{00000000-0B53-4A2C-9229-AA7EB93FE6BC}"/>
            </c:ext>
          </c:extLst>
        </c:ser>
        <c:ser>
          <c:idx val="1"/>
          <c:order val="1"/>
          <c:tx>
            <c:strRef>
              <c:f>Sheet1!$A$3</c:f>
              <c:strCache>
                <c:ptCount val="1"/>
                <c:pt idx="0">
                  <c:v>T-Bill (Weekly Interest)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Average Return</c:v>
                </c:pt>
              </c:strCache>
            </c:strRef>
          </c:cat>
          <c:val>
            <c:numRef>
              <c:f>Sheet1!$B$3</c:f>
              <c:numCache>
                <c:formatCode>0.00%</c:formatCode>
                <c:ptCount val="1"/>
                <c:pt idx="0">
                  <c:v>1.0576923076923077E-3</c:v>
                </c:pt>
              </c:numCache>
            </c:numRef>
          </c:val>
          <c:extLst xmlns:c16r2="http://schemas.microsoft.com/office/drawing/2015/06/chart">
            <c:ext xmlns:c16="http://schemas.microsoft.com/office/drawing/2014/chart" uri="{C3380CC4-5D6E-409C-BE32-E72D297353CC}">
              <c16:uniqueId val="{00000001-0B53-4A2C-9229-AA7EB93FE6BC}"/>
            </c:ext>
          </c:extLst>
        </c:ser>
        <c:ser>
          <c:idx val="2"/>
          <c:order val="2"/>
          <c:tx>
            <c:strRef>
              <c:f>Sheet1!$A$4</c:f>
              <c:strCache>
                <c:ptCount val="1"/>
                <c:pt idx="0">
                  <c:v>EBL1STMF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Average Return</c:v>
                </c:pt>
              </c:strCache>
            </c:strRef>
          </c:cat>
          <c:val>
            <c:numRef>
              <c:f>Sheet1!$B$4</c:f>
              <c:numCache>
                <c:formatCode>0.00%</c:formatCode>
                <c:ptCount val="1"/>
                <c:pt idx="0">
                  <c:v>9.6453477263725254E-4</c:v>
                </c:pt>
              </c:numCache>
            </c:numRef>
          </c:val>
          <c:extLst xmlns:c16r2="http://schemas.microsoft.com/office/drawing/2015/06/chart">
            <c:ext xmlns:c16="http://schemas.microsoft.com/office/drawing/2014/chart" uri="{C3380CC4-5D6E-409C-BE32-E72D297353CC}">
              <c16:uniqueId val="{00000002-0B53-4A2C-9229-AA7EB93FE6BC}"/>
            </c:ext>
          </c:extLst>
        </c:ser>
        <c:ser>
          <c:idx val="3"/>
          <c:order val="3"/>
          <c:tx>
            <c:strRef>
              <c:f>Sheet1!$A$5</c:f>
              <c:strCache>
                <c:ptCount val="1"/>
                <c:pt idx="0">
                  <c:v>DSEX (Benchamark Index)</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Average Return</c:v>
                </c:pt>
              </c:strCache>
            </c:strRef>
          </c:cat>
          <c:val>
            <c:numRef>
              <c:f>Sheet1!$B$5</c:f>
              <c:numCache>
                <c:formatCode>0.00%</c:formatCode>
                <c:ptCount val="1"/>
                <c:pt idx="0">
                  <c:v>5.6036609045650044E-4</c:v>
                </c:pt>
              </c:numCache>
            </c:numRef>
          </c:val>
          <c:extLst xmlns:c16r2="http://schemas.microsoft.com/office/drawing/2015/06/chart">
            <c:ext xmlns:c16="http://schemas.microsoft.com/office/drawing/2014/chart" uri="{C3380CC4-5D6E-409C-BE32-E72D297353CC}">
              <c16:uniqueId val="{00000003-0B53-4A2C-9229-AA7EB93FE6BC}"/>
            </c:ext>
          </c:extLst>
        </c:ser>
        <c:ser>
          <c:idx val="4"/>
          <c:order val="4"/>
          <c:tx>
            <c:strRef>
              <c:f>Sheet1!$A$6</c:f>
              <c:strCache>
                <c:ptCount val="1"/>
                <c:pt idx="0">
                  <c:v>AIBL1STIMF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Average Return</c:v>
                </c:pt>
              </c:strCache>
            </c:strRef>
          </c:cat>
          <c:val>
            <c:numRef>
              <c:f>Sheet1!$B$6</c:f>
              <c:numCache>
                <c:formatCode>0.00%</c:formatCode>
                <c:ptCount val="1"/>
                <c:pt idx="0">
                  <c:v>5.2139070591430883E-4</c:v>
                </c:pt>
              </c:numCache>
            </c:numRef>
          </c:val>
          <c:extLst xmlns:c16r2="http://schemas.microsoft.com/office/drawing/2015/06/chart">
            <c:ext xmlns:c16="http://schemas.microsoft.com/office/drawing/2014/chart" uri="{C3380CC4-5D6E-409C-BE32-E72D297353CC}">
              <c16:uniqueId val="{00000004-0B53-4A2C-9229-AA7EB93FE6BC}"/>
            </c:ext>
          </c:extLst>
        </c:ser>
        <c:ser>
          <c:idx val="5"/>
          <c:order val="5"/>
          <c:tx>
            <c:strRef>
              <c:f>Sheet1!$A$7</c:f>
              <c:strCache>
                <c:ptCount val="1"/>
                <c:pt idx="0">
                  <c:v>ATCSLGF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Average Return</c:v>
                </c:pt>
              </c:strCache>
            </c:strRef>
          </c:cat>
          <c:val>
            <c:numRef>
              <c:f>Sheet1!$B$7</c:f>
              <c:numCache>
                <c:formatCode>0.00%</c:formatCode>
                <c:ptCount val="1"/>
                <c:pt idx="0">
                  <c:v>1.0029903097987792E-4</c:v>
                </c:pt>
              </c:numCache>
            </c:numRef>
          </c:val>
          <c:extLst xmlns:c16r2="http://schemas.microsoft.com/office/drawing/2015/06/chart">
            <c:ext xmlns:c16="http://schemas.microsoft.com/office/drawing/2014/chart" uri="{C3380CC4-5D6E-409C-BE32-E72D297353CC}">
              <c16:uniqueId val="{00000005-0B53-4A2C-9229-AA7EB93FE6BC}"/>
            </c:ext>
          </c:extLst>
        </c:ser>
        <c:ser>
          <c:idx val="6"/>
          <c:order val="6"/>
          <c:tx>
            <c:strRef>
              <c:f>Sheet1!$A$8</c:f>
              <c:strCache>
                <c:ptCount val="1"/>
                <c:pt idx="0">
                  <c:v>1STPRIMFMF</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Average Return</c:v>
                </c:pt>
              </c:strCache>
            </c:strRef>
          </c:cat>
          <c:val>
            <c:numRef>
              <c:f>Sheet1!$B$8</c:f>
              <c:numCache>
                <c:formatCode>0.00%</c:formatCode>
                <c:ptCount val="1"/>
                <c:pt idx="0">
                  <c:v>-6.9881495163269828E-4</c:v>
                </c:pt>
              </c:numCache>
            </c:numRef>
          </c:val>
          <c:extLst xmlns:c16r2="http://schemas.microsoft.com/office/drawing/2015/06/chart">
            <c:ext xmlns:c16="http://schemas.microsoft.com/office/drawing/2014/chart" uri="{C3380CC4-5D6E-409C-BE32-E72D297353CC}">
              <c16:uniqueId val="{00000006-0B53-4A2C-9229-AA7EB93FE6BC}"/>
            </c:ext>
          </c:extLst>
        </c:ser>
        <c:ser>
          <c:idx val="7"/>
          <c:order val="7"/>
          <c:tx>
            <c:strRef>
              <c:f>Sheet1!$A$9</c:f>
              <c:strCache>
                <c:ptCount val="1"/>
                <c:pt idx="0">
                  <c:v>1JANATAMF</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Average Return</c:v>
                </c:pt>
              </c:strCache>
            </c:strRef>
          </c:cat>
          <c:val>
            <c:numRef>
              <c:f>Sheet1!$B$9</c:f>
              <c:numCache>
                <c:formatCode>0.00%</c:formatCode>
                <c:ptCount val="1"/>
                <c:pt idx="0">
                  <c:v>-1.4979682186894137E-3</c:v>
                </c:pt>
              </c:numCache>
            </c:numRef>
          </c:val>
          <c:extLst xmlns:c16r2="http://schemas.microsoft.com/office/drawing/2015/06/chart">
            <c:ext xmlns:c16="http://schemas.microsoft.com/office/drawing/2014/chart" uri="{C3380CC4-5D6E-409C-BE32-E72D297353CC}">
              <c16:uniqueId val="{00000007-0B53-4A2C-9229-AA7EB93FE6BC}"/>
            </c:ext>
          </c:extLst>
        </c:ser>
        <c:ser>
          <c:idx val="8"/>
          <c:order val="8"/>
          <c:tx>
            <c:strRef>
              <c:f>Sheet1!$A$10</c:f>
              <c:strCache>
                <c:ptCount val="1"/>
                <c:pt idx="0">
                  <c:v>ABB1STMF</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Average Return</c:v>
                </c:pt>
              </c:strCache>
            </c:strRef>
          </c:cat>
          <c:val>
            <c:numRef>
              <c:f>Sheet1!$B$10</c:f>
              <c:numCache>
                <c:formatCode>0.00%</c:formatCode>
                <c:ptCount val="1"/>
                <c:pt idx="0">
                  <c:v>-1.6182726491852227E-3</c:v>
                </c:pt>
              </c:numCache>
            </c:numRef>
          </c:val>
          <c:extLst xmlns:c16r2="http://schemas.microsoft.com/office/drawing/2015/06/chart">
            <c:ext xmlns:c16="http://schemas.microsoft.com/office/drawing/2014/chart" uri="{C3380CC4-5D6E-409C-BE32-E72D297353CC}">
              <c16:uniqueId val="{00000008-0B53-4A2C-9229-AA7EB93FE6BC}"/>
            </c:ext>
          </c:extLst>
        </c:ser>
        <c:ser>
          <c:idx val="9"/>
          <c:order val="9"/>
          <c:tx>
            <c:strRef>
              <c:f>Sheet1!$A$11</c:f>
              <c:strCache>
                <c:ptCount val="1"/>
                <c:pt idx="0">
                  <c:v>FBFIF</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Average Return</c:v>
                </c:pt>
              </c:strCache>
            </c:strRef>
          </c:cat>
          <c:val>
            <c:numRef>
              <c:f>Sheet1!$B$11</c:f>
              <c:numCache>
                <c:formatCode>0.00%</c:formatCode>
                <c:ptCount val="1"/>
                <c:pt idx="0">
                  <c:v>-2.7870265282360267E-3</c:v>
                </c:pt>
              </c:numCache>
            </c:numRef>
          </c:val>
          <c:extLst xmlns:c16r2="http://schemas.microsoft.com/office/drawing/2015/06/chart">
            <c:ext xmlns:c16="http://schemas.microsoft.com/office/drawing/2014/chart" uri="{C3380CC4-5D6E-409C-BE32-E72D297353CC}">
              <c16:uniqueId val="{00000009-0B53-4A2C-9229-AA7EB93FE6BC}"/>
            </c:ext>
          </c:extLst>
        </c:ser>
        <c:ser>
          <c:idx val="10"/>
          <c:order val="10"/>
          <c:tx>
            <c:strRef>
              <c:f>Sheet1!$A$12</c:f>
              <c:strCache>
                <c:ptCount val="1"/>
                <c:pt idx="0">
                  <c:v>EXIM1STMF</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Average Return</c:v>
                </c:pt>
              </c:strCache>
            </c:strRef>
          </c:cat>
          <c:val>
            <c:numRef>
              <c:f>Sheet1!$B$12</c:f>
              <c:numCache>
                <c:formatCode>0.00%</c:formatCode>
                <c:ptCount val="1"/>
                <c:pt idx="0">
                  <c:v>-3.3641194682181639E-3</c:v>
                </c:pt>
              </c:numCache>
            </c:numRef>
          </c:val>
          <c:extLst xmlns:c16r2="http://schemas.microsoft.com/office/drawing/2015/06/chart">
            <c:ext xmlns:c16="http://schemas.microsoft.com/office/drawing/2014/chart" uri="{C3380CC4-5D6E-409C-BE32-E72D297353CC}">
              <c16:uniqueId val="{0000000A-0B53-4A2C-9229-AA7EB93FE6BC}"/>
            </c:ext>
          </c:extLst>
        </c:ser>
        <c:ser>
          <c:idx val="11"/>
          <c:order val="11"/>
          <c:tx>
            <c:strRef>
              <c:f>Sheet1!$A$13</c:f>
              <c:strCache>
                <c:ptCount val="1"/>
                <c:pt idx="0">
                  <c:v>EBLNRBMF</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Sheet1!$B$1</c:f>
              <c:strCache>
                <c:ptCount val="1"/>
                <c:pt idx="0">
                  <c:v>Average Return</c:v>
                </c:pt>
              </c:strCache>
            </c:strRef>
          </c:cat>
          <c:val>
            <c:numRef>
              <c:f>Sheet1!$B$13</c:f>
              <c:numCache>
                <c:formatCode>0.00%</c:formatCode>
                <c:ptCount val="1"/>
                <c:pt idx="0">
                  <c:v>-3.7635499411984353E-3</c:v>
                </c:pt>
              </c:numCache>
            </c:numRef>
          </c:val>
          <c:extLst xmlns:c16r2="http://schemas.microsoft.com/office/drawing/2015/06/chart">
            <c:ext xmlns:c16="http://schemas.microsoft.com/office/drawing/2014/chart" uri="{C3380CC4-5D6E-409C-BE32-E72D297353CC}">
              <c16:uniqueId val="{0000000B-0B53-4A2C-9229-AA7EB93FE6BC}"/>
            </c:ext>
          </c:extLst>
        </c:ser>
        <c:dLbls>
          <c:dLblPos val="outEnd"/>
          <c:showLegendKey val="0"/>
          <c:showVal val="1"/>
          <c:showCatName val="0"/>
          <c:showSerName val="0"/>
          <c:showPercent val="0"/>
          <c:showBubbleSize val="0"/>
        </c:dLbls>
        <c:gapWidth val="267"/>
        <c:overlap val="-43"/>
        <c:axId val="232329216"/>
        <c:axId val="232330752"/>
      </c:barChart>
      <c:catAx>
        <c:axId val="232329216"/>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32330752"/>
        <c:crosses val="autoZero"/>
        <c:auto val="1"/>
        <c:lblAlgn val="ctr"/>
        <c:lblOffset val="100"/>
        <c:noMultiLvlLbl val="0"/>
      </c:catAx>
      <c:valAx>
        <c:axId val="232330752"/>
        <c:scaling>
          <c:orientation val="minMax"/>
        </c:scaling>
        <c:delete val="1"/>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crossAx val="232329216"/>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75654444184575942"/>
          <c:y val="1.7682225458494804E-2"/>
          <c:w val="0.23503772424486544"/>
          <c:h val="0.96951681375398524"/>
        </c:manualLayout>
      </c:layout>
      <c:overlay val="0"/>
      <c:spPr>
        <a:noFill/>
        <a:ln>
          <a:solidFill>
            <a:schemeClr val="accent1"/>
          </a:solid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8C59F-3783-4565-AFCD-054EC6DEA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102</Pages>
  <Words>22544</Words>
  <Characters>128505</Characters>
  <Application>Microsoft Office Word</Application>
  <DocSecurity>0</DocSecurity>
  <Lines>1070</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ANONDO</dc:creator>
  <cp:lastModifiedBy>enamul</cp:lastModifiedBy>
  <cp:revision>3</cp:revision>
  <cp:lastPrinted>2019-07-03T12:24:00Z</cp:lastPrinted>
  <dcterms:created xsi:type="dcterms:W3CDTF">2019-07-06T05:54:00Z</dcterms:created>
  <dcterms:modified xsi:type="dcterms:W3CDTF">2019-07-06T06:27:00Z</dcterms:modified>
</cp:coreProperties>
</file>